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As filed with the Securities and Exchange Commission on September 4, 2013</w:t>
      </w:r>
    </w:p>
    <w:p>
      <w:pPr>
        <w:spacing w:after="0" w:line="12" w:lineRule="exact"/>
        <w:rPr>
          <w:sz w:val="24"/>
          <w:szCs w:val="24"/>
          <w:color w:val="auto"/>
        </w:rPr>
      </w:pPr>
    </w:p>
    <w:p>
      <w:pPr>
        <w:ind w:left="9720"/>
        <w:spacing w:after="0"/>
        <w:rPr>
          <w:sz w:val="20"/>
          <w:szCs w:val="20"/>
          <w:color w:val="auto"/>
        </w:rPr>
      </w:pPr>
      <w:r>
        <w:rPr>
          <w:rFonts w:ascii="Arial" w:cs="Arial" w:eastAsia="Arial" w:hAnsi="Arial"/>
          <w:sz w:val="10"/>
          <w:szCs w:val="10"/>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2777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52705</wp:posOffset>
            </wp:positionV>
            <wp:extent cx="72777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83185</wp:posOffset>
            </wp:positionV>
            <wp:extent cx="15322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2255" cy="635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30" w:lineRule="auto"/>
        <w:rPr>
          <w:sz w:val="20"/>
          <w:szCs w:val="20"/>
          <w:color w:val="auto"/>
        </w:rPr>
      </w:pPr>
      <w:r>
        <w:rPr>
          <w:rFonts w:ascii="Arial" w:cs="Arial" w:eastAsia="Arial" w:hAnsi="Arial"/>
          <w:sz w:val="17"/>
          <w:szCs w:val="17"/>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76835</wp:posOffset>
            </wp:positionV>
            <wp:extent cx="15322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2255" cy="635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MACROGENICS,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80645</wp:posOffset>
            </wp:positionV>
            <wp:extent cx="15322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2255" cy="635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700" w:type="dxa"/>
            <w:vAlign w:val="bottom"/>
          </w:tcPr>
          <w:p>
            <w:pPr>
              <w:jc w:val="center"/>
              <w:ind w:left="141"/>
              <w:spacing w:after="0"/>
              <w:rPr>
                <w:sz w:val="20"/>
                <w:szCs w:val="20"/>
                <w:color w:val="auto"/>
              </w:rPr>
            </w:pPr>
            <w:r>
              <w:rPr>
                <w:rFonts w:ascii="Arial" w:cs="Arial" w:eastAsia="Arial" w:hAnsi="Arial"/>
                <w:sz w:val="14"/>
                <w:szCs w:val="14"/>
                <w:b w:val="1"/>
                <w:bCs w:val="1"/>
                <w:color w:val="auto"/>
                <w:w w:val="87"/>
              </w:rPr>
              <w:t>Delaware</w:t>
            </w:r>
          </w:p>
        </w:tc>
        <w:tc>
          <w:tcPr>
            <w:tcW w:w="3240" w:type="dxa"/>
            <w:vAlign w:val="bottom"/>
            <w:gridSpan w:val="2"/>
          </w:tcPr>
          <w:p>
            <w:pPr>
              <w:jc w:val="center"/>
              <w:ind w:left="1012"/>
              <w:spacing w:after="0"/>
              <w:rPr>
                <w:sz w:val="20"/>
                <w:szCs w:val="20"/>
                <w:color w:val="auto"/>
              </w:rPr>
            </w:pPr>
            <w:r>
              <w:rPr>
                <w:rFonts w:ascii="Arial" w:cs="Arial" w:eastAsia="Arial" w:hAnsi="Arial"/>
                <w:sz w:val="14"/>
                <w:szCs w:val="14"/>
                <w:b w:val="1"/>
                <w:bCs w:val="1"/>
                <w:color w:val="auto"/>
                <w:w w:val="89"/>
              </w:rPr>
              <w:t>2834</w:t>
            </w:r>
          </w:p>
        </w:tc>
        <w:tc>
          <w:tcPr>
            <w:tcW w:w="108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8"/>
              </w:rPr>
              <w:t>06-1591613</w:t>
            </w:r>
          </w:p>
        </w:tc>
      </w:tr>
      <w:tr>
        <w:trPr>
          <w:trHeight w:val="115"/>
        </w:trPr>
        <w:tc>
          <w:tcPr>
            <w:tcW w:w="3700" w:type="dxa"/>
            <w:vAlign w:val="bottom"/>
          </w:tcPr>
          <w:p>
            <w:pPr>
              <w:jc w:val="center"/>
              <w:ind w:left="141"/>
              <w:spacing w:after="0"/>
              <w:rPr>
                <w:sz w:val="20"/>
                <w:szCs w:val="20"/>
                <w:color w:val="auto"/>
              </w:rPr>
            </w:pPr>
            <w:r>
              <w:rPr>
                <w:rFonts w:ascii="Arial" w:cs="Arial" w:eastAsia="Arial" w:hAnsi="Arial"/>
                <w:sz w:val="10"/>
                <w:szCs w:val="10"/>
                <w:b w:val="1"/>
                <w:bCs w:val="1"/>
                <w:color w:val="auto"/>
                <w:w w:val="94"/>
              </w:rPr>
              <w:t>(State or other jurisdiction of</w:t>
            </w:r>
          </w:p>
        </w:tc>
        <w:tc>
          <w:tcPr>
            <w:tcW w:w="820" w:type="dxa"/>
            <w:vAlign w:val="bottom"/>
          </w:tcPr>
          <w:p>
            <w:pPr>
              <w:spacing w:after="0"/>
              <w:rPr>
                <w:sz w:val="9"/>
                <w:szCs w:val="9"/>
                <w:color w:val="auto"/>
              </w:rPr>
            </w:pPr>
          </w:p>
        </w:tc>
        <w:tc>
          <w:tcPr>
            <w:tcW w:w="3500" w:type="dxa"/>
            <w:vAlign w:val="bottom"/>
            <w:gridSpan w:val="2"/>
          </w:tcPr>
          <w:p>
            <w:pPr>
              <w:jc w:val="center"/>
              <w:ind w:right="752"/>
              <w:spacing w:after="0"/>
              <w:rPr>
                <w:sz w:val="20"/>
                <w:szCs w:val="20"/>
                <w:color w:val="auto"/>
              </w:rPr>
            </w:pPr>
            <w:r>
              <w:rPr>
                <w:rFonts w:ascii="Arial" w:cs="Arial" w:eastAsia="Arial" w:hAnsi="Arial"/>
                <w:sz w:val="10"/>
                <w:szCs w:val="10"/>
                <w:b w:val="1"/>
                <w:bCs w:val="1"/>
                <w:color w:val="auto"/>
                <w:w w:val="98"/>
              </w:rPr>
              <w:t>(Primary Standard Industrial</w:t>
            </w:r>
          </w:p>
        </w:tc>
        <w:tc>
          <w:tcPr>
            <w:tcW w:w="3280" w:type="dxa"/>
            <w:vAlign w:val="bottom"/>
          </w:tcPr>
          <w:p>
            <w:pPr>
              <w:jc w:val="center"/>
              <w:spacing w:after="0"/>
              <w:rPr>
                <w:sz w:val="20"/>
                <w:szCs w:val="20"/>
                <w:color w:val="auto"/>
              </w:rPr>
            </w:pPr>
            <w:r>
              <w:rPr>
                <w:rFonts w:ascii="Arial" w:cs="Arial" w:eastAsia="Arial" w:hAnsi="Arial"/>
                <w:sz w:val="10"/>
                <w:szCs w:val="10"/>
                <w:b w:val="1"/>
                <w:bCs w:val="1"/>
                <w:color w:val="auto"/>
                <w:w w:val="96"/>
              </w:rPr>
              <w:t>(I.R.S. Employer</w:t>
            </w:r>
          </w:p>
        </w:tc>
      </w:tr>
      <w:tr>
        <w:trPr>
          <w:trHeight w:val="135"/>
        </w:trPr>
        <w:tc>
          <w:tcPr>
            <w:tcW w:w="3700" w:type="dxa"/>
            <w:vAlign w:val="bottom"/>
          </w:tcPr>
          <w:p>
            <w:pPr>
              <w:jc w:val="center"/>
              <w:ind w:left="121"/>
              <w:spacing w:after="0"/>
              <w:rPr>
                <w:sz w:val="20"/>
                <w:szCs w:val="20"/>
                <w:color w:val="auto"/>
              </w:rPr>
            </w:pPr>
            <w:r>
              <w:rPr>
                <w:rFonts w:ascii="Arial" w:cs="Arial" w:eastAsia="Arial" w:hAnsi="Arial"/>
                <w:sz w:val="10"/>
                <w:szCs w:val="10"/>
                <w:b w:val="1"/>
                <w:bCs w:val="1"/>
                <w:color w:val="auto"/>
                <w:w w:val="95"/>
              </w:rPr>
              <w:t>incorporation or organization)</w:t>
            </w:r>
          </w:p>
        </w:tc>
        <w:tc>
          <w:tcPr>
            <w:tcW w:w="820" w:type="dxa"/>
            <w:vAlign w:val="bottom"/>
          </w:tcPr>
          <w:p>
            <w:pPr>
              <w:spacing w:after="0"/>
              <w:rPr>
                <w:sz w:val="11"/>
                <w:szCs w:val="11"/>
                <w:color w:val="auto"/>
              </w:rPr>
            </w:pPr>
          </w:p>
        </w:tc>
        <w:tc>
          <w:tcPr>
            <w:tcW w:w="3500" w:type="dxa"/>
            <w:vAlign w:val="bottom"/>
            <w:gridSpan w:val="2"/>
          </w:tcPr>
          <w:p>
            <w:pPr>
              <w:jc w:val="center"/>
              <w:ind w:right="752"/>
              <w:spacing w:after="0"/>
              <w:rPr>
                <w:sz w:val="20"/>
                <w:szCs w:val="20"/>
                <w:color w:val="auto"/>
              </w:rPr>
            </w:pPr>
            <w:r>
              <w:rPr>
                <w:rFonts w:ascii="Arial" w:cs="Arial" w:eastAsia="Arial" w:hAnsi="Arial"/>
                <w:sz w:val="10"/>
                <w:szCs w:val="10"/>
                <w:b w:val="1"/>
                <w:bCs w:val="1"/>
                <w:color w:val="auto"/>
                <w:w w:val="93"/>
              </w:rPr>
              <w:t>Classification Code Number)</w:t>
            </w:r>
          </w:p>
        </w:tc>
        <w:tc>
          <w:tcPr>
            <w:tcW w:w="3280" w:type="dxa"/>
            <w:vAlign w:val="bottom"/>
          </w:tcPr>
          <w:p>
            <w:pPr>
              <w:jc w:val="center"/>
              <w:spacing w:after="0"/>
              <w:rPr>
                <w:sz w:val="20"/>
                <w:szCs w:val="20"/>
                <w:color w:val="auto"/>
              </w:rPr>
            </w:pPr>
            <w:r>
              <w:rPr>
                <w:rFonts w:ascii="Arial" w:cs="Arial" w:eastAsia="Arial" w:hAnsi="Arial"/>
                <w:sz w:val="10"/>
                <w:szCs w:val="10"/>
                <w:b w:val="1"/>
                <w:bCs w:val="1"/>
                <w:color w:val="auto"/>
                <w:w w:val="97"/>
              </w:rPr>
              <w:t>Identification No.)</w:t>
            </w:r>
          </w:p>
        </w:tc>
      </w:tr>
      <w:tr>
        <w:trPr>
          <w:trHeight w:val="222"/>
        </w:trPr>
        <w:tc>
          <w:tcPr>
            <w:tcW w:w="3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0" w:type="dxa"/>
            <w:vAlign w:val="bottom"/>
            <w:gridSpan w:val="2"/>
          </w:tcPr>
          <w:p>
            <w:pPr>
              <w:jc w:val="center"/>
              <w:ind w:right="992"/>
              <w:spacing w:after="0"/>
              <w:rPr>
                <w:sz w:val="20"/>
                <w:szCs w:val="20"/>
                <w:color w:val="auto"/>
              </w:rPr>
            </w:pPr>
            <w:r>
              <w:rPr>
                <w:rFonts w:ascii="Arial" w:cs="Arial" w:eastAsia="Arial" w:hAnsi="Arial"/>
                <w:sz w:val="14"/>
                <w:szCs w:val="14"/>
                <w:b w:val="1"/>
                <w:bCs w:val="1"/>
                <w:color w:val="auto"/>
                <w:w w:val="89"/>
              </w:rPr>
              <w:t>9640 Medical Center Drive</w:t>
            </w:r>
          </w:p>
        </w:tc>
        <w:tc>
          <w:tcPr>
            <w:tcW w:w="3280" w:type="dxa"/>
            <w:vAlign w:val="bottom"/>
          </w:tcPr>
          <w:p>
            <w:pPr>
              <w:spacing w:after="0"/>
              <w:rPr>
                <w:sz w:val="19"/>
                <w:szCs w:val="19"/>
                <w:color w:val="auto"/>
              </w:rPr>
            </w:pPr>
          </w:p>
        </w:tc>
      </w:tr>
      <w:tr>
        <w:trPr>
          <w:trHeight w:val="167"/>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gridSpan w:val="2"/>
          </w:tcPr>
          <w:p>
            <w:pPr>
              <w:jc w:val="center"/>
              <w:ind w:right="1012"/>
              <w:spacing w:after="0"/>
              <w:rPr>
                <w:sz w:val="20"/>
                <w:szCs w:val="20"/>
                <w:color w:val="auto"/>
              </w:rPr>
            </w:pPr>
            <w:r>
              <w:rPr>
                <w:rFonts w:ascii="Arial" w:cs="Arial" w:eastAsia="Arial" w:hAnsi="Arial"/>
                <w:sz w:val="14"/>
                <w:szCs w:val="14"/>
                <w:b w:val="1"/>
                <w:bCs w:val="1"/>
                <w:color w:val="auto"/>
                <w:w w:val="91"/>
              </w:rPr>
              <w:t>Rockville, MD 20850</w:t>
            </w:r>
          </w:p>
        </w:tc>
        <w:tc>
          <w:tcPr>
            <w:tcW w:w="3280" w:type="dxa"/>
            <w:vAlign w:val="bottom"/>
          </w:tcPr>
          <w:p>
            <w:pPr>
              <w:spacing w:after="0"/>
              <w:rPr>
                <w:sz w:val="14"/>
                <w:szCs w:val="14"/>
                <w:color w:val="auto"/>
              </w:rPr>
            </w:pPr>
          </w:p>
        </w:tc>
      </w:tr>
      <w:tr>
        <w:trPr>
          <w:trHeight w:val="166"/>
        </w:trPr>
        <w:tc>
          <w:tcPr>
            <w:tcW w:w="3700" w:type="dxa"/>
            <w:vAlign w:val="bottom"/>
          </w:tcPr>
          <w:p>
            <w:pPr>
              <w:spacing w:after="0"/>
              <w:rPr>
                <w:sz w:val="14"/>
                <w:szCs w:val="14"/>
                <w:color w:val="auto"/>
              </w:rPr>
            </w:pPr>
          </w:p>
        </w:tc>
        <w:tc>
          <w:tcPr>
            <w:tcW w:w="32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89"/>
              </w:rPr>
              <w:t>(301) 251-5172</w:t>
            </w:r>
          </w:p>
        </w:tc>
        <w:tc>
          <w:tcPr>
            <w:tcW w:w="108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35"/>
        </w:trPr>
        <w:tc>
          <w:tcPr>
            <w:tcW w:w="11300" w:type="dxa"/>
            <w:vAlign w:val="bottom"/>
            <w:gridSpan w:val="5"/>
          </w:tcPr>
          <w:p>
            <w:pPr>
              <w:jc w:val="center"/>
              <w:ind w:left="101"/>
              <w:spacing w:after="0"/>
              <w:rPr>
                <w:sz w:val="20"/>
                <w:szCs w:val="20"/>
                <w:color w:val="auto"/>
              </w:rPr>
            </w:pPr>
            <w:r>
              <w:rPr>
                <w:rFonts w:ascii="Arial" w:cs="Arial" w:eastAsia="Arial" w:hAnsi="Arial"/>
                <w:sz w:val="10"/>
                <w:szCs w:val="10"/>
                <w:b w:val="1"/>
                <w:bCs w:val="1"/>
                <w:color w:val="auto"/>
                <w:w w:val="92"/>
              </w:rPr>
              <w:t>(Address, including zip code and telephone number, including area code, of registrant’s principal executive offices)</w:t>
            </w:r>
          </w:p>
        </w:tc>
      </w:tr>
      <w:tr>
        <w:trPr>
          <w:trHeight w:val="127"/>
        </w:trPr>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211"/>
        </w:trPr>
        <w:tc>
          <w:tcPr>
            <w:tcW w:w="3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gridSpan w:val="2"/>
          </w:tcPr>
          <w:p>
            <w:pPr>
              <w:jc w:val="center"/>
              <w:ind w:right="1012"/>
              <w:spacing w:after="0"/>
              <w:rPr>
                <w:sz w:val="20"/>
                <w:szCs w:val="20"/>
                <w:color w:val="auto"/>
              </w:rPr>
            </w:pPr>
            <w:r>
              <w:rPr>
                <w:rFonts w:ascii="Arial" w:cs="Arial" w:eastAsia="Arial" w:hAnsi="Arial"/>
                <w:sz w:val="14"/>
                <w:szCs w:val="14"/>
                <w:b w:val="1"/>
                <w:bCs w:val="1"/>
                <w:color w:val="auto"/>
                <w:w w:val="89"/>
              </w:rPr>
              <w:t>Scott Koenig, M.D., Ph.D.</w:t>
            </w:r>
          </w:p>
        </w:tc>
        <w:tc>
          <w:tcPr>
            <w:tcW w:w="3280" w:type="dxa"/>
            <w:vAlign w:val="bottom"/>
          </w:tcPr>
          <w:p>
            <w:pPr>
              <w:spacing w:after="0"/>
              <w:rPr>
                <w:sz w:val="18"/>
                <w:szCs w:val="18"/>
                <w:color w:val="auto"/>
              </w:rPr>
            </w:pPr>
          </w:p>
        </w:tc>
      </w:tr>
      <w:tr>
        <w:trPr>
          <w:trHeight w:val="167"/>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gridSpan w:val="2"/>
          </w:tcPr>
          <w:p>
            <w:pPr>
              <w:jc w:val="center"/>
              <w:ind w:right="992"/>
              <w:spacing w:after="0"/>
              <w:rPr>
                <w:sz w:val="20"/>
                <w:szCs w:val="20"/>
                <w:color w:val="auto"/>
              </w:rPr>
            </w:pPr>
            <w:r>
              <w:rPr>
                <w:rFonts w:ascii="Arial" w:cs="Arial" w:eastAsia="Arial" w:hAnsi="Arial"/>
                <w:sz w:val="14"/>
                <w:szCs w:val="14"/>
                <w:b w:val="1"/>
                <w:bCs w:val="1"/>
                <w:color w:val="auto"/>
                <w:w w:val="88"/>
              </w:rPr>
              <w:t>President and Chief Executive Officer</w:t>
            </w:r>
          </w:p>
        </w:tc>
        <w:tc>
          <w:tcPr>
            <w:tcW w:w="328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gridSpan w:val="2"/>
          </w:tcPr>
          <w:p>
            <w:pPr>
              <w:jc w:val="center"/>
              <w:ind w:right="992"/>
              <w:spacing w:after="0"/>
              <w:rPr>
                <w:sz w:val="20"/>
                <w:szCs w:val="20"/>
                <w:color w:val="auto"/>
              </w:rPr>
            </w:pPr>
            <w:r>
              <w:rPr>
                <w:rFonts w:ascii="Arial" w:cs="Arial" w:eastAsia="Arial" w:hAnsi="Arial"/>
                <w:sz w:val="14"/>
                <w:szCs w:val="14"/>
                <w:b w:val="1"/>
                <w:bCs w:val="1"/>
                <w:color w:val="auto"/>
                <w:w w:val="89"/>
              </w:rPr>
              <w:t>9640 Medical Center Drive</w:t>
            </w:r>
          </w:p>
        </w:tc>
        <w:tc>
          <w:tcPr>
            <w:tcW w:w="328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gridSpan w:val="2"/>
          </w:tcPr>
          <w:p>
            <w:pPr>
              <w:jc w:val="center"/>
              <w:ind w:right="1012"/>
              <w:spacing w:after="0"/>
              <w:rPr>
                <w:sz w:val="20"/>
                <w:szCs w:val="20"/>
                <w:color w:val="auto"/>
              </w:rPr>
            </w:pPr>
            <w:r>
              <w:rPr>
                <w:rFonts w:ascii="Arial" w:cs="Arial" w:eastAsia="Arial" w:hAnsi="Arial"/>
                <w:sz w:val="14"/>
                <w:szCs w:val="14"/>
                <w:b w:val="1"/>
                <w:bCs w:val="1"/>
                <w:color w:val="auto"/>
                <w:w w:val="91"/>
              </w:rPr>
              <w:t>Rockville, MD 20850</w:t>
            </w:r>
          </w:p>
        </w:tc>
        <w:tc>
          <w:tcPr>
            <w:tcW w:w="3280" w:type="dxa"/>
            <w:vAlign w:val="bottom"/>
          </w:tcPr>
          <w:p>
            <w:pPr>
              <w:spacing w:after="0"/>
              <w:rPr>
                <w:sz w:val="14"/>
                <w:szCs w:val="14"/>
                <w:color w:val="auto"/>
              </w:rPr>
            </w:pPr>
          </w:p>
        </w:tc>
      </w:tr>
      <w:tr>
        <w:trPr>
          <w:trHeight w:val="166"/>
        </w:trPr>
        <w:tc>
          <w:tcPr>
            <w:tcW w:w="3700" w:type="dxa"/>
            <w:vAlign w:val="bottom"/>
          </w:tcPr>
          <w:p>
            <w:pPr>
              <w:spacing w:after="0"/>
              <w:rPr>
                <w:sz w:val="14"/>
                <w:szCs w:val="14"/>
                <w:color w:val="auto"/>
              </w:rPr>
            </w:pPr>
          </w:p>
        </w:tc>
        <w:tc>
          <w:tcPr>
            <w:tcW w:w="32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89"/>
              </w:rPr>
              <w:t>(301) 251-5172</w:t>
            </w:r>
          </w:p>
        </w:tc>
        <w:tc>
          <w:tcPr>
            <w:tcW w:w="108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35"/>
        </w:trPr>
        <w:tc>
          <w:tcPr>
            <w:tcW w:w="8020" w:type="dxa"/>
            <w:vAlign w:val="bottom"/>
            <w:gridSpan w:val="4"/>
          </w:tcPr>
          <w:p>
            <w:pPr>
              <w:jc w:val="center"/>
              <w:ind w:left="3381"/>
              <w:spacing w:after="0"/>
              <w:rPr>
                <w:sz w:val="20"/>
                <w:szCs w:val="20"/>
                <w:color w:val="auto"/>
              </w:rPr>
            </w:pPr>
            <w:r>
              <w:rPr>
                <w:rFonts w:ascii="Arial" w:cs="Arial" w:eastAsia="Arial" w:hAnsi="Arial"/>
                <w:sz w:val="10"/>
                <w:szCs w:val="10"/>
                <w:b w:val="1"/>
                <w:bCs w:val="1"/>
                <w:color w:val="auto"/>
                <w:w w:val="92"/>
              </w:rPr>
              <w:t>(Name, address, including zip code, and telephone number, including area code, of agent for service)</w:t>
            </w:r>
          </w:p>
        </w:tc>
        <w:tc>
          <w:tcPr>
            <w:tcW w:w="3280" w:type="dxa"/>
            <w:vAlign w:val="bottom"/>
          </w:tcPr>
          <w:p>
            <w:pPr>
              <w:spacing w:after="0"/>
              <w:rPr>
                <w:sz w:val="11"/>
                <w:szCs w:val="11"/>
                <w:color w:val="auto"/>
              </w:rPr>
            </w:pPr>
          </w:p>
        </w:tc>
      </w:tr>
      <w:tr>
        <w:trPr>
          <w:trHeight w:val="116"/>
        </w:trPr>
        <w:tc>
          <w:tcPr>
            <w:tcW w:w="3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219"/>
        </w:trPr>
        <w:tc>
          <w:tcPr>
            <w:tcW w:w="3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0" w:type="dxa"/>
            <w:vAlign w:val="bottom"/>
            <w:gridSpan w:val="2"/>
          </w:tcPr>
          <w:p>
            <w:pPr>
              <w:jc w:val="center"/>
              <w:ind w:right="992"/>
              <w:spacing w:after="0"/>
              <w:rPr>
                <w:sz w:val="20"/>
                <w:szCs w:val="20"/>
                <w:color w:val="auto"/>
              </w:rPr>
            </w:pPr>
            <w:r>
              <w:rPr>
                <w:rFonts w:ascii="Arial" w:cs="Arial" w:eastAsia="Arial" w:hAnsi="Arial"/>
                <w:sz w:val="14"/>
                <w:szCs w:val="14"/>
                <w:b w:val="1"/>
                <w:bCs w:val="1"/>
                <w:i w:val="1"/>
                <w:iCs w:val="1"/>
                <w:color w:val="auto"/>
                <w:w w:val="81"/>
              </w:rPr>
              <w:t>Copies to:</w:t>
            </w:r>
          </w:p>
        </w:tc>
        <w:tc>
          <w:tcPr>
            <w:tcW w:w="3280" w:type="dxa"/>
            <w:vAlign w:val="bottom"/>
          </w:tcPr>
          <w:p>
            <w:pPr>
              <w:spacing w:after="0"/>
              <w:rPr>
                <w:sz w:val="19"/>
                <w:szCs w:val="19"/>
                <w:color w:val="auto"/>
              </w:rPr>
            </w:pPr>
          </w:p>
        </w:tc>
      </w:tr>
      <w:tr>
        <w:trPr>
          <w:trHeight w:val="222"/>
        </w:trPr>
        <w:tc>
          <w:tcPr>
            <w:tcW w:w="3700" w:type="dxa"/>
            <w:vAlign w:val="bottom"/>
          </w:tcPr>
          <w:p>
            <w:pPr>
              <w:jc w:val="center"/>
              <w:ind w:left="1981"/>
              <w:spacing w:after="0"/>
              <w:rPr>
                <w:sz w:val="20"/>
                <w:szCs w:val="20"/>
                <w:color w:val="auto"/>
              </w:rPr>
            </w:pPr>
            <w:r>
              <w:rPr>
                <w:rFonts w:ascii="Arial" w:cs="Arial" w:eastAsia="Arial" w:hAnsi="Arial"/>
                <w:sz w:val="14"/>
                <w:szCs w:val="14"/>
                <w:b w:val="1"/>
                <w:bCs w:val="1"/>
                <w:color w:val="auto"/>
                <w:w w:val="91"/>
              </w:rPr>
              <w:t>Richard E. Baltz</w:t>
            </w:r>
          </w:p>
        </w:tc>
        <w:tc>
          <w:tcPr>
            <w:tcW w:w="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80" w:type="dxa"/>
            <w:vAlign w:val="bottom"/>
          </w:tcPr>
          <w:p>
            <w:pPr>
              <w:jc w:val="center"/>
              <w:ind w:right="1816"/>
              <w:spacing w:after="0"/>
              <w:rPr>
                <w:sz w:val="20"/>
                <w:szCs w:val="20"/>
                <w:color w:val="auto"/>
              </w:rPr>
            </w:pPr>
            <w:r>
              <w:rPr>
                <w:rFonts w:ascii="Arial" w:cs="Arial" w:eastAsia="Arial" w:hAnsi="Arial"/>
                <w:sz w:val="14"/>
                <w:szCs w:val="14"/>
                <w:b w:val="1"/>
                <w:bCs w:val="1"/>
                <w:color w:val="auto"/>
                <w:w w:val="86"/>
              </w:rPr>
              <w:t>Steven D. Singer</w:t>
            </w:r>
          </w:p>
        </w:tc>
      </w:tr>
      <w:tr>
        <w:trPr>
          <w:trHeight w:val="167"/>
        </w:trPr>
        <w:tc>
          <w:tcPr>
            <w:tcW w:w="3700" w:type="dxa"/>
            <w:vAlign w:val="bottom"/>
          </w:tcPr>
          <w:p>
            <w:pPr>
              <w:jc w:val="center"/>
              <w:ind w:left="1981"/>
              <w:spacing w:after="0"/>
              <w:rPr>
                <w:sz w:val="20"/>
                <w:szCs w:val="20"/>
                <w:color w:val="auto"/>
              </w:rPr>
            </w:pPr>
            <w:r>
              <w:rPr>
                <w:rFonts w:ascii="Arial" w:cs="Arial" w:eastAsia="Arial" w:hAnsi="Arial"/>
                <w:sz w:val="14"/>
                <w:szCs w:val="14"/>
                <w:b w:val="1"/>
                <w:bCs w:val="1"/>
                <w:color w:val="auto"/>
                <w:w w:val="93"/>
              </w:rPr>
              <w:t>Arnold &amp; Porter LLP</w:t>
            </w: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80" w:type="dxa"/>
            <w:vAlign w:val="bottom"/>
          </w:tcPr>
          <w:p>
            <w:pPr>
              <w:jc w:val="center"/>
              <w:ind w:right="1816"/>
              <w:spacing w:after="0"/>
              <w:rPr>
                <w:sz w:val="20"/>
                <w:szCs w:val="20"/>
                <w:color w:val="auto"/>
              </w:rPr>
            </w:pPr>
            <w:r>
              <w:rPr>
                <w:rFonts w:ascii="Arial" w:cs="Arial" w:eastAsia="Arial" w:hAnsi="Arial"/>
                <w:sz w:val="14"/>
                <w:szCs w:val="14"/>
                <w:b w:val="1"/>
                <w:bCs w:val="1"/>
                <w:color w:val="auto"/>
                <w:w w:val="88"/>
              </w:rPr>
              <w:t>Lisa Firenze</w:t>
            </w:r>
          </w:p>
        </w:tc>
      </w:tr>
      <w:tr>
        <w:trPr>
          <w:trHeight w:val="167"/>
        </w:trPr>
        <w:tc>
          <w:tcPr>
            <w:tcW w:w="3700" w:type="dxa"/>
            <w:vAlign w:val="bottom"/>
          </w:tcPr>
          <w:p>
            <w:pPr>
              <w:jc w:val="center"/>
              <w:ind w:left="1981"/>
              <w:spacing w:after="0"/>
              <w:rPr>
                <w:sz w:val="20"/>
                <w:szCs w:val="20"/>
                <w:color w:val="auto"/>
              </w:rPr>
            </w:pPr>
            <w:r>
              <w:rPr>
                <w:rFonts w:ascii="Arial" w:cs="Arial" w:eastAsia="Arial" w:hAnsi="Arial"/>
                <w:sz w:val="14"/>
                <w:szCs w:val="14"/>
                <w:b w:val="1"/>
                <w:bCs w:val="1"/>
                <w:color w:val="auto"/>
                <w:w w:val="90"/>
              </w:rPr>
              <w:t>555 12</w:t>
            </w:r>
            <w:r>
              <w:rPr>
                <w:rFonts w:ascii="Arial" w:cs="Arial" w:eastAsia="Arial" w:hAnsi="Arial"/>
                <w:sz w:val="8"/>
                <w:szCs w:val="8"/>
                <w:b w:val="1"/>
                <w:bCs w:val="1"/>
                <w:color w:val="auto"/>
                <w:w w:val="90"/>
              </w:rPr>
              <w:t>th</w:t>
            </w:r>
            <w:r>
              <w:rPr>
                <w:rFonts w:ascii="Arial" w:cs="Arial" w:eastAsia="Arial" w:hAnsi="Arial"/>
                <w:sz w:val="14"/>
                <w:szCs w:val="14"/>
                <w:b w:val="1"/>
                <w:bCs w:val="1"/>
                <w:color w:val="auto"/>
                <w:w w:val="90"/>
              </w:rPr>
              <w:t xml:space="preserve"> Street NW</w:t>
            </w: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360" w:type="dxa"/>
            <w:vAlign w:val="bottom"/>
            <w:gridSpan w:val="2"/>
          </w:tcPr>
          <w:p>
            <w:pPr>
              <w:jc w:val="center"/>
              <w:ind w:right="756"/>
              <w:spacing w:after="0"/>
              <w:rPr>
                <w:sz w:val="20"/>
                <w:szCs w:val="20"/>
                <w:color w:val="auto"/>
              </w:rPr>
            </w:pPr>
            <w:r>
              <w:rPr>
                <w:rFonts w:ascii="Arial" w:cs="Arial" w:eastAsia="Arial" w:hAnsi="Arial"/>
                <w:sz w:val="14"/>
                <w:szCs w:val="14"/>
                <w:b w:val="1"/>
                <w:bCs w:val="1"/>
                <w:color w:val="auto"/>
                <w:w w:val="92"/>
              </w:rPr>
              <w:t>Wilmer Cutler Pickering Hale and Dorr LLP</w:t>
            </w:r>
          </w:p>
        </w:tc>
      </w:tr>
      <w:tr>
        <w:trPr>
          <w:trHeight w:val="167"/>
        </w:trPr>
        <w:tc>
          <w:tcPr>
            <w:tcW w:w="3700" w:type="dxa"/>
            <w:vAlign w:val="bottom"/>
          </w:tcPr>
          <w:p>
            <w:pPr>
              <w:jc w:val="center"/>
              <w:ind w:left="1981"/>
              <w:spacing w:after="0"/>
              <w:rPr>
                <w:sz w:val="20"/>
                <w:szCs w:val="20"/>
                <w:color w:val="auto"/>
              </w:rPr>
            </w:pPr>
            <w:r>
              <w:rPr>
                <w:rFonts w:ascii="Arial" w:cs="Arial" w:eastAsia="Arial" w:hAnsi="Arial"/>
                <w:sz w:val="14"/>
                <w:szCs w:val="14"/>
                <w:b w:val="1"/>
                <w:bCs w:val="1"/>
                <w:color w:val="auto"/>
                <w:w w:val="88"/>
              </w:rPr>
              <w:t>Washington, DC 20004-1206</w:t>
            </w: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80" w:type="dxa"/>
            <w:vAlign w:val="bottom"/>
          </w:tcPr>
          <w:p>
            <w:pPr>
              <w:jc w:val="center"/>
              <w:ind w:right="1836"/>
              <w:spacing w:after="0"/>
              <w:rPr>
                <w:sz w:val="20"/>
                <w:szCs w:val="20"/>
                <w:color w:val="auto"/>
              </w:rPr>
            </w:pPr>
            <w:r>
              <w:rPr>
                <w:rFonts w:ascii="Arial" w:cs="Arial" w:eastAsia="Arial" w:hAnsi="Arial"/>
                <w:sz w:val="14"/>
                <w:szCs w:val="14"/>
                <w:b w:val="1"/>
                <w:bCs w:val="1"/>
                <w:color w:val="auto"/>
                <w:w w:val="91"/>
              </w:rPr>
              <w:t>7 World Trade Center</w:t>
            </w:r>
          </w:p>
        </w:tc>
      </w:tr>
      <w:tr>
        <w:trPr>
          <w:trHeight w:val="167"/>
        </w:trPr>
        <w:tc>
          <w:tcPr>
            <w:tcW w:w="3700" w:type="dxa"/>
            <w:vAlign w:val="bottom"/>
          </w:tcPr>
          <w:p>
            <w:pPr>
              <w:jc w:val="center"/>
              <w:ind w:left="1981"/>
              <w:spacing w:after="0"/>
              <w:rPr>
                <w:sz w:val="20"/>
                <w:szCs w:val="20"/>
                <w:color w:val="auto"/>
              </w:rPr>
            </w:pPr>
            <w:r>
              <w:rPr>
                <w:rFonts w:ascii="Arial" w:cs="Arial" w:eastAsia="Arial" w:hAnsi="Arial"/>
                <w:sz w:val="14"/>
                <w:szCs w:val="14"/>
                <w:b w:val="1"/>
                <w:bCs w:val="1"/>
                <w:color w:val="auto"/>
                <w:w w:val="89"/>
              </w:rPr>
              <w:t>(202) 942-5000</w:t>
            </w: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80" w:type="dxa"/>
            <w:vAlign w:val="bottom"/>
          </w:tcPr>
          <w:p>
            <w:pPr>
              <w:jc w:val="center"/>
              <w:ind w:right="1836"/>
              <w:spacing w:after="0"/>
              <w:rPr>
                <w:sz w:val="20"/>
                <w:szCs w:val="20"/>
                <w:color w:val="auto"/>
              </w:rPr>
            </w:pPr>
            <w:r>
              <w:rPr>
                <w:rFonts w:ascii="Arial" w:cs="Arial" w:eastAsia="Arial" w:hAnsi="Arial"/>
                <w:sz w:val="14"/>
                <w:szCs w:val="14"/>
                <w:b w:val="1"/>
                <w:bCs w:val="1"/>
                <w:color w:val="auto"/>
                <w:w w:val="91"/>
              </w:rPr>
              <w:t>New York, NY 10007</w:t>
            </w:r>
          </w:p>
        </w:tc>
      </w:tr>
      <w:tr>
        <w:trPr>
          <w:trHeight w:val="175"/>
        </w:trPr>
        <w:tc>
          <w:tcPr>
            <w:tcW w:w="3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80" w:type="dxa"/>
            <w:vAlign w:val="bottom"/>
          </w:tcPr>
          <w:p>
            <w:pPr>
              <w:jc w:val="center"/>
              <w:ind w:right="1836"/>
              <w:spacing w:after="0"/>
              <w:rPr>
                <w:sz w:val="20"/>
                <w:szCs w:val="20"/>
                <w:color w:val="auto"/>
              </w:rPr>
            </w:pPr>
            <w:r>
              <w:rPr>
                <w:rFonts w:ascii="Arial" w:cs="Arial" w:eastAsia="Arial" w:hAnsi="Arial"/>
                <w:sz w:val="14"/>
                <w:szCs w:val="14"/>
                <w:b w:val="1"/>
                <w:bCs w:val="1"/>
                <w:color w:val="auto"/>
                <w:w w:val="89"/>
              </w:rPr>
              <w:t>(212) 230-8000</w:t>
            </w:r>
          </w:p>
        </w:tc>
      </w:tr>
      <w:tr>
        <w:trPr>
          <w:trHeight w:val="127"/>
        </w:trPr>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92"/>
        </w:trPr>
        <w:tc>
          <w:tcPr>
            <w:tcW w:w="3700" w:type="dxa"/>
            <w:vAlign w:val="bottom"/>
          </w:tcPr>
          <w:p>
            <w:pPr>
              <w:spacing w:after="0"/>
              <w:rPr>
                <w:sz w:val="16"/>
                <w:szCs w:val="16"/>
                <w:color w:val="auto"/>
              </w:rPr>
            </w:pPr>
          </w:p>
        </w:tc>
        <w:tc>
          <w:tcPr>
            <w:tcW w:w="432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3280" w:type="dxa"/>
            <w:vAlign w:val="bottom"/>
          </w:tcPr>
          <w:p>
            <w:pPr>
              <w:spacing w:after="0"/>
              <w:rPr>
                <w:sz w:val="16"/>
                <w:szCs w:val="16"/>
                <w:color w:val="auto"/>
              </w:rPr>
            </w:pPr>
          </w:p>
        </w:tc>
      </w:tr>
      <w:tr>
        <w:trPr>
          <w:trHeight w:val="173"/>
        </w:trPr>
        <w:tc>
          <w:tcPr>
            <w:tcW w:w="3700" w:type="dxa"/>
            <w:vAlign w:val="bottom"/>
          </w:tcPr>
          <w:p>
            <w:pPr>
              <w:spacing w:after="0"/>
              <w:rPr>
                <w:sz w:val="15"/>
                <w:szCs w:val="15"/>
                <w:color w:val="auto"/>
              </w:rPr>
            </w:pPr>
          </w:p>
        </w:tc>
        <w:tc>
          <w:tcPr>
            <w:tcW w:w="4320" w:type="dxa"/>
            <w:vAlign w:val="bottom"/>
            <w:gridSpan w:val="3"/>
          </w:tcPr>
          <w:p>
            <w:pPr>
              <w:jc w:val="center"/>
              <w:ind w:right="192"/>
              <w:spacing w:after="0"/>
              <w:rPr>
                <w:sz w:val="20"/>
                <w:szCs w:val="20"/>
                <w:color w:val="auto"/>
              </w:rPr>
            </w:pPr>
            <w:r>
              <w:rPr>
                <w:rFonts w:ascii="Arial" w:cs="Arial" w:eastAsia="Arial" w:hAnsi="Arial"/>
                <w:sz w:val="14"/>
                <w:szCs w:val="14"/>
                <w:color w:val="auto"/>
                <w:w w:val="87"/>
              </w:rPr>
              <w:t>As soon as practicable after this Registration Statement becomes effective.</w:t>
            </w:r>
          </w:p>
        </w:tc>
        <w:tc>
          <w:tcPr>
            <w:tcW w:w="3280" w:type="dxa"/>
            <w:vAlign w:val="bottom"/>
          </w:tcPr>
          <w:p>
            <w:pPr>
              <w:spacing w:after="0"/>
              <w:rPr>
                <w:sz w:val="15"/>
                <w:szCs w:val="15"/>
                <w:color w:val="auto"/>
              </w:rPr>
            </w:pPr>
          </w:p>
        </w:tc>
      </w:tr>
      <w:tr>
        <w:trPr>
          <w:trHeight w:val="127"/>
        </w:trPr>
        <w:tc>
          <w:tcPr>
            <w:tcW w:w="4520" w:type="dxa"/>
            <w:vAlign w:val="bottom"/>
            <w:gridSpan w:val="2"/>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4360" w:type="dxa"/>
            <w:vAlign w:val="bottom"/>
            <w:gridSpan w:val="2"/>
          </w:tcPr>
          <w:p>
            <w:pPr>
              <w:spacing w:after="0"/>
              <w:rPr>
                <w:sz w:val="11"/>
                <w:szCs w:val="11"/>
                <w:color w:val="auto"/>
              </w:rPr>
            </w:pPr>
          </w:p>
        </w:tc>
      </w:tr>
      <w:tr>
        <w:trPr>
          <w:trHeight w:val="168"/>
        </w:trPr>
        <w:tc>
          <w:tcPr>
            <w:tcW w:w="11300" w:type="dxa"/>
            <w:vAlign w:val="bottom"/>
            <w:gridSpan w:val="5"/>
          </w:tcPr>
          <w:p>
            <w:pPr>
              <w:ind w:left="340"/>
              <w:spacing w:after="0" w:line="115"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tc>
      </w:tr>
      <w:tr>
        <w:trPr>
          <w:trHeight w:val="115"/>
        </w:trPr>
        <w:tc>
          <w:tcPr>
            <w:tcW w:w="11300" w:type="dxa"/>
            <w:vAlign w:val="bottom"/>
            <w:gridSpan w:val="5"/>
          </w:tcPr>
          <w:p>
            <w:pPr>
              <w:ind w:left="340"/>
              <w:spacing w:after="0"/>
              <w:rPr>
                <w:sz w:val="20"/>
                <w:szCs w:val="20"/>
                <w:color w:val="auto"/>
              </w:rPr>
            </w:pPr>
            <w:r>
              <w:rPr>
                <w:rFonts w:ascii="Arial" w:cs="Arial" w:eastAsia="Arial" w:hAnsi="Arial"/>
                <w:sz w:val="10"/>
                <w:szCs w:val="10"/>
                <w:color w:val="auto"/>
                <w:w w:val="95"/>
              </w:rPr>
              <w:t>If this Form is filed to register additional securities for an offering pursuant to Rule 462(b) under the Securities Act, please check the following box and list the Securities Act registration statement number of the earlier effective registration statement for the same</w:t>
            </w:r>
          </w:p>
        </w:tc>
      </w:tr>
      <w:tr>
        <w:trPr>
          <w:trHeight w:val="151"/>
        </w:trPr>
        <w:tc>
          <w:tcPr>
            <w:tcW w:w="3700" w:type="dxa"/>
            <w:vAlign w:val="bottom"/>
          </w:tcPr>
          <w:p>
            <w:pPr>
              <w:spacing w:after="0" w:line="115" w:lineRule="exact"/>
              <w:rPr>
                <w:sz w:val="20"/>
                <w:szCs w:val="20"/>
                <w:color w:val="auto"/>
              </w:rPr>
            </w:pPr>
            <w:r>
              <w:rPr>
                <w:rFonts w:ascii="Arial" w:cs="Arial" w:eastAsia="Arial" w:hAnsi="Arial"/>
                <w:sz w:val="10"/>
                <w:szCs w:val="10"/>
                <w:color w:val="auto"/>
              </w:rPr>
              <w:t xml:space="preserve">offering. </w:t>
            </w:r>
            <w:r>
              <w:rPr>
                <w:rFonts w:ascii="MS PGothic" w:cs="MS PGothic" w:eastAsia="MS PGothic" w:hAnsi="MS PGothic"/>
                <w:sz w:val="10"/>
                <w:szCs w:val="10"/>
                <w:color w:val="auto"/>
              </w:rPr>
              <w:t>☐</w:t>
            </w:r>
          </w:p>
        </w:tc>
        <w:tc>
          <w:tcPr>
            <w:tcW w:w="8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63"/>
        </w:trPr>
        <w:tc>
          <w:tcPr>
            <w:tcW w:w="11300" w:type="dxa"/>
            <w:vAlign w:val="bottom"/>
            <w:gridSpan w:val="5"/>
          </w:tcPr>
          <w:p>
            <w:pPr>
              <w:ind w:left="34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tc>
      </w:tr>
    </w:tbl>
    <w:p>
      <w:pPr>
        <w:ind w:left="34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55" w:lineRule="exact"/>
        <w:rPr>
          <w:sz w:val="24"/>
          <w:szCs w:val="24"/>
          <w:color w:val="auto"/>
        </w:rPr>
      </w:pPr>
    </w:p>
    <w:p>
      <w:pPr>
        <w:ind w:left="34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1340" w:type="dxa"/>
            <w:vAlign w:val="bottom"/>
          </w:tcPr>
          <w:p>
            <w:pPr>
              <w:spacing w:after="0"/>
              <w:rPr>
                <w:sz w:val="20"/>
                <w:szCs w:val="20"/>
                <w:color w:val="auto"/>
              </w:rPr>
            </w:pPr>
            <w:r>
              <w:rPr>
                <w:rFonts w:ascii="Arial" w:cs="Arial" w:eastAsia="Arial" w:hAnsi="Arial"/>
                <w:sz w:val="10"/>
                <w:szCs w:val="10"/>
                <w:color w:val="auto"/>
              </w:rPr>
              <w:t>the Exchange Act.</w:t>
            </w:r>
          </w:p>
        </w:tc>
        <w:tc>
          <w:tcPr>
            <w:tcW w:w="51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1340" w:type="dxa"/>
            <w:vAlign w:val="bottom"/>
          </w:tcPr>
          <w:p>
            <w:pPr>
              <w:ind w:left="340"/>
              <w:spacing w:after="0"/>
              <w:rPr>
                <w:sz w:val="20"/>
                <w:szCs w:val="20"/>
                <w:color w:val="auto"/>
              </w:rPr>
            </w:pPr>
            <w:r>
              <w:rPr>
                <w:rFonts w:ascii="Arial" w:cs="Arial" w:eastAsia="Arial" w:hAnsi="Arial"/>
                <w:sz w:val="10"/>
                <w:szCs w:val="10"/>
                <w:color w:val="auto"/>
              </w:rPr>
              <w:t>(Check one):</w:t>
            </w:r>
          </w:p>
        </w:tc>
        <w:tc>
          <w:tcPr>
            <w:tcW w:w="5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9"/>
        </w:trPr>
        <w:tc>
          <w:tcPr>
            <w:tcW w:w="134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5160" w:type="dxa"/>
            <w:vAlign w:val="bottom"/>
          </w:tcPr>
          <w:p>
            <w:pPr>
              <w:ind w:left="380"/>
              <w:spacing w:after="0" w:line="101" w:lineRule="exact"/>
              <w:rPr>
                <w:sz w:val="20"/>
                <w:szCs w:val="20"/>
                <w:color w:val="auto"/>
              </w:rPr>
            </w:pPr>
            <w:r>
              <w:rPr>
                <w:rFonts w:ascii="MS PGothic" w:cs="MS PGothic" w:eastAsia="MS PGothic" w:hAnsi="MS PGothic"/>
                <w:sz w:val="10"/>
                <w:szCs w:val="10"/>
                <w:color w:val="auto"/>
              </w:rPr>
              <w:t>☐</w:t>
            </w:r>
          </w:p>
        </w:tc>
        <w:tc>
          <w:tcPr>
            <w:tcW w:w="4340" w:type="dxa"/>
            <w:vAlign w:val="bottom"/>
          </w:tcPr>
          <w:p>
            <w:pPr>
              <w:ind w:left="2680"/>
              <w:spacing w:after="0"/>
              <w:rPr>
                <w:sz w:val="20"/>
                <w:szCs w:val="20"/>
                <w:color w:val="auto"/>
              </w:rPr>
            </w:pPr>
            <w:r>
              <w:rPr>
                <w:rFonts w:ascii="Arial" w:cs="Arial" w:eastAsia="Arial" w:hAnsi="Arial"/>
                <w:sz w:val="10"/>
                <w:szCs w:val="10"/>
                <w:color w:val="auto"/>
              </w:rPr>
              <w:t>Accelerated filer</w:t>
            </w:r>
          </w:p>
        </w:tc>
        <w:tc>
          <w:tcPr>
            <w:tcW w:w="620" w:type="dxa"/>
            <w:vAlign w:val="bottom"/>
          </w:tcPr>
          <w:p>
            <w:pPr>
              <w:ind w:left="5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7"/>
        </w:trPr>
        <w:tc>
          <w:tcPr>
            <w:tcW w:w="1340" w:type="dxa"/>
            <w:vAlign w:val="bottom"/>
          </w:tcPr>
          <w:p>
            <w:pPr>
              <w:spacing w:after="0"/>
              <w:rPr>
                <w:sz w:val="20"/>
                <w:szCs w:val="20"/>
                <w:color w:val="auto"/>
              </w:rPr>
            </w:pPr>
            <w:r>
              <w:rPr>
                <w:rFonts w:ascii="Arial" w:cs="Arial" w:eastAsia="Arial" w:hAnsi="Arial"/>
                <w:sz w:val="10"/>
                <w:szCs w:val="10"/>
                <w:color w:val="auto"/>
              </w:rPr>
              <w:t>Non-accelerated filer</w:t>
            </w:r>
          </w:p>
        </w:tc>
        <w:tc>
          <w:tcPr>
            <w:tcW w:w="5160" w:type="dxa"/>
            <w:vAlign w:val="bottom"/>
          </w:tcPr>
          <w:p>
            <w:pPr>
              <w:ind w:left="380"/>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(Do not check if a smaller reporting company)</w:t>
            </w:r>
          </w:p>
        </w:tc>
        <w:tc>
          <w:tcPr>
            <w:tcW w:w="4340" w:type="dxa"/>
            <w:vAlign w:val="bottom"/>
          </w:tcPr>
          <w:p>
            <w:pPr>
              <w:ind w:left="2680"/>
              <w:spacing w:after="0"/>
              <w:rPr>
                <w:sz w:val="20"/>
                <w:szCs w:val="20"/>
                <w:color w:val="auto"/>
              </w:rPr>
            </w:pPr>
            <w:r>
              <w:rPr>
                <w:rFonts w:ascii="Arial" w:cs="Arial" w:eastAsia="Arial" w:hAnsi="Arial"/>
                <w:sz w:val="10"/>
                <w:szCs w:val="10"/>
                <w:color w:val="auto"/>
              </w:rPr>
              <w:t>Smaller reporting company</w:t>
            </w:r>
          </w:p>
        </w:tc>
        <w:tc>
          <w:tcPr>
            <w:tcW w:w="620" w:type="dxa"/>
            <w:vAlign w:val="bottom"/>
          </w:tcPr>
          <w:p>
            <w:pPr>
              <w:ind w:left="52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59690</wp:posOffset>
            </wp:positionV>
            <wp:extent cx="15322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2255" cy="635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60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r>
      <w:tr>
        <w:trPr>
          <w:trHeight w:val="75"/>
        </w:trPr>
        <w:tc>
          <w:tcPr>
            <w:tcW w:w="760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jc w:val="center"/>
              <w:ind w:left="10"/>
              <w:spacing w:after="0" w:line="76" w:lineRule="exact"/>
              <w:rPr>
                <w:sz w:val="20"/>
                <w:szCs w:val="20"/>
                <w:color w:val="auto"/>
              </w:rPr>
            </w:pPr>
            <w:r>
              <w:rPr>
                <w:rFonts w:ascii="Arial" w:cs="Arial" w:eastAsia="Arial" w:hAnsi="Arial"/>
                <w:sz w:val="8"/>
                <w:szCs w:val="8"/>
                <w:b w:val="1"/>
                <w:bCs w:val="1"/>
                <w:color w:val="auto"/>
              </w:rPr>
              <w:t>Proposed maximum</w:t>
            </w:r>
          </w:p>
        </w:tc>
        <w:tc>
          <w:tcPr>
            <w:tcW w:w="1900" w:type="dxa"/>
            <w:vAlign w:val="bottom"/>
          </w:tcPr>
          <w:p>
            <w:pPr>
              <w:spacing w:after="0"/>
              <w:rPr>
                <w:sz w:val="6"/>
                <w:szCs w:val="6"/>
                <w:color w:val="auto"/>
              </w:rPr>
            </w:pPr>
          </w:p>
        </w:tc>
      </w:tr>
      <w:tr>
        <w:trPr>
          <w:trHeight w:val="116"/>
        </w:trPr>
        <w:tc>
          <w:tcPr>
            <w:tcW w:w="76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Title of each class of</w:t>
            </w:r>
          </w:p>
        </w:tc>
        <w:tc>
          <w:tcPr>
            <w:tcW w:w="1960" w:type="dxa"/>
            <w:vAlign w:val="bottom"/>
            <w:tcBorders>
              <w:right w:val="single" w:sz="8" w:color="auto"/>
            </w:tcBorders>
          </w:tcPr>
          <w:p>
            <w:pPr>
              <w:jc w:val="center"/>
              <w:ind w:left="10"/>
              <w:spacing w:after="0"/>
              <w:rPr>
                <w:sz w:val="20"/>
                <w:szCs w:val="20"/>
                <w:color w:val="auto"/>
              </w:rPr>
            </w:pPr>
            <w:r>
              <w:rPr>
                <w:rFonts w:ascii="Arial" w:cs="Arial" w:eastAsia="Arial" w:hAnsi="Arial"/>
                <w:sz w:val="10"/>
                <w:szCs w:val="10"/>
                <w:b w:val="1"/>
                <w:bCs w:val="1"/>
                <w:color w:val="auto"/>
                <w:w w:val="93"/>
              </w:rPr>
              <w:t>aggregate offering</w:t>
            </w:r>
          </w:p>
        </w:tc>
        <w:tc>
          <w:tcPr>
            <w:tcW w:w="1900" w:type="dxa"/>
            <w:vAlign w:val="bottom"/>
          </w:tcPr>
          <w:p>
            <w:pPr>
              <w:jc w:val="center"/>
              <w:ind w:left="28"/>
              <w:spacing w:after="0"/>
              <w:rPr>
                <w:sz w:val="20"/>
                <w:szCs w:val="20"/>
                <w:color w:val="auto"/>
              </w:rPr>
            </w:pPr>
            <w:r>
              <w:rPr>
                <w:rFonts w:ascii="Arial" w:cs="Arial" w:eastAsia="Arial" w:hAnsi="Arial"/>
                <w:sz w:val="10"/>
                <w:szCs w:val="10"/>
                <w:b w:val="1"/>
                <w:bCs w:val="1"/>
                <w:color w:val="auto"/>
                <w:w w:val="91"/>
              </w:rPr>
              <w:t>Amount of</w:t>
            </w:r>
          </w:p>
        </w:tc>
      </w:tr>
      <w:tr>
        <w:trPr>
          <w:trHeight w:val="136"/>
        </w:trPr>
        <w:tc>
          <w:tcPr>
            <w:tcW w:w="7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securities to be registered</w:t>
            </w:r>
          </w:p>
        </w:tc>
        <w:tc>
          <w:tcPr>
            <w:tcW w:w="19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0"/>
                <w:szCs w:val="10"/>
                <w:b w:val="1"/>
                <w:bCs w:val="1"/>
                <w:color w:val="auto"/>
                <w:w w:val="93"/>
              </w:rPr>
              <w:t>price(1)</w:t>
            </w:r>
          </w:p>
        </w:tc>
        <w:tc>
          <w:tcPr>
            <w:tcW w:w="1900" w:type="dxa"/>
            <w:vAlign w:val="bottom"/>
            <w:tcBorders>
              <w:bottom w:val="single" w:sz="8" w:color="auto"/>
            </w:tcBorders>
          </w:tcPr>
          <w:p>
            <w:pPr>
              <w:jc w:val="center"/>
              <w:ind w:left="28"/>
              <w:spacing w:after="0"/>
              <w:rPr>
                <w:sz w:val="20"/>
                <w:szCs w:val="20"/>
                <w:color w:val="auto"/>
              </w:rPr>
            </w:pPr>
            <w:r>
              <w:rPr>
                <w:rFonts w:ascii="Arial" w:cs="Arial" w:eastAsia="Arial" w:hAnsi="Arial"/>
                <w:sz w:val="10"/>
                <w:szCs w:val="10"/>
                <w:b w:val="1"/>
                <w:bCs w:val="1"/>
                <w:color w:val="auto"/>
                <w:w w:val="94"/>
              </w:rPr>
              <w:t>Registration Fee(2)</w:t>
            </w:r>
          </w:p>
        </w:tc>
      </w:tr>
      <w:tr>
        <w:trPr>
          <w:trHeight w:val="105"/>
        </w:trPr>
        <w:tc>
          <w:tcPr>
            <w:tcW w:w="7600" w:type="dxa"/>
            <w:vAlign w:val="bottom"/>
            <w:tcBorders>
              <w:bottom w:val="single" w:sz="8" w:color="auto"/>
              <w:right w:val="single" w:sz="8" w:color="auto"/>
            </w:tcBorders>
          </w:tcPr>
          <w:p>
            <w:pPr>
              <w:spacing w:after="0" w:line="105" w:lineRule="exact"/>
              <w:rPr>
                <w:sz w:val="20"/>
                <w:szCs w:val="20"/>
                <w:color w:val="auto"/>
              </w:rPr>
            </w:pPr>
            <w:r>
              <w:rPr>
                <w:rFonts w:ascii="Arial" w:cs="Arial" w:eastAsia="Arial" w:hAnsi="Arial"/>
                <w:sz w:val="10"/>
                <w:szCs w:val="10"/>
                <w:color w:val="auto"/>
              </w:rPr>
              <w:t>Common Stock, $0.01 par value per share</w:t>
            </w:r>
          </w:p>
        </w:tc>
        <w:tc>
          <w:tcPr>
            <w:tcW w:w="1960" w:type="dxa"/>
            <w:vAlign w:val="bottom"/>
            <w:tcBorders>
              <w:bottom w:val="single" w:sz="8" w:color="auto"/>
              <w:right w:val="single" w:sz="8" w:color="auto"/>
            </w:tcBorders>
          </w:tcPr>
          <w:p>
            <w:pPr>
              <w:jc w:val="right"/>
              <w:ind w:right="630"/>
              <w:spacing w:after="0" w:line="105" w:lineRule="exact"/>
              <w:rPr>
                <w:sz w:val="20"/>
                <w:szCs w:val="20"/>
                <w:color w:val="auto"/>
              </w:rPr>
            </w:pPr>
            <w:r>
              <w:rPr>
                <w:rFonts w:ascii="Arial" w:cs="Arial" w:eastAsia="Arial" w:hAnsi="Arial"/>
                <w:sz w:val="10"/>
                <w:szCs w:val="10"/>
                <w:color w:val="auto"/>
              </w:rPr>
              <w:t>$60,000,000</w:t>
            </w:r>
          </w:p>
        </w:tc>
        <w:tc>
          <w:tcPr>
            <w:tcW w:w="1900" w:type="dxa"/>
            <w:vAlign w:val="bottom"/>
            <w:tcBorders>
              <w:bottom w:val="single" w:sz="8" w:color="auto"/>
            </w:tcBorders>
          </w:tcPr>
          <w:p>
            <w:pPr>
              <w:jc w:val="center"/>
              <w:ind w:left="28"/>
              <w:spacing w:after="0" w:line="105" w:lineRule="exact"/>
              <w:rPr>
                <w:sz w:val="20"/>
                <w:szCs w:val="20"/>
                <w:color w:val="auto"/>
              </w:rPr>
            </w:pPr>
            <w:r>
              <w:rPr>
                <w:rFonts w:ascii="Arial" w:cs="Arial" w:eastAsia="Arial" w:hAnsi="Arial"/>
                <w:sz w:val="10"/>
                <w:szCs w:val="10"/>
                <w:color w:val="auto"/>
                <w:w w:val="97"/>
              </w:rPr>
              <w:t>$8,184</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hanging="336"/>
        <w:spacing w:after="0"/>
        <w:tabs>
          <w:tab w:leader="none" w:pos="34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computing the registration fee pursuant to Rule 457(o) under the Securities Act of 1933, as amended.</w:t>
      </w:r>
    </w:p>
    <w:p>
      <w:pPr>
        <w:spacing w:after="0" w:line="7" w:lineRule="exact"/>
        <w:rPr>
          <w:rFonts w:ascii="Arial" w:cs="Arial" w:eastAsia="Arial" w:hAnsi="Arial"/>
          <w:sz w:val="10"/>
          <w:szCs w:val="10"/>
          <w:color w:val="auto"/>
        </w:rPr>
      </w:pPr>
    </w:p>
    <w:p>
      <w:pPr>
        <w:ind w:left="340" w:hanging="336"/>
        <w:spacing w:after="0"/>
        <w:tabs>
          <w:tab w:leader="none" w:pos="34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72390</wp:posOffset>
            </wp:positionV>
            <wp:extent cx="15322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2255" cy="6350"/>
                    </a:xfrm>
                    <a:prstGeom prst="rect">
                      <a:avLst/>
                    </a:prstGeom>
                    <a:noFill/>
                  </pic:spPr>
                </pic:pic>
              </a:graphicData>
            </a:graphic>
          </wp:anchor>
        </w:drawing>
      </w:r>
    </w:p>
    <w:p>
      <w:pPr>
        <w:spacing w:after="0" w:line="135" w:lineRule="exact"/>
        <w:rPr>
          <w:sz w:val="24"/>
          <w:szCs w:val="24"/>
          <w:color w:val="auto"/>
        </w:rPr>
      </w:pPr>
    </w:p>
    <w:p>
      <w:pPr>
        <w:ind w:right="300"/>
        <w:spacing w:after="0" w:line="339"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2777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7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27305</wp:posOffset>
            </wp:positionV>
            <wp:extent cx="727773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380"/>
        <w:spacing w:after="0" w:line="351" w:lineRule="auto"/>
        <w:rPr>
          <w:sz w:val="20"/>
          <w:szCs w:val="20"/>
          <w:color w:val="auto"/>
        </w:rPr>
      </w:pPr>
      <w:r>
        <w:rPr>
          <w:rFonts w:ascii="Arial" w:cs="Arial" w:eastAsia="Arial" w:hAnsi="Arial"/>
          <w:sz w:val="12"/>
          <w:szCs w:val="12"/>
          <w:color w:val="C21128"/>
        </w:rPr>
        <w:t>The information in this prospectus is not complete and may be changed. We cannot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C21128"/>
        </w:rPr>
        <w:t>Subject to completion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C21128"/>
        </w:rPr>
        <w:t>Preliminary Prospectus dated September 4, 2013</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PROSPECTUS</w:t>
      </w:r>
    </w:p>
    <w:p>
      <w:pPr>
        <w:spacing w:after="0" w:line="107" w:lineRule="exact"/>
        <w:rPr>
          <w:sz w:val="20"/>
          <w:szCs w:val="20"/>
          <w:color w:val="auto"/>
        </w:rPr>
      </w:pPr>
    </w:p>
    <w:p>
      <w:pPr>
        <w:ind w:left="57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56515</wp:posOffset>
            </wp:positionV>
            <wp:extent cx="1254125" cy="696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4125" cy="69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46"/>
        </w:trPr>
        <w:tc>
          <w:tcPr>
            <w:tcW w:w="2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80" w:type="dxa"/>
            <w:vAlign w:val="bottom"/>
            <w:gridSpan w:val="2"/>
          </w:tcPr>
          <w:p>
            <w:pPr>
              <w:ind w:left="480"/>
              <w:spacing w:after="0"/>
              <w:rPr>
                <w:sz w:val="20"/>
                <w:szCs w:val="20"/>
                <w:color w:val="auto"/>
              </w:rPr>
            </w:pPr>
            <w:r>
              <w:rPr>
                <w:rFonts w:ascii="Arial" w:cs="Arial" w:eastAsia="Arial" w:hAnsi="Arial"/>
                <w:sz w:val="19"/>
                <w:szCs w:val="19"/>
                <w:b w:val="1"/>
                <w:bCs w:val="1"/>
                <w:color w:val="auto"/>
              </w:rPr>
              <w:t>Common Stock</w:t>
            </w:r>
          </w:p>
        </w:tc>
      </w:tr>
      <w:tr>
        <w:trPr>
          <w:trHeight w:val="216"/>
        </w:trPr>
        <w:tc>
          <w:tcPr>
            <w:tcW w:w="3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4600" w:type="dxa"/>
            <w:vAlign w:val="bottom"/>
          </w:tcPr>
          <w:p>
            <w:pPr>
              <w:spacing w:after="0"/>
              <w:rPr>
                <w:sz w:val="18"/>
                <w:szCs w:val="18"/>
                <w:color w:val="auto"/>
              </w:rPr>
            </w:pPr>
          </w:p>
        </w:tc>
      </w:tr>
      <w:tr>
        <w:trPr>
          <w:trHeight w:val="281"/>
        </w:trPr>
        <w:tc>
          <w:tcPr>
            <w:tcW w:w="3620" w:type="dxa"/>
            <w:vAlign w:val="bottom"/>
            <w:gridSpan w:val="2"/>
          </w:tcPr>
          <w:p>
            <w:pPr>
              <w:spacing w:after="0"/>
              <w:rPr>
                <w:sz w:val="20"/>
                <w:szCs w:val="20"/>
                <w:color w:val="auto"/>
              </w:rPr>
            </w:pPr>
            <w:r>
              <w:rPr>
                <w:rFonts w:ascii="Arial" w:cs="Arial" w:eastAsia="Arial" w:hAnsi="Arial"/>
                <w:sz w:val="14"/>
                <w:szCs w:val="14"/>
                <w:color w:val="auto"/>
                <w:w w:val="92"/>
              </w:rPr>
              <w:t>This is MacroGenics, Inc.’s initial public offering. We are selling</w:t>
            </w:r>
          </w:p>
        </w:tc>
        <w:tc>
          <w:tcPr>
            <w:tcW w:w="220" w:type="dxa"/>
            <w:vAlign w:val="bottom"/>
          </w:tcPr>
          <w:p>
            <w:pPr>
              <w:spacing w:after="0"/>
              <w:rPr>
                <w:sz w:val="24"/>
                <w:szCs w:val="24"/>
                <w:color w:val="auto"/>
              </w:rPr>
            </w:pPr>
          </w:p>
        </w:tc>
        <w:tc>
          <w:tcPr>
            <w:tcW w:w="6780" w:type="dxa"/>
            <w:vAlign w:val="bottom"/>
            <w:gridSpan w:val="2"/>
          </w:tcPr>
          <w:p>
            <w:pPr>
              <w:ind w:left="180"/>
              <w:spacing w:after="0"/>
              <w:rPr>
                <w:sz w:val="20"/>
                <w:szCs w:val="20"/>
                <w:color w:val="auto"/>
              </w:rPr>
            </w:pPr>
            <w:r>
              <w:rPr>
                <w:rFonts w:ascii="Arial" w:cs="Arial" w:eastAsia="Arial" w:hAnsi="Arial"/>
                <w:sz w:val="14"/>
                <w:szCs w:val="14"/>
                <w:color w:val="auto"/>
              </w:rPr>
              <w:t>shares of our common stock.</w:t>
            </w:r>
          </w:p>
        </w:tc>
      </w:tr>
      <w:tr>
        <w:trPr>
          <w:trHeight w:val="293"/>
        </w:trPr>
        <w:tc>
          <w:tcPr>
            <w:tcW w:w="2960" w:type="dxa"/>
            <w:vAlign w:val="bottom"/>
          </w:tcPr>
          <w:p>
            <w:pPr>
              <w:spacing w:after="0"/>
              <w:rPr>
                <w:sz w:val="20"/>
                <w:szCs w:val="20"/>
                <w:color w:val="auto"/>
              </w:rPr>
            </w:pPr>
            <w:r>
              <w:rPr>
                <w:rFonts w:ascii="Arial" w:cs="Arial" w:eastAsia="Arial" w:hAnsi="Arial"/>
                <w:sz w:val="14"/>
                <w:szCs w:val="14"/>
                <w:color w:val="auto"/>
                <w:w w:val="92"/>
              </w:rPr>
              <w:t>We expect the public offering price to be between $</w:t>
            </w:r>
          </w:p>
        </w:tc>
        <w:tc>
          <w:tcPr>
            <w:tcW w:w="660" w:type="dxa"/>
            <w:vAlign w:val="bottom"/>
          </w:tcPr>
          <w:p>
            <w:pPr>
              <w:ind w:left="160"/>
              <w:spacing w:after="0"/>
              <w:rPr>
                <w:sz w:val="20"/>
                <w:szCs w:val="20"/>
                <w:color w:val="auto"/>
              </w:rPr>
            </w:pPr>
            <w:r>
              <w:rPr>
                <w:rFonts w:ascii="Arial" w:cs="Arial" w:eastAsia="Arial" w:hAnsi="Arial"/>
                <w:sz w:val="14"/>
                <w:szCs w:val="14"/>
                <w:color w:val="auto"/>
              </w:rPr>
              <w:t>and $</w:t>
            </w:r>
          </w:p>
        </w:tc>
        <w:tc>
          <w:tcPr>
            <w:tcW w:w="7000" w:type="dxa"/>
            <w:vAlign w:val="bottom"/>
            <w:gridSpan w:val="3"/>
          </w:tcPr>
          <w:p>
            <w:pPr>
              <w:ind w:left="100"/>
              <w:spacing w:after="0"/>
              <w:rPr>
                <w:sz w:val="20"/>
                <w:szCs w:val="20"/>
                <w:color w:val="auto"/>
              </w:rPr>
            </w:pPr>
            <w:r>
              <w:rPr>
                <w:rFonts w:ascii="Arial" w:cs="Arial" w:eastAsia="Arial" w:hAnsi="Arial"/>
                <w:sz w:val="14"/>
                <w:szCs w:val="14"/>
                <w:color w:val="auto"/>
                <w:w w:val="88"/>
              </w:rPr>
              <w:t>per share. Currently, no public market exists for the shares. After pricing of the offering, we expect that the shares will trade on</w:t>
            </w:r>
          </w:p>
        </w:tc>
      </w:tr>
    </w:tbl>
    <w:p>
      <w:pPr>
        <w:spacing w:after="0"/>
        <w:rPr>
          <w:sz w:val="20"/>
          <w:szCs w:val="20"/>
          <w:color w:val="auto"/>
        </w:rPr>
      </w:pPr>
      <w:r>
        <w:rPr>
          <w:rFonts w:ascii="Arial" w:cs="Arial" w:eastAsia="Arial" w:hAnsi="Arial"/>
          <w:sz w:val="14"/>
          <w:szCs w:val="14"/>
          <w:color w:val="auto"/>
        </w:rPr>
        <w:t>the NASDAQ Global Market under the symbol “MGNX”.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144145</wp:posOffset>
            </wp:positionV>
            <wp:extent cx="13868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6840" cy="6350"/>
                    </a:xfrm>
                    <a:prstGeom prst="rect">
                      <a:avLst/>
                    </a:prstGeom>
                    <a:noFill/>
                  </pic:spPr>
                </pic:pic>
              </a:graphicData>
            </a:graphic>
          </wp:anchor>
        </w:drawing>
      </w:r>
    </w:p>
    <w:p>
      <w:pPr>
        <w:spacing w:after="0" w:line="322" w:lineRule="exact"/>
        <w:rPr>
          <w:sz w:val="20"/>
          <w:szCs w:val="20"/>
          <w:color w:val="auto"/>
        </w:rPr>
      </w:pPr>
    </w:p>
    <w:p>
      <w:pPr>
        <w:ind w:left="8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risks that are described in the “</w:t>
      </w:r>
      <w:hyperlink w:anchor="page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section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148590</wp:posOffset>
            </wp:positionV>
            <wp:extent cx="13868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6840" cy="6350"/>
                    </a:xfrm>
                    <a:prstGeom prst="rect">
                      <a:avLst/>
                    </a:prstGeom>
                    <a:noFill/>
                  </pic:spPr>
                </pic:pic>
              </a:graphicData>
            </a:graphic>
          </wp:anchor>
        </w:drawing>
      </w:r>
    </w:p>
    <w:p>
      <w:pPr>
        <w:spacing w:after="0" w:line="391"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540" w:type="dxa"/>
            <w:vAlign w:val="bottom"/>
            <w:vMerge w:val="restart"/>
          </w:tcPr>
          <w:p>
            <w:pPr>
              <w:spacing w:after="0"/>
              <w:rPr>
                <w:sz w:val="20"/>
                <w:szCs w:val="20"/>
                <w:color w:val="auto"/>
              </w:rPr>
            </w:pPr>
            <w:r>
              <w:rPr>
                <w:rFonts w:ascii="Arial" w:cs="Arial" w:eastAsia="Arial" w:hAnsi="Arial"/>
                <w:sz w:val="14"/>
                <w:szCs w:val="14"/>
                <w:color w:val="auto"/>
              </w:rPr>
              <w:t>Initial public offering price</w:t>
            </w:r>
          </w:p>
        </w:tc>
        <w:tc>
          <w:tcPr>
            <w:tcW w:w="30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7"/>
              </w:rPr>
              <w:t>Per share</w:t>
            </w:r>
          </w:p>
        </w:tc>
        <w:tc>
          <w:tcPr>
            <w:tcW w:w="1540" w:type="dxa"/>
            <w:vAlign w:val="bottom"/>
          </w:tcPr>
          <w:p>
            <w:pPr>
              <w:spacing w:after="0"/>
              <w:rPr>
                <w:sz w:val="10"/>
                <w:szCs w:val="10"/>
                <w:color w:val="auto"/>
              </w:rPr>
            </w:pP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50"/>
        </w:trPr>
        <w:tc>
          <w:tcPr>
            <w:tcW w:w="4540" w:type="dxa"/>
            <w:vAlign w:val="bottom"/>
            <w:vMerge w:val="continue"/>
          </w:tcPr>
          <w:p>
            <w:pPr>
              <w:spacing w:after="0"/>
              <w:rPr>
                <w:sz w:val="13"/>
                <w:szCs w:val="13"/>
                <w:color w:val="auto"/>
              </w:rPr>
            </w:pPr>
          </w:p>
        </w:tc>
        <w:tc>
          <w:tcPr>
            <w:tcW w:w="3020" w:type="dxa"/>
            <w:vAlign w:val="bottom"/>
          </w:tcPr>
          <w:p>
            <w:pPr>
              <w:spacing w:after="0"/>
              <w:rPr>
                <w:sz w:val="13"/>
                <w:szCs w:val="13"/>
                <w:color w:val="auto"/>
              </w:rPr>
            </w:pPr>
          </w:p>
        </w:tc>
        <w:tc>
          <w:tcPr>
            <w:tcW w:w="440" w:type="dxa"/>
            <w:vAlign w:val="bottom"/>
            <w:tcBorders>
              <w:top w:val="single" w:sz="8" w:color="auto"/>
            </w:tcBorders>
          </w:tcPr>
          <w:p>
            <w:pPr>
              <w:jc w:val="right"/>
              <w:ind w:right="328"/>
              <w:spacing w:after="0"/>
              <w:rPr>
                <w:sz w:val="20"/>
                <w:szCs w:val="20"/>
                <w:color w:val="auto"/>
              </w:rPr>
            </w:pPr>
            <w:r>
              <w:rPr>
                <w:rFonts w:ascii="Arial" w:cs="Arial" w:eastAsia="Arial" w:hAnsi="Arial"/>
                <w:sz w:val="10"/>
                <w:szCs w:val="10"/>
                <w:color w:val="auto"/>
                <w:w w:val="71"/>
              </w:rPr>
              <w:t>$</w:t>
            </w:r>
          </w:p>
        </w:tc>
        <w:tc>
          <w:tcPr>
            <w:tcW w:w="1540" w:type="dxa"/>
            <w:vAlign w:val="bottom"/>
          </w:tcPr>
          <w:p>
            <w:pPr>
              <w:spacing w:after="0"/>
              <w:rPr>
                <w:sz w:val="13"/>
                <w:szCs w:val="13"/>
                <w:color w:val="auto"/>
              </w:rPr>
            </w:pPr>
          </w:p>
        </w:tc>
        <w:tc>
          <w:tcPr>
            <w:tcW w:w="24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Underwriting discounts and commissions</w:t>
            </w:r>
          </w:p>
        </w:tc>
        <w:tc>
          <w:tcPr>
            <w:tcW w:w="346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780" w:type="dxa"/>
            <w:vAlign w:val="bottom"/>
            <w:gridSpan w:val="2"/>
          </w:tcPr>
          <w:p>
            <w:pPr>
              <w:ind w:left="15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Arial" w:cs="Arial" w:eastAsia="Arial" w:hAnsi="Arial"/>
                <w:sz w:val="14"/>
                <w:szCs w:val="14"/>
                <w:color w:val="auto"/>
              </w:rPr>
              <w:t>Proceeds before expenses, to us</w:t>
            </w:r>
          </w:p>
        </w:tc>
        <w:tc>
          <w:tcPr>
            <w:tcW w:w="346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780" w:type="dxa"/>
            <w:vAlign w:val="bottom"/>
            <w:gridSpan w:val="2"/>
          </w:tcPr>
          <w:p>
            <w:pPr>
              <w:ind w:left="15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4540" w:type="dxa"/>
            <w:vAlign w:val="bottom"/>
          </w:tcPr>
          <w:p>
            <w:pPr>
              <w:spacing w:after="0"/>
              <w:rPr>
                <w:sz w:val="20"/>
                <w:szCs w:val="20"/>
                <w:color w:val="auto"/>
              </w:rPr>
            </w:pPr>
            <w:r>
              <w:rPr>
                <w:rFonts w:ascii="Arial" w:cs="Arial" w:eastAsia="Arial" w:hAnsi="Arial"/>
                <w:sz w:val="14"/>
                <w:szCs w:val="14"/>
                <w:color w:val="auto"/>
                <w:w w:val="92"/>
              </w:rPr>
              <w:t>The underwriters may also exercise their option to purchase up to an additional</w:t>
            </w:r>
          </w:p>
        </w:tc>
        <w:tc>
          <w:tcPr>
            <w:tcW w:w="6040" w:type="dxa"/>
            <w:vAlign w:val="bottom"/>
            <w:gridSpan w:val="5"/>
          </w:tcPr>
          <w:p>
            <w:pPr>
              <w:ind w:left="240"/>
              <w:spacing w:after="0"/>
              <w:rPr>
                <w:sz w:val="20"/>
                <w:szCs w:val="20"/>
                <w:color w:val="auto"/>
              </w:rPr>
            </w:pPr>
            <w:r>
              <w:rPr>
                <w:rFonts w:ascii="Arial" w:cs="Arial" w:eastAsia="Arial" w:hAnsi="Arial"/>
                <w:sz w:val="14"/>
                <w:szCs w:val="14"/>
                <w:color w:val="auto"/>
                <w:w w:val="87"/>
              </w:rPr>
              <w:t>shares from us, at the public offering price, less the underwriting discount, for 30 days after the date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prospectus.</w:t>
      </w:r>
    </w:p>
    <w:p>
      <w:pPr>
        <w:spacing w:after="0" w:line="126" w:lineRule="exact"/>
        <w:rPr>
          <w:sz w:val="20"/>
          <w:szCs w:val="20"/>
          <w:color w:val="auto"/>
        </w:rPr>
      </w:pPr>
    </w:p>
    <w:p>
      <w:pPr>
        <w:jc w:val="both"/>
        <w:ind w:right="60" w:firstLine="802"/>
        <w:spacing w:after="0" w:line="267"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3020" w:type="dxa"/>
            <w:vAlign w:val="bottom"/>
          </w:tcPr>
          <w:p>
            <w:pPr>
              <w:spacing w:after="0"/>
              <w:rPr>
                <w:sz w:val="20"/>
                <w:szCs w:val="20"/>
                <w:color w:val="auto"/>
              </w:rPr>
            </w:pPr>
            <w:r>
              <w:rPr>
                <w:rFonts w:ascii="Arial" w:cs="Arial" w:eastAsia="Arial" w:hAnsi="Arial"/>
                <w:sz w:val="14"/>
                <w:szCs w:val="14"/>
                <w:color w:val="auto"/>
              </w:rPr>
              <w:t>The shares will be ready for delivery on or about</w:t>
            </w:r>
          </w:p>
        </w:tc>
        <w:tc>
          <w:tcPr>
            <w:tcW w:w="720" w:type="dxa"/>
            <w:vAlign w:val="bottom"/>
          </w:tcPr>
          <w:p>
            <w:pPr>
              <w:jc w:val="right"/>
              <w:spacing w:after="0"/>
              <w:rPr>
                <w:sz w:val="20"/>
                <w:szCs w:val="20"/>
                <w:color w:val="auto"/>
              </w:rPr>
            </w:pPr>
            <w:r>
              <w:rPr>
                <w:rFonts w:ascii="Arial" w:cs="Arial" w:eastAsia="Arial" w:hAnsi="Arial"/>
                <w:sz w:val="14"/>
                <w:szCs w:val="14"/>
                <w:color w:val="auto"/>
              </w:rPr>
              <w:t>,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140335</wp:posOffset>
            </wp:positionV>
            <wp:extent cx="13868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6840" cy="635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4640" w:type="dxa"/>
            <w:vAlign w:val="bottom"/>
          </w:tcPr>
          <w:p>
            <w:pPr>
              <w:spacing w:after="0"/>
              <w:rPr>
                <w:sz w:val="20"/>
                <w:szCs w:val="20"/>
                <w:color w:val="auto"/>
              </w:rPr>
            </w:pPr>
            <w:r>
              <w:rPr>
                <w:rFonts w:ascii="Arial" w:cs="Arial" w:eastAsia="Arial" w:hAnsi="Arial"/>
                <w:sz w:val="25"/>
                <w:szCs w:val="25"/>
                <w:b w:val="1"/>
                <w:bCs w:val="1"/>
                <w:color w:val="auto"/>
              </w:rPr>
              <w:t>BofA Merrill Lynch</w:t>
            </w:r>
          </w:p>
        </w:tc>
        <w:tc>
          <w:tcPr>
            <w:tcW w:w="21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25"/>
                <w:szCs w:val="25"/>
                <w:b w:val="1"/>
                <w:bCs w:val="1"/>
                <w:color w:val="auto"/>
              </w:rPr>
              <w:t>Leerink Swann</w:t>
            </w:r>
          </w:p>
        </w:tc>
      </w:tr>
      <w:tr>
        <w:trPr>
          <w:trHeight w:val="449"/>
        </w:trPr>
        <w:tc>
          <w:tcPr>
            <w:tcW w:w="4640" w:type="dxa"/>
            <w:vAlign w:val="bottom"/>
          </w:tcPr>
          <w:p>
            <w:pPr>
              <w:spacing w:after="0"/>
              <w:rPr>
                <w:sz w:val="24"/>
                <w:szCs w:val="24"/>
                <w:color w:val="auto"/>
              </w:rPr>
            </w:pPr>
          </w:p>
        </w:tc>
        <w:tc>
          <w:tcPr>
            <w:tcW w:w="6820" w:type="dxa"/>
            <w:vAlign w:val="bottom"/>
            <w:gridSpan w:val="2"/>
          </w:tcPr>
          <w:p>
            <w:pPr>
              <w:jc w:val="right"/>
              <w:ind w:right="5330"/>
              <w:spacing w:after="0"/>
              <w:rPr>
                <w:sz w:val="20"/>
                <w:szCs w:val="20"/>
                <w:color w:val="auto"/>
              </w:rPr>
            </w:pPr>
            <w:r>
              <w:rPr>
                <w:rFonts w:ascii="Arial" w:cs="Arial" w:eastAsia="Arial" w:hAnsi="Arial"/>
                <w:sz w:val="25"/>
                <w:szCs w:val="25"/>
                <w:b w:val="1"/>
                <w:bCs w:val="1"/>
                <w:color w:val="auto"/>
              </w:rPr>
              <w:t>Stifel</w:t>
            </w:r>
          </w:p>
        </w:tc>
      </w:tr>
      <w:tr>
        <w:trPr>
          <w:trHeight w:val="379"/>
        </w:trPr>
        <w:tc>
          <w:tcPr>
            <w:tcW w:w="4640" w:type="dxa"/>
            <w:vAlign w:val="bottom"/>
          </w:tcPr>
          <w:p>
            <w:pPr>
              <w:spacing w:after="0"/>
              <w:rPr>
                <w:sz w:val="20"/>
                <w:szCs w:val="20"/>
                <w:color w:val="auto"/>
              </w:rPr>
            </w:pPr>
            <w:r>
              <w:rPr>
                <w:rFonts w:ascii="Arial" w:cs="Arial" w:eastAsia="Arial" w:hAnsi="Arial"/>
                <w:sz w:val="19"/>
                <w:szCs w:val="19"/>
                <w:b w:val="1"/>
                <w:bCs w:val="1"/>
                <w:color w:val="auto"/>
              </w:rPr>
              <w:t>Lazard Capital Markets</w:t>
            </w:r>
          </w:p>
        </w:tc>
        <w:tc>
          <w:tcPr>
            <w:tcW w:w="21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9"/>
                <w:szCs w:val="19"/>
                <w:b w:val="1"/>
                <w:bCs w:val="1"/>
                <w:color w:val="auto"/>
              </w:rPr>
              <w:t>Wedbush PacGrow Life Sciences</w:t>
            </w:r>
          </w:p>
        </w:tc>
      </w:tr>
      <w:tr>
        <w:trPr>
          <w:trHeight w:val="372"/>
        </w:trPr>
        <w:tc>
          <w:tcPr>
            <w:tcW w:w="464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400" w:type="dxa"/>
        <w:tblCellMar>
          <w:top w:w="0" w:type="dxa"/>
          <w:left w:w="0" w:type="dxa"/>
          <w:bottom w:w="0" w:type="dxa"/>
          <w:right w:w="0" w:type="dxa"/>
        </w:tblCellMar>
      </w:tblPr>
      <w:tr>
        <w:trPr>
          <w:trHeight w:val="173"/>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740" w:type="dxa"/>
            <w:vAlign w:val="bottom"/>
          </w:tcPr>
          <w:p>
            <w:pPr>
              <w:jc w:val="right"/>
              <w:spacing w:after="0"/>
              <w:rPr>
                <w:sz w:val="20"/>
                <w:szCs w:val="20"/>
                <w:color w:val="auto"/>
              </w:rPr>
            </w:pPr>
            <w:r>
              <w:rPr>
                <w:rFonts w:ascii="Arial" w:cs="Arial" w:eastAsia="Arial" w:hAnsi="Arial"/>
                <w:sz w:val="14"/>
                <w:szCs w:val="14"/>
                <w:color w:val="auto"/>
              </w:rPr>
              <w:t>, 2013.</w:t>
            </w:r>
          </w:p>
        </w:tc>
      </w:tr>
    </w:tbl>
    <w:p>
      <w:pPr>
        <w:sectPr>
          <w:pgSz w:w="11900" w:h="16838" w:orient="portrait"/>
          <w:cols w:equalWidth="0" w:num="1">
            <w:col w:w="11460"/>
          </w:cols>
          <w:pgMar w:left="220" w:top="386" w:right="2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40" w:type="dxa"/>
            <w:vAlign w:val="bottom"/>
          </w:tcPr>
          <w:p>
            <w:pPr>
              <w:jc w:val="right"/>
              <w:ind w:right="4852"/>
              <w:spacing w:after="0"/>
              <w:rPr>
                <w:sz w:val="20"/>
                <w:szCs w:val="20"/>
                <w:color w:val="auto"/>
              </w:rPr>
            </w:pPr>
            <w:r>
              <w:rPr>
                <w:rFonts w:ascii="Arial" w:cs="Arial" w:eastAsia="Arial" w:hAnsi="Arial"/>
                <w:sz w:val="14"/>
                <w:szCs w:val="14"/>
                <w:b w:val="1"/>
                <w:bCs w:val="1"/>
                <w:color w:val="auto"/>
                <w:w w:val="99"/>
              </w:rPr>
              <w:t>TABLE OF CONTENTS</w:t>
            </w:r>
          </w:p>
        </w:tc>
      </w:tr>
      <w:tr>
        <w:trPr>
          <w:trHeight w:val="294"/>
        </w:trPr>
        <w:tc>
          <w:tcPr>
            <w:tcW w:w="1160" w:type="dxa"/>
            <w:vAlign w:val="bottom"/>
            <w:tcBorders>
              <w:bottom w:val="single" w:sz="8" w:color="0000EE"/>
            </w:tcBorders>
            <w:gridSpan w:val="10"/>
          </w:tcPr>
          <w:p>
            <w:pPr>
              <w:spacing w:after="0"/>
              <w:rPr>
                <w:rFonts w:ascii="Arial" w:cs="Arial" w:eastAsia="Arial" w:hAnsi="Arial"/>
                <w:sz w:val="14"/>
                <w:szCs w:val="14"/>
                <w:color w:val="0000EE"/>
                <w:w w:val="85"/>
              </w:rPr>
            </w:pPr>
            <w:hyperlink w:anchor="page4">
              <w:r>
                <w:rPr>
                  <w:rFonts w:ascii="Arial" w:cs="Arial" w:eastAsia="Arial" w:hAnsi="Arial"/>
                  <w:sz w:val="14"/>
                  <w:szCs w:val="14"/>
                  <w:color w:val="0000EE"/>
                  <w:w w:val="85"/>
                </w:rPr>
                <w:t>Prospectus Summary</w:t>
              </w:r>
            </w:hyperlink>
          </w:p>
        </w:tc>
        <w:tc>
          <w:tcPr>
            <w:tcW w:w="3780" w:type="dxa"/>
            <w:vAlign w:val="bottom"/>
            <w:gridSpan w:val="11"/>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9">
              <w:r>
                <w:rPr>
                  <w:rFonts w:ascii="Arial" w:cs="Arial" w:eastAsia="Arial" w:hAnsi="Arial"/>
                  <w:sz w:val="14"/>
                  <w:szCs w:val="14"/>
                  <w:color w:val="0000EE"/>
                </w:rPr>
                <w:t>Risk Factors</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11</w:t>
            </w: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47"/>
        </w:trPr>
        <w:tc>
          <w:tcPr>
            <w:tcW w:w="2940" w:type="dxa"/>
            <w:vAlign w:val="bottom"/>
            <w:tcBorders>
              <w:bottom w:val="single" w:sz="8" w:color="0000EE"/>
            </w:tcBorders>
            <w:gridSpan w:val="18"/>
          </w:tcPr>
          <w:p>
            <w:pPr>
              <w:spacing w:after="0" w:line="147" w:lineRule="exact"/>
              <w:rPr>
                <w:rFonts w:ascii="Arial" w:cs="Arial" w:eastAsia="Arial" w:hAnsi="Arial"/>
                <w:sz w:val="14"/>
                <w:szCs w:val="14"/>
                <w:color w:val="0000EE"/>
                <w:w w:val="88"/>
              </w:rPr>
            </w:pPr>
            <w:hyperlink w:anchor="page47">
              <w:r>
                <w:rPr>
                  <w:rFonts w:ascii="Arial" w:cs="Arial" w:eastAsia="Arial" w:hAnsi="Arial"/>
                  <w:sz w:val="14"/>
                  <w:szCs w:val="14"/>
                  <w:color w:val="0000EE"/>
                  <w:w w:val="88"/>
                </w:rPr>
                <w:t>Special Note Regarding Forward-Looking Statements</w:t>
              </w:r>
            </w:hyperlink>
          </w:p>
        </w:tc>
        <w:tc>
          <w:tcPr>
            <w:tcW w:w="2000" w:type="dxa"/>
            <w:vAlign w:val="bottom"/>
            <w:gridSpan w:val="3"/>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44</w:t>
            </w: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49">
              <w:r>
                <w:rPr>
                  <w:rFonts w:ascii="Arial" w:cs="Arial" w:eastAsia="Arial" w:hAnsi="Arial"/>
                  <w:sz w:val="14"/>
                  <w:szCs w:val="14"/>
                  <w:color w:val="0000EE"/>
                </w:rPr>
                <w:t>Use of Proceeds</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46</w:t>
            </w: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50">
              <w:r>
                <w:rPr>
                  <w:rFonts w:ascii="Arial" w:cs="Arial" w:eastAsia="Arial" w:hAnsi="Arial"/>
                  <w:sz w:val="14"/>
                  <w:szCs w:val="14"/>
                  <w:color w:val="0000EE"/>
                </w:rPr>
                <w:t>Dividend Policy</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47</w:t>
            </w:r>
          </w:p>
        </w:tc>
      </w:tr>
      <w:tr>
        <w:trPr>
          <w:trHeight w:val="147"/>
        </w:trPr>
        <w:tc>
          <w:tcPr>
            <w:tcW w:w="780" w:type="dxa"/>
            <w:vAlign w:val="bottom"/>
            <w:tcBorders>
              <w:top w:val="single" w:sz="8" w:color="0000EE"/>
              <w:bottom w:val="single" w:sz="8" w:color="0000EE"/>
            </w:tcBorders>
            <w:gridSpan w:val="8"/>
          </w:tcPr>
          <w:p>
            <w:pPr>
              <w:spacing w:after="0" w:line="147" w:lineRule="exact"/>
              <w:rPr>
                <w:rFonts w:ascii="Arial" w:cs="Arial" w:eastAsia="Arial" w:hAnsi="Arial"/>
                <w:sz w:val="14"/>
                <w:szCs w:val="14"/>
                <w:color w:val="0000EE"/>
                <w:w w:val="90"/>
              </w:rPr>
            </w:pPr>
            <w:hyperlink w:anchor="page51">
              <w:r>
                <w:rPr>
                  <w:rFonts w:ascii="Arial" w:cs="Arial" w:eastAsia="Arial" w:hAnsi="Arial"/>
                  <w:sz w:val="14"/>
                  <w:szCs w:val="14"/>
                  <w:color w:val="0000EE"/>
                  <w:w w:val="90"/>
                </w:rPr>
                <w:t>Capitalization</w:t>
              </w:r>
            </w:hyperlink>
          </w:p>
        </w:tc>
        <w:tc>
          <w:tcPr>
            <w:tcW w:w="100" w:type="dxa"/>
            <w:vAlign w:val="bottom"/>
            <w:tcBorders>
              <w:top w:val="single" w:sz="8" w:color="0000EE"/>
            </w:tcBorders>
          </w:tcPr>
          <w:p>
            <w:pPr>
              <w:spacing w:after="0"/>
              <w:rPr>
                <w:sz w:val="12"/>
                <w:szCs w:val="12"/>
                <w:color w:val="auto"/>
              </w:rPr>
            </w:pPr>
          </w:p>
        </w:tc>
        <w:tc>
          <w:tcPr>
            <w:tcW w:w="4060" w:type="dxa"/>
            <w:vAlign w:val="bottom"/>
            <w:gridSpan w:val="12"/>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48</w:t>
            </w:r>
          </w:p>
        </w:tc>
      </w:tr>
      <w:tr>
        <w:trPr>
          <w:trHeight w:val="147"/>
        </w:trPr>
        <w:tc>
          <w:tcPr>
            <w:tcW w:w="460" w:type="dxa"/>
            <w:vAlign w:val="bottom"/>
            <w:tcBorders>
              <w:bottom w:val="single" w:sz="8" w:color="0000EE"/>
            </w:tcBorders>
            <w:gridSpan w:val="2"/>
          </w:tcPr>
          <w:p>
            <w:pPr>
              <w:spacing w:after="0" w:line="147" w:lineRule="exact"/>
              <w:rPr>
                <w:rFonts w:ascii="Arial" w:cs="Arial" w:eastAsia="Arial" w:hAnsi="Arial"/>
                <w:sz w:val="14"/>
                <w:szCs w:val="14"/>
                <w:color w:val="0000EE"/>
                <w:w w:val="94"/>
              </w:rPr>
            </w:pPr>
            <w:hyperlink w:anchor="page53">
              <w:r>
                <w:rPr>
                  <w:rFonts w:ascii="Arial" w:cs="Arial" w:eastAsia="Arial" w:hAnsi="Arial"/>
                  <w:sz w:val="14"/>
                  <w:szCs w:val="14"/>
                  <w:color w:val="0000EE"/>
                  <w:w w:val="94"/>
                </w:rPr>
                <w:t>Dilution</w:t>
              </w:r>
            </w:hyperlink>
          </w:p>
        </w:tc>
        <w:tc>
          <w:tcPr>
            <w:tcW w:w="4480" w:type="dxa"/>
            <w:vAlign w:val="bottom"/>
            <w:gridSpan w:val="19"/>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50</w:t>
            </w: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55">
              <w:r>
                <w:rPr>
                  <w:rFonts w:ascii="Arial" w:cs="Arial" w:eastAsia="Arial" w:hAnsi="Arial"/>
                  <w:sz w:val="14"/>
                  <w:szCs w:val="14"/>
                  <w:color w:val="0000EE"/>
                </w:rPr>
                <w:t>Selected Consolidated Financial Data</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52</w:t>
            </w:r>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47"/>
        </w:trPr>
        <w:tc>
          <w:tcPr>
            <w:tcW w:w="4880" w:type="dxa"/>
            <w:vAlign w:val="bottom"/>
            <w:tcBorders>
              <w:bottom w:val="single" w:sz="8" w:color="0000EE"/>
            </w:tcBorders>
            <w:gridSpan w:val="20"/>
          </w:tcPr>
          <w:p>
            <w:pPr>
              <w:spacing w:after="0" w:line="147" w:lineRule="exact"/>
              <w:rPr>
                <w:rFonts w:ascii="Arial" w:cs="Arial" w:eastAsia="Arial" w:hAnsi="Arial"/>
                <w:sz w:val="14"/>
                <w:szCs w:val="14"/>
                <w:color w:val="0000EE"/>
                <w:w w:val="88"/>
              </w:rPr>
            </w:pPr>
            <w:hyperlink w:anchor="page57">
              <w:r>
                <w:rPr>
                  <w:rFonts w:ascii="Arial" w:cs="Arial" w:eastAsia="Arial" w:hAnsi="Arial"/>
                  <w:sz w:val="14"/>
                  <w:szCs w:val="14"/>
                  <w:color w:val="0000EE"/>
                  <w:w w:val="88"/>
                </w:rPr>
                <w:t>Management’s Discussion and Analysis of Financial Condition and Results of Operations</w:t>
              </w:r>
            </w:hyperlink>
          </w:p>
        </w:tc>
        <w:tc>
          <w:tcPr>
            <w:tcW w:w="60" w:type="dxa"/>
            <w:vAlign w:val="bottom"/>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54</w:t>
            </w: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79">
              <w:r>
                <w:rPr>
                  <w:rFonts w:ascii="Arial" w:cs="Arial" w:eastAsia="Arial" w:hAnsi="Arial"/>
                  <w:sz w:val="14"/>
                  <w:szCs w:val="14"/>
                  <w:color w:val="0000EE"/>
                </w:rPr>
                <w:t>Business</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76</w:t>
            </w:r>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47"/>
        </w:trPr>
        <w:tc>
          <w:tcPr>
            <w:tcW w:w="720" w:type="dxa"/>
            <w:vAlign w:val="bottom"/>
            <w:tcBorders>
              <w:bottom w:val="single" w:sz="8" w:color="0000EE"/>
            </w:tcBorders>
            <w:gridSpan w:val="5"/>
          </w:tcPr>
          <w:p>
            <w:pPr>
              <w:spacing w:after="0" w:line="147" w:lineRule="exact"/>
              <w:rPr>
                <w:rFonts w:ascii="Arial" w:cs="Arial" w:eastAsia="Arial" w:hAnsi="Arial"/>
                <w:sz w:val="14"/>
                <w:szCs w:val="14"/>
                <w:color w:val="0000EE"/>
                <w:w w:val="85"/>
              </w:rPr>
            </w:pPr>
            <w:hyperlink w:anchor="page125">
              <w:r>
                <w:rPr>
                  <w:rFonts w:ascii="Arial" w:cs="Arial" w:eastAsia="Arial" w:hAnsi="Arial"/>
                  <w:sz w:val="14"/>
                  <w:szCs w:val="14"/>
                  <w:color w:val="0000EE"/>
                  <w:w w:val="85"/>
                </w:rPr>
                <w:t>Management</w:t>
              </w:r>
            </w:hyperlink>
          </w:p>
        </w:tc>
        <w:tc>
          <w:tcPr>
            <w:tcW w:w="4220" w:type="dxa"/>
            <w:vAlign w:val="bottom"/>
            <w:gridSpan w:val="16"/>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122</w:t>
            </w:r>
          </w:p>
        </w:tc>
      </w:tr>
      <w:tr>
        <w:trPr>
          <w:trHeight w:val="147"/>
        </w:trPr>
        <w:tc>
          <w:tcPr>
            <w:tcW w:w="2900" w:type="dxa"/>
            <w:vAlign w:val="bottom"/>
            <w:tcBorders>
              <w:bottom w:val="single" w:sz="8" w:color="0000EE"/>
            </w:tcBorders>
            <w:gridSpan w:val="17"/>
          </w:tcPr>
          <w:p>
            <w:pPr>
              <w:spacing w:after="0" w:line="147" w:lineRule="exact"/>
              <w:rPr>
                <w:rFonts w:ascii="Arial" w:cs="Arial" w:eastAsia="Arial" w:hAnsi="Arial"/>
                <w:sz w:val="14"/>
                <w:szCs w:val="14"/>
                <w:color w:val="0000EE"/>
                <w:w w:val="86"/>
              </w:rPr>
            </w:pPr>
            <w:hyperlink w:anchor="page139">
              <w:r>
                <w:rPr>
                  <w:rFonts w:ascii="Arial" w:cs="Arial" w:eastAsia="Arial" w:hAnsi="Arial"/>
                  <w:sz w:val="14"/>
                  <w:szCs w:val="14"/>
                  <w:color w:val="0000EE"/>
                  <w:w w:val="86"/>
                </w:rPr>
                <w:t>Certain Relationships and Related Party Transactions</w:t>
              </w:r>
            </w:hyperlink>
          </w:p>
        </w:tc>
        <w:tc>
          <w:tcPr>
            <w:tcW w:w="2040" w:type="dxa"/>
            <w:vAlign w:val="bottom"/>
            <w:gridSpan w:val="4"/>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136</w:t>
            </w:r>
          </w:p>
        </w:tc>
      </w:tr>
      <w:tr>
        <w:trPr>
          <w:trHeight w:val="147"/>
        </w:trPr>
        <w:tc>
          <w:tcPr>
            <w:tcW w:w="1240" w:type="dxa"/>
            <w:vAlign w:val="bottom"/>
            <w:tcBorders>
              <w:bottom w:val="single" w:sz="8" w:color="0000EE"/>
            </w:tcBorders>
            <w:gridSpan w:val="11"/>
          </w:tcPr>
          <w:p>
            <w:pPr>
              <w:spacing w:after="0" w:line="147" w:lineRule="exact"/>
              <w:rPr>
                <w:rFonts w:ascii="Arial" w:cs="Arial" w:eastAsia="Arial" w:hAnsi="Arial"/>
                <w:sz w:val="14"/>
                <w:szCs w:val="14"/>
                <w:color w:val="0000EE"/>
                <w:w w:val="88"/>
              </w:rPr>
            </w:pPr>
            <w:hyperlink w:anchor="page140">
              <w:r>
                <w:rPr>
                  <w:rFonts w:ascii="Arial" w:cs="Arial" w:eastAsia="Arial" w:hAnsi="Arial"/>
                  <w:sz w:val="14"/>
                  <w:szCs w:val="14"/>
                  <w:color w:val="0000EE"/>
                  <w:w w:val="88"/>
                </w:rPr>
                <w:t>Principal Stockholders</w:t>
              </w:r>
            </w:hyperlink>
          </w:p>
        </w:tc>
        <w:tc>
          <w:tcPr>
            <w:tcW w:w="3700" w:type="dxa"/>
            <w:vAlign w:val="bottom"/>
            <w:gridSpan w:val="10"/>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137</w:t>
            </w:r>
          </w:p>
        </w:tc>
      </w:tr>
      <w:tr>
        <w:trPr>
          <w:trHeight w:val="147"/>
        </w:trPr>
        <w:tc>
          <w:tcPr>
            <w:tcW w:w="1560" w:type="dxa"/>
            <w:vAlign w:val="bottom"/>
            <w:tcBorders>
              <w:bottom w:val="single" w:sz="8" w:color="0000EE"/>
            </w:tcBorders>
            <w:gridSpan w:val="12"/>
          </w:tcPr>
          <w:p>
            <w:pPr>
              <w:spacing w:after="0" w:line="147" w:lineRule="exact"/>
              <w:rPr>
                <w:rFonts w:ascii="Arial" w:cs="Arial" w:eastAsia="Arial" w:hAnsi="Arial"/>
                <w:sz w:val="14"/>
                <w:szCs w:val="14"/>
                <w:color w:val="0000EE"/>
                <w:w w:val="89"/>
              </w:rPr>
            </w:pPr>
            <w:hyperlink w:anchor="page144">
              <w:r>
                <w:rPr>
                  <w:rFonts w:ascii="Arial" w:cs="Arial" w:eastAsia="Arial" w:hAnsi="Arial"/>
                  <w:sz w:val="14"/>
                  <w:szCs w:val="14"/>
                  <w:color w:val="0000EE"/>
                  <w:w w:val="89"/>
                </w:rPr>
                <w:t>Description of Capital Stock</w:t>
              </w:r>
            </w:hyperlink>
          </w:p>
        </w:tc>
        <w:tc>
          <w:tcPr>
            <w:tcW w:w="3380" w:type="dxa"/>
            <w:vAlign w:val="bottom"/>
            <w:gridSpan w:val="9"/>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141</w:t>
            </w:r>
          </w:p>
        </w:tc>
      </w:tr>
      <w:tr>
        <w:trPr>
          <w:trHeight w:val="147"/>
        </w:trPr>
        <w:tc>
          <w:tcPr>
            <w:tcW w:w="1680" w:type="dxa"/>
            <w:vAlign w:val="bottom"/>
            <w:tcBorders>
              <w:bottom w:val="single" w:sz="8" w:color="0000EE"/>
            </w:tcBorders>
            <w:gridSpan w:val="13"/>
          </w:tcPr>
          <w:p>
            <w:pPr>
              <w:spacing w:after="0" w:line="147" w:lineRule="exact"/>
              <w:rPr>
                <w:rFonts w:ascii="Arial" w:cs="Arial" w:eastAsia="Arial" w:hAnsi="Arial"/>
                <w:sz w:val="14"/>
                <w:szCs w:val="14"/>
                <w:color w:val="0000EE"/>
                <w:w w:val="87"/>
              </w:rPr>
            </w:pPr>
            <w:hyperlink w:anchor="page149">
              <w:r>
                <w:rPr>
                  <w:rFonts w:ascii="Arial" w:cs="Arial" w:eastAsia="Arial" w:hAnsi="Arial"/>
                  <w:sz w:val="14"/>
                  <w:szCs w:val="14"/>
                  <w:color w:val="0000EE"/>
                  <w:w w:val="87"/>
                </w:rPr>
                <w:t>Shares Eligible for Future Sale</w:t>
              </w:r>
            </w:hyperlink>
          </w:p>
        </w:tc>
        <w:tc>
          <w:tcPr>
            <w:tcW w:w="3260" w:type="dxa"/>
            <w:vAlign w:val="bottom"/>
            <w:gridSpan w:val="8"/>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146</w:t>
            </w:r>
          </w:p>
        </w:tc>
      </w:tr>
      <w:tr>
        <w:trPr>
          <w:trHeight w:val="147"/>
        </w:trPr>
        <w:tc>
          <w:tcPr>
            <w:tcW w:w="3440" w:type="dxa"/>
            <w:vAlign w:val="bottom"/>
            <w:tcBorders>
              <w:bottom w:val="single" w:sz="8" w:color="0000EE"/>
            </w:tcBorders>
            <w:gridSpan w:val="19"/>
          </w:tcPr>
          <w:p>
            <w:pPr>
              <w:spacing w:after="0" w:line="147" w:lineRule="exact"/>
              <w:rPr>
                <w:rFonts w:ascii="Arial" w:cs="Arial" w:eastAsia="Arial" w:hAnsi="Arial"/>
                <w:sz w:val="14"/>
                <w:szCs w:val="14"/>
                <w:color w:val="0000EE"/>
                <w:w w:val="87"/>
              </w:rPr>
            </w:pPr>
            <w:hyperlink w:anchor="page151">
              <w:r>
                <w:rPr>
                  <w:rFonts w:ascii="Arial" w:cs="Arial" w:eastAsia="Arial" w:hAnsi="Arial"/>
                  <w:sz w:val="14"/>
                  <w:szCs w:val="14"/>
                  <w:color w:val="0000EE"/>
                  <w:w w:val="87"/>
                </w:rPr>
                <w:t>Material U.S. Federal Tax Consequences for Non-U.S. Holders</w:t>
              </w:r>
            </w:hyperlink>
          </w:p>
        </w:tc>
        <w:tc>
          <w:tcPr>
            <w:tcW w:w="1500" w:type="dxa"/>
            <w:vAlign w:val="bottom"/>
            <w:gridSpan w:val="2"/>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148</w:t>
            </w:r>
          </w:p>
        </w:tc>
      </w:tr>
      <w:tr>
        <w:trPr>
          <w:trHeight w:val="147"/>
        </w:trPr>
        <w:tc>
          <w:tcPr>
            <w:tcW w:w="740" w:type="dxa"/>
            <w:vAlign w:val="bottom"/>
            <w:tcBorders>
              <w:bottom w:val="single" w:sz="8" w:color="0000EE"/>
            </w:tcBorders>
            <w:gridSpan w:val="6"/>
          </w:tcPr>
          <w:p>
            <w:pPr>
              <w:spacing w:after="0" w:line="147" w:lineRule="exact"/>
              <w:rPr>
                <w:rFonts w:ascii="Arial" w:cs="Arial" w:eastAsia="Arial" w:hAnsi="Arial"/>
                <w:sz w:val="14"/>
                <w:szCs w:val="14"/>
                <w:color w:val="0000EE"/>
                <w:w w:val="91"/>
              </w:rPr>
            </w:pPr>
            <w:hyperlink w:anchor="page155">
              <w:r>
                <w:rPr>
                  <w:rFonts w:ascii="Arial" w:cs="Arial" w:eastAsia="Arial" w:hAnsi="Arial"/>
                  <w:sz w:val="14"/>
                  <w:szCs w:val="14"/>
                  <w:color w:val="0000EE"/>
                  <w:w w:val="91"/>
                </w:rPr>
                <w:t>Underwriting</w:t>
              </w:r>
            </w:hyperlink>
          </w:p>
        </w:tc>
        <w:tc>
          <w:tcPr>
            <w:tcW w:w="4200" w:type="dxa"/>
            <w:vAlign w:val="bottom"/>
            <w:gridSpan w:val="15"/>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152</w:t>
            </w: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162">
              <w:r>
                <w:rPr>
                  <w:rFonts w:ascii="Arial" w:cs="Arial" w:eastAsia="Arial" w:hAnsi="Arial"/>
                  <w:sz w:val="14"/>
                  <w:szCs w:val="14"/>
                  <w:color w:val="0000EE"/>
                </w:rPr>
                <w:t>Legal Matters</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159</w:t>
            </w:r>
          </w:p>
        </w:tc>
      </w:tr>
      <w:tr>
        <w:trPr>
          <w:trHeight w:val="147"/>
        </w:trPr>
        <w:tc>
          <w:tcPr>
            <w:tcW w:w="420" w:type="dxa"/>
            <w:vAlign w:val="bottom"/>
            <w:tcBorders>
              <w:top w:val="single" w:sz="8" w:color="0000EE"/>
              <w:bottom w:val="single" w:sz="8" w:color="0000EE"/>
            </w:tcBorders>
          </w:tcPr>
          <w:p>
            <w:pPr>
              <w:spacing w:after="0" w:line="147" w:lineRule="exact"/>
              <w:rPr>
                <w:rFonts w:ascii="Arial" w:cs="Arial" w:eastAsia="Arial" w:hAnsi="Arial"/>
                <w:sz w:val="14"/>
                <w:szCs w:val="14"/>
                <w:color w:val="0000EE"/>
                <w:w w:val="84"/>
              </w:rPr>
            </w:pPr>
            <w:hyperlink w:anchor="page162">
              <w:r>
                <w:rPr>
                  <w:rFonts w:ascii="Arial" w:cs="Arial" w:eastAsia="Arial" w:hAnsi="Arial"/>
                  <w:sz w:val="14"/>
                  <w:szCs w:val="14"/>
                  <w:color w:val="0000EE"/>
                  <w:w w:val="84"/>
                </w:rPr>
                <w:t>Experts</w:t>
              </w:r>
            </w:hyperlink>
          </w:p>
        </w:tc>
        <w:tc>
          <w:tcPr>
            <w:tcW w:w="340" w:type="dxa"/>
            <w:vAlign w:val="bottom"/>
            <w:tcBorders>
              <w:top w:val="single" w:sz="8" w:color="0000EE"/>
            </w:tcBorders>
            <w:gridSpan w:val="6"/>
          </w:tcPr>
          <w:p>
            <w:pPr>
              <w:spacing w:after="0"/>
              <w:rPr>
                <w:sz w:val="12"/>
                <w:szCs w:val="12"/>
                <w:color w:val="auto"/>
              </w:rPr>
            </w:pPr>
          </w:p>
        </w:tc>
        <w:tc>
          <w:tcPr>
            <w:tcW w:w="4180" w:type="dxa"/>
            <w:vAlign w:val="bottom"/>
            <w:gridSpan w:val="14"/>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159</w:t>
            </w:r>
          </w:p>
        </w:tc>
      </w:tr>
      <w:tr>
        <w:trPr>
          <w:trHeight w:val="147"/>
        </w:trPr>
        <w:tc>
          <w:tcPr>
            <w:tcW w:w="4940" w:type="dxa"/>
            <w:vAlign w:val="bottom"/>
            <w:gridSpan w:val="21"/>
          </w:tcPr>
          <w:p>
            <w:pPr>
              <w:spacing w:after="0" w:line="147" w:lineRule="exact"/>
              <w:rPr>
                <w:rFonts w:ascii="Arial" w:cs="Arial" w:eastAsia="Arial" w:hAnsi="Arial"/>
                <w:sz w:val="14"/>
                <w:szCs w:val="14"/>
                <w:color w:val="0000EE"/>
              </w:rPr>
            </w:pPr>
            <w:hyperlink w:anchor="page162">
              <w:r>
                <w:rPr>
                  <w:rFonts w:ascii="Arial" w:cs="Arial" w:eastAsia="Arial" w:hAnsi="Arial"/>
                  <w:sz w:val="14"/>
                  <w:szCs w:val="14"/>
                  <w:color w:val="0000EE"/>
                </w:rPr>
                <w:t>Where You Can Find More Information</w:t>
              </w:r>
            </w:hyperlink>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159</w:t>
            </w:r>
          </w:p>
        </w:tc>
      </w:tr>
      <w:tr>
        <w:trPr>
          <w:trHeight w:val="20"/>
        </w:trPr>
        <w:tc>
          <w:tcPr>
            <w:tcW w:w="216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47"/>
        </w:trPr>
        <w:tc>
          <w:tcPr>
            <w:tcW w:w="2380" w:type="dxa"/>
            <w:vAlign w:val="bottom"/>
            <w:tcBorders>
              <w:bottom w:val="single" w:sz="8" w:color="0000EE"/>
            </w:tcBorders>
            <w:gridSpan w:val="16"/>
          </w:tcPr>
          <w:p>
            <w:pPr>
              <w:spacing w:after="0" w:line="147" w:lineRule="exact"/>
              <w:rPr>
                <w:rFonts w:ascii="Arial" w:cs="Arial" w:eastAsia="Arial" w:hAnsi="Arial"/>
                <w:sz w:val="14"/>
                <w:szCs w:val="14"/>
                <w:color w:val="0000EE"/>
                <w:w w:val="87"/>
              </w:rPr>
            </w:pPr>
            <w:hyperlink w:anchor="page163">
              <w:r>
                <w:rPr>
                  <w:rFonts w:ascii="Arial" w:cs="Arial" w:eastAsia="Arial" w:hAnsi="Arial"/>
                  <w:sz w:val="14"/>
                  <w:szCs w:val="14"/>
                  <w:color w:val="0000EE"/>
                  <w:w w:val="87"/>
                </w:rPr>
                <w:t>Index to Consolidated Financial Statements</w:t>
              </w:r>
            </w:hyperlink>
          </w:p>
        </w:tc>
        <w:tc>
          <w:tcPr>
            <w:tcW w:w="2560" w:type="dxa"/>
            <w:vAlign w:val="bottom"/>
            <w:gridSpan w:val="5"/>
          </w:tcPr>
          <w:p>
            <w:pPr>
              <w:spacing w:after="0"/>
              <w:rPr>
                <w:sz w:val="12"/>
                <w:szCs w:val="12"/>
                <w:color w:val="auto"/>
              </w:rPr>
            </w:pPr>
          </w:p>
        </w:tc>
        <w:tc>
          <w:tcPr>
            <w:tcW w:w="6440" w:type="dxa"/>
            <w:vAlign w:val="bottom"/>
          </w:tcPr>
          <w:p>
            <w:pPr>
              <w:jc w:val="right"/>
              <w:spacing w:after="0" w:line="147" w:lineRule="exact"/>
              <w:rPr>
                <w:sz w:val="20"/>
                <w:szCs w:val="20"/>
                <w:color w:val="auto"/>
              </w:rPr>
            </w:pPr>
            <w:r>
              <w:rPr>
                <w:rFonts w:ascii="Arial" w:cs="Arial" w:eastAsia="Arial" w:hAnsi="Arial"/>
                <w:sz w:val="14"/>
                <w:szCs w:val="14"/>
                <w:color w:val="auto"/>
              </w:rPr>
              <w:t>F-1</w:t>
            </w:r>
          </w:p>
        </w:tc>
      </w:tr>
    </w:tbl>
    <w:p>
      <w:pPr>
        <w:spacing w:after="0" w:line="139" w:lineRule="exact"/>
        <w:rPr>
          <w:sz w:val="20"/>
          <w:szCs w:val="20"/>
          <w:color w:val="auto"/>
        </w:rPr>
      </w:pPr>
    </w:p>
    <w:p>
      <w:pPr>
        <w:ind w:right="120" w:firstLine="802"/>
        <w:spacing w:after="0" w:line="255" w:lineRule="auto"/>
        <w:rPr>
          <w:sz w:val="20"/>
          <w:szCs w:val="20"/>
          <w:color w:val="auto"/>
        </w:rPr>
      </w:pPr>
      <w:r>
        <w:rPr>
          <w:rFonts w:ascii="Arial" w:cs="Arial" w:eastAsia="Arial" w:hAnsi="Arial"/>
          <w:sz w:val="14"/>
          <w:szCs w:val="14"/>
          <w:color w:val="auto"/>
        </w:rPr>
        <w:t>We have not authorized anyone to provide you with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to you. We are offering to sell shares of our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w:t>
      </w:r>
    </w:p>
    <w:p>
      <w:pPr>
        <w:spacing w:after="0" w:line="110" w:lineRule="exact"/>
        <w:rPr>
          <w:sz w:val="20"/>
          <w:szCs w:val="20"/>
          <w:color w:val="auto"/>
        </w:rPr>
      </w:pPr>
    </w:p>
    <w:p>
      <w:pPr>
        <w:ind w:right="40" w:firstLine="802"/>
        <w:spacing w:after="0" w:line="351" w:lineRule="auto"/>
        <w:rPr>
          <w:sz w:val="20"/>
          <w:szCs w:val="20"/>
          <w:color w:val="auto"/>
        </w:rPr>
      </w:pPr>
      <w:r>
        <w:rPr>
          <w:rFonts w:ascii="Arial" w:cs="Arial" w:eastAsia="Arial" w:hAnsi="Arial"/>
          <w:sz w:val="12"/>
          <w:szCs w:val="12"/>
          <w:color w:val="auto"/>
        </w:rPr>
        <w:t>Neither we nor any of the underwriters have taken any action to permit a public offering of the shares of our common stock or the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ectPr>
          <w:pgSz w:w="11900" w:h="16838" w:orient="portrait"/>
          <w:cols w:equalWidth="0" w:num="1">
            <w:col w:w="11380"/>
          </w:cols>
          <w:pgMar w:left="220" w:top="386" w:right="29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3561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3770" cy="35617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134" w:lineRule="exact"/>
        <w:rPr>
          <w:sz w:val="20"/>
          <w:szCs w:val="20"/>
          <w:color w:val="auto"/>
        </w:rPr>
      </w:pPr>
    </w:p>
    <w:p>
      <w:pPr>
        <w:ind w:left="180" w:right="100" w:firstLine="778"/>
        <w:spacing w:after="0" w:line="302" w:lineRule="auto"/>
        <w:rPr>
          <w:sz w:val="20"/>
          <w:szCs w:val="20"/>
          <w:color w:val="auto"/>
        </w:rPr>
      </w:pPr>
      <w:r>
        <w:rPr>
          <w:rFonts w:ascii="Arial" w:cs="Arial" w:eastAsia="Arial" w:hAnsi="Arial"/>
          <w:sz w:val="12"/>
          <w:szCs w:val="12"/>
          <w:i w:val="1"/>
          <w:iCs w:val="1"/>
          <w:color w:val="auto"/>
        </w:rPr>
        <w:t>This summary highlights information contained elsewhere in this prospectus and is qualified in its entirety by the more detailed information and consolidated financial statements included elsewhere in this prospectus. This summary does not contain all of the information that may be important to you. You should read and carefully consider the following summary together with the entire prospectus, including our consolidated financial statements and the notes thereto appearing elsewhere in this prospectus and the matters discussed in the sections in this prospectus entitled “Risk Factors,” “Selected Consolidated Financial Data” and “Management’s Discussion and Analysis of Financial Condition and Results of Operations” before deciding to invest in our common stock. Some of the statements in this prospectus constitute forward-looking statements that involve risks and uncertainties. See “Special Note Regarding Forward-Looking Statements.” Our actual results could differ materially from those anticipated in such forward-looking statements as a result of certain factors, including those discussed in the “Risk Factors” and other sections of this prospectus.</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2"/>
          <w:szCs w:val="12"/>
          <w:i w:val="1"/>
          <w:iCs w:val="1"/>
          <w:color w:val="auto"/>
        </w:rPr>
        <w:t>Except as otherwise indicated herein or as the context otherwise requires, references in this prospectus to “MacroGenics” “the company,” “we,” “us” and “our” refer to MacroGenics,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and its consolidated subsidiaries.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Overview</w:t>
      </w:r>
    </w:p>
    <w:p>
      <w:pPr>
        <w:spacing w:after="0" w:line="134" w:lineRule="exact"/>
        <w:rPr>
          <w:sz w:val="20"/>
          <w:szCs w:val="20"/>
          <w:color w:val="auto"/>
        </w:rPr>
      </w:pPr>
    </w:p>
    <w:p>
      <w:pPr>
        <w:ind w:left="180" w:right="20" w:firstLine="778"/>
        <w:spacing w:after="0" w:line="300" w:lineRule="auto"/>
        <w:rPr>
          <w:sz w:val="20"/>
          <w:szCs w:val="20"/>
          <w:color w:val="auto"/>
        </w:rPr>
      </w:pPr>
      <w:r>
        <w:rPr>
          <w:rFonts w:ascii="Arial" w:cs="Arial" w:eastAsia="Arial" w:hAnsi="Arial"/>
          <w:sz w:val="12"/>
          <w:szCs w:val="12"/>
          <w:color w:val="auto"/>
        </w:rPr>
        <w:t>We are a clinical-stage biopharmaceutical company focused on discovering and developing innovative monoclonal antibody-based therapeutics for the treatment of cancer and autoimmune diseases. We generate our pipeline of product candidates from our proprietary suite of next-generation antibody technology platforms, which we believe improve the performance of monoclonal antibodies and antibody-derived molecules. These product candidates, which we have identified through our understanding of disease biology and immune-mediated mechanisms, may address disease-specific challenges which are not currently being met by existing therapies. We create both differentiated molecules that are directed to novel cancer targets, as well as “bio-betters,” which are drugs designed to improve upon marketed medicines. The combination of our technology platforms and antibody engineering expertise has allowed us to generate promising product candidates and enter into several strategic collaborations with global pharmaceutical and biotechnology companies. These collaborations provide us with funding and allow us to leverage the additional expertise of our collaborators to advance the development of our product candidates.</w:t>
      </w:r>
    </w:p>
    <w:p>
      <w:pPr>
        <w:spacing w:after="0" w:line="88" w:lineRule="exact"/>
        <w:rPr>
          <w:sz w:val="20"/>
          <w:szCs w:val="20"/>
          <w:color w:val="auto"/>
        </w:rPr>
      </w:pPr>
    </w:p>
    <w:p>
      <w:pPr>
        <w:ind w:left="180" w:firstLine="778"/>
        <w:spacing w:after="0" w:line="267" w:lineRule="auto"/>
        <w:rPr>
          <w:sz w:val="20"/>
          <w:szCs w:val="20"/>
          <w:color w:val="auto"/>
        </w:rPr>
      </w:pPr>
      <w:r>
        <w:rPr>
          <w:rFonts w:ascii="Arial" w:cs="Arial" w:eastAsia="Arial" w:hAnsi="Arial"/>
          <w:sz w:val="14"/>
          <w:szCs w:val="14"/>
          <w:color w:val="auto"/>
        </w:rPr>
        <w:t>We have three versatile, proprietary technology platforms that can be applied in combination with one another to custom design an antibody or antibody-derived molecule that is optimized to treat a specific disease. These technologies are described below.</w:t>
      </w:r>
    </w:p>
    <w:p>
      <w:pPr>
        <w:spacing w:after="0" w:line="133" w:lineRule="exact"/>
        <w:rPr>
          <w:sz w:val="20"/>
          <w:szCs w:val="20"/>
          <w:color w:val="auto"/>
        </w:rPr>
      </w:pPr>
    </w:p>
    <w:p>
      <w:pPr>
        <w:ind w:left="1520" w:right="100" w:hanging="558"/>
        <w:spacing w:after="0" w:line="321" w:lineRule="auto"/>
        <w:tabs>
          <w:tab w:leader="none" w:pos="1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Dual Affinity Re-Targeting, or DART, platform</w:t>
      </w:r>
      <w:r>
        <w:rPr>
          <w:rFonts w:ascii="Arial" w:cs="Arial" w:eastAsia="Arial" w:hAnsi="Arial"/>
          <w:sz w:val="12"/>
          <w:szCs w:val="12"/>
          <w:color w:val="auto"/>
        </w:rPr>
        <w:t xml:space="preserve"> enables the targeting of multiple antigens or cells by using a single molecule with an antibody-like structure, and also includes the ability to recruit any T cell in a patient’s body to destroy targeted cancer cells. We have created over 100 DART-based molecules, or DARTs, which we believe improve upon the human immune system and have more potent immune properties than the parent antibody molecules from which they are derived.</w:t>
      </w:r>
    </w:p>
    <w:p>
      <w:pPr>
        <w:spacing w:after="0" w:line="104" w:lineRule="exact"/>
        <w:rPr>
          <w:rFonts w:ascii="Arial" w:cs="Arial" w:eastAsia="Arial" w:hAnsi="Arial"/>
          <w:sz w:val="12"/>
          <w:szCs w:val="12"/>
          <w:color w:val="auto"/>
        </w:rPr>
      </w:pPr>
    </w:p>
    <w:p>
      <w:pPr>
        <w:ind w:left="1520" w:hanging="558"/>
        <w:spacing w:after="0" w:line="255" w:lineRule="auto"/>
        <w:tabs>
          <w:tab w:leader="none" w:pos="1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Fc Optimization platform</w:t>
      </w:r>
      <w:r>
        <w:rPr>
          <w:rFonts w:ascii="Arial" w:cs="Arial" w:eastAsia="Arial" w:hAnsi="Arial"/>
          <w:sz w:val="14"/>
          <w:szCs w:val="14"/>
          <w:color w:val="auto"/>
        </w:rPr>
        <w:t xml:space="preserve"> enhances the body’s immune system to mediate the killing of cancer cells through a mechanism called antibody-dependent cellular cytotoxicity, or ADCC, in which antibodies and immune cells cooperate to destroy targets such as tumor cells. To date, we have successfully incorporated our Fc Optimization technology into our two lead oncology product candidates and have pre-clinical data demonstrating that these antibodies have substantially greater ability to kill cancer cells than similar antibodies that have not been Fc-optimized.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220" w:top="386" w:right="3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2433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3770" cy="24339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520" w:right="140" w:hanging="558"/>
        <w:spacing w:after="0" w:line="258" w:lineRule="auto"/>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Cancer Stem-like Cell, or CSLC, platform</w:t>
      </w:r>
      <w:r>
        <w:rPr>
          <w:rFonts w:ascii="Arial" w:cs="Arial" w:eastAsia="Arial" w:hAnsi="Arial"/>
          <w:sz w:val="14"/>
          <w:szCs w:val="14"/>
          <w:color w:val="auto"/>
        </w:rPr>
        <w:t xml:space="preserve"> provides a unique discovery tool to identify cancer targets shared both by tumor-initiating cells and the differentiated cancer cells derived from them. Using this platform, we can create antibodies or antibody-derived molecules that specifically target and destroy CSLCs, potentially enabling us to address the large, unmet medical needs of many cancers that are difficult to treat.</w:t>
      </w:r>
    </w:p>
    <w:p>
      <w:pPr>
        <w:spacing w:after="0" w:line="108" w:lineRule="exact"/>
        <w:rPr>
          <w:sz w:val="20"/>
          <w:szCs w:val="20"/>
          <w:color w:val="auto"/>
        </w:rPr>
      </w:pPr>
    </w:p>
    <w:p>
      <w:pPr>
        <w:ind w:left="180" w:right="20" w:firstLine="778"/>
        <w:spacing w:after="0" w:line="302" w:lineRule="auto"/>
        <w:rPr>
          <w:sz w:val="20"/>
          <w:szCs w:val="20"/>
          <w:color w:val="auto"/>
        </w:rPr>
      </w:pPr>
      <w:r>
        <w:rPr>
          <w:rFonts w:ascii="Arial" w:cs="Arial" w:eastAsia="Arial" w:hAnsi="Arial"/>
          <w:sz w:val="12"/>
          <w:szCs w:val="12"/>
          <w:color w:val="auto"/>
        </w:rPr>
        <w:t>We utilize one or more of our technology platforms for engineering and optimizing our antibody and antibody-derived product candidates. Many of our cancer product candidates are derived from our library of over 1,900 purified antibodies. We believe our approach allows us to take advantage of the enhanced properties of an engineered antibody or antibody-derived molecule to kill cancer cells and to interfere with autoimmune disorders more effectively than a wild type, or non-engineered, monoclonal antibody. Our methods for improving the effectiveness of antibodies include the following: enhancing the body’s immune system; targeting multiple antigens on the surface of the same target cell; increasing the strength of the binding of an antibody to its antigen targets; and reducing the likelihood of an unwanted immune response to the antibody or antibody-derived molecule. We believe our differentiated product candidates have the potential to provide new approaches to treat cancer, autoimmune disorders and other complex diseases and to improve clinical outcomes.</w:t>
      </w:r>
    </w:p>
    <w:p>
      <w:pPr>
        <w:spacing w:after="0" w:line="86" w:lineRule="exact"/>
        <w:rPr>
          <w:sz w:val="20"/>
          <w:szCs w:val="20"/>
          <w:color w:val="auto"/>
        </w:rPr>
      </w:pPr>
    </w:p>
    <w:p>
      <w:pPr>
        <w:ind w:left="180" w:firstLine="778"/>
        <w:spacing w:after="0" w:line="253" w:lineRule="auto"/>
        <w:rPr>
          <w:sz w:val="20"/>
          <w:szCs w:val="20"/>
          <w:color w:val="auto"/>
        </w:rPr>
      </w:pPr>
      <w:r>
        <w:rPr>
          <w:rFonts w:ascii="Arial" w:cs="Arial" w:eastAsia="Arial" w:hAnsi="Arial"/>
          <w:sz w:val="14"/>
          <w:szCs w:val="14"/>
          <w:color w:val="auto"/>
        </w:rPr>
        <w:t>We have entered into strategic collaborations with Les Laboratoires Servier and Institut de Recherches Servier, or collectively, Servier, Gilead Sciences, Inc., or Gilead, Boehringer Ingelheim International GmbH, or Boehringer, and Pfizer, Inc., or Pfizer, among others. Under our current strategic collaborations, we have received approximately $106 million in non-equity funding during the three year period ended June 30, 2013. Under these agreements we are entitled to receive substantial milestone and other payments, including over $100 million of potential payments that we believe are likely to be received by the end of 2015, assuming all of our collaboration programs advance as currently contemplated. As of June 30, 2013, we had $33.8 million in cash and cash equivalents. Subsequently, we received a $10 million milestone payment in August 2013.</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Our Product Candidates</w:t>
      </w:r>
    </w:p>
    <w:p>
      <w:pPr>
        <w:spacing w:after="0" w:line="134" w:lineRule="exact"/>
        <w:rPr>
          <w:sz w:val="20"/>
          <w:szCs w:val="20"/>
          <w:color w:val="auto"/>
        </w:rPr>
      </w:pPr>
    </w:p>
    <w:p>
      <w:pPr>
        <w:ind w:left="180" w:right="20" w:firstLine="778"/>
        <w:spacing w:after="0" w:line="258" w:lineRule="auto"/>
        <w:rPr>
          <w:sz w:val="20"/>
          <w:szCs w:val="20"/>
          <w:color w:val="auto"/>
        </w:rPr>
      </w:pPr>
      <w:r>
        <w:rPr>
          <w:rFonts w:ascii="Arial" w:cs="Arial" w:eastAsia="Arial" w:hAnsi="Arial"/>
          <w:sz w:val="14"/>
          <w:szCs w:val="14"/>
          <w:color w:val="auto"/>
        </w:rPr>
        <w:t>We currently have two oncology product candidates in clinical development. Additionally, we have several proprietary product candidates in pre-clinical development and we expect to commence Phase 1 clinical trials on two of these product candidates in 2014. We believe the profile of our compounds provides us with the flexibility to pursue either monotherapy or combination therapy, depending on disease characteristics, current standards of care, and overall safety, tolerability and efficacy of specific regimens.</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220" w:top="386" w:right="3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4304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3770" cy="43046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table below depicts the current status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0" w:right="80" w:hanging="323"/>
        <w:spacing w:after="0" w:line="297" w:lineRule="auto"/>
        <w:tabs>
          <w:tab w:leader="none" w:pos="14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Margetuximab</w:t>
      </w:r>
      <w:r>
        <w:rPr>
          <w:rFonts w:ascii="Arial" w:cs="Arial" w:eastAsia="Arial" w:hAnsi="Arial"/>
          <w:sz w:val="12"/>
          <w:szCs w:val="12"/>
          <w:color w:val="auto"/>
        </w:rPr>
        <w:t>, also known as MGAH22, is a monoclonal antibody that targets HER2-expressing tumors, including breast, gastroesophageal, bladder and other cancers. HER2, or</w:t>
      </w:r>
      <w:r>
        <w:rPr>
          <w:rFonts w:ascii="Arial" w:cs="Arial" w:eastAsia="Arial" w:hAnsi="Arial"/>
          <w:sz w:val="12"/>
          <w:szCs w:val="12"/>
          <w:i w:val="1"/>
          <w:iCs w:val="1"/>
          <w:color w:val="auto"/>
        </w:rPr>
        <w:t xml:space="preserve"> </w:t>
      </w:r>
      <w:r>
        <w:rPr>
          <w:rFonts w:ascii="Arial" w:cs="Arial" w:eastAsia="Arial" w:hAnsi="Arial"/>
          <w:sz w:val="12"/>
          <w:szCs w:val="12"/>
          <w:color w:val="auto"/>
        </w:rPr>
        <w:t>human epidermal growth factor receptor 2, is critical for the growth of many types of tumors. Using our Fc Optimization platform, we have engineered the constant region, or Fc region, of margetuximab to enhance the antibody’s ability to kill tumor cells expressing lower levels of HER2 than that of currently approved anti-HER2 agents (such as Herceptin) and also to increase margetuximab’s ability to kill tumor cells through ADCC. We designed margetuximab to benefit a large sub-group of patients, which represents 80% or more of the overall population whose Fc receptors, or FcgRs, expressed on immune cells bind less effectively to currently available antibodies that have not been optimized by our technology. Margetuximab represents a new class of bio-betters that may potentially help larger HER2 positive, or HER2+, patient populations than those treated with current HER2 therapies, as well as improve the outcomes for patients who would be eligible for other HER2 targeted drugs and drug candidates. Phase 1 data from our open-label, dose escalation trial of margetuximab presented at the June 2013 Annual Meeting of the American Society of Clinical Oncology, or ASCO, demonstrated that anti-tumor activity had been observed at a range of doses tested, including the lowest dose level, even in patients who were heavily pre-treated (frequently including with other anti-HER2 agents). We currently are enrolling a Phase 2a clinical trial in metastatic breast cancer and anticipate commencing a Phase 3 potential registration clinical trial in advanced gastroesophageal cancer in the second half of 2014.</w:t>
      </w:r>
    </w:p>
    <w:p>
      <w:pPr>
        <w:spacing w:after="0" w:line="287" w:lineRule="exact"/>
        <w:rPr>
          <w:rFonts w:ascii="Arial" w:cs="Arial" w:eastAsia="Arial" w:hAnsi="Arial"/>
          <w:sz w:val="12"/>
          <w:szCs w:val="12"/>
          <w:color w:val="auto"/>
        </w:rPr>
      </w:pPr>
    </w:p>
    <w:p>
      <w:pPr>
        <w:ind w:left="1400" w:hanging="323"/>
        <w:spacing w:after="0" w:line="305" w:lineRule="auto"/>
        <w:tabs>
          <w:tab w:leader="none" w:pos="14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MGA271 </w:t>
      </w:r>
      <w:r>
        <w:rPr>
          <w:rFonts w:ascii="Arial" w:cs="Arial" w:eastAsia="Arial" w:hAnsi="Arial"/>
          <w:sz w:val="12"/>
          <w:szCs w:val="12"/>
          <w:color w:val="auto"/>
        </w:rPr>
        <w:t>is an Fc-optimized monoclonal antibody that targets B7-H3, a member of the B7 family of molecules which are involved in immune regulation, and is over-expressed on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wide variety of solid tumor types. MGA271 represents one of the few novel molecules that may provide relief from immune checkpoint inhibition by releasing a restraint, or brake, on the anti-tumor immune response. Inhibition of immune checkpoints has been shown to have powerful anti-tumor effects in several solid tumor types. For example, in presentations by others at ASCO and in publications in the </w:t>
      </w:r>
      <w:r>
        <w:rPr>
          <w:rFonts w:ascii="Arial" w:cs="Arial" w:eastAsia="Arial" w:hAnsi="Arial"/>
          <w:sz w:val="12"/>
          <w:szCs w:val="12"/>
          <w:i w:val="1"/>
          <w:iCs w:val="1"/>
          <w:color w:val="auto"/>
        </w:rPr>
        <w:t>New England Journal of Medicine,</w:t>
      </w:r>
      <w:r>
        <w:rPr>
          <w:rFonts w:ascii="Arial" w:cs="Arial" w:eastAsia="Arial" w:hAnsi="Arial"/>
          <w:sz w:val="12"/>
          <w:szCs w:val="12"/>
          <w:color w:val="auto"/>
        </w:rPr>
        <w:t xml:space="preserve"> complete or partial tumor regression was observed in patients with certain cancers who participated in clinical trials of antibodies targeting CTLA4, PD-1 and PD-L1, which are also members of the B7 family or their associated checkpoint receptors on</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220" w:top="386"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3575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3770" cy="35750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20"/>
        <w:spacing w:after="0" w:line="255" w:lineRule="auto"/>
        <w:rPr>
          <w:sz w:val="20"/>
          <w:szCs w:val="20"/>
          <w:color w:val="auto"/>
        </w:rPr>
      </w:pPr>
      <w:r>
        <w:rPr>
          <w:rFonts w:ascii="Arial" w:cs="Arial" w:eastAsia="Arial" w:hAnsi="Arial"/>
          <w:sz w:val="14"/>
          <w:szCs w:val="14"/>
          <w:color w:val="auto"/>
        </w:rPr>
        <w:t>T cells. We have engineered MGA271 to utilize the same Fc Optimization enhancements that we incorporated in margetuximab, and to target the over-expression of B7-H3 on differentiated tumor cells and CSLCs, as well as on the supporting tumor vasculature and underlying tissues. MGA271 is designed to destroy all of these components of the cancer in addition to reducing its inhibitory properties on T cells. We have initiated a Phase 1 clinical trial that we expect to complete by the end of 2014. We plan to initiate a Phase 2 clinical trial no later than early 2015.</w:t>
      </w:r>
    </w:p>
    <w:p>
      <w:pPr>
        <w:spacing w:after="0" w:line="141" w:lineRule="exact"/>
        <w:rPr>
          <w:sz w:val="20"/>
          <w:szCs w:val="20"/>
          <w:color w:val="auto"/>
        </w:rPr>
      </w:pPr>
    </w:p>
    <w:p>
      <w:pPr>
        <w:ind w:left="1400" w:right="80" w:hanging="323"/>
        <w:spacing w:after="0" w:line="321" w:lineRule="auto"/>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MGD006 </w:t>
      </w:r>
      <w:r>
        <w:rPr>
          <w:rFonts w:ascii="Arial" w:cs="Arial" w:eastAsia="Arial" w:hAnsi="Arial"/>
          <w:sz w:val="12"/>
          <w:szCs w:val="12"/>
          <w:color w:val="auto"/>
        </w:rPr>
        <w:t>is a humanized DART molecule that recognizes both CD123 and CD3. CD123, the Interleukin-3 receptor, or IL3R, alpha chain is expressed on leukemia and leukemic</w:t>
      </w:r>
      <w:r>
        <w:rPr>
          <w:rFonts w:ascii="Arial" w:cs="Arial" w:eastAsia="Arial" w:hAnsi="Arial"/>
          <w:sz w:val="12"/>
          <w:szCs w:val="12"/>
          <w:i w:val="1"/>
          <w:iCs w:val="1"/>
          <w:color w:val="auto"/>
        </w:rPr>
        <w:t xml:space="preserve"> </w:t>
      </w:r>
      <w:r>
        <w:rPr>
          <w:rFonts w:ascii="Arial" w:cs="Arial" w:eastAsia="Arial" w:hAnsi="Arial"/>
          <w:sz w:val="12"/>
          <w:szCs w:val="12"/>
          <w:color w:val="auto"/>
        </w:rPr>
        <w:t>stem cells, but not on normal hematopoietic stem cells. T cells, which express CD3, can destroy tumor cells. In pre-clinical studies, we have demonstrated the ability of MGD006 at extremely low doses to recruit, activate, and expand T cell populations to eliminate leukemia cells. We expect to commence a Phase 1 clinical trial in the first half of 2014.</w:t>
      </w:r>
    </w:p>
    <w:p>
      <w:pPr>
        <w:spacing w:after="0" w:line="104" w:lineRule="exact"/>
        <w:rPr>
          <w:rFonts w:ascii="Arial" w:cs="Arial" w:eastAsia="Arial" w:hAnsi="Arial"/>
          <w:sz w:val="12"/>
          <w:szCs w:val="12"/>
          <w:color w:val="auto"/>
        </w:rPr>
      </w:pPr>
    </w:p>
    <w:p>
      <w:pPr>
        <w:ind w:left="1400" w:right="40" w:hanging="323"/>
        <w:spacing w:after="0" w:line="258" w:lineRule="auto"/>
        <w:tabs>
          <w:tab w:leader="none" w:pos="140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MGD007 </w:t>
      </w:r>
      <w:r>
        <w:rPr>
          <w:rFonts w:ascii="Arial" w:cs="Arial" w:eastAsia="Arial" w:hAnsi="Arial"/>
          <w:sz w:val="14"/>
          <w:szCs w:val="14"/>
          <w:color w:val="auto"/>
        </w:rPr>
        <w:t>is a humanized DART molecule that recognizes both the glycoprotein gpA33 and CD3. gpA33 is expressed on gastrointestinal tumors, including more than 95% of human</w:t>
      </w:r>
      <w:r>
        <w:rPr>
          <w:rFonts w:ascii="Arial" w:cs="Arial" w:eastAsia="Arial" w:hAnsi="Arial"/>
          <w:sz w:val="14"/>
          <w:szCs w:val="14"/>
          <w:i w:val="1"/>
          <w:iCs w:val="1"/>
          <w:color w:val="auto"/>
        </w:rPr>
        <w:t xml:space="preserve"> </w:t>
      </w:r>
      <w:r>
        <w:rPr>
          <w:rFonts w:ascii="Arial" w:cs="Arial" w:eastAsia="Arial" w:hAnsi="Arial"/>
          <w:sz w:val="14"/>
          <w:szCs w:val="14"/>
          <w:color w:val="auto"/>
        </w:rPr>
        <w:t>colon cancers. We have demonstrated that this molecule is able to mediate T cell killing of gpA33-expressing cancer cells and CSLCs in pre-clinical experiments. We expect to commence a Phase 1 clinical trial in the second half of 2014.</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Our Collaborations</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We have entered into several strategic collaborations for our product candidates and technology platforms, including:</w:t>
      </w:r>
    </w:p>
    <w:p>
      <w:pPr>
        <w:spacing w:after="0" w:line="163" w:lineRule="exact"/>
        <w:rPr>
          <w:sz w:val="20"/>
          <w:szCs w:val="20"/>
          <w:color w:val="auto"/>
        </w:rPr>
      </w:pPr>
    </w:p>
    <w:p>
      <w:pPr>
        <w:ind w:left="1400" w:hanging="323"/>
        <w:spacing w:after="0" w:line="311" w:lineRule="auto"/>
        <w:tabs>
          <w:tab w:leader="none" w:pos="140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Servier</w:t>
      </w:r>
      <w:r>
        <w:rPr>
          <w:rFonts w:ascii="Arial" w:cs="Arial" w:eastAsia="Arial" w:hAnsi="Arial"/>
          <w:sz w:val="12"/>
          <w:szCs w:val="12"/>
          <w:color w:val="auto"/>
        </w:rPr>
        <w:t>. In November 2011, we entered into a collaboration agreement with Servier under which we granted Servier an option to obtain an exclusive license to develop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commercialize MGA271 in all countries other than the United States, Canada, Mexico, Japan, South Korea and India. We have received a $20 million option grant fee and a $10 million milestone payment, and may be eligible to receive up to approximately $415 million in license grant fees, and clinical, development, regulatory and sales milestone payments if Servier exercises the option, obtains regulatory approval for, and successfully commercializes MGA271.</w:t>
      </w:r>
    </w:p>
    <w:p>
      <w:pPr>
        <w:spacing w:after="0" w:line="78" w:lineRule="exact"/>
        <w:rPr>
          <w:rFonts w:ascii="Arial" w:cs="Arial" w:eastAsia="Arial" w:hAnsi="Arial"/>
          <w:sz w:val="12"/>
          <w:szCs w:val="12"/>
          <w:color w:val="auto"/>
        </w:rPr>
      </w:pPr>
    </w:p>
    <w:p>
      <w:pPr>
        <w:ind w:left="1420" w:right="100"/>
        <w:spacing w:after="0" w:line="253" w:lineRule="auto"/>
        <w:rPr>
          <w:rFonts w:ascii="Arial" w:cs="Arial" w:eastAsia="Arial" w:hAnsi="Arial"/>
          <w:sz w:val="12"/>
          <w:szCs w:val="12"/>
          <w:color w:val="auto"/>
        </w:rPr>
      </w:pPr>
      <w:r>
        <w:rPr>
          <w:rFonts w:ascii="Arial" w:cs="Arial" w:eastAsia="Arial" w:hAnsi="Arial"/>
          <w:sz w:val="14"/>
          <w:szCs w:val="14"/>
          <w:color w:val="auto"/>
        </w:rPr>
        <w:t>In September 2012, we entered into a second agreement with Servier and granted it options to obtain three separate exclusive licenses to develop and commercialize DART-based molecules, consisting of those designated by us as MGD006 and MGD007, as well as a third DART-based molecule, in all countries other than the United States, Canada, Mexico, Japan, South Korea and India. We received a $20 million option grant fee and may be eligible to receive up to approximately $1 billion in additional license grant fees, and clinical, development, regulatory and sales milestone payments if Servier exercises all three of its options and successfully develops, obtains regulatory approval for and commercializes a product under each license.</w:t>
      </w:r>
    </w:p>
    <w:p>
      <w:pPr>
        <w:spacing w:after="0" w:line="112" w:lineRule="exact"/>
        <w:rPr>
          <w:rFonts w:ascii="Arial" w:cs="Arial" w:eastAsia="Arial" w:hAnsi="Arial"/>
          <w:sz w:val="12"/>
          <w:szCs w:val="12"/>
          <w:color w:val="auto"/>
        </w:rPr>
      </w:pPr>
    </w:p>
    <w:p>
      <w:pPr>
        <w:ind w:left="1420"/>
        <w:spacing w:after="0"/>
        <w:rPr>
          <w:rFonts w:ascii="Arial" w:cs="Arial" w:eastAsia="Arial" w:hAnsi="Arial"/>
          <w:sz w:val="12"/>
          <w:szCs w:val="12"/>
          <w:color w:val="auto"/>
        </w:rPr>
      </w:pPr>
      <w:r>
        <w:rPr>
          <w:rFonts w:ascii="Arial" w:cs="Arial" w:eastAsia="Arial" w:hAnsi="Arial"/>
          <w:sz w:val="14"/>
          <w:szCs w:val="14"/>
          <w:color w:val="auto"/>
        </w:rPr>
        <w:t>Additionally, under both agreements, Servier would be obligated to pay us low double digit to mid-teen royalties on product sales in its territories.</w:t>
      </w:r>
    </w:p>
    <w:p>
      <w:pPr>
        <w:spacing w:after="0" w:line="162" w:lineRule="exact"/>
        <w:rPr>
          <w:rFonts w:ascii="Arial" w:cs="Arial" w:eastAsia="Arial" w:hAnsi="Arial"/>
          <w:sz w:val="12"/>
          <w:szCs w:val="12"/>
          <w:color w:val="auto"/>
        </w:rPr>
      </w:pPr>
    </w:p>
    <w:p>
      <w:pPr>
        <w:ind w:left="1400" w:right="220" w:hanging="323"/>
        <w:spacing w:after="0" w:line="321" w:lineRule="auto"/>
        <w:tabs>
          <w:tab w:leader="none" w:pos="140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Gilead. </w:t>
      </w:r>
      <w:r>
        <w:rPr>
          <w:rFonts w:ascii="Arial" w:cs="Arial" w:eastAsia="Arial" w:hAnsi="Arial"/>
          <w:sz w:val="12"/>
          <w:szCs w:val="12"/>
          <w:color w:val="auto"/>
        </w:rPr>
        <w:t>In January 2013, we entered into an agreement with Gilead to grant it an exclusive worldwide license to research, develop and commercialize up to four DART-based</w:t>
      </w:r>
      <w:r>
        <w:rPr>
          <w:rFonts w:ascii="Arial" w:cs="Arial" w:eastAsia="Arial" w:hAnsi="Arial"/>
          <w:sz w:val="12"/>
          <w:szCs w:val="12"/>
          <w:i w:val="1"/>
          <w:iCs w:val="1"/>
          <w:color w:val="auto"/>
        </w:rPr>
        <w:t xml:space="preserve"> </w:t>
      </w:r>
      <w:r>
        <w:rPr>
          <w:rFonts w:ascii="Arial" w:cs="Arial" w:eastAsia="Arial" w:hAnsi="Arial"/>
          <w:sz w:val="12"/>
          <w:szCs w:val="12"/>
          <w:color w:val="auto"/>
        </w:rPr>
        <w:t>molecules. Gilead has exclusive worldwide rights for three of the programs. For one program, we retain development and commercialization rights outside of North America, the European Union, Norway, Iceland, Turkey, Australia and New Zealand. We received an initial $7.5 million license grant fee</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220" w:top="386" w:right="3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3601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3770" cy="36017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20"/>
        <w:spacing w:after="0" w:line="351" w:lineRule="auto"/>
        <w:rPr>
          <w:sz w:val="20"/>
          <w:szCs w:val="20"/>
          <w:color w:val="auto"/>
        </w:rPr>
      </w:pPr>
      <w:r>
        <w:rPr>
          <w:rFonts w:ascii="Arial" w:cs="Arial" w:eastAsia="Arial" w:hAnsi="Arial"/>
          <w:sz w:val="12"/>
          <w:szCs w:val="12"/>
          <w:color w:val="auto"/>
        </w:rPr>
        <w:t>for the first DART-based molecule, and are eligible to receive up to an additional $22.5 million in grant fees on the remaining three DART-based molecules. We are further eligible to receive up to an additional $85 million in pre-clinical milestones across the four DART programs and additional clinical, regulatory and sales milestones and royalty payments.</w:t>
      </w:r>
    </w:p>
    <w:p>
      <w:pPr>
        <w:spacing w:after="0" w:line="87" w:lineRule="exact"/>
        <w:rPr>
          <w:sz w:val="20"/>
          <w:szCs w:val="20"/>
          <w:color w:val="auto"/>
        </w:rPr>
      </w:pPr>
    </w:p>
    <w:p>
      <w:pPr>
        <w:ind w:left="1400" w:right="20" w:hanging="323"/>
        <w:spacing w:after="0" w:line="311" w:lineRule="auto"/>
        <w:tabs>
          <w:tab w:leader="none" w:pos="140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Boehringer</w:t>
      </w:r>
      <w:r>
        <w:rPr>
          <w:rFonts w:ascii="Arial" w:cs="Arial" w:eastAsia="Arial" w:hAnsi="Arial"/>
          <w:sz w:val="12"/>
          <w:szCs w:val="12"/>
          <w:color w:val="auto"/>
        </w:rPr>
        <w:t>. In October 2010, we entered into an agreement with Boehringer to discover, develop and commercialize up to ten DART-based molecules which may span multiple</w:t>
      </w:r>
      <w:r>
        <w:rPr>
          <w:rFonts w:ascii="Arial" w:cs="Arial" w:eastAsia="Arial" w:hAnsi="Arial"/>
          <w:sz w:val="12"/>
          <w:szCs w:val="12"/>
          <w:i w:val="1"/>
          <w:iCs w:val="1"/>
          <w:color w:val="auto"/>
        </w:rPr>
        <w:t xml:space="preserve"> </w:t>
      </w:r>
      <w:r>
        <w:rPr>
          <w:rFonts w:ascii="Arial" w:cs="Arial" w:eastAsia="Arial" w:hAnsi="Arial"/>
          <w:sz w:val="12"/>
          <w:szCs w:val="12"/>
          <w:color w:val="auto"/>
        </w:rPr>
        <w:t>therapeutic areas. We granted Boehringer an exclusive worldwide, royalty-bearing, license and received an upfront payment of $15 million. We subsequently received two annual maintenance payments and anticipate receiving a third annual maintenance payment in the fourth quarter of 2013. We have the potential to earn development, regulatory and sales milestones and royalty payments for each of the DART programs under this agreement. Boehringer provides funding for our internal and external research costs under the agreement.</w:t>
      </w:r>
    </w:p>
    <w:p>
      <w:pPr>
        <w:spacing w:after="0" w:line="110" w:lineRule="exact"/>
        <w:rPr>
          <w:rFonts w:ascii="Arial" w:cs="Arial" w:eastAsia="Arial" w:hAnsi="Arial"/>
          <w:sz w:val="12"/>
          <w:szCs w:val="12"/>
          <w:color w:val="auto"/>
        </w:rPr>
      </w:pPr>
    </w:p>
    <w:p>
      <w:pPr>
        <w:ind w:left="1400" w:right="80" w:hanging="323"/>
        <w:spacing w:after="0" w:line="311" w:lineRule="auto"/>
        <w:tabs>
          <w:tab w:leader="none" w:pos="140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Pfizer. </w:t>
      </w:r>
      <w:r>
        <w:rPr>
          <w:rFonts w:ascii="Arial" w:cs="Arial" w:eastAsia="Arial" w:hAnsi="Arial"/>
          <w:sz w:val="12"/>
          <w:szCs w:val="12"/>
          <w:color w:val="auto"/>
        </w:rPr>
        <w:t>In October 2010, we entered into a three year agreement with Pfizer to discover, develop and commercialize up to two DART-based molecules. We granted Pfizer a non-exclusive worldwide, royalty-bearing license and received upfront and milestone payments and funding for our internal and external research costs under the agreement. We are eligible to receive technical, development and sales milestones and royalty payments for each DART program under this agreement. Under this collaboration, one DART program is currently being pursued and we will complete our research obligations under this program in October 2013.</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Our Strategy</w:t>
      </w:r>
    </w:p>
    <w:p>
      <w:pPr>
        <w:spacing w:after="0" w:line="134" w:lineRule="exact"/>
        <w:rPr>
          <w:sz w:val="20"/>
          <w:szCs w:val="20"/>
          <w:color w:val="auto"/>
        </w:rPr>
      </w:pPr>
    </w:p>
    <w:p>
      <w:pPr>
        <w:ind w:left="180" w:right="300" w:firstLine="778"/>
        <w:spacing w:after="0" w:line="267" w:lineRule="auto"/>
        <w:rPr>
          <w:sz w:val="20"/>
          <w:szCs w:val="20"/>
          <w:color w:val="auto"/>
        </w:rPr>
      </w:pPr>
      <w:r>
        <w:rPr>
          <w:rFonts w:ascii="Arial" w:cs="Arial" w:eastAsia="Arial" w:hAnsi="Arial"/>
          <w:sz w:val="14"/>
          <w:szCs w:val="14"/>
          <w:color w:val="auto"/>
        </w:rPr>
        <w:t>Our goal is to be a leader in the discovery, development and commercialization of antibody-based therapeutics for the treatment of patients with cancer, autoimmune disorders and other complex diseases.</w:t>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Key elements of our strategy to achieve this goal are to:</w:t>
      </w:r>
    </w:p>
    <w:p>
      <w:pPr>
        <w:spacing w:after="0" w:line="163" w:lineRule="exact"/>
        <w:rPr>
          <w:sz w:val="20"/>
          <w:szCs w:val="20"/>
          <w:color w:val="auto"/>
        </w:rPr>
      </w:pPr>
    </w:p>
    <w:p>
      <w:pPr>
        <w:ind w:left="1400" w:right="40" w:hanging="323"/>
        <w:spacing w:after="0" w:line="300" w:lineRule="auto"/>
        <w:tabs>
          <w:tab w:leader="none" w:pos="14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Rapidly and concurrently advance our clinical oncology product candidates in multiple tumor types. </w:t>
      </w:r>
      <w:r>
        <w:rPr>
          <w:rFonts w:ascii="Arial" w:cs="Arial" w:eastAsia="Arial" w:hAnsi="Arial"/>
          <w:sz w:val="12"/>
          <w:szCs w:val="12"/>
          <w:color w:val="auto"/>
        </w:rPr>
        <w:t>We intend to pursue the fastest feasible pathways to approval and to address</w:t>
      </w:r>
      <w:r>
        <w:rPr>
          <w:rFonts w:ascii="Arial" w:cs="Arial" w:eastAsia="Arial" w:hAnsi="Arial"/>
          <w:sz w:val="12"/>
          <w:szCs w:val="12"/>
          <w:i w:val="1"/>
          <w:iCs w:val="1"/>
          <w:color w:val="auto"/>
        </w:rPr>
        <w:t xml:space="preserve"> </w:t>
      </w:r>
      <w:r>
        <w:rPr>
          <w:rFonts w:ascii="Arial" w:cs="Arial" w:eastAsia="Arial" w:hAnsi="Arial"/>
          <w:sz w:val="12"/>
          <w:szCs w:val="12"/>
          <w:color w:val="auto"/>
        </w:rPr>
        <w:t>large, underserved markets. We are developing product candidates that we believe could address disease specific challenges which are not currently being met by existing therapies. We are currently enrolling a Phase 2a clinical trial of margetuximab in metastatic breast cancer for which we expect to have results in 2014. We anticipate commencing a Phase 3 potential registration clinical trial of margetuximab in advanced gastroesophageal cancer in the second half of 2014. We are currently enrolling the dose-expansion portion of a Phase 1 clinical trial of MGA271 as a single-agent in the treatment of 45 patients with solid tumors. In addition, we are currently optimizing multiple DART therapeutics as candidates for clinical development. We anticipate that we will begin Phase 1 clinical trials of MGD006, our first DART candidate, in the first half of 2014, and MGD007, our second DART candidate, in the second half of 2014.</w:t>
      </w:r>
    </w:p>
    <w:p>
      <w:pPr>
        <w:spacing w:after="0" w:line="119" w:lineRule="exact"/>
        <w:rPr>
          <w:rFonts w:ascii="Arial" w:cs="Arial" w:eastAsia="Arial" w:hAnsi="Arial"/>
          <w:sz w:val="12"/>
          <w:szCs w:val="12"/>
          <w:color w:val="auto"/>
        </w:rPr>
      </w:pPr>
    </w:p>
    <w:p>
      <w:pPr>
        <w:ind w:left="1400" w:hanging="323"/>
        <w:spacing w:after="0" w:line="305" w:lineRule="auto"/>
        <w:tabs>
          <w:tab w:leader="none" w:pos="14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Leverage collaborative relationships. </w:t>
      </w:r>
      <w:r>
        <w:rPr>
          <w:rFonts w:ascii="Arial" w:cs="Arial" w:eastAsia="Arial" w:hAnsi="Arial"/>
          <w:sz w:val="12"/>
          <w:szCs w:val="12"/>
          <w:color w:val="auto"/>
        </w:rPr>
        <w:t>We have multiple programs in development under our collaborations and are working closely with our collaborators to advance these programs.</w:t>
      </w:r>
      <w:r>
        <w:rPr>
          <w:rFonts w:ascii="Arial" w:cs="Arial" w:eastAsia="Arial" w:hAnsi="Arial"/>
          <w:sz w:val="12"/>
          <w:szCs w:val="12"/>
          <w:i w:val="1"/>
          <w:iCs w:val="1"/>
          <w:color w:val="auto"/>
        </w:rPr>
        <w:t xml:space="preserve"> </w:t>
      </w:r>
      <w:r>
        <w:rPr>
          <w:rFonts w:ascii="Arial" w:cs="Arial" w:eastAsia="Arial" w:hAnsi="Arial"/>
          <w:sz w:val="12"/>
          <w:szCs w:val="12"/>
          <w:color w:val="auto"/>
        </w:rPr>
        <w:t>We believe that these collaborations help to validate and rapidly advance our discovery efforts, technology platforms, and product candidates while providing significant funding to advance our pipeline and access to the development and commercial expertise of our collaborators. To facilitate the capital-efficient development and commercialization of our proprietary programs, we intend to enter into additional collaboration agreements with biopharmaceutical companies. We anticipate that we would structure these collaborations in ways that would allow us to retain development and commercialization rights in key markets.</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220" w:top="386" w:right="3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3495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3770" cy="349567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00" w:right="20" w:hanging="323"/>
        <w:spacing w:after="0" w:line="321" w:lineRule="auto"/>
        <w:tabs>
          <w:tab w:leader="none" w:pos="140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Create new product candidates that combine the potency and target selectivity of our DART and Fc Optimization technologies with small molecule and toxin conjugation technologies</w:t>
      </w:r>
      <w:r>
        <w:rPr>
          <w:rFonts w:ascii="Arial" w:cs="Arial" w:eastAsia="Arial" w:hAnsi="Arial"/>
          <w:sz w:val="12"/>
          <w:szCs w:val="12"/>
          <w:color w:val="auto"/>
        </w:rPr>
        <w:t>. We are working with several companies to combine their proprietary linkers and drug conjugates with our monoclonal antibodies and our DART molecules. Our goal is</w:t>
      </w:r>
      <w:r>
        <w:rPr>
          <w:rFonts w:ascii="Arial" w:cs="Arial" w:eastAsia="Arial" w:hAnsi="Arial"/>
          <w:sz w:val="12"/>
          <w:szCs w:val="12"/>
          <w:i w:val="1"/>
          <w:iCs w:val="1"/>
          <w:color w:val="auto"/>
        </w:rPr>
        <w:t xml:space="preserve"> </w:t>
      </w:r>
      <w:r>
        <w:rPr>
          <w:rFonts w:ascii="Arial" w:cs="Arial" w:eastAsia="Arial" w:hAnsi="Arial"/>
          <w:sz w:val="12"/>
          <w:szCs w:val="12"/>
          <w:color w:val="auto"/>
        </w:rPr>
        <w:t>to identify and further develop new clinical product candidates, either antibody-drug conjugates, or ADCs, or DART-drug conjugates, through these research efforts.</w:t>
      </w:r>
    </w:p>
    <w:p>
      <w:pPr>
        <w:spacing w:after="0" w:line="104" w:lineRule="exact"/>
        <w:rPr>
          <w:rFonts w:ascii="Arial" w:cs="Arial" w:eastAsia="Arial" w:hAnsi="Arial"/>
          <w:sz w:val="12"/>
          <w:szCs w:val="12"/>
          <w:color w:val="auto"/>
        </w:rPr>
      </w:pPr>
    </w:p>
    <w:p>
      <w:pPr>
        <w:ind w:left="1400" w:hanging="323"/>
        <w:spacing w:after="0" w:line="258" w:lineRule="auto"/>
        <w:tabs>
          <w:tab w:leader="none" w:pos="140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Establish commercialization and marketing capabilities in the United States</w:t>
      </w:r>
      <w:r>
        <w:rPr>
          <w:rFonts w:ascii="Arial" w:cs="Arial" w:eastAsia="Arial" w:hAnsi="Arial"/>
          <w:sz w:val="14"/>
          <w:szCs w:val="14"/>
          <w:color w:val="auto"/>
        </w:rPr>
        <w:t>. We have retained commercialization rights in the United States for our clinical stage programs as well as</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DART programs that we are developing in collaboration with Servier. We intend to build a targeted specialty sales force and marketing capabilities in the United States to commercialize our product candidates that receive regulatory approval.</w:t>
      </w:r>
    </w:p>
    <w:p>
      <w:pPr>
        <w:spacing w:after="0" w:line="138" w:lineRule="exact"/>
        <w:rPr>
          <w:rFonts w:ascii="Arial" w:cs="Arial" w:eastAsia="Arial" w:hAnsi="Arial"/>
          <w:sz w:val="14"/>
          <w:szCs w:val="14"/>
          <w:color w:val="auto"/>
        </w:rPr>
      </w:pPr>
    </w:p>
    <w:p>
      <w:pPr>
        <w:ind w:left="1400" w:right="140" w:hanging="323"/>
        <w:spacing w:after="0" w:line="311" w:lineRule="auto"/>
        <w:tabs>
          <w:tab w:leader="none" w:pos="140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Strengthen our leadership position in fully integrated antibody engineering and development capabilities. </w:t>
      </w:r>
      <w:r>
        <w:rPr>
          <w:rFonts w:ascii="Arial" w:cs="Arial" w:eastAsia="Arial" w:hAnsi="Arial"/>
          <w:sz w:val="12"/>
          <w:szCs w:val="12"/>
          <w:color w:val="auto"/>
        </w:rPr>
        <w:t>We have built a powerful and fully integrated set of capabilities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critical to our ability to discover, optimize and develop antibody-based therapeutic product candidates in a rapid and efficient manner. We currently manufacture the drug substance for all of our product candidates at our manufacturing facility. We intend to build on our technology platforms, methods and know-how that together comprise our capabilities in order to expand our product pipeline. Our goal is to file one or more new investigational new drug applications, or INDs, annually for the next several years.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Risk Factors</w:t>
      </w:r>
    </w:p>
    <w:p>
      <w:pPr>
        <w:spacing w:after="0" w:line="134" w:lineRule="exact"/>
        <w:rPr>
          <w:sz w:val="20"/>
          <w:szCs w:val="20"/>
          <w:color w:val="auto"/>
        </w:rPr>
      </w:pPr>
    </w:p>
    <w:p>
      <w:pPr>
        <w:ind w:left="180" w:right="120" w:firstLine="778"/>
        <w:spacing w:after="0" w:line="267" w:lineRule="auto"/>
        <w:rPr>
          <w:sz w:val="20"/>
          <w:szCs w:val="20"/>
          <w:color w:val="auto"/>
        </w:rPr>
      </w:pPr>
      <w:r>
        <w:rPr>
          <w:rFonts w:ascii="Arial" w:cs="Arial" w:eastAsia="Arial" w:hAnsi="Arial"/>
          <w:sz w:val="14"/>
          <w:szCs w:val="14"/>
          <w:color w:val="auto"/>
        </w:rPr>
        <w:t>Investing in our common stock involves substantial risk. You should carefully consider all of the information in this prospectus prior to investing in our common stock. There are numerous risk factors related to our business that are described under “Risk Factors” and elsewhere in this prospectus. Among these important risks are the following:</w:t>
      </w:r>
    </w:p>
    <w:p>
      <w:pPr>
        <w:spacing w:after="0" w:line="133" w:lineRule="exact"/>
        <w:rPr>
          <w:sz w:val="20"/>
          <w:szCs w:val="20"/>
          <w:color w:val="auto"/>
        </w:rPr>
      </w:pPr>
    </w:p>
    <w:p>
      <w:pPr>
        <w:ind w:left="1400" w:hanging="323"/>
        <w:spacing w:after="0"/>
        <w:tabs>
          <w:tab w:leader="none" w:pos="1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clinical trials may not be successful, and clinical results may not reflect results seen in previously conducted pre-clinical studies;</w:t>
      </w:r>
    </w:p>
    <w:p>
      <w:pPr>
        <w:spacing w:after="0" w:line="162" w:lineRule="exact"/>
        <w:rPr>
          <w:rFonts w:ascii="Arial" w:cs="Arial" w:eastAsia="Arial" w:hAnsi="Arial"/>
          <w:sz w:val="14"/>
          <w:szCs w:val="14"/>
          <w:color w:val="auto"/>
        </w:rPr>
      </w:pPr>
    </w:p>
    <w:p>
      <w:pPr>
        <w:ind w:left="1400" w:right="120" w:hanging="323"/>
        <w:spacing w:after="0" w:line="267" w:lineRule="auto"/>
        <w:tabs>
          <w:tab w:leader="none" w:pos="1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do not have adequate funding to complete development in some areas, and may be unable to access additional capital on reasonable terms or at all to complete development and begin commercialization of our product candidates;</w:t>
      </w:r>
    </w:p>
    <w:p>
      <w:pPr>
        <w:spacing w:after="0" w:line="132" w:lineRule="exact"/>
        <w:rPr>
          <w:rFonts w:ascii="Arial" w:cs="Arial" w:eastAsia="Arial" w:hAnsi="Arial"/>
          <w:sz w:val="14"/>
          <w:szCs w:val="14"/>
          <w:color w:val="auto"/>
        </w:rPr>
      </w:pPr>
    </w:p>
    <w:p>
      <w:pPr>
        <w:ind w:left="1400" w:right="160" w:hanging="323"/>
        <w:spacing w:after="0" w:line="267" w:lineRule="auto"/>
        <w:tabs>
          <w:tab w:leader="none" w:pos="1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current or future collaborators may not adequately support development in designated areas, or they may elect to change their strategic or business priorities, and these changes may have an adverse impact on us, our development plans, or our business;</w:t>
      </w:r>
    </w:p>
    <w:p>
      <w:pPr>
        <w:spacing w:after="0" w:line="132" w:lineRule="exact"/>
        <w:rPr>
          <w:rFonts w:ascii="Arial" w:cs="Arial" w:eastAsia="Arial" w:hAnsi="Arial"/>
          <w:sz w:val="14"/>
          <w:szCs w:val="14"/>
          <w:color w:val="auto"/>
        </w:rPr>
      </w:pPr>
    </w:p>
    <w:p>
      <w:pPr>
        <w:ind w:left="1400" w:hanging="323"/>
        <w:spacing w:after="0"/>
        <w:tabs>
          <w:tab w:leader="none" w:pos="1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encounter unexpected regulatory changes that delay or impede our development and commercialization efforts;</w:t>
      </w:r>
    </w:p>
    <w:p>
      <w:pPr>
        <w:spacing w:after="0" w:line="162" w:lineRule="exact"/>
        <w:rPr>
          <w:rFonts w:ascii="Arial" w:cs="Arial" w:eastAsia="Arial" w:hAnsi="Arial"/>
          <w:sz w:val="14"/>
          <w:szCs w:val="14"/>
          <w:color w:val="auto"/>
        </w:rPr>
      </w:pPr>
    </w:p>
    <w:p>
      <w:pPr>
        <w:ind w:left="1400" w:right="520" w:hanging="323"/>
        <w:spacing w:after="0" w:line="267" w:lineRule="auto"/>
        <w:tabs>
          <w:tab w:leader="none" w:pos="1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not be able to obtain adequate protection for the intellectual property covering our product candidates or develop and commercialize our product candidates without infringing on the intellectual property rights of third parties;</w:t>
      </w:r>
    </w:p>
    <w:p>
      <w:pPr>
        <w:spacing w:after="0" w:line="132" w:lineRule="exact"/>
        <w:rPr>
          <w:rFonts w:ascii="Arial" w:cs="Arial" w:eastAsia="Arial" w:hAnsi="Arial"/>
          <w:sz w:val="14"/>
          <w:szCs w:val="14"/>
          <w:color w:val="auto"/>
        </w:rPr>
      </w:pPr>
    </w:p>
    <w:p>
      <w:pPr>
        <w:ind w:left="1400" w:hanging="323"/>
        <w:spacing w:after="0"/>
        <w:tabs>
          <w:tab w:leader="none" w:pos="1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 reimbursement may be challenging for us due to recent and proposed changes in healthcare law;</w:t>
      </w: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220" w:top="386" w:right="3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139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3770" cy="13925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00" w:hanging="323"/>
        <w:spacing w:after="0"/>
        <w:tabs>
          <w:tab w:leader="none" w:pos="1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encounter manufacturing and distribution challenges; and</w:t>
      </w:r>
    </w:p>
    <w:p>
      <w:pPr>
        <w:spacing w:after="0" w:line="162" w:lineRule="exact"/>
        <w:rPr>
          <w:rFonts w:ascii="Arial" w:cs="Arial" w:eastAsia="Arial" w:hAnsi="Arial"/>
          <w:sz w:val="14"/>
          <w:szCs w:val="14"/>
          <w:color w:val="auto"/>
        </w:rPr>
      </w:pPr>
    </w:p>
    <w:p>
      <w:pPr>
        <w:ind w:left="1400" w:hanging="323"/>
        <w:spacing w:after="0"/>
        <w:tabs>
          <w:tab w:leader="none" w:pos="1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be unable to recruit or retain well qualified personnel who are necessary for us to conduct our business.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Our Corporate Information</w:t>
      </w:r>
    </w:p>
    <w:p>
      <w:pPr>
        <w:spacing w:after="0" w:line="134" w:lineRule="exact"/>
        <w:rPr>
          <w:sz w:val="20"/>
          <w:szCs w:val="20"/>
          <w:color w:val="auto"/>
        </w:rPr>
      </w:pPr>
    </w:p>
    <w:p>
      <w:pPr>
        <w:ind w:left="180" w:firstLine="778"/>
        <w:spacing w:after="0" w:line="258" w:lineRule="auto"/>
        <w:rPr>
          <w:sz w:val="20"/>
          <w:szCs w:val="20"/>
          <w:color w:val="auto"/>
        </w:rPr>
      </w:pPr>
      <w:r>
        <w:rPr>
          <w:rFonts w:ascii="Arial" w:cs="Arial" w:eastAsia="Arial" w:hAnsi="Arial"/>
          <w:sz w:val="14"/>
          <w:szCs w:val="14"/>
          <w:color w:val="auto"/>
        </w:rPr>
        <w:t>We were incorporated under the laws of the state of Delaware in 2000 under the name MacroGenics, Inc. Our principal executive offices are located at 9640 Medical Center Drive, Rockville, Maryland 20850 and our telephone number is (301) 251-5172. Our website address is www.macrogenics.com. The information contained on, or that can be accessed through, our website is not a part of this prospectus. We have included our website address in this prospectus solely as an inactive textual reference.</w:t>
      </w:r>
    </w:p>
    <w:p>
      <w:pPr>
        <w:spacing w:after="0" w:line="108" w:lineRule="exact"/>
        <w:rPr>
          <w:sz w:val="20"/>
          <w:szCs w:val="20"/>
          <w:color w:val="auto"/>
        </w:rPr>
      </w:pPr>
    </w:p>
    <w:p>
      <w:pPr>
        <w:ind w:left="180" w:right="300" w:firstLine="778"/>
        <w:spacing w:after="0" w:line="267" w:lineRule="auto"/>
        <w:rPr>
          <w:sz w:val="20"/>
          <w:szCs w:val="20"/>
          <w:color w:val="auto"/>
        </w:rPr>
      </w:pPr>
      <w:r>
        <w:rPr>
          <w:rFonts w:ascii="Arial" w:cs="Arial" w:eastAsia="Arial" w:hAnsi="Arial"/>
          <w:sz w:val="14"/>
          <w:szCs w:val="14"/>
          <w:color w:val="auto"/>
        </w:rPr>
        <w:t>DART</w:t>
      </w:r>
      <w:r>
        <w:rPr>
          <w:rFonts w:ascii="Arial" w:cs="Arial" w:eastAsia="Arial" w:hAnsi="Arial"/>
          <w:sz w:val="8"/>
          <w:szCs w:val="8"/>
          <w:color w:val="auto"/>
        </w:rPr>
        <w:t>®</w:t>
      </w:r>
      <w:r>
        <w:rPr>
          <w:rFonts w:ascii="Arial" w:cs="Arial" w:eastAsia="Arial" w:hAnsi="Arial"/>
          <w:sz w:val="14"/>
          <w:szCs w:val="14"/>
          <w:color w:val="auto"/>
        </w:rPr>
        <w:t>, the phrase “Breakthrough Biologics, Life-Changing Medicines” and the MacroGenics logo are our registered trademarks. The other trademarks, trade names and service marks appearing in this prospectus are the property of their respective owners.</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220" w:top="386" w:right="3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4132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3770" cy="41325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THE OFFERING</w:t>
      </w:r>
    </w:p>
    <w:p>
      <w:pPr>
        <w:sectPr>
          <w:pgSz w:w="11900" w:h="16838" w:orient="portrait"/>
          <w:cols w:equalWidth="0" w:num="1">
            <w:col w:w="11240"/>
          </w:cols>
          <w:pgMar w:left="220" w:top="386" w:right="439" w:bottom="1440" w:gutter="0" w:footer="0" w:header="0"/>
        </w:sectPr>
      </w:pPr>
    </w:p>
    <w:p>
      <w:pPr>
        <w:spacing w:after="0" w:line="18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shares</w:t>
      </w:r>
    </w:p>
    <w:p>
      <w:pPr>
        <w:spacing w:after="0" w:line="207" w:lineRule="exact"/>
        <w:rPr>
          <w:sz w:val="20"/>
          <w:szCs w:val="20"/>
          <w:color w:val="auto"/>
        </w:rPr>
      </w:pPr>
    </w:p>
    <w:p>
      <w:pPr>
        <w:sectPr>
          <w:pgSz w:w="11900" w:h="16838" w:orient="portrait"/>
          <w:cols w:equalWidth="0" w:num="2">
            <w:col w:w="5240" w:space="720"/>
            <w:col w:w="5280"/>
          </w:cols>
          <w:pgMar w:left="220" w:top="386" w:right="439" w:bottom="1440" w:gutter="0" w:footer="0" w:header="0"/>
          <w:type w:val="continuous"/>
        </w:sectPr>
      </w:pPr>
    </w:p>
    <w:p>
      <w:pPr>
        <w:ind w:left="180"/>
        <w:spacing w:after="0"/>
        <w:rPr>
          <w:sz w:val="20"/>
          <w:szCs w:val="20"/>
          <w:color w:val="auto"/>
        </w:rPr>
      </w:pPr>
      <w:r>
        <w:rPr>
          <w:rFonts w:ascii="Arial" w:cs="Arial" w:eastAsia="Arial" w:hAnsi="Arial"/>
          <w:sz w:val="12"/>
          <w:szCs w:val="12"/>
          <w:color w:val="auto"/>
        </w:rPr>
        <w:t>Over-allotment option</w:t>
      </w:r>
    </w:p>
    <w:p>
      <w:pPr>
        <w:spacing w:after="0" w:line="20" w:lineRule="exact"/>
        <w:rPr>
          <w:sz w:val="20"/>
          <w:szCs w:val="20"/>
          <w:color w:val="auto"/>
        </w:rPr>
      </w:pPr>
      <w:r>
        <w:rPr>
          <w:sz w:val="20"/>
          <w:szCs w:val="20"/>
          <w:color w:val="auto"/>
        </w:rPr>
        <w:br w:type="column"/>
      </w:r>
    </w:p>
    <w:p>
      <w:pPr>
        <w:jc w:val="center"/>
        <w:ind w:right="4940"/>
        <w:spacing w:after="0"/>
        <w:rPr>
          <w:sz w:val="20"/>
          <w:szCs w:val="20"/>
          <w:color w:val="auto"/>
        </w:rPr>
      </w:pPr>
      <w:r>
        <w:rPr>
          <w:rFonts w:ascii="Arial" w:cs="Arial" w:eastAsia="Arial" w:hAnsi="Arial"/>
          <w:sz w:val="11"/>
          <w:szCs w:val="11"/>
          <w:color w:val="auto"/>
        </w:rPr>
        <w:t>shares</w:t>
      </w:r>
    </w:p>
    <w:p>
      <w:pPr>
        <w:spacing w:after="0" w:line="207" w:lineRule="exact"/>
        <w:rPr>
          <w:sz w:val="20"/>
          <w:szCs w:val="20"/>
          <w:color w:val="auto"/>
        </w:rPr>
      </w:pPr>
    </w:p>
    <w:p>
      <w:pPr>
        <w:sectPr>
          <w:pgSz w:w="11900" w:h="16838" w:orient="portrait"/>
          <w:cols w:equalWidth="0" w:num="2">
            <w:col w:w="5240" w:space="720"/>
            <w:col w:w="5280"/>
          </w:cols>
          <w:pgMar w:left="220" w:top="386" w:right="439" w:bottom="1440" w:gutter="0" w:footer="0" w:header="0"/>
          <w:type w:val="continuous"/>
        </w:sectPr>
      </w:pPr>
    </w:p>
    <w:p>
      <w:pPr>
        <w:ind w:left="180"/>
        <w:spacing w:after="0"/>
        <w:rPr>
          <w:sz w:val="20"/>
          <w:szCs w:val="20"/>
          <w:color w:val="auto"/>
        </w:rPr>
      </w:pPr>
      <w:r>
        <w:rPr>
          <w:rFonts w:ascii="Arial" w:cs="Arial" w:eastAsia="Arial" w:hAnsi="Arial"/>
          <w:sz w:val="12"/>
          <w:szCs w:val="12"/>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shares</w:t>
      </w:r>
    </w:p>
    <w:p>
      <w:pPr>
        <w:spacing w:after="0" w:line="207" w:lineRule="exact"/>
        <w:rPr>
          <w:sz w:val="20"/>
          <w:szCs w:val="20"/>
          <w:color w:val="auto"/>
        </w:rPr>
      </w:pPr>
    </w:p>
    <w:p>
      <w:pPr>
        <w:sectPr>
          <w:pgSz w:w="11900" w:h="16838" w:orient="portrait"/>
          <w:cols w:equalWidth="0" w:num="2">
            <w:col w:w="5240" w:space="720"/>
            <w:col w:w="5280"/>
          </w:cols>
          <w:pgMar w:left="220" w:top="386" w:right="439" w:bottom="1440" w:gutter="0" w:footer="0" w:header="0"/>
          <w:type w:val="continuous"/>
        </w:sectPr>
      </w:pPr>
    </w:p>
    <w:p>
      <w:pPr>
        <w:ind w:left="18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Arial" w:cs="Arial" w:eastAsia="Arial" w:hAnsi="Arial"/>
          <w:sz w:val="12"/>
          <w:szCs w:val="12"/>
          <w:color w:val="auto"/>
        </w:rPr>
        <w:t>We intend to use $ of the net proceeds of this offering to fund clinical development expenses for margetuximab and MGA271; $ to fund research and development expenses to advance our remaining product candidates, including MGD006, MGD007 and MGD010, as well as other earlier stage programs; and the remainder for working capital and general corporate purposes, which may include in-licensing or acquiring other products or technologies. See “Use of Proceeds.”</w:t>
      </w:r>
    </w:p>
    <w:p>
      <w:pPr>
        <w:spacing w:after="0" w:line="126" w:lineRule="exact"/>
        <w:rPr>
          <w:sz w:val="20"/>
          <w:szCs w:val="20"/>
          <w:color w:val="auto"/>
        </w:rPr>
      </w:pPr>
    </w:p>
    <w:p>
      <w:pPr>
        <w:sectPr>
          <w:pgSz w:w="11900" w:h="16838" w:orient="portrait"/>
          <w:cols w:equalWidth="0" w:num="2">
            <w:col w:w="4800" w:space="720"/>
            <w:col w:w="5720"/>
          </w:cols>
          <w:pgMar w:left="220" w:top="386" w:right="439" w:bottom="1440" w:gutter="0" w:footer="0" w:header="0"/>
          <w:type w:val="continuous"/>
        </w:sectPr>
      </w:pPr>
    </w:p>
    <w:p>
      <w:pPr>
        <w:ind w:left="180"/>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ind w:right="100"/>
        <w:spacing w:after="0" w:line="267" w:lineRule="auto"/>
        <w:rPr>
          <w:sz w:val="20"/>
          <w:szCs w:val="20"/>
          <w:color w:val="auto"/>
        </w:rPr>
      </w:pPr>
      <w:r>
        <w:rPr>
          <w:rFonts w:ascii="Arial" w:cs="Arial" w:eastAsia="Arial" w:hAnsi="Arial"/>
          <w:sz w:val="14"/>
          <w:szCs w:val="14"/>
          <w:color w:val="auto"/>
        </w:rPr>
        <w:t>See “Risk Factors” and the other information included in this prospectus for a discussion of factors you should consider carefully before investing in shares of our common stock.</w:t>
      </w:r>
    </w:p>
    <w:p>
      <w:pPr>
        <w:spacing w:after="0" w:line="143" w:lineRule="exact"/>
        <w:rPr>
          <w:sz w:val="20"/>
          <w:szCs w:val="20"/>
          <w:color w:val="auto"/>
        </w:rPr>
      </w:pPr>
    </w:p>
    <w:p>
      <w:pPr>
        <w:sectPr>
          <w:pgSz w:w="11900" w:h="16838" w:orient="portrait"/>
          <w:cols w:equalWidth="0" w:num="2">
            <w:col w:w="4800" w:space="720"/>
            <w:col w:w="5720"/>
          </w:cols>
          <w:pgMar w:left="220" w:top="386" w:right="439" w:bottom="1440" w:gutter="0" w:footer="0" w:header="0"/>
          <w:type w:val="continuous"/>
        </w:sectPr>
      </w:pPr>
    </w:p>
    <w:p>
      <w:pPr>
        <w:ind w:left="180"/>
        <w:spacing w:after="0"/>
        <w:rPr>
          <w:sz w:val="20"/>
          <w:szCs w:val="20"/>
          <w:color w:val="auto"/>
        </w:rPr>
      </w:pPr>
      <w:r>
        <w:rPr>
          <w:rFonts w:ascii="Arial" w:cs="Arial" w:eastAsia="Arial" w:hAnsi="Arial"/>
          <w:sz w:val="12"/>
          <w:szCs w:val="12"/>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“MGNX”</w:t>
      </w:r>
    </w:p>
    <w:p>
      <w:pPr>
        <w:spacing w:after="0" w:line="132" w:lineRule="exact"/>
        <w:rPr>
          <w:sz w:val="20"/>
          <w:szCs w:val="20"/>
          <w:color w:val="auto"/>
        </w:rPr>
      </w:pPr>
    </w:p>
    <w:p>
      <w:pPr>
        <w:sectPr>
          <w:pgSz w:w="11900" w:h="16838" w:orient="portrait"/>
          <w:cols w:equalWidth="0" w:num="2">
            <w:col w:w="4800" w:space="720"/>
            <w:col w:w="5720"/>
          </w:cols>
          <w:pgMar w:left="220" w:top="386" w:right="439" w:bottom="1440" w:gutter="0" w:footer="0" w:header="0"/>
          <w:type w:val="continuous"/>
        </w:sectPr>
      </w:pPr>
    </w:p>
    <w:p>
      <w:pPr>
        <w:ind w:left="960"/>
        <w:spacing w:after="0"/>
        <w:rPr>
          <w:sz w:val="20"/>
          <w:szCs w:val="20"/>
          <w:color w:val="auto"/>
        </w:rPr>
      </w:pPr>
      <w:r>
        <w:rPr>
          <w:rFonts w:ascii="Arial" w:cs="Arial" w:eastAsia="Arial" w:hAnsi="Arial"/>
          <w:sz w:val="12"/>
          <w:szCs w:val="12"/>
          <w:color w:val="auto"/>
        </w:rPr>
        <w:t>The number of shares of our common stock to be outstanding after this offering is based on 36,836,099 shares of our common stock outstanding as of June 30, 2013 and excludes:</w:t>
      </w:r>
    </w:p>
    <w:p>
      <w:pPr>
        <w:spacing w:after="0" w:line="186" w:lineRule="exact"/>
        <w:rPr>
          <w:sz w:val="20"/>
          <w:szCs w:val="20"/>
          <w:color w:val="auto"/>
        </w:rPr>
      </w:pPr>
    </w:p>
    <w:p>
      <w:pPr>
        <w:ind w:left="1400" w:right="60" w:hanging="323"/>
        <w:spacing w:after="0" w:line="267" w:lineRule="auto"/>
        <w:tabs>
          <w:tab w:leader="none" w:pos="1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51,879,146 shares of common stock issuable upon the exercise of outstanding options to issue common stock, as of June 30, 2013, at a weighted average exercise price of $0.05 per share; and</w:t>
      </w:r>
    </w:p>
    <w:p>
      <w:pPr>
        <w:spacing w:after="0" w:line="132" w:lineRule="exact"/>
        <w:rPr>
          <w:rFonts w:ascii="Arial" w:cs="Arial" w:eastAsia="Arial" w:hAnsi="Arial"/>
          <w:sz w:val="14"/>
          <w:szCs w:val="14"/>
          <w:color w:val="auto"/>
        </w:rPr>
      </w:pPr>
    </w:p>
    <w:p>
      <w:pPr>
        <w:ind w:left="1400" w:hanging="323"/>
        <w:spacing w:after="0"/>
        <w:tabs>
          <w:tab w:leader="none" w:pos="1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5,342,394 shares of common stock reserved for future grant or issuance under our stock option plans, as of June 30, 2013.</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4"/>
          <w:szCs w:val="14"/>
          <w:color w:val="auto"/>
        </w:rPr>
        <w:t>Unless otherwise indicated, all information in this prospectus reflects and assumes:</w:t>
      </w:r>
    </w:p>
    <w:p>
      <w:pPr>
        <w:spacing w:after="0" w:line="163" w:lineRule="exact"/>
        <w:rPr>
          <w:sz w:val="20"/>
          <w:szCs w:val="20"/>
          <w:color w:val="auto"/>
        </w:rPr>
      </w:pPr>
    </w:p>
    <w:p>
      <w:pPr>
        <w:ind w:left="1400" w:hanging="323"/>
        <w:spacing w:after="0"/>
        <w:tabs>
          <w:tab w:leader="none" w:pos="14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automatic conversion of all outstanding shares of our convertible preferred stock into 318,327,547 shares of common stock upon the closing of this offering;</w:t>
      </w:r>
    </w:p>
    <w:p>
      <w:pPr>
        <w:sectPr>
          <w:pgSz w:w="11900" w:h="16838" w:orient="portrait"/>
          <w:cols w:equalWidth="0" w:num="1">
            <w:col w:w="11240"/>
          </w:cols>
          <w:pgMar w:left="220" w:top="386" w:right="439" w:bottom="1440" w:gutter="0" w:footer="0" w:header="0"/>
          <w:type w:val="continuous"/>
        </w:sectPr>
      </w:pP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exercise of outstanding warrants, as of June 30, 2013 to purchase shares of our Series D-2 preferred stock, at a weighted average exercise price of $0.6521 per share and the subsequent conversion of these shares of our Series D-2 preferred stock into shares of our common stock;</w:t>
      </w:r>
    </w:p>
    <w:p>
      <w:pPr>
        <w:spacing w:after="0" w:line="133" w:lineRule="exact"/>
        <w:rPr>
          <w:sz w:val="20"/>
          <w:szCs w:val="20"/>
          <w:color w:val="auto"/>
        </w:rPr>
      </w:pPr>
    </w:p>
    <w:p>
      <w:pPr>
        <w:sectPr>
          <w:pgSz w:w="11900" w:h="16838" w:orient="portrait"/>
          <w:cols w:equalWidth="0" w:num="2">
            <w:col w:w="1120" w:space="280"/>
            <w:col w:w="9840"/>
          </w:cols>
          <w:pgMar w:left="220" w:top="386" w:right="439" w:bottom="1440" w:gutter="0" w:footer="0" w:header="0"/>
          <w:type w:val="continuous"/>
        </w:sectPr>
      </w:pPr>
    </w:p>
    <w:p>
      <w:pPr>
        <w:ind w:left="10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 exercise by the underwriters of their option to purchase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additional shares of common stock;</w:t>
      </w:r>
    </w:p>
    <w:p>
      <w:pPr>
        <w:spacing w:after="0" w:line="186" w:lineRule="exact"/>
        <w:rPr>
          <w:sz w:val="20"/>
          <w:szCs w:val="20"/>
          <w:color w:val="auto"/>
        </w:rPr>
      </w:pPr>
    </w:p>
    <w:p>
      <w:pPr>
        <w:sectPr>
          <w:pgSz w:w="11900" w:h="16838" w:orient="portrait"/>
          <w:cols w:equalWidth="0" w:num="3">
            <w:col w:w="1120" w:space="280"/>
            <w:col w:w="3480" w:space="440"/>
            <w:col w:w="5920"/>
          </w:cols>
          <w:pgMar w:left="220" w:top="386" w:right="439" w:bottom="1440" w:gutter="0" w:footer="0" w:header="0"/>
          <w:type w:val="continuous"/>
        </w:sectPr>
      </w:pPr>
    </w:p>
    <w:p>
      <w:pPr>
        <w:ind w:left="10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reverse split of our common stock effected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 2013; and</w:t>
      </w:r>
    </w:p>
    <w:p>
      <w:pPr>
        <w:spacing w:after="0" w:line="197" w:lineRule="exact"/>
        <w:rPr>
          <w:sz w:val="20"/>
          <w:szCs w:val="20"/>
          <w:color w:val="auto"/>
        </w:rPr>
      </w:pPr>
    </w:p>
    <w:p>
      <w:pPr>
        <w:sectPr>
          <w:pgSz w:w="11900" w:h="16838" w:orient="portrait"/>
          <w:cols w:equalWidth="0" w:num="4">
            <w:col w:w="1120" w:space="280"/>
            <w:col w:w="380" w:space="180"/>
            <w:col w:w="2500" w:space="440"/>
            <w:col w:w="6340"/>
          </w:cols>
          <w:pgMar w:left="220" w:top="386" w:right="439" w:bottom="1440" w:gutter="0" w:footer="0" w:header="0"/>
          <w:type w:val="continuous"/>
        </w:sectPr>
      </w:pPr>
    </w:p>
    <w:p>
      <w:pPr>
        <w:ind w:left="5700" w:right="3560" w:hanging="4623"/>
        <w:spacing w:after="0" w:line="625" w:lineRule="auto"/>
        <w:tabs>
          <w:tab w:leader="none" w:pos="14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filing of our amended and restated certificate of incorporation immediately after the completion of this offering. 8</w:t>
      </w:r>
    </w:p>
    <w:p>
      <w:pPr>
        <w:sectPr>
          <w:pgSz w:w="11900" w:h="16838" w:orient="portrait"/>
          <w:cols w:equalWidth="0" w:num="1">
            <w:col w:w="11240"/>
          </w:cols>
          <w:pgMar w:left="220" w:top="386" w:right="4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3900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3770" cy="390017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CONSOLIDATED FINANCIAL DATA</w:t>
      </w:r>
    </w:p>
    <w:p>
      <w:pPr>
        <w:spacing w:after="0" w:line="134" w:lineRule="exact"/>
        <w:rPr>
          <w:sz w:val="20"/>
          <w:szCs w:val="20"/>
          <w:color w:val="auto"/>
        </w:rPr>
      </w:pPr>
    </w:p>
    <w:p>
      <w:pPr>
        <w:ind w:left="180" w:right="220" w:firstLine="778"/>
        <w:spacing w:after="0" w:line="299" w:lineRule="auto"/>
        <w:rPr>
          <w:sz w:val="20"/>
          <w:szCs w:val="20"/>
          <w:color w:val="auto"/>
        </w:rPr>
      </w:pPr>
      <w:r>
        <w:rPr>
          <w:rFonts w:ascii="Arial" w:cs="Arial" w:eastAsia="Arial" w:hAnsi="Arial"/>
          <w:sz w:val="12"/>
          <w:szCs w:val="12"/>
          <w:color w:val="auto"/>
        </w:rPr>
        <w:t>The following tables summarize our consolidated financial data for the periods presented and should be read together with “Management’s Discussion and Analysis of Financial Condition and Results of Operations” and our consolidated financial statements and related notes appearing elsewhere in this prospectus. The consolidated statements of operations and comprehensive income (loss) data for the years ended December 31, 2011 and 2012 included in this prospectus have been derived from our audited consolidated financial statements and footnotes included elsewhere in this prospectus. The following summary consolidated statements of operations and comprehensive income (loss) data for the six months ended June 30, 2012 and 2013 and the balance sheet data as of June 30, 2013 have been derived from our unaudited consolidated financial statements and footnotes included elsewhere in this prospectus. We have prepared the unaudited consolidated financial statements on the same basis as the audited consolidated financial statements and have included all adjustments, consisting only of normal recurring adjustments, which in our opinion are necessary to state fairly the financial information set forth in those statements. Our historical results are not necessarily indicative of the results we expect in the future, and our interim results should not necessarily be considered indicative of results we expect for the full year.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7"/>
          </w:tcPr>
          <w:p>
            <w:pPr>
              <w:jc w:val="right"/>
              <w:ind w:right="492"/>
              <w:spacing w:after="0"/>
              <w:rPr>
                <w:sz w:val="20"/>
                <w:szCs w:val="20"/>
                <w:color w:val="auto"/>
              </w:rPr>
            </w:pPr>
            <w:r>
              <w:rPr>
                <w:rFonts w:ascii="Arial" w:cs="Arial" w:eastAsia="Arial" w:hAnsi="Arial"/>
                <w:sz w:val="10"/>
                <w:szCs w:val="10"/>
                <w:b w:val="1"/>
                <w:bCs w:val="1"/>
                <w:color w:val="auto"/>
                <w:w w:val="96"/>
              </w:rPr>
              <w:t>Year Ended December 31,</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8"/>
          </w:tcPr>
          <w:p>
            <w:pPr>
              <w:ind w:left="4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05"/>
        </w:trPr>
        <w:tc>
          <w:tcPr>
            <w:tcW w:w="2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2011</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bottom w:val="single" w:sz="8" w:color="auto"/>
            </w:tcBorders>
            <w:vMerge w:val="restart"/>
          </w:tcPr>
          <w:p>
            <w:pPr>
              <w:jc w:val="right"/>
              <w:ind w:right="174"/>
              <w:spacing w:after="0"/>
              <w:rPr>
                <w:sz w:val="20"/>
                <w:szCs w:val="20"/>
                <w:color w:val="auto"/>
              </w:rPr>
            </w:pPr>
            <w:r>
              <w:rPr>
                <w:rFonts w:ascii="Arial" w:cs="Arial" w:eastAsia="Arial" w:hAnsi="Arial"/>
                <w:sz w:val="10"/>
                <w:szCs w:val="10"/>
                <w:b w:val="1"/>
                <w:bCs w:val="1"/>
                <w:color w:val="auto"/>
              </w:rPr>
              <w:t>(unaudited)</w:t>
            </w:r>
          </w:p>
        </w:tc>
        <w:tc>
          <w:tcPr>
            <w:tcW w:w="1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2013</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10"/>
            <w:vMerge w:val="restart"/>
          </w:tcPr>
          <w:p>
            <w:pPr>
              <w:jc w:val="right"/>
              <w:ind w:right="40"/>
              <w:spacing w:after="0"/>
              <w:rPr>
                <w:sz w:val="20"/>
                <w:szCs w:val="20"/>
                <w:color w:val="auto"/>
              </w:rPr>
            </w:pPr>
            <w:r>
              <w:rPr>
                <w:rFonts w:ascii="Arial" w:cs="Arial" w:eastAsia="Arial" w:hAnsi="Arial"/>
                <w:sz w:val="10"/>
                <w:szCs w:val="10"/>
                <w:b w:val="1"/>
                <w:bCs w:val="1"/>
                <w:color w:val="auto"/>
                <w:w w:val="95"/>
              </w:rPr>
              <w:t>(in thousands, except share and per share data)</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10"/>
            <w:vMerge w:val="continue"/>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Consolidated Statements of Operations and Comprehensive Income (loss):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Total revenues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57,207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63,826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37,946</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22,896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Research and development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41,089</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45,433</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24,957</w:t>
            </w:r>
          </w:p>
        </w:tc>
        <w:tc>
          <w:tcPr>
            <w:tcW w:w="92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21,146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General and administrative</w:t>
            </w:r>
          </w:p>
        </w:tc>
        <w:tc>
          <w:tcPr>
            <w:tcW w:w="6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10,868</w:t>
            </w:r>
          </w:p>
        </w:tc>
        <w:tc>
          <w:tcPr>
            <w:tcW w:w="8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10,188</w:t>
            </w:r>
          </w:p>
        </w:tc>
        <w:tc>
          <w:tcPr>
            <w:tcW w:w="8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5,126</w:t>
            </w:r>
          </w:p>
        </w:tc>
        <w:tc>
          <w:tcPr>
            <w:tcW w:w="92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5,336</w:t>
            </w:r>
          </w:p>
        </w:tc>
        <w:tc>
          <w:tcPr>
            <w:tcW w:w="8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00" w:type="dxa"/>
            <w:vAlign w:val="bottom"/>
            <w:gridSpan w:val="2"/>
          </w:tcPr>
          <w:p>
            <w:pPr>
              <w:ind w:left="180"/>
              <w:spacing w:after="0"/>
              <w:rPr>
                <w:sz w:val="20"/>
                <w:szCs w:val="20"/>
                <w:color w:val="auto"/>
              </w:rPr>
            </w:pPr>
            <w:r>
              <w:rPr>
                <w:rFonts w:ascii="Arial" w:cs="Arial" w:eastAsia="Arial" w:hAnsi="Arial"/>
                <w:sz w:val="14"/>
                <w:szCs w:val="14"/>
                <w:color w:val="auto"/>
              </w:rPr>
              <w:t>Total costs and expenses</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51,957</w:t>
            </w: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55,621</w:t>
            </w: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30,083</w:t>
            </w:r>
          </w:p>
        </w:tc>
        <w:tc>
          <w:tcPr>
            <w:tcW w:w="920" w:type="dxa"/>
            <w:vAlign w:val="bottom"/>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26,482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8,205</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7,863</w:t>
            </w:r>
          </w:p>
        </w:tc>
        <w:tc>
          <w:tcPr>
            <w:tcW w:w="92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(3,586)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Other income (expense):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income (expense)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2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Other income (expense)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1,459</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151</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jc w:val="right"/>
              <w:ind w:right="20"/>
              <w:spacing w:after="0"/>
              <w:rPr>
                <w:sz w:val="20"/>
                <w:szCs w:val="20"/>
                <w:color w:val="auto"/>
              </w:rPr>
            </w:pPr>
            <w:r>
              <w:rPr>
                <w:rFonts w:ascii="Arial" w:cs="Arial" w:eastAsia="Arial" w:hAnsi="Arial"/>
                <w:sz w:val="14"/>
                <w:szCs w:val="14"/>
                <w:color w:val="auto"/>
                <w:w w:val="85"/>
              </w:rPr>
              <w:t>—</w:t>
            </w:r>
          </w:p>
        </w:tc>
        <w:tc>
          <w:tcPr>
            <w:tcW w:w="920" w:type="dxa"/>
            <w:vAlign w:val="bottom"/>
          </w:tcPr>
          <w:p>
            <w:pPr>
              <w:spacing w:after="0"/>
              <w:rPr>
                <w:sz w:val="14"/>
                <w:szCs w:val="14"/>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(72)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0" w:type="dxa"/>
            <w:vAlign w:val="bottom"/>
            <w:vMerge w:val="continue"/>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(expense)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2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(74)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80"/>
              <w:spacing w:after="0"/>
              <w:rPr>
                <w:sz w:val="20"/>
                <w:szCs w:val="20"/>
                <w:color w:val="auto"/>
              </w:rPr>
            </w:pPr>
            <w:r>
              <w:rPr>
                <w:rFonts w:ascii="Arial" w:cs="Arial" w:eastAsia="Arial" w:hAnsi="Arial"/>
                <w:sz w:val="14"/>
                <w:szCs w:val="14"/>
                <w:color w:val="auto"/>
              </w:rPr>
              <w:t>Net comprehensive income (loss)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6,717</w:t>
            </w:r>
          </w:p>
        </w:tc>
        <w:tc>
          <w:tcPr>
            <w:tcW w:w="8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8,362</w:t>
            </w:r>
          </w:p>
        </w:tc>
        <w:tc>
          <w:tcPr>
            <w:tcW w:w="8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7,866</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(3,660)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490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Basic net income (loss) per common share</w:t>
            </w:r>
          </w:p>
        </w:tc>
        <w:tc>
          <w:tcPr>
            <w:tcW w:w="700" w:type="dxa"/>
            <w:vAlign w:val="bottom"/>
            <w:gridSpan w:val="2"/>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8"/>
              <w:spacing w:after="0" w:line="15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2"/>
              <w:spacing w:after="0" w:line="15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spacing w:after="0" w:line="150" w:lineRule="exact"/>
              <w:rPr>
                <w:sz w:val="20"/>
                <w:szCs w:val="20"/>
                <w:color w:val="auto"/>
              </w:rPr>
            </w:pPr>
            <w:r>
              <w:rPr>
                <w:rFonts w:ascii="Arial" w:cs="Arial" w:eastAsia="Arial" w:hAnsi="Arial"/>
                <w:sz w:val="14"/>
                <w:szCs w:val="14"/>
                <w:color w:val="auto"/>
              </w:rPr>
              <w:t>0.00</w:t>
            </w:r>
          </w:p>
        </w:tc>
        <w:tc>
          <w:tcPr>
            <w:tcW w:w="920" w:type="dxa"/>
            <w:vAlign w:val="bottom"/>
            <w:tcBorders>
              <w:right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40"/>
              <w:spacing w:after="0" w:line="150" w:lineRule="exact"/>
              <w:rPr>
                <w:sz w:val="20"/>
                <w:szCs w:val="20"/>
                <w:color w:val="auto"/>
              </w:rPr>
            </w:pPr>
            <w:r>
              <w:rPr>
                <w:rFonts w:ascii="Arial" w:cs="Arial" w:eastAsia="Arial" w:hAnsi="Arial"/>
                <w:sz w:val="14"/>
                <w:szCs w:val="14"/>
                <w:color w:val="auto"/>
              </w:rPr>
              <w:t>(0.16)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Diluted net income (loss) per common share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Basic weighted average number of common shares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5"/>
              </w:rPr>
              <w:t>19,254,567</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4"/>
              </w:rPr>
              <w:t>20,337,513</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4"/>
              </w:rPr>
              <w:t>20,106,584</w:t>
            </w:r>
          </w:p>
        </w:tc>
        <w:tc>
          <w:tcPr>
            <w:tcW w:w="92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4"/>
              </w:rPr>
              <w:t>22,237,823</w:t>
            </w:r>
          </w:p>
        </w:tc>
        <w:tc>
          <w:tcPr>
            <w:tcW w:w="8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Diluted weighted average number of common shares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color w:val="auto"/>
                <w:w w:val="85"/>
              </w:rPr>
              <w:t>19,254,567</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94"/>
              </w:rPr>
              <w:t>20,337,513</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84"/>
              </w:rPr>
              <w:t>401,152,574</w:t>
            </w:r>
          </w:p>
        </w:tc>
        <w:tc>
          <w:tcPr>
            <w:tcW w:w="92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94"/>
              </w:rPr>
              <w:t>22,237,823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0" w:type="dxa"/>
            <w:vAlign w:val="bottom"/>
            <w:vMerge w:val="continue"/>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Pro forma basic net income (loss) per common share (1)</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(0.01)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Pro forma diluted net income (loss) per common share (1)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0.02</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(0.01)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Pro forma basic weighted average number of common shares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4"/>
              </w:rPr>
              <w:t>338,665,060</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4"/>
              </w:rPr>
              <w:t>340,565,370</w:t>
            </w:r>
          </w:p>
        </w:tc>
        <w:tc>
          <w:tcPr>
            <w:tcW w:w="8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4"/>
                <w:szCs w:val="14"/>
                <w:color w:val="auto"/>
              </w:rPr>
              <w:t>Pro forma diluted weighted average number of common shares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84"/>
              </w:rPr>
              <w:t>403,144,899</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84"/>
              </w:rPr>
              <w:t>340,565,370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0" w:type="dxa"/>
            <w:vAlign w:val="bottom"/>
            <w:tcBorders>
              <w:bottom w:val="single" w:sz="8" w:color="auto"/>
            </w:tcBorders>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86" w:right="1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303770" cy="2261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3770" cy="226187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5"/>
              </w:rPr>
              <w:t>Six Months Ended June 30, 2013</w:t>
            </w: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2"/>
          </w:tcPr>
          <w:p>
            <w:pPr>
              <w:jc w:val="center"/>
              <w:ind w:right="560"/>
              <w:spacing w:after="0" w:line="95" w:lineRule="exact"/>
              <w:rPr>
                <w:sz w:val="20"/>
                <w:szCs w:val="20"/>
                <w:color w:val="auto"/>
              </w:rPr>
            </w:pPr>
            <w:r>
              <w:rPr>
                <w:rFonts w:ascii="Arial" w:cs="Arial" w:eastAsia="Arial" w:hAnsi="Arial"/>
                <w:sz w:val="10"/>
                <w:szCs w:val="10"/>
                <w:b w:val="1"/>
                <w:bCs w:val="1"/>
                <w:color w:val="auto"/>
                <w:w w:val="95"/>
              </w:rPr>
              <w:t>Pro</w:t>
            </w:r>
          </w:p>
        </w:tc>
        <w:tc>
          <w:tcPr>
            <w:tcW w:w="380" w:type="dxa"/>
            <w:vAlign w:val="bottom"/>
          </w:tcPr>
          <w:p>
            <w:pPr>
              <w:spacing w:after="0"/>
              <w:rPr>
                <w:sz w:val="8"/>
                <w:szCs w:val="8"/>
                <w:color w:val="auto"/>
              </w:rPr>
            </w:pPr>
          </w:p>
        </w:tc>
        <w:tc>
          <w:tcPr>
            <w:tcW w:w="6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4"/>
              </w:rPr>
              <w:t>Pro Forma As</w:t>
            </w:r>
          </w:p>
        </w:tc>
      </w:tr>
      <w:tr>
        <w:trPr>
          <w:trHeight w:val="145"/>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w w:val="91"/>
              </w:rPr>
              <w:t>Actual</w:t>
            </w:r>
          </w:p>
        </w:tc>
        <w:tc>
          <w:tcPr>
            <w:tcW w:w="500" w:type="dxa"/>
            <w:vAlign w:val="bottom"/>
          </w:tcPr>
          <w:p>
            <w:pPr>
              <w:spacing w:after="0"/>
              <w:rPr>
                <w:sz w:val="12"/>
                <w:szCs w:val="12"/>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8"/>
              </w:rPr>
              <w:t>Forma(2)</w:t>
            </w:r>
          </w:p>
        </w:tc>
        <w:tc>
          <w:tcPr>
            <w:tcW w:w="3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Adjusted(3)</w:t>
            </w: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top w:val="single" w:sz="8" w:color="auto"/>
            </w:tcBorders>
          </w:tcPr>
          <w:p>
            <w:pPr>
              <w:jc w:val="center"/>
              <w:spacing w:after="0" w:line="95" w:lineRule="exact"/>
              <w:rPr>
                <w:sz w:val="20"/>
                <w:szCs w:val="20"/>
                <w:color w:val="auto"/>
              </w:rPr>
            </w:pPr>
            <w:r>
              <w:rPr>
                <w:rFonts w:ascii="Arial" w:cs="Arial" w:eastAsia="Arial" w:hAnsi="Arial"/>
                <w:sz w:val="10"/>
                <w:szCs w:val="10"/>
                <w:b w:val="1"/>
                <w:bCs w:val="1"/>
                <w:color w:val="auto"/>
                <w:w w:val="84"/>
              </w:rPr>
              <w:t>(unaudited)</w:t>
            </w: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r>
      <w:tr>
        <w:trPr>
          <w:trHeight w:val="12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(in thousands)</w:t>
            </w: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800" w:type="dxa"/>
            <w:vAlign w:val="bottom"/>
            <w:gridSpan w:val="3"/>
          </w:tcPr>
          <w:p>
            <w:pPr>
              <w:jc w:val="right"/>
              <w:ind w:right="540"/>
              <w:spacing w:after="0"/>
              <w:rPr>
                <w:sz w:val="20"/>
                <w:szCs w:val="20"/>
                <w:color w:val="auto"/>
              </w:rPr>
            </w:pPr>
            <w:r>
              <w:rPr>
                <w:rFonts w:ascii="Arial" w:cs="Arial" w:eastAsia="Arial" w:hAnsi="Arial"/>
                <w:sz w:val="14"/>
                <w:szCs w:val="14"/>
                <w:color w:val="auto"/>
              </w:rPr>
              <w:t>$ 33,781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380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42,183</w:t>
            </w: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Deferred revenue</w:t>
            </w:r>
          </w:p>
        </w:tc>
        <w:tc>
          <w:tcPr>
            <w:tcW w:w="3800" w:type="dxa"/>
            <w:vAlign w:val="bottom"/>
            <w:gridSpan w:val="3"/>
          </w:tcPr>
          <w:p>
            <w:pPr>
              <w:jc w:val="right"/>
              <w:ind w:right="540"/>
              <w:spacing w:after="0"/>
              <w:rPr>
                <w:sz w:val="20"/>
                <w:szCs w:val="20"/>
                <w:color w:val="auto"/>
              </w:rPr>
            </w:pPr>
            <w:r>
              <w:rPr>
                <w:rFonts w:ascii="Arial" w:cs="Arial" w:eastAsia="Arial" w:hAnsi="Arial"/>
                <w:sz w:val="14"/>
                <w:szCs w:val="14"/>
                <w:color w:val="auto"/>
              </w:rPr>
              <w:t>37,308</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380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2,947</w:t>
            </w: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3800" w:type="dxa"/>
            <w:vAlign w:val="bottom"/>
            <w:gridSpan w:val="3"/>
          </w:tcPr>
          <w:p>
            <w:pPr>
              <w:jc w:val="right"/>
              <w:ind w:right="500"/>
              <w:spacing w:after="0"/>
              <w:rPr>
                <w:sz w:val="20"/>
                <w:szCs w:val="20"/>
                <w:color w:val="auto"/>
              </w:rPr>
            </w:pPr>
            <w:r>
              <w:rPr>
                <w:rFonts w:ascii="Arial" w:cs="Arial" w:eastAsia="Arial" w:hAnsi="Arial"/>
                <w:sz w:val="14"/>
                <w:szCs w:val="14"/>
                <w:color w:val="auto"/>
              </w:rPr>
              <w:t>(10,930)</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101" w:lineRule="exact"/>
        <w:rPr>
          <w:sz w:val="20"/>
          <w:szCs w:val="20"/>
          <w:color w:val="auto"/>
        </w:rPr>
      </w:pPr>
    </w:p>
    <w:p>
      <w:pPr>
        <w:ind w:left="620" w:hanging="431"/>
        <w:spacing w:after="0"/>
        <w:tabs>
          <w:tab w:leader="none" w:pos="6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 forma basic and diluted net income (loss) per share reflects the issuance of common stock upon the automatic conversion of all outstanding shares of our preferred stock upon the closing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1020" w:type="dxa"/>
            <w:vAlign w:val="bottom"/>
            <w:gridSpan w:val="6"/>
          </w:tcPr>
          <w:p>
            <w:pPr>
              <w:ind w:left="140"/>
              <w:spacing w:after="0"/>
              <w:rPr>
                <w:sz w:val="20"/>
                <w:szCs w:val="20"/>
                <w:color w:val="auto"/>
              </w:rPr>
            </w:pPr>
            <w:r>
              <w:rPr>
                <w:rFonts w:ascii="Arial" w:cs="Arial" w:eastAsia="Arial" w:hAnsi="Arial"/>
                <w:sz w:val="14"/>
                <w:szCs w:val="14"/>
                <w:color w:val="auto"/>
              </w:rPr>
              <w:t>of this offering, assuming all such shares of preferred stock had been converted to common stock for all periods in which such shares of preferred stock were outstanding.</w:t>
            </w:r>
          </w:p>
        </w:tc>
      </w:tr>
      <w:tr>
        <w:trPr>
          <w:trHeight w:val="167"/>
        </w:trPr>
        <w:tc>
          <w:tcPr>
            <w:tcW w:w="480" w:type="dxa"/>
            <w:vAlign w:val="bottom"/>
          </w:tcPr>
          <w:p>
            <w:pPr>
              <w:jc w:val="right"/>
              <w:ind w:right="72"/>
              <w:spacing w:after="0"/>
              <w:rPr>
                <w:sz w:val="20"/>
                <w:szCs w:val="20"/>
                <w:color w:val="auto"/>
              </w:rPr>
            </w:pPr>
            <w:r>
              <w:rPr>
                <w:rFonts w:ascii="Arial" w:cs="Arial" w:eastAsia="Arial" w:hAnsi="Arial"/>
                <w:sz w:val="14"/>
                <w:szCs w:val="14"/>
                <w:color w:val="auto"/>
              </w:rPr>
              <w:t>(2)</w:t>
            </w:r>
          </w:p>
        </w:tc>
        <w:tc>
          <w:tcPr>
            <w:tcW w:w="8300" w:type="dxa"/>
            <w:vAlign w:val="bottom"/>
            <w:gridSpan w:val="4"/>
          </w:tcPr>
          <w:p>
            <w:pPr>
              <w:ind w:left="140"/>
              <w:spacing w:after="0"/>
              <w:rPr>
                <w:sz w:val="20"/>
                <w:szCs w:val="20"/>
                <w:color w:val="auto"/>
              </w:rPr>
            </w:pPr>
            <w:r>
              <w:rPr>
                <w:rFonts w:ascii="Arial" w:cs="Arial" w:eastAsia="Arial" w:hAnsi="Arial"/>
                <w:sz w:val="14"/>
                <w:szCs w:val="14"/>
                <w:color w:val="auto"/>
                <w:w w:val="89"/>
              </w:rPr>
              <w:t>Pro forma consolidated balance sheet data give effect to the automatic conversion of all outstanding shares of preferred stock into an aggregate of</w:t>
            </w:r>
          </w:p>
        </w:tc>
        <w:tc>
          <w:tcPr>
            <w:tcW w:w="2720" w:type="dxa"/>
            <w:vAlign w:val="bottom"/>
            <w:gridSpan w:val="2"/>
          </w:tcPr>
          <w:p>
            <w:pPr>
              <w:ind w:left="240"/>
              <w:spacing w:after="0"/>
              <w:rPr>
                <w:sz w:val="20"/>
                <w:szCs w:val="20"/>
                <w:color w:val="auto"/>
              </w:rPr>
            </w:pPr>
            <w:r>
              <w:rPr>
                <w:rFonts w:ascii="Arial" w:cs="Arial" w:eastAsia="Arial" w:hAnsi="Arial"/>
                <w:sz w:val="14"/>
                <w:szCs w:val="14"/>
                <w:color w:val="auto"/>
                <w:w w:val="95"/>
              </w:rPr>
              <w:t>shares of common stock upon the closing</w:t>
            </w:r>
          </w:p>
        </w:tc>
      </w:tr>
      <w:tr>
        <w:trPr>
          <w:trHeight w:val="167"/>
        </w:trPr>
        <w:tc>
          <w:tcPr>
            <w:tcW w:w="480" w:type="dxa"/>
            <w:vAlign w:val="bottom"/>
          </w:tcPr>
          <w:p>
            <w:pPr>
              <w:spacing w:after="0"/>
              <w:rPr>
                <w:sz w:val="14"/>
                <w:szCs w:val="14"/>
                <w:color w:val="auto"/>
              </w:rPr>
            </w:pPr>
          </w:p>
        </w:tc>
        <w:tc>
          <w:tcPr>
            <w:tcW w:w="4060" w:type="dxa"/>
            <w:vAlign w:val="bottom"/>
          </w:tcPr>
          <w:p>
            <w:pPr>
              <w:ind w:left="140"/>
              <w:spacing w:after="0"/>
              <w:rPr>
                <w:sz w:val="20"/>
                <w:szCs w:val="20"/>
                <w:color w:val="auto"/>
              </w:rPr>
            </w:pPr>
            <w:r>
              <w:rPr>
                <w:rFonts w:ascii="Arial" w:cs="Arial" w:eastAsia="Arial" w:hAnsi="Arial"/>
                <w:sz w:val="14"/>
                <w:szCs w:val="14"/>
                <w:color w:val="auto"/>
              </w:rPr>
              <w:t>of this offering.</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7"/>
        </w:trPr>
        <w:tc>
          <w:tcPr>
            <w:tcW w:w="480" w:type="dxa"/>
            <w:vAlign w:val="bottom"/>
          </w:tcPr>
          <w:p>
            <w:pPr>
              <w:jc w:val="right"/>
              <w:ind w:right="72"/>
              <w:spacing w:after="0"/>
              <w:rPr>
                <w:sz w:val="20"/>
                <w:szCs w:val="20"/>
                <w:color w:val="auto"/>
              </w:rPr>
            </w:pPr>
            <w:r>
              <w:rPr>
                <w:rFonts w:ascii="Arial" w:cs="Arial" w:eastAsia="Arial" w:hAnsi="Arial"/>
                <w:sz w:val="14"/>
                <w:szCs w:val="14"/>
                <w:color w:val="auto"/>
              </w:rPr>
              <w:t>(3)</w:t>
            </w:r>
          </w:p>
        </w:tc>
        <w:tc>
          <w:tcPr>
            <w:tcW w:w="5520" w:type="dxa"/>
            <w:vAlign w:val="bottom"/>
            <w:gridSpan w:val="2"/>
          </w:tcPr>
          <w:p>
            <w:pPr>
              <w:ind w:left="140"/>
              <w:spacing w:after="0"/>
              <w:rPr>
                <w:sz w:val="20"/>
                <w:szCs w:val="20"/>
                <w:color w:val="auto"/>
              </w:rPr>
            </w:pPr>
            <w:r>
              <w:rPr>
                <w:rFonts w:ascii="Arial" w:cs="Arial" w:eastAsia="Arial" w:hAnsi="Arial"/>
                <w:sz w:val="14"/>
                <w:szCs w:val="14"/>
                <w:color w:val="auto"/>
                <w:w w:val="91"/>
              </w:rPr>
              <w:t>Pro forma as adjusted consolidated balance sheet data give additional effect to the issuance of</w:t>
            </w:r>
          </w:p>
        </w:tc>
        <w:tc>
          <w:tcPr>
            <w:tcW w:w="3400" w:type="dxa"/>
            <w:vAlign w:val="bottom"/>
            <w:gridSpan w:val="3"/>
          </w:tcPr>
          <w:p>
            <w:pPr>
              <w:ind w:left="200"/>
              <w:spacing w:after="0"/>
              <w:rPr>
                <w:sz w:val="20"/>
                <w:szCs w:val="20"/>
                <w:color w:val="auto"/>
              </w:rPr>
            </w:pPr>
            <w:r>
              <w:rPr>
                <w:rFonts w:ascii="Arial" w:cs="Arial" w:eastAsia="Arial" w:hAnsi="Arial"/>
                <w:sz w:val="14"/>
                <w:szCs w:val="14"/>
                <w:color w:val="auto"/>
                <w:w w:val="95"/>
              </w:rPr>
              <w:t>shares of common stock at an initial offering price of $</w:t>
            </w:r>
          </w:p>
        </w:tc>
        <w:tc>
          <w:tcPr>
            <w:tcW w:w="2100" w:type="dxa"/>
            <w:vAlign w:val="bottom"/>
          </w:tcPr>
          <w:p>
            <w:pPr>
              <w:ind w:left="220"/>
              <w:spacing w:after="0"/>
              <w:rPr>
                <w:sz w:val="20"/>
                <w:szCs w:val="20"/>
                <w:color w:val="auto"/>
              </w:rPr>
            </w:pPr>
            <w:r>
              <w:rPr>
                <w:rFonts w:ascii="Arial" w:cs="Arial" w:eastAsia="Arial" w:hAnsi="Arial"/>
                <w:sz w:val="14"/>
                <w:szCs w:val="14"/>
                <w:color w:val="auto"/>
              </w:rPr>
              <w:t>per share, the midpoint of the</w:t>
            </w:r>
          </w:p>
        </w:tc>
      </w:tr>
      <w:tr>
        <w:trPr>
          <w:trHeight w:val="167"/>
        </w:trPr>
        <w:tc>
          <w:tcPr>
            <w:tcW w:w="480" w:type="dxa"/>
            <w:vAlign w:val="bottom"/>
          </w:tcPr>
          <w:p>
            <w:pPr>
              <w:spacing w:after="0"/>
              <w:rPr>
                <w:sz w:val="14"/>
                <w:szCs w:val="14"/>
                <w:color w:val="auto"/>
              </w:rPr>
            </w:pPr>
          </w:p>
        </w:tc>
        <w:tc>
          <w:tcPr>
            <w:tcW w:w="11020" w:type="dxa"/>
            <w:vAlign w:val="bottom"/>
            <w:gridSpan w:val="6"/>
          </w:tcPr>
          <w:p>
            <w:pPr>
              <w:ind w:left="140"/>
              <w:spacing w:after="0"/>
              <w:rPr>
                <w:sz w:val="20"/>
                <w:szCs w:val="20"/>
                <w:color w:val="auto"/>
              </w:rPr>
            </w:pPr>
            <w:r>
              <w:rPr>
                <w:rFonts w:ascii="Arial" w:cs="Arial" w:eastAsia="Arial" w:hAnsi="Arial"/>
                <w:sz w:val="14"/>
                <w:szCs w:val="14"/>
                <w:color w:val="auto"/>
                <w:w w:val="89"/>
              </w:rPr>
              <w:t>estimated price range set forth on the cover page of this prospectus, after deducting the estimated underwriting discounts and commissions and estimated offering expenses payable by us. A $1.00</w:t>
            </w:r>
          </w:p>
        </w:tc>
      </w:tr>
      <w:tr>
        <w:trPr>
          <w:trHeight w:val="167"/>
        </w:trPr>
        <w:tc>
          <w:tcPr>
            <w:tcW w:w="480" w:type="dxa"/>
            <w:vAlign w:val="bottom"/>
          </w:tcPr>
          <w:p>
            <w:pPr>
              <w:spacing w:after="0"/>
              <w:rPr>
                <w:sz w:val="14"/>
                <w:szCs w:val="14"/>
                <w:color w:val="auto"/>
              </w:rPr>
            </w:pPr>
          </w:p>
        </w:tc>
        <w:tc>
          <w:tcPr>
            <w:tcW w:w="4060" w:type="dxa"/>
            <w:vAlign w:val="bottom"/>
          </w:tcPr>
          <w:p>
            <w:pPr>
              <w:ind w:left="140"/>
              <w:spacing w:after="0"/>
              <w:rPr>
                <w:sz w:val="20"/>
                <w:szCs w:val="20"/>
                <w:color w:val="auto"/>
              </w:rPr>
            </w:pPr>
            <w:r>
              <w:rPr>
                <w:rFonts w:ascii="Arial" w:cs="Arial" w:eastAsia="Arial" w:hAnsi="Arial"/>
                <w:sz w:val="14"/>
                <w:szCs w:val="14"/>
                <w:color w:val="auto"/>
                <w:w w:val="93"/>
              </w:rPr>
              <w:t>increase or decrease in the assumed initial public offering price of $</w:t>
            </w:r>
          </w:p>
        </w:tc>
        <w:tc>
          <w:tcPr>
            <w:tcW w:w="6960" w:type="dxa"/>
            <w:vAlign w:val="bottom"/>
            <w:gridSpan w:val="5"/>
          </w:tcPr>
          <w:p>
            <w:pPr>
              <w:ind w:left="220"/>
              <w:spacing w:after="0"/>
              <w:rPr>
                <w:sz w:val="20"/>
                <w:szCs w:val="20"/>
                <w:color w:val="auto"/>
              </w:rPr>
            </w:pPr>
            <w:r>
              <w:rPr>
                <w:rFonts w:ascii="Arial" w:cs="Arial" w:eastAsia="Arial" w:hAnsi="Arial"/>
                <w:sz w:val="14"/>
                <w:szCs w:val="14"/>
                <w:color w:val="auto"/>
                <w:w w:val="93"/>
              </w:rPr>
              <w:t>per share, the midpoint of the estimated price range set forth on the cover page of this prospectus, would increase or</w:t>
            </w:r>
          </w:p>
        </w:tc>
      </w:tr>
      <w:tr>
        <w:trPr>
          <w:trHeight w:val="167"/>
        </w:trPr>
        <w:tc>
          <w:tcPr>
            <w:tcW w:w="480" w:type="dxa"/>
            <w:vAlign w:val="bottom"/>
          </w:tcPr>
          <w:p>
            <w:pPr>
              <w:spacing w:after="0"/>
              <w:rPr>
                <w:sz w:val="14"/>
                <w:szCs w:val="14"/>
                <w:color w:val="auto"/>
              </w:rPr>
            </w:pPr>
          </w:p>
        </w:tc>
        <w:tc>
          <w:tcPr>
            <w:tcW w:w="6860" w:type="dxa"/>
            <w:vAlign w:val="bottom"/>
            <w:gridSpan w:val="3"/>
          </w:tcPr>
          <w:p>
            <w:pPr>
              <w:ind w:left="140"/>
              <w:spacing w:after="0"/>
              <w:rPr>
                <w:sz w:val="20"/>
                <w:szCs w:val="20"/>
                <w:color w:val="auto"/>
              </w:rPr>
            </w:pPr>
            <w:r>
              <w:rPr>
                <w:rFonts w:ascii="Arial" w:cs="Arial" w:eastAsia="Arial" w:hAnsi="Arial"/>
                <w:sz w:val="14"/>
                <w:szCs w:val="14"/>
                <w:color w:val="auto"/>
                <w:w w:val="91"/>
              </w:rPr>
              <w:t>decrease total stockholders’ equity (deficit) and total capitalization on a pro forma as adjusted basis by approximately $</w:t>
            </w:r>
          </w:p>
        </w:tc>
        <w:tc>
          <w:tcPr>
            <w:tcW w:w="4160" w:type="dxa"/>
            <w:vAlign w:val="bottom"/>
            <w:gridSpan w:val="3"/>
          </w:tcPr>
          <w:p>
            <w:pPr>
              <w:ind w:left="220"/>
              <w:spacing w:after="0"/>
              <w:rPr>
                <w:sz w:val="20"/>
                <w:szCs w:val="20"/>
                <w:color w:val="auto"/>
              </w:rPr>
            </w:pPr>
            <w:r>
              <w:rPr>
                <w:rFonts w:ascii="Arial" w:cs="Arial" w:eastAsia="Arial" w:hAnsi="Arial"/>
                <w:sz w:val="14"/>
                <w:szCs w:val="14"/>
                <w:color w:val="auto"/>
                <w:w w:val="94"/>
              </w:rPr>
              <w:t>million, assuming that the number of shares offered, as set forth on</w:t>
            </w:r>
          </w:p>
        </w:tc>
      </w:tr>
      <w:tr>
        <w:trPr>
          <w:trHeight w:val="173"/>
        </w:trPr>
        <w:tc>
          <w:tcPr>
            <w:tcW w:w="480" w:type="dxa"/>
            <w:vAlign w:val="bottom"/>
          </w:tcPr>
          <w:p>
            <w:pPr>
              <w:spacing w:after="0"/>
              <w:rPr>
                <w:sz w:val="15"/>
                <w:szCs w:val="15"/>
                <w:color w:val="auto"/>
              </w:rPr>
            </w:pPr>
          </w:p>
        </w:tc>
        <w:tc>
          <w:tcPr>
            <w:tcW w:w="11020" w:type="dxa"/>
            <w:vAlign w:val="bottom"/>
            <w:gridSpan w:val="6"/>
          </w:tcPr>
          <w:p>
            <w:pPr>
              <w:ind w:left="140"/>
              <w:spacing w:after="0"/>
              <w:rPr>
                <w:sz w:val="20"/>
                <w:szCs w:val="20"/>
                <w:color w:val="auto"/>
              </w:rPr>
            </w:pPr>
            <w:r>
              <w:rPr>
                <w:rFonts w:ascii="Arial" w:cs="Arial" w:eastAsia="Arial" w:hAnsi="Arial"/>
                <w:sz w:val="14"/>
                <w:szCs w:val="14"/>
                <w:color w:val="auto"/>
              </w:rPr>
              <w:t>the cover page of this prospectus, remains the same and after deducting estimated underwriting discounts and commissions and estimated offering expenses payable by us.</w:t>
            </w:r>
          </w:p>
        </w:tc>
      </w:tr>
      <w:tr>
        <w:trPr>
          <w:trHeight w:val="112"/>
        </w:trPr>
        <w:tc>
          <w:tcPr>
            <w:tcW w:w="48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r>
      <w:tr>
        <w:trPr>
          <w:trHeight w:val="276"/>
        </w:trPr>
        <w:tc>
          <w:tcPr>
            <w:tcW w:w="4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color w:val="auto"/>
              </w:rPr>
              <w:t>10</w:t>
            </w:r>
          </w:p>
        </w:tc>
        <w:tc>
          <w:tcPr>
            <w:tcW w:w="13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100" w:type="dxa"/>
            <w:vAlign w:val="bottom"/>
          </w:tcPr>
          <w:p>
            <w:pPr>
              <w:spacing w:after="0"/>
              <w:rPr>
                <w:sz w:val="23"/>
                <w:szCs w:val="23"/>
                <w:color w:val="auto"/>
              </w:rPr>
            </w:pPr>
          </w:p>
        </w:tc>
      </w:tr>
    </w:tbl>
    <w:p>
      <w:pPr>
        <w:sectPr>
          <w:pgSz w:w="11900" w:h="16838" w:orient="portrait"/>
          <w:cols w:equalWidth="0" w:num="1">
            <w:col w:w="11500"/>
          </w:cols>
          <w:pgMar w:left="220" w:top="386" w:right="1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 FACTORS</w:t>
      </w:r>
    </w:p>
    <w:p>
      <w:pPr>
        <w:spacing w:after="0" w:line="134" w:lineRule="exact"/>
        <w:rPr>
          <w:sz w:val="20"/>
          <w:szCs w:val="20"/>
          <w:color w:val="auto"/>
        </w:rPr>
      </w:pPr>
    </w:p>
    <w:p>
      <w:pPr>
        <w:ind w:right="240" w:firstLine="802"/>
        <w:spacing w:after="0" w:line="258" w:lineRule="auto"/>
        <w:rPr>
          <w:sz w:val="20"/>
          <w:szCs w:val="20"/>
          <w:color w:val="auto"/>
        </w:rPr>
      </w:pPr>
      <w:r>
        <w:rPr>
          <w:rFonts w:ascii="Arial" w:cs="Arial" w:eastAsia="Arial" w:hAnsi="Arial"/>
          <w:sz w:val="14"/>
          <w:szCs w:val="14"/>
          <w:i w:val="1"/>
          <w:iCs w:val="1"/>
          <w:color w:val="auto"/>
        </w:rPr>
        <w:t>Investing in our common stock involves a high degree of risk. You should consider carefully the following risk factors, as well as the other information in this prospectus, before you decide to purchase our common stock. If any of the following risks actually occur, our business, financial condition or results of operations could be materially adversely affected, the value of our common stock could decline and you may lose all or part of your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the Development and Commercialization of Our Product Candidates.</w:t>
      </w:r>
    </w:p>
    <w:p>
      <w:pPr>
        <w:spacing w:after="0" w:line="134"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b w:val="1"/>
          <w:bCs w:val="1"/>
          <w:i w:val="1"/>
          <w:iCs w:val="1"/>
          <w:color w:val="auto"/>
        </w:rPr>
        <w:t>All of our product candidates are in pre-clinical or clinical development. Clinical drug development is expensive, time consuming and uncertain and we may ultimately not be able to obtain regulatory approvals for the commercialization of some or all of our product candidates.</w:t>
      </w:r>
    </w:p>
    <w:p>
      <w:pPr>
        <w:spacing w:after="0" w:line="101"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The research, testing, manufacturing, labeling, approval, selling, marketing and distribution of drug products are subject to extensive regulation by the U.S. Food and Drug Administration, or FDA, and non-U.S. regulatory authorities, which regulations differ from country to country. We are not permitted to market our product candidates in the United States or in other countries until we receive approval of a Biologics License Application, or BLA, from the FDA or marketing approval from applicable regulatory authorities outside the United States. Our product candidates are in various stages of development and are subject to the risks of failure inherent in drug development. We have not submitted an application for or received marketing approval for any of our product candidates. We have limited experience in conducting and managing the clinical trials necessary to obtain regulatory approvals, including approval by the FDA. Obtaining approval of a BLA can be a lengthy, expensive and uncertain process. In addition, failure to comply with FDA and non-U.S. regulatory requirements may, either before or after product approval, if any, subject our company to administrative or judicially imposed sanctions, including:</w:t>
      </w:r>
    </w:p>
    <w:p>
      <w:pPr>
        <w:spacing w:after="0" w:line="144" w:lineRule="exact"/>
        <w:rPr>
          <w:sz w:val="20"/>
          <w:szCs w:val="20"/>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restrictions on our ability to conduct clinical trials, including full or partial clinical holds on ongoing or planned trials;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restrictions on the products, manufacturers or manufacturing process;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warning letters;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civil and criminal penalties;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suspension or withdrawal of regulatory approvals;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product seizures, detentions or import bans;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voluntary or mandatory product recalls and publicity requirements;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imposition of restrictions on operations, including costly new manufacturing requirements;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refusal to approve pending BLAs or supplements to approved BLAs.</w:t>
      </w:r>
    </w:p>
    <w:p>
      <w:pPr>
        <w:spacing w:after="0" w:line="132" w:lineRule="exact"/>
        <w:rPr>
          <w:sz w:val="20"/>
          <w:szCs w:val="20"/>
          <w:color w:val="auto"/>
        </w:rPr>
      </w:pPr>
    </w:p>
    <w:p>
      <w:pPr>
        <w:ind w:right="140" w:firstLine="802"/>
        <w:spacing w:after="0" w:line="267" w:lineRule="auto"/>
        <w:rPr>
          <w:sz w:val="20"/>
          <w:szCs w:val="20"/>
          <w:color w:val="auto"/>
        </w:rPr>
      </w:pPr>
      <w:r>
        <w:rPr>
          <w:rFonts w:ascii="Arial" w:cs="Arial" w:eastAsia="Arial" w:hAnsi="Arial"/>
          <w:sz w:val="14"/>
          <w:szCs w:val="14"/>
          <w:color w:val="auto"/>
        </w:rPr>
        <w:t>The FDA and foreign regulatory authorities also have substantial discretion in the drug approval process. The number of pre-clinical studies and clinical trials that will be required for regulatory approval varies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386"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133" w:lineRule="exact"/>
        <w:rPr>
          <w:sz w:val="20"/>
          <w:szCs w:val="20"/>
          <w:color w:val="auto"/>
        </w:rPr>
      </w:pPr>
    </w:p>
    <w:p>
      <w:pPr>
        <w:ind w:left="1240" w:hanging="327"/>
        <w:spacing w:after="0"/>
        <w:tabs>
          <w:tab w:leader="none" w:pos="1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product candidate may not be deemed safe or effective;</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results may not confirm the positive results from earlier pre-clinical studies or clinical trials;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regulatory agencies may not find the data from pre-clinical studies and clinical trials sufficient;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regulatory agencies might not approve or might require changes to our manufacturing processes or facilities; or</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regulatory agencies may change their approval policies or adopt new regulations.</w:t>
      </w:r>
    </w:p>
    <w:p>
      <w:pPr>
        <w:spacing w:after="0" w:line="132" w:lineRule="exact"/>
        <w:rPr>
          <w:sz w:val="20"/>
          <w:szCs w:val="20"/>
          <w:color w:val="auto"/>
        </w:rPr>
      </w:pPr>
    </w:p>
    <w:p>
      <w:pPr>
        <w:jc w:val="both"/>
        <w:ind w:right="160" w:firstLine="802"/>
        <w:spacing w:after="0" w:line="258" w:lineRule="auto"/>
        <w:rPr>
          <w:sz w:val="20"/>
          <w:szCs w:val="20"/>
          <w:color w:val="auto"/>
        </w:rPr>
      </w:pPr>
      <w:r>
        <w:rPr>
          <w:rFonts w:ascii="Arial" w:cs="Arial" w:eastAsia="Arial" w:hAnsi="Arial"/>
          <w:sz w:val="14"/>
          <w:szCs w:val="14"/>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market for the product.</w:t>
      </w:r>
    </w:p>
    <w:p>
      <w:pPr>
        <w:spacing w:after="0" w:line="108"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b w:val="1"/>
          <w:bCs w:val="1"/>
          <w:i w:val="1"/>
          <w:iCs w:val="1"/>
          <w:color w:val="auto"/>
        </w:rPr>
        <w:t>If clinical trials for our product candidates are prolonged, delayed or stopped, we may be unable to obtain regulatory approval and commercialize our product candidates on a timely basis, which would require us to incur additional costs and delay our receipt of any product revenue.</w:t>
      </w:r>
    </w:p>
    <w:p>
      <w:pPr>
        <w:spacing w:after="0" w:line="101" w:lineRule="exact"/>
        <w:rPr>
          <w:sz w:val="20"/>
          <w:szCs w:val="20"/>
          <w:color w:val="auto"/>
        </w:rPr>
      </w:pPr>
    </w:p>
    <w:p>
      <w:pPr>
        <w:ind w:right="200" w:firstLine="802"/>
        <w:spacing w:after="0" w:line="255" w:lineRule="auto"/>
        <w:rPr>
          <w:sz w:val="20"/>
          <w:szCs w:val="20"/>
          <w:color w:val="auto"/>
        </w:rPr>
      </w:pPr>
      <w:r>
        <w:rPr>
          <w:rFonts w:ascii="Arial" w:cs="Arial" w:eastAsia="Arial" w:hAnsi="Arial"/>
          <w:sz w:val="14"/>
          <w:szCs w:val="14"/>
          <w:color w:val="auto"/>
        </w:rPr>
        <w:t>We are currently enrolling a Phase 2a clinical trial of margetuximab in patients with metastatic breast cancer and anticipate commencing a Phase 3 potential registration clinical trial of margetuximab in advanced gastroesophageal cancer in the second half of 2014. We have initiated a Phase 1 clinical trial of MGA271 that we expect to complete by the end of 2014. We expect to commence a Phase 1 clinical trial of MGD006 in the first half of 2014 and expect to commence a Phase 1 clinical trial of MGD007 in the second half of 2014. The commencement of these planned clinical trials could be substantially delayed or prevented by several factors, including:</w:t>
      </w:r>
    </w:p>
    <w:p>
      <w:pPr>
        <w:spacing w:after="0" w:line="141" w:lineRule="exact"/>
        <w:rPr>
          <w:sz w:val="20"/>
          <w:szCs w:val="20"/>
          <w:color w:val="auto"/>
        </w:rPr>
      </w:pPr>
    </w:p>
    <w:p>
      <w:pPr>
        <w:ind w:left="1240" w:hanging="327"/>
        <w:spacing w:after="0"/>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further discussions with the FDA or other regulatory agencies regarding the scope or design of our clinical trials;</w:t>
      </w:r>
    </w:p>
    <w:p>
      <w:pPr>
        <w:spacing w:after="0" w:line="162" w:lineRule="exact"/>
        <w:rPr>
          <w:rFonts w:ascii="Arial" w:cs="Arial" w:eastAsia="Arial" w:hAnsi="Arial"/>
          <w:sz w:val="14"/>
          <w:szCs w:val="14"/>
          <w:color w:val="auto"/>
        </w:rPr>
      </w:pPr>
    </w:p>
    <w:p>
      <w:pPr>
        <w:ind w:left="1240" w:right="100" w:hanging="327"/>
        <w:spacing w:after="0" w:line="267" w:lineRule="auto"/>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delay or failure to obtain regulatory approval or agreement to commence a clinical trial in any of the countries where enrollment is planned;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inability to obtain sufficient funds required for a clinical trial;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clinical holds on, or other regulatory objections to, a new or ongoing clinical trial;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 or failure to manufacture sufficient supplies of the product candidate for our clinical trials;</w:t>
      </w:r>
    </w:p>
    <w:p>
      <w:pPr>
        <w:spacing w:after="0" w:line="162" w:lineRule="exact"/>
        <w:rPr>
          <w:rFonts w:ascii="Arial" w:cs="Arial" w:eastAsia="Arial" w:hAnsi="Arial"/>
          <w:sz w:val="14"/>
          <w:szCs w:val="14"/>
          <w:color w:val="auto"/>
        </w:rPr>
      </w:pPr>
    </w:p>
    <w:p>
      <w:pPr>
        <w:ind w:left="1240" w:right="260" w:hanging="327"/>
        <w:spacing w:after="0" w:line="267" w:lineRule="auto"/>
        <w:tabs>
          <w:tab w:leader="none" w:pos="1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 or failure to reach agreement on acceptable clinical trial agreement terms or clinical trial protocols with prospective sites or clinical research organizations, or CROs, the terms of which can be subject to extensive negotiation and may vary significantly among different sites or CROs;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386" w:right="2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right="3920" w:firstLine="113"/>
        <w:spacing w:after="0" w:line="536" w:lineRule="auto"/>
        <w:tabs>
          <w:tab w:leader="none" w:pos="1231"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delay or failure to obtain institutional review board, or IRB, approval to conduct a clinical trial at a prospective site. The completion of our clinical trials could also be substantially delayed or prevented by several factors, including:</w:t>
      </w: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slower than expected rates of patient recruitment and enrollment;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failure of patients to complete the clinical trial;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unforeseen safety issues, including severe or unexpected drug-related adverse effects experienced by patients, including possible deaths;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lack of efficacy during clinical trials;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termination of our clinical trials by one or more clinical trial sites;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inability or unwillingness of patients or clinical investigators to follow our clinical trial protocols;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inability to monitor patients adequately during or after treatment by us and/or our CROs;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need to repeat or terminate clinical trials as a result of inconclusive or negative results or unforeseen complications in testing.</w:t>
      </w:r>
    </w:p>
    <w:p>
      <w:pPr>
        <w:spacing w:after="0" w:line="132"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141" w:lineRule="exact"/>
        <w:rPr>
          <w:sz w:val="20"/>
          <w:szCs w:val="20"/>
          <w:color w:val="auto"/>
        </w:rPr>
      </w:pPr>
    </w:p>
    <w:p>
      <w:pPr>
        <w:ind w:left="1240" w:hanging="327"/>
        <w:spacing w:after="0"/>
        <w:tabs>
          <w:tab w:leader="none" w:pos="1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conduct the clinical trial in accordance with regulatory requirements or our clinical protocols;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unforeseen safety issues or any determination that a clinical trial presents unacceptable health risks;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lack of adequate funding to continue the clinical trial due to unforeseen costs or other business decisions; and</w:t>
      </w:r>
    </w:p>
    <w:p>
      <w:pPr>
        <w:spacing w:after="0" w:line="162" w:lineRule="exact"/>
        <w:rPr>
          <w:rFonts w:ascii="Arial" w:cs="Arial" w:eastAsia="Arial" w:hAnsi="Arial"/>
          <w:sz w:val="14"/>
          <w:szCs w:val="14"/>
          <w:color w:val="auto"/>
        </w:rPr>
      </w:pPr>
    </w:p>
    <w:p>
      <w:pPr>
        <w:ind w:left="1240" w:right="100" w:hanging="327"/>
        <w:spacing w:after="0" w:line="267" w:lineRule="auto"/>
        <w:tabs>
          <w:tab w:leader="none" w:pos="1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upon a breach or pursuant to the terms of any agreement with, or for any other reason by, current or future collaborators that have responsibility for the clinical development of any of our product candidates.</w:t>
      </w:r>
    </w:p>
    <w:p>
      <w:pPr>
        <w:spacing w:after="0" w:line="101" w:lineRule="exact"/>
        <w:rPr>
          <w:sz w:val="20"/>
          <w:szCs w:val="20"/>
          <w:color w:val="auto"/>
        </w:rPr>
      </w:pPr>
    </w:p>
    <w:p>
      <w:pPr>
        <w:ind w:right="40" w:firstLine="802"/>
        <w:spacing w:after="0" w:line="267" w:lineRule="auto"/>
        <w:rPr>
          <w:sz w:val="20"/>
          <w:szCs w:val="20"/>
          <w:color w:val="auto"/>
        </w:rPr>
      </w:pPr>
      <w:r>
        <w:rPr>
          <w:rFonts w:ascii="Arial" w:cs="Arial" w:eastAsia="Arial" w:hAnsi="Arial"/>
          <w:sz w:val="14"/>
          <w:szCs w:val="14"/>
          <w:color w:val="auto"/>
        </w:rPr>
        <w:t>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01"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We currently have no products approved for sale and we cannot guarantee that we will ever have marketable products. Clinical failure can occur at any stage of clinical development. Clinical trials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may produce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386"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80"/>
        <w:spacing w:after="0" w:line="299" w:lineRule="auto"/>
        <w:rPr>
          <w:sz w:val="20"/>
          <w:szCs w:val="20"/>
          <w:color w:val="auto"/>
        </w:rPr>
      </w:pPr>
      <w:r>
        <w:rPr>
          <w:rFonts w:ascii="Arial" w:cs="Arial" w:eastAsia="Arial" w:hAnsi="Arial"/>
          <w:sz w:val="12"/>
          <w:szCs w:val="12"/>
          <w:color w:val="auto"/>
        </w:rPr>
        <w:t>negative or inconclusive results, and we or any of our current and future collaborators may decide, or regulators may require us, to conduct additional clinical or pre-clinical testing. We will be required to demonstrate with substantial evidence through well-controlled clinical trials that our product candidates are safe and effective for use in a diverse population before we can seek regulatory approvals for their commercial sale.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registration clinical trials. Similarly, the outcome of pre-clinical testing and early clinical trials may not be predictive of the success of later clinical trials, and interim results of a clinical trial do not necessarily predict final results. A number of companies in the pharmaceutical industry, including those with greater resources and experience than us, have suffered significant setbacks in advanced clinical trials, even after obtaining promising results in earlier clinical trials. For example, although early stage trials of our product candidate teplizumab were promising, it did not meet its primary efficacy endpoint in a Phase 3 clinical trial and our collaboration with Eli Lilly &amp; Co., or Eli Lilly, was subsequently terminated.</w:t>
      </w:r>
    </w:p>
    <w:p>
      <w:pPr>
        <w:spacing w:after="0" w:line="87" w:lineRule="exact"/>
        <w:rPr>
          <w:sz w:val="20"/>
          <w:szCs w:val="20"/>
          <w:color w:val="auto"/>
        </w:rPr>
      </w:pPr>
    </w:p>
    <w:p>
      <w:pPr>
        <w:ind w:right="200" w:firstLine="802"/>
        <w:spacing w:after="0" w:line="267" w:lineRule="auto"/>
        <w:rPr>
          <w:sz w:val="20"/>
          <w:szCs w:val="20"/>
          <w:color w:val="auto"/>
        </w:rPr>
      </w:pPr>
      <w:r>
        <w:rPr>
          <w:rFonts w:ascii="Arial" w:cs="Arial" w:eastAsia="Arial" w:hAnsi="Arial"/>
          <w:sz w:val="14"/>
          <w:szCs w:val="14"/>
          <w:color w:val="auto"/>
        </w:rPr>
        <w:t>In addition, the design of a clinical trial can determine whether its results will support approval of a product and flaws in the design of a clinical trial may not become apparent until the clinical trial is well advanced. We may be unable to design and execute a clinical trial to support regulatory approval.</w:t>
      </w:r>
    </w:p>
    <w:p>
      <w:pPr>
        <w:spacing w:after="0" w:line="101" w:lineRule="exact"/>
        <w:rPr>
          <w:sz w:val="20"/>
          <w:szCs w:val="20"/>
          <w:color w:val="auto"/>
        </w:rPr>
      </w:pPr>
    </w:p>
    <w:p>
      <w:pPr>
        <w:ind w:right="80" w:firstLine="802"/>
        <w:spacing w:after="0" w:line="321" w:lineRule="auto"/>
        <w:rPr>
          <w:sz w:val="20"/>
          <w:szCs w:val="20"/>
          <w:color w:val="auto"/>
        </w:rPr>
      </w:pPr>
      <w:r>
        <w:rPr>
          <w:rFonts w:ascii="Arial" w:cs="Arial" w:eastAsia="Arial" w:hAnsi="Arial"/>
          <w:sz w:val="12"/>
          <w:szCs w:val="12"/>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do not know whether any Phase 2, Phase 3 or other clinical trials we or any of our collaborators may conduct will demonstrate consistent or adequate efficacy and safety to obtain regulatory approval to market our product candidates.</w:t>
      </w:r>
    </w:p>
    <w:p>
      <w:pPr>
        <w:spacing w:after="0" w:line="73"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Further, our product candidates may not be approved even if they achieve their primary endpoints in Phase 3 clinical trials or registration trials. The FDA or other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Phase 3 clinical trial that has the potential to result in FDA or other agencies’ approval.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use new technologies in the development of our product candidates and the FDA and other regulatory authorities have not approved products that utilize these technologies.</w:t>
      </w:r>
    </w:p>
    <w:p>
      <w:pPr>
        <w:spacing w:after="0" w:line="155" w:lineRule="exact"/>
        <w:rPr>
          <w:sz w:val="20"/>
          <w:szCs w:val="20"/>
          <w:color w:val="auto"/>
        </w:rPr>
      </w:pPr>
    </w:p>
    <w:p>
      <w:pPr>
        <w:ind w:right="80" w:firstLine="802"/>
        <w:spacing w:after="0" w:line="253" w:lineRule="auto"/>
        <w:rPr>
          <w:sz w:val="20"/>
          <w:szCs w:val="20"/>
          <w:color w:val="auto"/>
        </w:rPr>
      </w:pPr>
      <w:r>
        <w:rPr>
          <w:rFonts w:ascii="Arial" w:cs="Arial" w:eastAsia="Arial" w:hAnsi="Arial"/>
          <w:sz w:val="14"/>
          <w:szCs w:val="14"/>
          <w:color w:val="auto"/>
        </w:rPr>
        <w:t>Our products in development are based on new technologies, such as Fc Optimization, bi-specific DARTs and CSLCs. Given the complexity of our technologies, we intend to work closely with FDA and other regulatory authorities to perform the requisite scientific analyses and evaluation of our methods to obtain regulatory approval for our product candidates. It is possible that the validation process may take time and resources, require independent third-party analyses or not be accepted by the FDA and other regulatory authorities. For some of our product candidates that are based on these technology platforms, the regulatory approval path and requirements may not be clear, which could add significant delay and expense. Delays or failure to obtain regulatory approval of any of the products that we develop would adversely affect our business.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20" w:top="386"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use and expand our technology platforms to build a pipeline of product candidates.</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A key element of our strategy is to use and expand our technology platforms to build a pipeline of product candidates and progress these product candidates through clinical development for the treatment of a variety of different types of diseases. Although our research and development efforts to date have resulted in a pipeline of product candidates directed at various cancers and autoimmune disorders,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w:t>
      </w:r>
    </w:p>
    <w:p>
      <w:pPr>
        <w:spacing w:after="0" w:line="86"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1" w:lineRule="exact"/>
        <w:rPr>
          <w:sz w:val="20"/>
          <w:szCs w:val="20"/>
          <w:color w:val="auto"/>
        </w:rPr>
      </w:pPr>
    </w:p>
    <w:p>
      <w:pPr>
        <w:jc w:val="both"/>
        <w:ind w:right="100" w:firstLine="802"/>
        <w:spacing w:after="0" w:line="305" w:lineRule="auto"/>
        <w:rPr>
          <w:sz w:val="20"/>
          <w:szCs w:val="20"/>
          <w:color w:val="auto"/>
        </w:rPr>
      </w:pPr>
      <w:r>
        <w:rPr>
          <w:rFonts w:ascii="Arial" w:cs="Arial" w:eastAsia="Arial" w:hAnsi="Arial"/>
          <w:sz w:val="12"/>
          <w:szCs w:val="12"/>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84"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b w:val="1"/>
          <w:bCs w:val="1"/>
          <w:i w:val="1"/>
          <w:iCs w:val="1"/>
          <w:color w:val="auto"/>
        </w:rPr>
        <w:t>Even if we obtain FDA approval of any of our product candidates, we may never obtain approval or commercialize our products outside of the United States, which would limit our ability to realize their full market potential.</w:t>
      </w:r>
    </w:p>
    <w:p>
      <w:pPr>
        <w:spacing w:after="0" w:line="101" w:lineRule="exact"/>
        <w:rPr>
          <w:sz w:val="20"/>
          <w:szCs w:val="20"/>
          <w:color w:val="auto"/>
        </w:rPr>
      </w:pPr>
    </w:p>
    <w:p>
      <w:pPr>
        <w:ind w:right="20" w:firstLine="802"/>
        <w:spacing w:after="0" w:line="299" w:lineRule="auto"/>
        <w:rPr>
          <w:sz w:val="20"/>
          <w:szCs w:val="20"/>
          <w:color w:val="auto"/>
        </w:rPr>
      </w:pPr>
      <w:r>
        <w:rPr>
          <w:rFonts w:ascii="Arial" w:cs="Arial" w:eastAsia="Arial" w:hAnsi="Arial"/>
          <w:sz w:val="12"/>
          <w:szCs w:val="12"/>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386" w:right="2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100"/>
        <w:spacing w:after="0" w:line="321" w:lineRule="auto"/>
        <w:rPr>
          <w:sz w:val="20"/>
          <w:szCs w:val="20"/>
          <w:color w:val="auto"/>
        </w:rPr>
      </w:pPr>
      <w:r>
        <w:rPr>
          <w:rFonts w:ascii="Arial" w:cs="Arial" w:eastAsia="Arial" w:hAnsi="Arial"/>
          <w:sz w:val="12"/>
          <w:szCs w:val="12"/>
          <w:b w:val="1"/>
          <w:bCs w:val="1"/>
          <w:i w:val="1"/>
          <w:iCs w:val="1"/>
          <w:color w:val="auto"/>
        </w:rPr>
        <w:t>We are seeking fast-track designation of margetuximab and may seek fast track designation for some of our other product candidates. There is no assurance that the FDA will grant such designation and, even if it does grant fast track designation to margetuximab or one of our other product candidates, that designation may not actually lead to a faster development or regulatory review or approval process and it does not increase the likelihood that our product candidates will receive marketing approval in the United States.</w:t>
      </w:r>
    </w:p>
    <w:p>
      <w:pPr>
        <w:spacing w:after="0" w:line="73" w:lineRule="exact"/>
        <w:rPr>
          <w:sz w:val="20"/>
          <w:szCs w:val="20"/>
          <w:color w:val="auto"/>
        </w:rPr>
      </w:pPr>
    </w:p>
    <w:p>
      <w:pPr>
        <w:ind w:right="20" w:firstLine="802"/>
        <w:spacing w:after="0" w:line="253" w:lineRule="auto"/>
        <w:rPr>
          <w:sz w:val="20"/>
          <w:szCs w:val="20"/>
          <w:color w:val="auto"/>
        </w:rPr>
      </w:pPr>
      <w:r>
        <w:rPr>
          <w:rFonts w:ascii="Arial" w:cs="Arial" w:eastAsia="Arial" w:hAnsi="Arial"/>
          <w:sz w:val="14"/>
          <w:szCs w:val="14"/>
          <w:color w:val="auto"/>
        </w:rPr>
        <w:t>We are seeking fast-track designation of margetuximab and may seek fast track designation and review for some of our other product candidates. If a drug is intended for the treatment of a serious or life-threatening condition or disease, the drug sponsor may apply for FDA fast track designation. The FDA has broad discretion whether or not to grant this designation, so even if we believe a particular product candidate is eligible for this designation, we cannot assure you that the FDA would decide to grant it. Moreover, even if we do receive fast track designation, we may not experience a faster development process, review or approval compared to conventional FDA procedures. In addition, the FDA may withdraw fast track designation if it believes that the designation is no longer supported by data from our clinical development program.</w:t>
      </w:r>
    </w:p>
    <w:p>
      <w:pPr>
        <w:spacing w:after="0" w:line="113" w:lineRule="exact"/>
        <w:rPr>
          <w:sz w:val="20"/>
          <w:szCs w:val="20"/>
          <w:color w:val="auto"/>
        </w:rPr>
      </w:pPr>
    </w:p>
    <w:p>
      <w:pPr>
        <w:ind w:right="500"/>
        <w:spacing w:after="0" w:line="351" w:lineRule="auto"/>
        <w:rPr>
          <w:sz w:val="20"/>
          <w:szCs w:val="20"/>
          <w:color w:val="auto"/>
        </w:rPr>
      </w:pPr>
      <w:r>
        <w:rPr>
          <w:rFonts w:ascii="Arial" w:cs="Arial" w:eastAsia="Arial" w:hAnsi="Arial"/>
          <w:sz w:val="12"/>
          <w:szCs w:val="12"/>
          <w:b w:val="1"/>
          <w:bCs w:val="1"/>
          <w:i w:val="1"/>
          <w:iCs w:val="1"/>
          <w:color w:val="auto"/>
        </w:rPr>
        <w:t>We may seek breakthrough therapy designation by the FDA for any of our product candidates but that is not assured and may not, in any event, lead to a faster development or regulatory review or approval process, and it does not increase the likelihood that our product candidates will receive marketing approval in the United States.</w:t>
      </w:r>
    </w:p>
    <w:p>
      <w:pPr>
        <w:spacing w:after="0" w:line="56" w:lineRule="exact"/>
        <w:rPr>
          <w:sz w:val="20"/>
          <w:szCs w:val="20"/>
          <w:color w:val="auto"/>
        </w:rPr>
      </w:pPr>
    </w:p>
    <w:p>
      <w:pPr>
        <w:ind w:right="20" w:firstLine="802"/>
        <w:spacing w:after="0" w:line="305" w:lineRule="auto"/>
        <w:rPr>
          <w:sz w:val="20"/>
          <w:szCs w:val="20"/>
          <w:color w:val="auto"/>
        </w:rPr>
      </w:pPr>
      <w:r>
        <w:rPr>
          <w:rFonts w:ascii="Arial" w:cs="Arial" w:eastAsia="Arial" w:hAnsi="Arial"/>
          <w:sz w:val="12"/>
          <w:szCs w:val="12"/>
          <w:color w:val="auto"/>
        </w:rPr>
        <w:t>We may apply for breakthrough therapy designation for some of our product candidates. The FDA is authorized to designate a product candidate as a breakthrough therapy if it finds that the product is intended,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are also eligible for accelerated approval.</w:t>
      </w:r>
    </w:p>
    <w:p>
      <w:pPr>
        <w:spacing w:after="0" w:line="84"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in any event,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13" w:lineRule="exact"/>
        <w:rPr>
          <w:sz w:val="20"/>
          <w:szCs w:val="20"/>
          <w:color w:val="auto"/>
        </w:rPr>
      </w:pPr>
    </w:p>
    <w:p>
      <w:pPr>
        <w:ind w:right="120"/>
        <w:spacing w:after="0" w:line="351" w:lineRule="auto"/>
        <w:rPr>
          <w:sz w:val="20"/>
          <w:szCs w:val="20"/>
          <w:color w:val="auto"/>
        </w:rPr>
      </w:pPr>
      <w:r>
        <w:rPr>
          <w:rFonts w:ascii="Arial" w:cs="Arial" w:eastAsia="Arial" w:hAnsi="Arial"/>
          <w:sz w:val="12"/>
          <w:szCs w:val="12"/>
          <w:b w:val="1"/>
          <w:bCs w:val="1"/>
          <w:i w:val="1"/>
          <w:iCs w:val="1"/>
          <w:color w:val="auto"/>
        </w:rPr>
        <w:t>We may be unable to obtain orphan product designation or exclusivity for some or all of our product candidates. If our competitors are able to obtain orphan product exclusivity for their products that are the same as our product candidates, we may not be able to have competing products approved by the applicable regulatory authority for a significant period of time.</w:t>
      </w:r>
    </w:p>
    <w:p>
      <w:pPr>
        <w:spacing w:after="0" w:line="56"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Regulatory authorities in some jurisdictions, including the United States and Europe, may designate drugs for relatively small patient populations as orphan drugs. Under the Orphan Drug Act, FDA may designate a product candidate as an orphan drug if it is a drug intended to treat a rare disease or condition, which is generally defined as a patient population of fewer than 200,000 individuals annually in the United States.</w:t>
      </w:r>
    </w:p>
    <w:p>
      <w:pPr>
        <w:spacing w:after="0" w:line="108" w:lineRule="exact"/>
        <w:rPr>
          <w:sz w:val="20"/>
          <w:szCs w:val="20"/>
          <w:color w:val="auto"/>
        </w:rPr>
      </w:pPr>
    </w:p>
    <w:p>
      <w:pPr>
        <w:ind w:right="40" w:firstLine="802"/>
        <w:spacing w:after="0" w:line="267" w:lineRule="auto"/>
        <w:rPr>
          <w:sz w:val="20"/>
          <w:szCs w:val="20"/>
          <w:color w:val="auto"/>
        </w:rPr>
      </w:pPr>
      <w:r>
        <w:rPr>
          <w:rFonts w:ascii="Arial" w:cs="Arial" w:eastAsia="Arial" w:hAnsi="Arial"/>
          <w:sz w:val="14"/>
          <w:szCs w:val="14"/>
          <w:color w:val="auto"/>
        </w:rPr>
        <w:t>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386" w:right="2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the same drug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w:t>
      </w:r>
    </w:p>
    <w:p>
      <w:pPr>
        <w:spacing w:after="0" w:line="73" w:lineRule="exact"/>
        <w:rPr>
          <w:sz w:val="20"/>
          <w:szCs w:val="20"/>
          <w:color w:val="auto"/>
        </w:rPr>
      </w:pPr>
    </w:p>
    <w:p>
      <w:pPr>
        <w:ind w:right="60" w:firstLine="802"/>
        <w:spacing w:after="0" w:line="258" w:lineRule="auto"/>
        <w:rPr>
          <w:sz w:val="20"/>
          <w:szCs w:val="20"/>
          <w:color w:val="auto"/>
        </w:rPr>
      </w:pPr>
      <w:r>
        <w:rPr>
          <w:rFonts w:ascii="Arial" w:cs="Arial" w:eastAsia="Arial" w:hAnsi="Arial"/>
          <w:sz w:val="14"/>
          <w:szCs w:val="14"/>
          <w:color w:val="auto"/>
        </w:rPr>
        <w:t>Even if we obtain orphan drug exclusivity for a product, that exclusivity may not effectively protect the product from competition because different drugs can be approved for the same condition. In the United States,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08"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Our product candidates may have undesirable side effects which may delay or prevent marketing approval, or, if approval is received, require them to be taken off the market, require them to include safety warnings or otherwise limit their sales.</w:t>
      </w:r>
    </w:p>
    <w:p>
      <w:pPr>
        <w:spacing w:after="0" w:line="101"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Although all of our product candidates have undergone or will undergo safety testing, not all adverse effects of drugs can be predicted or anticipated. Unforeseen side effects from any of our product candidates could arise either during clinical development or, if approved by regulatory authorities, after the approved product has been marketed. All of our product candidates are still in clinical or pre-clinical development. While our clinical trials for our initial product candidates to date have demonstrated a favorable safety profile, the results from future trials may not support this conclusion. The results of future clinical trials may show that our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or potential product liability claims.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If any of our product candidates receives marketing approval and we or others later identify undesirable or unacceptable side effects caused by such products:</w:t>
      </w:r>
    </w:p>
    <w:p>
      <w:pPr>
        <w:spacing w:after="0" w:line="163" w:lineRule="exact"/>
        <w:rPr>
          <w:sz w:val="20"/>
          <w:szCs w:val="20"/>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require us to take our approved product off the market;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specific warnings, a contraindication or field alerts to physicians and pharmacies;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administered, conduct additional clinical trials or change the labeling of the product;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subject to limitations on how we may promote the product;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sales of the product may decrease significantly;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subject to litigation or product liability claims;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32"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20" w:top="386"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b w:val="1"/>
          <w:bCs w:val="1"/>
          <w:i w:val="1"/>
          <w:i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101" w:lineRule="exact"/>
        <w:rPr>
          <w:sz w:val="20"/>
          <w:szCs w:val="20"/>
          <w:color w:val="auto"/>
        </w:rPr>
      </w:pPr>
    </w:p>
    <w:p>
      <w:pPr>
        <w:ind w:right="260" w:firstLine="802"/>
        <w:spacing w:after="0" w:line="267" w:lineRule="auto"/>
        <w:rPr>
          <w:sz w:val="20"/>
          <w:szCs w:val="20"/>
          <w:color w:val="auto"/>
        </w:rPr>
      </w:pPr>
      <w:r>
        <w:rPr>
          <w:rFonts w:ascii="Arial" w:cs="Arial" w:eastAsia="Arial" w:hAnsi="Arial"/>
          <w:sz w:val="14"/>
          <w:szCs w:val="14"/>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133" w:lineRule="exact"/>
        <w:rPr>
          <w:sz w:val="20"/>
          <w:szCs w:val="20"/>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limitations or warnings contained in the approved labeling for a product candidate;</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the standard of care for the targeted indications for any of our product candidates;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limitations in the approved clinical indications for our product candidates;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demonstrated clinical safety and efficacy compared to other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lack of significant adverse side effects;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sales, marketing and distribution support;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availability and extent of reimbursement from managed care plans and other third-party payors;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timing of market introduction and perceived effectiveness of competitive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degree of cost-effectiveness of our product candidates;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availability of alternative therapies at similar or lower cost, including generic and over-the-counter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extent to which the product candidate is approved for inclusion on formularies of hospitals and managed care organizations;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whether the product is designated under physician treatment guidelines as a first-line therapy or as a second- or third-line therapy for particular diseases;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adverse publicity about our product candidates or favorable publicity about competitive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convenience and ease of administration of our products;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potential product liability claims.</w:t>
      </w:r>
    </w:p>
    <w:p>
      <w:pPr>
        <w:spacing w:after="0" w:line="132"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20" w:top="386"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center"/>
        <w:ind w:right="3720"/>
        <w:spacing w:after="0"/>
        <w:rPr>
          <w:sz w:val="20"/>
          <w:szCs w:val="20"/>
          <w:color w:val="auto"/>
        </w:rPr>
      </w:pPr>
      <w:r>
        <w:rPr>
          <w:rFonts w:ascii="Arial" w:cs="Arial" w:eastAsia="Arial" w:hAnsi="Arial"/>
          <w:sz w:val="11"/>
          <w:szCs w:val="11"/>
          <w:b w:val="1"/>
          <w:bCs w:val="1"/>
          <w:i w:val="1"/>
          <w:iCs w:val="1"/>
          <w:color w:val="auto"/>
        </w:rPr>
        <w:t>We are subject to a multitude of manufacturing risks, any of which could substantially increase our costs and limit supply of our products.</w:t>
      </w:r>
    </w:p>
    <w:p>
      <w:pPr>
        <w:spacing w:after="0" w:line="166" w:lineRule="exact"/>
        <w:rPr>
          <w:sz w:val="20"/>
          <w:szCs w:val="20"/>
          <w:color w:val="auto"/>
        </w:rPr>
      </w:pPr>
    </w:p>
    <w:p>
      <w:pPr>
        <w:jc w:val="center"/>
        <w:ind w:right="3800"/>
        <w:spacing w:after="0"/>
        <w:rPr>
          <w:sz w:val="20"/>
          <w:szCs w:val="20"/>
          <w:color w:val="auto"/>
        </w:rPr>
      </w:pPr>
      <w:r>
        <w:rPr>
          <w:rFonts w:ascii="Arial" w:cs="Arial" w:eastAsia="Arial" w:hAnsi="Arial"/>
          <w:sz w:val="14"/>
          <w:szCs w:val="14"/>
          <w:color w:val="auto"/>
        </w:rPr>
        <w:t>The process of manufacturing our products is complex, highly regulated and subject to several risks, including:</w:t>
      </w:r>
    </w:p>
    <w:p>
      <w:pPr>
        <w:spacing w:after="0" w:line="163" w:lineRule="exact"/>
        <w:rPr>
          <w:sz w:val="20"/>
          <w:szCs w:val="20"/>
          <w:color w:val="auto"/>
        </w:rPr>
      </w:pPr>
    </w:p>
    <w:p>
      <w:pPr>
        <w:ind w:left="1240" w:right="40" w:hanging="327"/>
        <w:spacing w:after="0" w:line="305" w:lineRule="auto"/>
        <w:tabs>
          <w:tab w:leader="none" w:pos="12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process of manufacturing biologics, such as margetuximab, MGA271, and our other product candidates, is extremely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15" w:lineRule="exact"/>
        <w:rPr>
          <w:rFonts w:ascii="Arial" w:cs="Arial" w:eastAsia="Arial" w:hAnsi="Arial"/>
          <w:sz w:val="12"/>
          <w:szCs w:val="12"/>
          <w:color w:val="auto"/>
        </w:rPr>
      </w:pPr>
    </w:p>
    <w:p>
      <w:pPr>
        <w:ind w:left="1240" w:right="140" w:hanging="327"/>
        <w:spacing w:after="0" w:line="267" w:lineRule="auto"/>
        <w:tabs>
          <w:tab w:leader="none" w:pos="1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manufacturing facilities in which our product candidates are made could be adversely affected by equipment failures, labor shortages, natural disasters, power failures and numerous other factors.</w:t>
      </w:r>
    </w:p>
    <w:p>
      <w:pPr>
        <w:spacing w:after="0" w:line="132" w:lineRule="exact"/>
        <w:rPr>
          <w:rFonts w:ascii="Arial" w:cs="Arial" w:eastAsia="Arial" w:hAnsi="Arial"/>
          <w:sz w:val="14"/>
          <w:szCs w:val="14"/>
          <w:color w:val="auto"/>
        </w:rPr>
      </w:pPr>
    </w:p>
    <w:p>
      <w:pPr>
        <w:ind w:left="1240" w:right="80" w:hanging="327"/>
        <w:spacing w:after="0" w:line="298" w:lineRule="auto"/>
        <w:tabs>
          <w:tab w:leader="none" w:pos="12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must comply with the FDA’s current Good Manufacturing Practice, or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86" w:lineRule="exact"/>
        <w:rPr>
          <w:rFonts w:ascii="Arial" w:cs="Arial" w:eastAsia="Arial" w:hAnsi="Arial"/>
          <w:sz w:val="12"/>
          <w:szCs w:val="12"/>
          <w:color w:val="auto"/>
        </w:rPr>
      </w:pPr>
    </w:p>
    <w:p>
      <w:pPr>
        <w:jc w:val="both"/>
        <w:ind w:left="1240" w:right="240" w:hanging="327"/>
        <w:spacing w:after="0" w:line="258" w:lineRule="auto"/>
        <w:tabs>
          <w:tab w:leader="none" w:pos="1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08" w:lineRule="exact"/>
        <w:rPr>
          <w:sz w:val="20"/>
          <w:szCs w:val="20"/>
          <w:color w:val="auto"/>
        </w:rPr>
      </w:pPr>
    </w:p>
    <w:p>
      <w:pPr>
        <w:ind w:right="540"/>
        <w:spacing w:after="0" w:line="267" w:lineRule="auto"/>
        <w:rPr>
          <w:sz w:val="20"/>
          <w:szCs w:val="20"/>
          <w:color w:val="auto"/>
        </w:rPr>
      </w:pPr>
      <w:r>
        <w:rPr>
          <w:rFonts w:ascii="Arial" w:cs="Arial" w:eastAsia="Arial" w:hAnsi="Arial"/>
          <w:sz w:val="14"/>
          <w:szCs w:val="14"/>
          <w:b w:val="1"/>
          <w:bCs w:val="1"/>
          <w:i w:val="1"/>
          <w:iCs w:val="1"/>
          <w:color w:val="auto"/>
        </w:rPr>
        <w:t>We currently have no marketing, sales or distribution infrastructure. If we are unable to develop sales, marketing and distribution capabilities on our own or through collaborations, we will not be successful in commercializing our product candidates.</w:t>
      </w:r>
    </w:p>
    <w:p>
      <w:pPr>
        <w:spacing w:after="0" w:line="101" w:lineRule="exact"/>
        <w:rPr>
          <w:sz w:val="20"/>
          <w:szCs w:val="20"/>
          <w:color w:val="auto"/>
        </w:rPr>
      </w:pPr>
    </w:p>
    <w:p>
      <w:pPr>
        <w:jc w:val="both"/>
        <w:ind w:firstLine="802"/>
        <w:spacing w:after="0" w:line="258" w:lineRule="auto"/>
        <w:rPr>
          <w:sz w:val="20"/>
          <w:szCs w:val="20"/>
          <w:color w:val="auto"/>
        </w:rPr>
      </w:pPr>
      <w:r>
        <w:rPr>
          <w:rFonts w:ascii="Arial" w:cs="Arial" w:eastAsia="Arial" w:hAnsi="Arial"/>
          <w:sz w:val="14"/>
          <w:szCs w:val="14"/>
          <w:color w:val="auto"/>
        </w:rPr>
        <w:t>We currently have no marketing, sales and distribution capabilities and we have no sales or marketing experience within our organization. If any of our product candidates are approved, we intend either to establish a sales and marketing organization with technical expertise and supporting distribution capabilities to commercialize our product candidates, or to outsource this function to a third party. Either of these options would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386"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be expensive and time consuming. These costs may be incurred in advance of any approval of our product candidates.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impact the commercialization of our products.</w:t>
      </w:r>
    </w:p>
    <w:p>
      <w:pPr>
        <w:spacing w:after="0" w:line="108"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With respect to certain of our existing and future product candidates, we have entered into collaboration or other licensing arrangements with third party collaborators that have direct sales forces and established distribution systems. To the extent that we enter into additional collaboration agreements, our product revenue may be lower than if we directly marketed or sold any approved products. In addition, any revenue we receive will depend in whole or in part upon the efforts of these third 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84"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101" w:lineRule="exact"/>
        <w:rPr>
          <w:sz w:val="20"/>
          <w:szCs w:val="20"/>
          <w:color w:val="auto"/>
        </w:rPr>
      </w:pPr>
    </w:p>
    <w:p>
      <w:pPr>
        <w:ind w:firstLine="802"/>
        <w:spacing w:after="0" w:line="298" w:lineRule="auto"/>
        <w:rPr>
          <w:sz w:val="20"/>
          <w:szCs w:val="20"/>
          <w:color w:val="auto"/>
        </w:rPr>
      </w:pPr>
      <w:r>
        <w:rPr>
          <w:rFonts w:ascii="Arial" w:cs="Arial" w:eastAsia="Arial" w:hAnsi="Arial"/>
          <w:sz w:val="12"/>
          <w:szCs w:val="12"/>
          <w:color w:val="auto"/>
        </w:rPr>
        <w:t>The life sciences industry is highly competitive and subject to rapid and significant technological change. We are currently developing 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FDA approval or discovering, developing and commercializing products in our field before we do.</w:t>
      </w:r>
    </w:p>
    <w:p>
      <w:pPr>
        <w:spacing w:after="0" w:line="88" w:lineRule="exact"/>
        <w:rPr>
          <w:sz w:val="20"/>
          <w:szCs w:val="20"/>
          <w:color w:val="auto"/>
        </w:rPr>
      </w:pPr>
    </w:p>
    <w:p>
      <w:pPr>
        <w:ind w:right="20" w:firstLine="802"/>
        <w:spacing w:after="0" w:line="305" w:lineRule="auto"/>
        <w:rPr>
          <w:sz w:val="20"/>
          <w:szCs w:val="20"/>
          <w:color w:val="auto"/>
        </w:rPr>
      </w:pPr>
      <w:r>
        <w:rPr>
          <w:rFonts w:ascii="Arial" w:cs="Arial" w:eastAsia="Arial" w:hAnsi="Arial"/>
          <w:sz w:val="12"/>
          <w:szCs w:val="12"/>
          <w:color w:val="auto"/>
        </w:rPr>
        <w:t>Specifically, there are a large number of companies developing or marketing treatments for cancer and autoimmune disorders,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Amgen, Inc., or Amgen, is in late-stage clinical development of cancer product candidates which work by targeting antigens both on immune effector cell populations and those expressed on certain cancer cells. In addition, other companies are developing new treatments for cancer and autoimmune diseases that enhance the Fc regions of antibodies to create more potent antibodies, including F. Hoffmann-La Roche Ltd., or Roche, and Xencor, Inc.</w:t>
      </w:r>
    </w:p>
    <w:p>
      <w:pPr>
        <w:spacing w:after="0" w:line="84"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386" w:right="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40"/>
        <w:spacing w:after="0" w:line="351" w:lineRule="auto"/>
        <w:rPr>
          <w:sz w:val="20"/>
          <w:szCs w:val="20"/>
          <w:color w:val="auto"/>
        </w:rPr>
      </w:pPr>
      <w:r>
        <w:rPr>
          <w:rFonts w:ascii="Arial" w:cs="Arial" w:eastAsia="Arial" w:hAnsi="Arial"/>
          <w:sz w:val="12"/>
          <w:szCs w:val="12"/>
          <w:color w:val="auto"/>
        </w:rPr>
        <w:t>use of biosimilar products. Biosimilar products are expected to become available over the coming years. For example, certain HER2 biosimilar products may be approved prior to margetuximab. Even if our product candidates achieve marketing approval, they may be priced at a significant premium over competitive biosimilar products if any have been approved by then.</w:t>
      </w:r>
    </w:p>
    <w:p>
      <w:pPr>
        <w:spacing w:after="0" w:line="56" w:lineRule="exact"/>
        <w:rPr>
          <w:sz w:val="20"/>
          <w:szCs w:val="20"/>
          <w:color w:val="auto"/>
        </w:rPr>
      </w:pPr>
    </w:p>
    <w:p>
      <w:pPr>
        <w:ind w:right="40" w:firstLine="802"/>
        <w:spacing w:after="0" w:line="302" w:lineRule="auto"/>
        <w:rPr>
          <w:sz w:val="20"/>
          <w:szCs w:val="20"/>
          <w:color w:val="auto"/>
        </w:rPr>
      </w:pPr>
      <w:r>
        <w:rPr>
          <w:rFonts w:ascii="Arial" w:cs="Arial" w:eastAsia="Arial" w:hAnsi="Arial"/>
          <w:sz w:val="12"/>
          <w:szCs w:val="12"/>
          <w:color w:val="auto"/>
        </w:rPr>
        <w:t>The Patient Protection and Affordable Care Act, as amended by the Healthcare and Education Affordability Reconciliation Act, or collectively, ACA created a new regulatory scheme authorizing the FDA to approve biosimilars. Under the ACA, a manufacturer may submit an application for licensure of a biologic product that is “biosimilar to” or “interchangeable with” a previously approved biological product or “reference product.” Under this new statutory scheme, an application for a biosimilar product may not be submitted to the FDA until four years following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Furthermore, recent legislation has proposed that the 12 year exclusivity period for each a reference product may be reduced to seven years.</w:t>
      </w:r>
    </w:p>
    <w:p>
      <w:pPr>
        <w:spacing w:after="0" w:line="86" w:lineRule="exact"/>
        <w:rPr>
          <w:sz w:val="20"/>
          <w:szCs w:val="20"/>
          <w:color w:val="auto"/>
        </w:rPr>
      </w:pPr>
    </w:p>
    <w:p>
      <w:pPr>
        <w:ind w:right="120" w:firstLine="802"/>
        <w:spacing w:after="0" w:line="311" w:lineRule="auto"/>
        <w:rPr>
          <w:sz w:val="20"/>
          <w:szCs w:val="20"/>
          <w:color w:val="auto"/>
        </w:rPr>
      </w:pPr>
      <w:r>
        <w:rPr>
          <w:rFonts w:ascii="Arial" w:cs="Arial" w:eastAsia="Arial" w:hAnsi="Arial"/>
          <w:sz w:val="12"/>
          <w:szCs w:val="12"/>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7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01" w:lineRule="exact"/>
        <w:rPr>
          <w:sz w:val="20"/>
          <w:szCs w:val="20"/>
          <w:color w:val="auto"/>
        </w:rPr>
      </w:pPr>
    </w:p>
    <w:p>
      <w:pPr>
        <w:ind w:right="100" w:firstLine="802"/>
        <w:spacing w:after="0" w:line="311" w:lineRule="auto"/>
        <w:rPr>
          <w:sz w:val="20"/>
          <w:szCs w:val="20"/>
          <w:color w:val="auto"/>
        </w:rPr>
      </w:pPr>
      <w:r>
        <w:rPr>
          <w:rFonts w:ascii="Arial" w:cs="Arial" w:eastAsia="Arial" w:hAnsi="Arial"/>
          <w:sz w:val="12"/>
          <w:szCs w:val="12"/>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We cannot be certain that reimbursement will be available for any products that we develop. Also, we cannot be certain that reimbursement policies will not reduce the demand for, or the price paid for, our products. If reimbursement is not available or is available on a limited basis, we may not be able to successfully commercialize any of our approved products.</w:t>
      </w:r>
    </w:p>
    <w:p>
      <w:pPr>
        <w:spacing w:after="0" w:line="79"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w:t>
      </w:r>
    </w:p>
    <w:p>
      <w:pPr>
        <w:spacing w:after="0" w:line="73"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20" w:top="386"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color w:val="auto"/>
        </w:rPr>
        <w:t>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01"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In March 2010, the ACA became law in the United States. The goal of ACA is to reduce the cost of health care and substantially change the way health care is financed by both governmental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 regulatory approval. We also cannot predict the impact of ACA on our business or financial condition as many of the ACA reforms require the promulgation of detailed regulations implementing the statutory provisions, which has not yet occurred.</w:t>
      </w:r>
    </w:p>
    <w:p>
      <w:pPr>
        <w:spacing w:after="0" w:line="79" w:lineRule="exact"/>
        <w:rPr>
          <w:sz w:val="20"/>
          <w:szCs w:val="20"/>
          <w:color w:val="auto"/>
        </w:rPr>
      </w:pPr>
    </w:p>
    <w:p>
      <w:pPr>
        <w:ind w:right="620"/>
        <w:spacing w:after="0" w:line="267" w:lineRule="auto"/>
        <w:rPr>
          <w:sz w:val="20"/>
          <w:szCs w:val="20"/>
          <w:color w:val="auto"/>
        </w:rPr>
      </w:pPr>
      <w:r>
        <w:rPr>
          <w:rFonts w:ascii="Arial" w:cs="Arial" w:eastAsia="Arial" w:hAnsi="Arial"/>
          <w:sz w:val="14"/>
          <w:szCs w:val="14"/>
          <w:b w:val="1"/>
          <w:bCs w:val="1"/>
          <w:i w:val="1"/>
          <w:iCs w:val="1"/>
          <w:color w:val="auto"/>
        </w:rPr>
        <w:t>If any product liability lawsuits are successfully brought against us or any of our collaborators, we may incur substantial liabilities and may be required to limit commercialization of our product candidates.</w:t>
      </w:r>
    </w:p>
    <w:p>
      <w:pPr>
        <w:spacing w:after="0" w:line="101"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collaborators by participants enrolled in our clinical trials, patients, health care providers or others using, administering or selling any of our future approved products. If we cannot successfully defend ourselves against any such claims, we may incur substantial liabilities. Regardless of their merit or eventual outcome, liability claims may result in:</w:t>
      </w:r>
    </w:p>
    <w:p>
      <w:pPr>
        <w:spacing w:after="0" w:line="141" w:lineRule="exact"/>
        <w:rPr>
          <w:sz w:val="20"/>
          <w:szCs w:val="20"/>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decreased demand for our future approved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termination of clinical trial sites or entire trial programs;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increased regulatory scrutiny;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significant litigation costs;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substantial monetary awards to or costly settlement with patients or other claimants;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 recalls or a change in the indications for which they may be used;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diversion of management and scientific resources from our business operations;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inability to commercialize our product candidates.</w:t>
      </w:r>
    </w:p>
    <w:p>
      <w:pPr>
        <w:spacing w:after="0" w:line="132"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386"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We currently hold $15 million in product liability insurance coverage in the aggregate, with a per incident limit of $15 million, which may not be adequate to cover all liabilities that we may incur. We may need to increase our insurance coverage when we begin the commercialization of our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become subject to economic, political, regulatory and other risks associated with international operations.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business is subject to risks associated with conducting business internationally. Some of our suppliers and collaborative and clinical trial relationships are located outside the United States.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Accordingly, our future results could be harmed by a variety of factors, including:</w:t>
      </w:r>
    </w:p>
    <w:p>
      <w:pPr>
        <w:spacing w:after="0" w:line="157" w:lineRule="exact"/>
        <w:rPr>
          <w:sz w:val="20"/>
          <w:szCs w:val="20"/>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foreign economies and markets;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differing regulatory requirements for drug approvals in foreign countries;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potentially reduced protection for intellectual property rights;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difficulties in compliance with non-U.S. laws and regulations;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non-U.S. regulations and customs, tariffs and trade barriers;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non-U.S. currency exchange rates and currency controls;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a specific country’s or region’s political or economic environment;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trade protection measures, import or export licensing requirements or other restrictive actions by U.S. or non-U.S. governments;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negative consequences from changes in tax laws;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United States;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difficulties associated with staffing and managing foreign operations, including differing labor relations;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 and</w:t>
      </w:r>
    </w:p>
    <w:p>
      <w:pPr>
        <w:spacing w:after="0" w:line="162" w:lineRule="exact"/>
        <w:rPr>
          <w:rFonts w:ascii="Arial" w:cs="Arial" w:eastAsia="Arial" w:hAnsi="Arial"/>
          <w:sz w:val="14"/>
          <w:szCs w:val="14"/>
          <w:color w:val="auto"/>
        </w:rPr>
      </w:pPr>
    </w:p>
    <w:p>
      <w:pPr>
        <w:ind w:left="5660" w:right="1660" w:hanging="4747"/>
        <w:spacing w:after="0" w:line="438" w:lineRule="auto"/>
        <w:tabs>
          <w:tab w:leader="none" w:pos="123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 23</w:t>
      </w:r>
    </w:p>
    <w:p>
      <w:pPr>
        <w:sectPr>
          <w:pgSz w:w="11900" w:h="16838" w:orient="portrait"/>
          <w:cols w:equalWidth="0" w:num="1">
            <w:col w:w="11440"/>
          </w:cols>
          <w:pgMar w:left="220" w:top="386"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Additional Capital</w:t>
      </w:r>
    </w:p>
    <w:p>
      <w:pPr>
        <w:spacing w:after="0" w:line="134"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b w:val="1"/>
          <w:bCs w:val="1"/>
          <w:i w:val="1"/>
          <w:iCs w:val="1"/>
          <w:color w:val="auto"/>
        </w:rPr>
        <w:t>We have incurred significant losses since inception and anticipate that we will continue to incur losses for the foreseeable future. We have no products approved for commercial sale, and to date we have not generated any revenue or profit from product sales. We may never achieve or sustain profitability.</w:t>
      </w:r>
    </w:p>
    <w:p>
      <w:pPr>
        <w:spacing w:after="0" w:line="101" w:lineRule="exact"/>
        <w:rPr>
          <w:sz w:val="20"/>
          <w:szCs w:val="20"/>
          <w:color w:val="auto"/>
        </w:rPr>
      </w:pPr>
    </w:p>
    <w:p>
      <w:pPr>
        <w:ind w:right="100" w:firstLine="802"/>
        <w:spacing w:after="0" w:line="305" w:lineRule="auto"/>
        <w:rPr>
          <w:sz w:val="20"/>
          <w:szCs w:val="20"/>
          <w:color w:val="auto"/>
        </w:rPr>
      </w:pPr>
      <w:r>
        <w:rPr>
          <w:rFonts w:ascii="Arial" w:cs="Arial" w:eastAsia="Arial" w:hAnsi="Arial"/>
          <w:sz w:val="12"/>
          <w:szCs w:val="12"/>
          <w:color w:val="auto"/>
        </w:rPr>
        <w:t>We are a clinical-stage biopharmaceutical company. We have incurred significant losses since our inception. As of June 30, 2013, our accumulated deficit was approximately $179.1 million.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84" w:lineRule="exact"/>
        <w:rPr>
          <w:sz w:val="20"/>
          <w:szCs w:val="20"/>
          <w:color w:val="auto"/>
        </w:rPr>
      </w:pPr>
    </w:p>
    <w:p>
      <w:pPr>
        <w:ind w:right="100" w:firstLine="802"/>
        <w:spacing w:after="0" w:line="258" w:lineRule="auto"/>
        <w:rPr>
          <w:sz w:val="20"/>
          <w:szCs w:val="20"/>
          <w:color w:val="auto"/>
        </w:rPr>
      </w:pPr>
      <w:r>
        <w:rPr>
          <w:rFonts w:ascii="Arial" w:cs="Arial" w:eastAsia="Arial" w:hAnsi="Arial"/>
          <w:sz w:val="14"/>
          <w:szCs w:val="14"/>
          <w:color w:val="auto"/>
        </w:rPr>
        <w:t>Because of the numerous risks and uncertainties associated with pharmaceutical product development,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 trials or in the development of any of our product candidates.</w:t>
      </w:r>
    </w:p>
    <w:p>
      <w:pPr>
        <w:spacing w:after="0" w:line="108"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To become and remain profitable, we must succeed in developing and commercializing products with significant market potential. This will require us to be successful in a range of challenging activities for which we are only in the preliminary stages, including developing product candidates, obtaining regulatory approval for them, and manufacturing, marketing and selling those products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84"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01"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We are advancing our product candidates through clinical development. Developing pharmaceutical products, including conducting pre-clinical studies and clinical trials, is expensive. In order to obtain such regulatory approval, we will be required to conduct clinical trials for each indication for each of our product candidates. We will continue to require additional funding beyond this contemplated offering to complete the development and commercialization of our product candidates and to continue to advance the development of our other product candidates, and such funding may not be available on acceptable terms or at all. Although it is difficult to predict our liquidity requirements, based upon our current operating plan, we anticipate that the net proceeds from this offering, together with our existing cash and cash equivalents, will enable us to fund our operating expenses and capital expenditure requirements for at least the next 18 months. Because successful development of our product candidates is uncertain, we are unable to estimate the actual funds we will require to complete research and development and to commercialize our product candidates.</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future funding requirements will depend on many factors, including but not limited to:</w:t>
      </w:r>
    </w:p>
    <w:p>
      <w:pPr>
        <w:spacing w:after="0" w:line="163" w:lineRule="exact"/>
        <w:rPr>
          <w:sz w:val="20"/>
          <w:szCs w:val="20"/>
          <w:color w:val="auto"/>
        </w:rPr>
      </w:pPr>
    </w:p>
    <w:p>
      <w:pPr>
        <w:ind w:left="1240" w:hanging="327"/>
        <w:spacing w:after="0"/>
        <w:tabs>
          <w:tab w:leader="none" w:pos="1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and characteristics of other product candidates that we pursue;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386" w:right="2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scope, progress, timing, cost and results of research, pre-clinical development, and clinical trials;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costs, timing and outcome of seeking and obtaining FDA and non-U.S. regulatory approvals;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costs associated with manufacturing our product candidates and establishing sales, marketing, and distribution capabilities;</w:t>
      </w:r>
    </w:p>
    <w:p>
      <w:pPr>
        <w:spacing w:after="0" w:line="162" w:lineRule="exact"/>
        <w:rPr>
          <w:rFonts w:ascii="Arial" w:cs="Arial" w:eastAsia="Arial" w:hAnsi="Arial"/>
          <w:sz w:val="14"/>
          <w:szCs w:val="14"/>
          <w:color w:val="auto"/>
        </w:rPr>
      </w:pPr>
    </w:p>
    <w:p>
      <w:pPr>
        <w:ind w:left="1240" w:right="200" w:hanging="327"/>
        <w:spacing w:after="0" w:line="267" w:lineRule="auto"/>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need and ability to hire additional management, scientific, and medical personnel;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effect of competing products that may limit market penetration of our product candidates;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need to implement additional internal systems and infrastructure, including financial and reporting systems; and</w:t>
      </w:r>
    </w:p>
    <w:p>
      <w:pPr>
        <w:spacing w:after="0" w:line="162" w:lineRule="exact"/>
        <w:rPr>
          <w:rFonts w:ascii="Arial" w:cs="Arial" w:eastAsia="Arial" w:hAnsi="Arial"/>
          <w:sz w:val="14"/>
          <w:szCs w:val="14"/>
          <w:color w:val="auto"/>
        </w:rPr>
      </w:pPr>
    </w:p>
    <w:p>
      <w:pPr>
        <w:ind w:left="1240" w:hanging="327"/>
        <w:spacing w:after="0" w:line="267" w:lineRule="auto"/>
        <w:tabs>
          <w:tab w:leader="none" w:pos="1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spacing w:after="0" w:line="101"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may cause dilution to our stockholders, including purchasers of common stock in this offering, restrict our operations or require us to relinquish substantial rights.</w:t>
      </w:r>
    </w:p>
    <w:p>
      <w:pPr>
        <w:spacing w:after="0" w:line="155" w:lineRule="exact"/>
        <w:rPr>
          <w:sz w:val="20"/>
          <w:szCs w:val="20"/>
          <w:color w:val="auto"/>
        </w:rPr>
      </w:pPr>
    </w:p>
    <w:p>
      <w:pPr>
        <w:ind w:right="40" w:firstLine="802"/>
        <w:spacing w:after="0" w:line="302" w:lineRule="auto"/>
        <w:rPr>
          <w:sz w:val="20"/>
          <w:szCs w:val="20"/>
          <w:color w:val="auto"/>
        </w:rPr>
      </w:pPr>
      <w:r>
        <w:rPr>
          <w:rFonts w:ascii="Arial" w:cs="Arial" w:eastAsia="Arial" w:hAnsi="Arial"/>
          <w:sz w:val="12"/>
          <w:szCs w:val="12"/>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40"/>
          </w:cols>
          <w:pgMar w:left="220" w:top="386"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34" w:lineRule="exact"/>
        <w:rPr>
          <w:sz w:val="20"/>
          <w:szCs w:val="20"/>
          <w:color w:val="auto"/>
        </w:rPr>
      </w:pPr>
    </w:p>
    <w:p>
      <w:pPr>
        <w:ind w:right="660"/>
        <w:spacing w:after="0" w:line="267" w:lineRule="auto"/>
        <w:rPr>
          <w:sz w:val="20"/>
          <w:szCs w:val="20"/>
          <w:color w:val="auto"/>
        </w:rPr>
      </w:pPr>
      <w:r>
        <w:rPr>
          <w:rFonts w:ascii="Arial" w:cs="Arial" w:eastAsia="Arial" w:hAnsi="Arial"/>
          <w:sz w:val="14"/>
          <w:szCs w:val="14"/>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101" w:lineRule="exact"/>
        <w:rPr>
          <w:sz w:val="20"/>
          <w:szCs w:val="20"/>
          <w:color w:val="auto"/>
        </w:rPr>
      </w:pPr>
    </w:p>
    <w:p>
      <w:pPr>
        <w:ind w:right="60" w:firstLine="802"/>
        <w:spacing w:after="0" w:line="255" w:lineRule="auto"/>
        <w:rPr>
          <w:sz w:val="20"/>
          <w:szCs w:val="20"/>
          <w:color w:val="auto"/>
        </w:rPr>
      </w:pPr>
      <w:r>
        <w:rPr>
          <w:rFonts w:ascii="Arial" w:cs="Arial" w:eastAsia="Arial" w:hAnsi="Arial"/>
          <w:sz w:val="14"/>
          <w:szCs w:val="14"/>
          <w:color w:val="auto"/>
        </w:rPr>
        <w:t>We have limited capabilities for drug development and do not yet have any capability for sales, marketing or distribution. Accordingly, we have entered into collaborations with other companies that we believe can provide such capabilities, including our collaboration and license agreements with Servier, Gilead, Boehringer, Pfizer and Green Cross Corp., or Green Cross. These collaborations also have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w:t>
      </w:r>
    </w:p>
    <w:p>
      <w:pPr>
        <w:spacing w:after="0" w:line="141" w:lineRule="exact"/>
        <w:rPr>
          <w:sz w:val="20"/>
          <w:szCs w:val="20"/>
          <w:color w:val="auto"/>
        </w:rPr>
      </w:pPr>
    </w:p>
    <w:p>
      <w:pPr>
        <w:ind w:left="1240" w:hanging="327"/>
        <w:spacing w:after="0"/>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efforts and resources that they will apply to these collaborations;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collaborators may not perform their obligations as expected;</w:t>
      </w:r>
    </w:p>
    <w:p>
      <w:pPr>
        <w:spacing w:after="0" w:line="162" w:lineRule="exact"/>
        <w:rPr>
          <w:rFonts w:ascii="Arial" w:cs="Arial" w:eastAsia="Arial" w:hAnsi="Arial"/>
          <w:sz w:val="14"/>
          <w:szCs w:val="14"/>
          <w:color w:val="auto"/>
        </w:rPr>
      </w:pPr>
    </w:p>
    <w:p>
      <w:pPr>
        <w:ind w:left="1240" w:hanging="327"/>
        <w:spacing w:after="0" w:line="258" w:lineRule="auto"/>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38" w:lineRule="exact"/>
        <w:rPr>
          <w:rFonts w:ascii="Arial" w:cs="Arial" w:eastAsia="Arial" w:hAnsi="Arial"/>
          <w:sz w:val="14"/>
          <w:szCs w:val="14"/>
          <w:color w:val="auto"/>
        </w:rPr>
      </w:pPr>
    </w:p>
    <w:p>
      <w:pPr>
        <w:ind w:left="1240" w:right="140" w:hanging="327"/>
        <w:spacing w:after="0" w:line="267" w:lineRule="auto"/>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2" w:lineRule="exact"/>
        <w:rPr>
          <w:rFonts w:ascii="Arial" w:cs="Arial" w:eastAsia="Arial" w:hAnsi="Arial"/>
          <w:sz w:val="14"/>
          <w:szCs w:val="14"/>
          <w:color w:val="auto"/>
        </w:rPr>
      </w:pPr>
    </w:p>
    <w:p>
      <w:pPr>
        <w:ind w:left="1240" w:right="180" w:hanging="327"/>
        <w:spacing w:after="0" w:line="351" w:lineRule="auto"/>
        <w:tabs>
          <w:tab w:leader="none" w:pos="12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7" w:lineRule="exact"/>
        <w:rPr>
          <w:rFonts w:ascii="Arial" w:cs="Arial" w:eastAsia="Arial" w:hAnsi="Arial"/>
          <w:sz w:val="12"/>
          <w:szCs w:val="12"/>
          <w:color w:val="auto"/>
        </w:rPr>
      </w:pPr>
    </w:p>
    <w:p>
      <w:pPr>
        <w:ind w:left="1240" w:right="20" w:hanging="327"/>
        <w:spacing w:after="0" w:line="267" w:lineRule="auto"/>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32" w:lineRule="exact"/>
        <w:rPr>
          <w:rFonts w:ascii="Arial" w:cs="Arial" w:eastAsia="Arial" w:hAnsi="Arial"/>
          <w:sz w:val="14"/>
          <w:szCs w:val="14"/>
          <w:color w:val="auto"/>
        </w:rPr>
      </w:pPr>
    </w:p>
    <w:p>
      <w:pPr>
        <w:ind w:left="1240" w:right="160" w:hanging="327"/>
        <w:spacing w:after="0" w:line="267" w:lineRule="auto"/>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32" w:lineRule="exact"/>
        <w:rPr>
          <w:rFonts w:ascii="Arial" w:cs="Arial" w:eastAsia="Arial" w:hAnsi="Arial"/>
          <w:sz w:val="14"/>
          <w:szCs w:val="14"/>
          <w:color w:val="auto"/>
        </w:rPr>
      </w:pPr>
    </w:p>
    <w:p>
      <w:pPr>
        <w:ind w:left="1240" w:right="80" w:hanging="327"/>
        <w:spacing w:after="0" w:line="258" w:lineRule="auto"/>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38" w:lineRule="exact"/>
        <w:rPr>
          <w:rFonts w:ascii="Arial" w:cs="Arial" w:eastAsia="Arial" w:hAnsi="Arial"/>
          <w:sz w:val="14"/>
          <w:szCs w:val="14"/>
          <w:color w:val="auto"/>
        </w:rPr>
      </w:pPr>
    </w:p>
    <w:p>
      <w:pPr>
        <w:ind w:left="1240" w:right="360" w:hanging="327"/>
        <w:spacing w:after="0" w:line="267" w:lineRule="auto"/>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collaborators may infringe the intellectual property rights of third parties, which may expose us to litigation and potential liability;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386"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right="480" w:hanging="327"/>
        <w:spacing w:after="0" w:line="258" w:lineRule="auto"/>
        <w:tabs>
          <w:tab w:leader="none" w:pos="1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with Servier, Gilead, and Boehringer may be terminated for convenience upon the completion of a specified notice period.</w:t>
      </w:r>
    </w:p>
    <w:p>
      <w:pPr>
        <w:spacing w:after="0" w:line="108" w:lineRule="exact"/>
        <w:rPr>
          <w:sz w:val="20"/>
          <w:szCs w:val="20"/>
          <w:color w:val="auto"/>
        </w:rPr>
      </w:pPr>
    </w:p>
    <w:p>
      <w:pPr>
        <w:ind w:right="60" w:firstLine="802"/>
        <w:spacing w:after="0" w:line="255" w:lineRule="auto"/>
        <w:rPr>
          <w:sz w:val="20"/>
          <w:szCs w:val="20"/>
          <w:color w:val="auto"/>
        </w:rPr>
      </w:pPr>
      <w:r>
        <w:rPr>
          <w:rFonts w:ascii="Arial" w:cs="Arial" w:eastAsia="Arial" w:hAnsi="Arial"/>
          <w:sz w:val="14"/>
          <w:szCs w:val="14"/>
          <w:color w:val="auto"/>
        </w:rPr>
        <w:t>If our therapeutic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technology platforms and product candidates could be delayed and we may need additional resources to develop product candidates and our technology platforms. All of the risks relating to product development, regulatory approval and commercialization described in this prospectus also apply to the activities of our program collaborators.</w:t>
      </w:r>
    </w:p>
    <w:p>
      <w:pPr>
        <w:spacing w:after="0" w:line="110" w:lineRule="exact"/>
        <w:rPr>
          <w:sz w:val="20"/>
          <w:szCs w:val="20"/>
          <w:color w:val="auto"/>
        </w:rPr>
      </w:pPr>
    </w:p>
    <w:p>
      <w:pPr>
        <w:ind w:right="300" w:firstLine="802"/>
        <w:spacing w:after="0" w:line="351" w:lineRule="auto"/>
        <w:rPr>
          <w:sz w:val="20"/>
          <w:szCs w:val="20"/>
          <w:color w:val="auto"/>
        </w:rPr>
      </w:pPr>
      <w:r>
        <w:rPr>
          <w:rFonts w:ascii="Arial" w:cs="Arial" w:eastAsia="Arial" w:hAnsi="Arial"/>
          <w:sz w:val="12"/>
          <w:szCs w:val="12"/>
          <w:color w:val="auto"/>
        </w:rPr>
        <w:t>Additionally, subject to its contractual obligations to us, if one of our collaborators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w:t>
      </w:r>
    </w:p>
    <w:p>
      <w:pPr>
        <w:spacing w:after="0" w:line="56" w:lineRule="exact"/>
        <w:rPr>
          <w:sz w:val="20"/>
          <w:szCs w:val="20"/>
          <w:color w:val="auto"/>
        </w:rPr>
      </w:pPr>
    </w:p>
    <w:p>
      <w:pPr>
        <w:ind w:right="40" w:firstLine="802"/>
        <w:spacing w:after="0" w:line="300" w:lineRule="auto"/>
        <w:rPr>
          <w:sz w:val="20"/>
          <w:szCs w:val="20"/>
          <w:color w:val="auto"/>
        </w:rPr>
      </w:pPr>
      <w:r>
        <w:rPr>
          <w:rFonts w:ascii="Arial" w:cs="Arial" w:eastAsia="Arial" w:hAnsi="Arial"/>
          <w:sz w:val="12"/>
          <w:szCs w:val="12"/>
          <w:color w:val="auto"/>
        </w:rPr>
        <w:t>For some of our product candidates, we may in the future determine to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8"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 basis, on acceptable terms, or at all, we may have to curtail the development of a product candidate, reduce or delay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88" w:lineRule="exact"/>
        <w:rPr>
          <w:sz w:val="20"/>
          <w:szCs w:val="20"/>
          <w:color w:val="auto"/>
        </w:rPr>
      </w:pPr>
    </w:p>
    <w:p>
      <w:pPr>
        <w:ind w:right="60" w:firstLine="802"/>
        <w:spacing w:after="0" w:line="258" w:lineRule="auto"/>
        <w:rPr>
          <w:sz w:val="20"/>
          <w:szCs w:val="20"/>
          <w:color w:val="auto"/>
        </w:rPr>
      </w:pPr>
      <w:r>
        <w:rPr>
          <w:rFonts w:ascii="Arial" w:cs="Arial" w:eastAsia="Arial" w:hAnsi="Arial"/>
          <w:sz w:val="14"/>
          <w:szCs w:val="14"/>
          <w:color w:val="auto"/>
        </w:rPr>
        <w:t>We may also be restricted under existing collaboration agreements from entering into future agreements on certain terms with potential collaborators. Aside from our agreement with Green Cross, subject to certain specified exceptions, each of our existing therapeutic collaborations contains a restriction on our engaging in activities that are the subject of the collaboration with third parties for specified periods of time.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386" w:right="2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55" w:lineRule="exact"/>
        <w:rPr>
          <w:sz w:val="20"/>
          <w:szCs w:val="20"/>
          <w:color w:val="auto"/>
        </w:rPr>
      </w:pPr>
    </w:p>
    <w:p>
      <w:pPr>
        <w:ind w:right="40" w:firstLine="802"/>
        <w:spacing w:after="0" w:line="299" w:lineRule="auto"/>
        <w:rPr>
          <w:sz w:val="20"/>
          <w:szCs w:val="20"/>
          <w:color w:val="auto"/>
        </w:rPr>
      </w:pPr>
      <w:r>
        <w:rPr>
          <w:rFonts w:ascii="Arial" w:cs="Arial" w:eastAsia="Arial" w:hAnsi="Arial"/>
          <w:sz w:val="12"/>
          <w:szCs w:val="12"/>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requires that we comply with standards, commonly referred to as current Good Clinical Practice, or cGCP,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cGCP procedures could adversely affect the clinical development of our product candidates and harm our business.</w:t>
      </w: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Failure of our third party contractors to successfully develop and commercialize companion diagnostics for use with our product candidates could harm our ability to commercialize our product candidates.</w:t>
      </w:r>
    </w:p>
    <w:p>
      <w:pPr>
        <w:spacing w:after="0" w:line="166" w:lineRule="exact"/>
        <w:rPr>
          <w:sz w:val="20"/>
          <w:szCs w:val="20"/>
          <w:color w:val="auto"/>
        </w:rPr>
      </w:pPr>
    </w:p>
    <w:p>
      <w:pPr>
        <w:ind w:right="100" w:firstLine="802"/>
        <w:spacing w:after="0" w:line="321" w:lineRule="auto"/>
        <w:rPr>
          <w:sz w:val="20"/>
          <w:szCs w:val="20"/>
          <w:color w:val="auto"/>
        </w:rPr>
      </w:pPr>
      <w:r>
        <w:rPr>
          <w:rFonts w:ascii="Arial" w:cs="Arial" w:eastAsia="Arial" w:hAnsi="Arial"/>
          <w:sz w:val="12"/>
          <w:szCs w:val="12"/>
          <w:color w:val="auto"/>
        </w:rPr>
        <w:t>We plan to develop companion diagnostics for our product candidates. Companion diagnostics are used to identify patients who could potentially benefit from our therapeutic product candidates. We expect that, at least in some cases, the FDA and similar regulatory authorities outside the United States may require the development and regulatory approval of a companion diagnostic as a condition to approving our product candidates. We do not have experience or capabilities in developing or commercializing diagnostics and plan to rely in large part on third parties to perform these functions.</w:t>
      </w:r>
    </w:p>
    <w:p>
      <w:pPr>
        <w:spacing w:after="0" w:line="73" w:lineRule="exact"/>
        <w:rPr>
          <w:sz w:val="20"/>
          <w:szCs w:val="20"/>
          <w:color w:val="auto"/>
        </w:rPr>
      </w:pPr>
    </w:p>
    <w:p>
      <w:pPr>
        <w:ind w:right="380" w:firstLine="802"/>
        <w:spacing w:after="0" w:line="267" w:lineRule="auto"/>
        <w:rPr>
          <w:sz w:val="20"/>
          <w:szCs w:val="20"/>
          <w:color w:val="auto"/>
        </w:rPr>
      </w:pPr>
      <w:r>
        <w:rPr>
          <w:rFonts w:ascii="Arial" w:cs="Arial" w:eastAsia="Arial" w:hAnsi="Arial"/>
          <w:sz w:val="14"/>
          <w:szCs w:val="14"/>
          <w:color w:val="auto"/>
        </w:rPr>
        <w:t>We plan to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w:t>
      </w:r>
    </w:p>
    <w:p>
      <w:pPr>
        <w:spacing w:after="0" w:line="133" w:lineRule="exact"/>
        <w:rPr>
          <w:sz w:val="20"/>
          <w:szCs w:val="20"/>
          <w:color w:val="auto"/>
        </w:rPr>
      </w:pPr>
    </w:p>
    <w:p>
      <w:pPr>
        <w:ind w:left="1240" w:hanging="327"/>
        <w:spacing w:after="0"/>
        <w:tabs>
          <w:tab w:leader="none" w:pos="1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may not perform their obligations as expected;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may encounter production difficulties that could constrain the supply of the companion diagnostic;</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may have difficulties gaining acceptance of the use of the companion diagnostic in the clinical community;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may not commit sufficient resources to the marketing and distribution of such product;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may terminate their relationship with us.</w:t>
      </w:r>
    </w:p>
    <w:p>
      <w:pPr>
        <w:spacing w:after="0" w:line="132" w:lineRule="exact"/>
        <w:rPr>
          <w:sz w:val="20"/>
          <w:szCs w:val="20"/>
          <w:color w:val="auto"/>
        </w:rPr>
      </w:pPr>
    </w:p>
    <w:p>
      <w:pPr>
        <w:jc w:val="both"/>
        <w:ind w:firstLine="802"/>
        <w:spacing w:after="0" w:line="321" w:lineRule="auto"/>
        <w:rPr>
          <w:sz w:val="20"/>
          <w:szCs w:val="20"/>
          <w:color w:val="auto"/>
        </w:rPr>
      </w:pPr>
      <w:r>
        <w:rPr>
          <w:rFonts w:ascii="Arial" w:cs="Arial" w:eastAsia="Arial" w:hAnsi="Arial"/>
          <w:sz w:val="12"/>
          <w:szCs w:val="12"/>
          <w:color w:val="auto"/>
        </w:rPr>
        <w:t>If any companion diagnostic for use with one of our product candidates fails to gain market acceptance, our ability to derive revenues from sales of such product candidate could be harmed. If our third 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386" w:right="2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b w:val="1"/>
          <w:bCs w:val="1"/>
          <w:i w:val="1"/>
          <w:iCs w:val="1"/>
          <w:color w:val="auto"/>
        </w:rPr>
        <w:t>We expect to contract with third parties for the manufacture of our product candidates for clinical testing in the future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08"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4"/>
          <w:szCs w:val="14"/>
          <w:color w:val="auto"/>
        </w:rPr>
        <w:t>We currently have a manufacturing facility located in Rockville, Maryland. We manufacture drug substance at this facility that we use for research and development purposes and for clinical trials of our product candidates. We currently have capacity to produce Phase 2 material for our antibody product candidates and all clinical and commercial material for our DART therapeutics, but our current facility will be insufficient to support our needs for our Phase 3 clinical trials for our antibody product candidates and for commercial quantities of such candidates. We do not have experience in manufacturing products at commercial scale.</w:t>
      </w:r>
    </w:p>
    <w:p>
      <w:pPr>
        <w:spacing w:after="0" w:line="110"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We anticipate engagement of contract manufacturing organizations in 2014 to supplement our clinical supply and internal capacity as we advance pre-clinical product candidates into clinical development. We expect to use third parties for the manufacture of certain of our product candidates for clinical testing, as well as for commercial manufacture of some of our product candidates that receive marketing approval and that are not manufactured by one of our third party collaborators. We plan eventually to enter into long term supply agreements with several manufacturers for commercial supplies.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 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 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w:t>
      </w:r>
    </w:p>
    <w:p>
      <w:pPr>
        <w:spacing w:after="0" w:line="8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Reliance on third-party manufacturers entails risks to which we would not be subject if we manufactured the product candidates ourselves, including:</w:t>
      </w:r>
    </w:p>
    <w:p>
      <w:pPr>
        <w:spacing w:after="0" w:line="163" w:lineRule="exact"/>
        <w:rPr>
          <w:sz w:val="20"/>
          <w:szCs w:val="20"/>
          <w:color w:val="auto"/>
        </w:rPr>
      </w:pPr>
    </w:p>
    <w:p>
      <w:pPr>
        <w:ind w:left="1240" w:hanging="327"/>
        <w:spacing w:after="0"/>
        <w:tabs>
          <w:tab w:leader="none" w:pos="1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possibility of a breach of the manufacturing agreements by the third parties because of factors beyond our control;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possibility of termination or nonrenewal of the agreements by the third parties before we are able to arrange for a qualified replacement third-party manufacturer; and</w:t>
      </w:r>
    </w:p>
    <w:p>
      <w:pPr>
        <w:spacing w:after="0" w:line="185" w:lineRule="exact"/>
        <w:rPr>
          <w:rFonts w:ascii="Arial" w:cs="Arial" w:eastAsia="Arial" w:hAnsi="Arial"/>
          <w:sz w:val="12"/>
          <w:szCs w:val="12"/>
          <w:color w:val="auto"/>
        </w:rPr>
      </w:pPr>
    </w:p>
    <w:p>
      <w:pPr>
        <w:ind w:left="1240" w:hanging="327"/>
        <w:spacing w:after="0"/>
        <w:tabs>
          <w:tab w:leader="none" w:pos="12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possibility that we may not be able to secure a manufacturer or manufacturing capacity in a timely manner and on satisfactory terms in order to meet our manufacturing needs.</w:t>
      </w:r>
    </w:p>
    <w:p>
      <w:pPr>
        <w:spacing w:after="0" w:line="155" w:lineRule="exact"/>
        <w:rPr>
          <w:sz w:val="20"/>
          <w:szCs w:val="20"/>
          <w:color w:val="auto"/>
        </w:rPr>
      </w:pPr>
    </w:p>
    <w:p>
      <w:pPr>
        <w:ind w:right="20" w:firstLine="802"/>
        <w:spacing w:after="0" w:line="253" w:lineRule="auto"/>
        <w:rPr>
          <w:sz w:val="20"/>
          <w:szCs w:val="20"/>
          <w:color w:val="auto"/>
        </w:rPr>
      </w:pPr>
      <w:r>
        <w:rPr>
          <w:rFonts w:ascii="Arial" w:cs="Arial" w:eastAsia="Arial" w:hAnsi="Arial"/>
          <w:sz w:val="14"/>
          <w:szCs w:val="14"/>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or any other relevant regulatory authorities.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386" w:right="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obtain and enforce patent protection for our product candidates and related technology, our business could be materially harmed.</w:t>
      </w:r>
    </w:p>
    <w:p>
      <w:pPr>
        <w:spacing w:after="0" w:line="132" w:lineRule="exact"/>
        <w:rPr>
          <w:sz w:val="20"/>
          <w:szCs w:val="20"/>
          <w:color w:val="auto"/>
        </w:rPr>
      </w:pPr>
    </w:p>
    <w:p>
      <w:pPr>
        <w:ind w:right="60" w:firstLine="802"/>
        <w:spacing w:after="0" w:line="299" w:lineRule="auto"/>
        <w:rPr>
          <w:sz w:val="20"/>
          <w:szCs w:val="20"/>
          <w:color w:val="auto"/>
        </w:rPr>
      </w:pPr>
      <w:r>
        <w:rPr>
          <w:rFonts w:ascii="Arial" w:cs="Arial" w:eastAsia="Arial" w:hAnsi="Arial"/>
          <w:sz w:val="12"/>
          <w:szCs w:val="12"/>
          <w:color w:val="auto"/>
        </w:rPr>
        <w:t>Issued patents may be challenged, narrowed, invalidated or circumvented. In addition, court decisions may introduce uncertainty in the enforceability or scope of patents owned by biotechnology companies.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87" w:lineRule="exact"/>
        <w:rPr>
          <w:sz w:val="20"/>
          <w:szCs w:val="20"/>
          <w:color w:val="auto"/>
        </w:rPr>
      </w:pPr>
    </w:p>
    <w:p>
      <w:pPr>
        <w:ind w:right="40" w:firstLine="802"/>
        <w:spacing w:after="0" w:line="299" w:lineRule="auto"/>
        <w:rPr>
          <w:sz w:val="20"/>
          <w:szCs w:val="20"/>
          <w:color w:val="auto"/>
        </w:rPr>
      </w:pPr>
      <w:r>
        <w:rPr>
          <w:rFonts w:ascii="Arial" w:cs="Arial" w:eastAsia="Arial" w:hAnsi="Arial"/>
          <w:sz w:val="12"/>
          <w:szCs w:val="12"/>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Despite our efforts to protect our proprietary rights, unauthorized parties may be able to obtain and use information that we regard as proprietary.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w:t>
      </w:r>
    </w:p>
    <w:p>
      <w:pPr>
        <w:spacing w:after="0" w:line="87"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The patent position of pharmaceutical or biotechnology companies, including ours, is generally uncertain and involves complex legal and factual considerations. The standards which the United States Patent and Trademark Office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40"/>
          </w:cols>
          <w:pgMar w:left="220" w:top="386"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lawsuits to protect or enforce our patents, which could be expensive, time consuming and unsuccessful.</w:t>
      </w:r>
    </w:p>
    <w:p>
      <w:pPr>
        <w:spacing w:after="0" w:line="132"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Even after they have issued, our patents and any patents which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are examples of litigation and other adversarial proceedings or disputes that we could become a party to involving our patents or patents licensed to us:</w:t>
      </w:r>
    </w:p>
    <w:p>
      <w:pPr>
        <w:spacing w:after="0" w:line="163" w:lineRule="exact"/>
        <w:rPr>
          <w:sz w:val="20"/>
          <w:szCs w:val="20"/>
          <w:color w:val="auto"/>
        </w:rPr>
      </w:pPr>
    </w:p>
    <w:p>
      <w:pPr>
        <w:ind w:left="1240" w:hanging="327"/>
        <w:spacing w:after="0"/>
        <w:tabs>
          <w:tab w:leader="none" w:pos="1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or our collaborators may initiate litigation or other proceedings against third parties to enforce our patent rights;</w:t>
      </w:r>
    </w:p>
    <w:p>
      <w:pPr>
        <w:spacing w:after="0" w:line="162" w:lineRule="exact"/>
        <w:rPr>
          <w:rFonts w:ascii="Arial" w:cs="Arial" w:eastAsia="Arial" w:hAnsi="Arial"/>
          <w:sz w:val="14"/>
          <w:szCs w:val="14"/>
          <w:color w:val="auto"/>
        </w:rPr>
      </w:pPr>
    </w:p>
    <w:p>
      <w:pPr>
        <w:ind w:left="1240" w:right="80" w:hanging="327"/>
        <w:spacing w:after="0" w:line="267" w:lineRule="auto"/>
        <w:tabs>
          <w:tab w:leader="none" w:pos="1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32" w:lineRule="exact"/>
        <w:rPr>
          <w:rFonts w:ascii="Arial" w:cs="Arial" w:eastAsia="Arial" w:hAnsi="Arial"/>
          <w:sz w:val="14"/>
          <w:szCs w:val="14"/>
          <w:color w:val="auto"/>
        </w:rPr>
      </w:pPr>
    </w:p>
    <w:p>
      <w:pPr>
        <w:ind w:left="1240" w:right="40" w:hanging="327"/>
        <w:spacing w:after="0" w:line="267" w:lineRule="auto"/>
        <w:tabs>
          <w:tab w:leader="none" w:pos="1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third parties may initiate opposition or reexamination proceedings challenging the validity or scope of our patent rights, requiring us or our collaborators and/or licensors to participate in such proceedings to defend the validity and scope of our patents;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there may be a challenge or dispute regarding inventorship or ownership of patents currently identified as being owned by or licensed to us;</w:t>
      </w:r>
    </w:p>
    <w:p>
      <w:pPr>
        <w:spacing w:after="0" w:line="162" w:lineRule="exact"/>
        <w:rPr>
          <w:rFonts w:ascii="Arial" w:cs="Arial" w:eastAsia="Arial" w:hAnsi="Arial"/>
          <w:sz w:val="14"/>
          <w:szCs w:val="14"/>
          <w:color w:val="auto"/>
        </w:rPr>
      </w:pPr>
    </w:p>
    <w:p>
      <w:pPr>
        <w:ind w:left="1240" w:right="280" w:hanging="327"/>
        <w:spacing w:after="0" w:line="351" w:lineRule="auto"/>
        <w:tabs>
          <w:tab w:leader="none" w:pos="12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U.S. Patent and Trademark Office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w:t>
      </w:r>
    </w:p>
    <w:p>
      <w:pPr>
        <w:spacing w:after="0" w:line="87" w:lineRule="exact"/>
        <w:rPr>
          <w:rFonts w:ascii="Arial" w:cs="Arial" w:eastAsia="Arial" w:hAnsi="Arial"/>
          <w:sz w:val="12"/>
          <w:szCs w:val="12"/>
          <w:color w:val="auto"/>
        </w:rPr>
      </w:pPr>
    </w:p>
    <w:p>
      <w:pPr>
        <w:ind w:left="1240" w:right="20" w:hanging="327"/>
        <w:spacing w:after="0" w:line="267" w:lineRule="auto"/>
        <w:tabs>
          <w:tab w:leader="none" w:pos="1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01"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60"/>
          </w:cols>
          <w:pgMar w:left="220" w:top="386" w:right="3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33" w:lineRule="exact"/>
        <w:rPr>
          <w:sz w:val="20"/>
          <w:szCs w:val="20"/>
          <w:color w:val="auto"/>
        </w:rPr>
      </w:pPr>
    </w:p>
    <w:p>
      <w:pPr>
        <w:ind w:left="1240" w:hanging="327"/>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others may be able to develop a platform that is similar to, or better than, ours in a way that is not covered by the claims of our patents;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others may be able to make compounds that are similar to our product candidates but that are not covered by the claims of our patents;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might not have been the first to make the inventions covered by patents or pending patent applications;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might not have been the first to file patent applications for these inventions;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patents that we obtain may not provide us with any competitive advantages or may ultimately be found invalid or unenforceable; or</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the patents and other proprietary rights of third parties.</w:t>
      </w:r>
    </w:p>
    <w:p>
      <w:pPr>
        <w:spacing w:after="0" w:line="132"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held by third parties cover Fc engineering methods and mutations in Fc regions to enhance the binding of Fc regions to Fc receptors on immune cells. Although we believe that these patents are invalid, if they cover margetuximab or MGA271 and we are unable to invalidate their patents, or if licenses for them are not available on commercially reasonable terms, our business could be harmed, perhaps materially.</w:t>
      </w:r>
    </w:p>
    <w:p>
      <w:pPr>
        <w:spacing w:after="0" w:line="79" w:lineRule="exact"/>
        <w:rPr>
          <w:sz w:val="20"/>
          <w:szCs w:val="20"/>
          <w:color w:val="auto"/>
        </w:rPr>
      </w:pPr>
    </w:p>
    <w:p>
      <w:pPr>
        <w:ind w:right="100" w:firstLine="802"/>
        <w:spacing w:after="0" w:line="255" w:lineRule="auto"/>
        <w:rPr>
          <w:sz w:val="20"/>
          <w:szCs w:val="20"/>
          <w:color w:val="auto"/>
        </w:rPr>
      </w:pPr>
      <w:r>
        <w:rPr>
          <w:rFonts w:ascii="Arial" w:cs="Arial" w:eastAsia="Arial" w:hAnsi="Arial"/>
          <w:sz w:val="14"/>
          <w:szCs w:val="14"/>
          <w:color w:val="auto"/>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technology that we require may materially harm our business, financial condition and results of operations. Moreover, our failure to maintain a license to any technology that we require may also materially harm our business, financial condition, and results of operations. Furthermore, we would be exposed to a threat of litigation.</w:t>
      </w:r>
    </w:p>
    <w:p>
      <w:pPr>
        <w:spacing w:after="0" w:line="110" w:lineRule="exact"/>
        <w:rPr>
          <w:sz w:val="20"/>
          <w:szCs w:val="20"/>
          <w:color w:val="auto"/>
        </w:rPr>
      </w:pPr>
    </w:p>
    <w:p>
      <w:pPr>
        <w:ind w:right="20" w:firstLine="802"/>
        <w:spacing w:after="0" w:line="267" w:lineRule="auto"/>
        <w:rPr>
          <w:sz w:val="20"/>
          <w:szCs w:val="20"/>
          <w:color w:val="auto"/>
        </w:rPr>
      </w:pPr>
      <w:r>
        <w:rPr>
          <w:rFonts w:ascii="Arial" w:cs="Arial" w:eastAsia="Arial" w:hAnsi="Arial"/>
          <w:sz w:val="14"/>
          <w:szCs w:val="14"/>
          <w:color w:val="auto"/>
        </w:rPr>
        <w:t>In the pharmaceutical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133" w:lineRule="exact"/>
        <w:rPr>
          <w:sz w:val="20"/>
          <w:szCs w:val="20"/>
          <w:color w:val="auto"/>
        </w:rPr>
      </w:pPr>
    </w:p>
    <w:p>
      <w:pPr>
        <w:ind w:left="1240" w:hanging="327"/>
        <w:spacing w:after="0" w:line="267" w:lineRule="auto"/>
        <w:tabs>
          <w:tab w:leader="none" w:pos="1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32" w:lineRule="exact"/>
        <w:rPr>
          <w:rFonts w:ascii="Arial" w:cs="Arial" w:eastAsia="Arial" w:hAnsi="Arial"/>
          <w:sz w:val="14"/>
          <w:szCs w:val="14"/>
          <w:color w:val="auto"/>
        </w:rPr>
      </w:pPr>
    </w:p>
    <w:p>
      <w:pPr>
        <w:ind w:left="1240" w:right="480" w:hanging="327"/>
        <w:spacing w:after="0" w:line="351" w:lineRule="auto"/>
        <w:tabs>
          <w:tab w:leader="none" w:pos="12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if our competitors file patent applications that claim technology also claimed by us or our licensors, we or our licensors may be required to participate in interference or opposition proceedings to determine the priority of invention, which could jeopardize our patent rights and potentially provide a third party with a dominant patent position;</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40"/>
          </w:cols>
          <w:pgMar w:left="220" w:top="386"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right="120" w:hanging="327"/>
        <w:spacing w:after="0" w:line="267" w:lineRule="auto"/>
        <w:tabs>
          <w:tab w:leader="none" w:pos="1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third parties initiate litigation claiming that our processes or products infringe their patent or other intellectual property rights, we and our collaborators will need to defend against such proceedings; and</w:t>
      </w:r>
    </w:p>
    <w:p>
      <w:pPr>
        <w:spacing w:after="0" w:line="132" w:lineRule="exact"/>
        <w:rPr>
          <w:rFonts w:ascii="Arial" w:cs="Arial" w:eastAsia="Arial" w:hAnsi="Arial"/>
          <w:sz w:val="14"/>
          <w:szCs w:val="14"/>
          <w:color w:val="auto"/>
        </w:rPr>
      </w:pPr>
    </w:p>
    <w:p>
      <w:pPr>
        <w:ind w:left="1240" w:right="280" w:hanging="327"/>
        <w:spacing w:after="0" w:line="351" w:lineRule="auto"/>
        <w:tabs>
          <w:tab w:leader="none" w:pos="12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56" w:lineRule="exact"/>
        <w:rPr>
          <w:sz w:val="20"/>
          <w:szCs w:val="20"/>
          <w:color w:val="auto"/>
        </w:rPr>
      </w:pPr>
    </w:p>
    <w:p>
      <w:pPr>
        <w:ind w:right="140" w:firstLine="802"/>
        <w:spacing w:after="0" w:line="252" w:lineRule="auto"/>
        <w:rPr>
          <w:sz w:val="20"/>
          <w:szCs w:val="20"/>
          <w:color w:val="auto"/>
        </w:rPr>
      </w:pPr>
      <w:r>
        <w:rPr>
          <w:rFonts w:ascii="Arial" w:cs="Arial" w:eastAsia="Arial" w:hAnsi="Arial"/>
          <w:sz w:val="14"/>
          <w:szCs w:val="14"/>
          <w:color w:val="auto"/>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14"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254" w:lineRule="exact"/>
        <w:rPr>
          <w:sz w:val="20"/>
          <w:szCs w:val="20"/>
          <w:color w:val="auto"/>
        </w:rPr>
      </w:pPr>
    </w:p>
    <w:p>
      <w:pPr>
        <w:ind w:right="100" w:firstLine="802"/>
        <w:spacing w:after="0" w:line="321" w:lineRule="auto"/>
        <w:rPr>
          <w:sz w:val="20"/>
          <w:szCs w:val="20"/>
          <w:color w:val="auto"/>
        </w:rPr>
      </w:pPr>
      <w:r>
        <w:rPr>
          <w:rFonts w:ascii="Arial" w:cs="Arial" w:eastAsia="Arial" w:hAnsi="Arial"/>
          <w:sz w:val="12"/>
          <w:szCs w:val="12"/>
          <w:color w:val="auto"/>
        </w:rPr>
        <w:t>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comply with our obligations under our intellectual property licenses with third parties, we could lose license rights that are important to our business.</w:t>
      </w:r>
    </w:p>
    <w:p>
      <w:pPr>
        <w:spacing w:after="0" w:line="132"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We are currently party to various intellectual property license agreements. These license agreements impose, and we expect that future license agreements may impose, various diligence, milestone payment, royalty, insurance and other obligations on us. For example, we have entered into patent and know-how license agreements which grant us the right to use a certain technology related to biological manufacturing to manufacture margetuximab and MGA271. These licenses typically include an obligation to pay an upfront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386" w:right="2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200"/>
        <w:spacing w:after="0" w:line="321" w:lineRule="auto"/>
        <w:rPr>
          <w:sz w:val="20"/>
          <w:szCs w:val="20"/>
          <w:color w:val="auto"/>
        </w:rPr>
      </w:pPr>
      <w:r>
        <w:rPr>
          <w:rFonts w:ascii="Arial" w:cs="Arial" w:eastAsia="Arial" w:hAnsi="Arial"/>
          <w:sz w:val="12"/>
          <w:szCs w:val="12"/>
          <w:color w:val="auto"/>
        </w:rPr>
        <w:t>payment, yearly maintenance payments and royalties on sales.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the value of our technology and products could be adversely affected.</w:t>
      </w:r>
    </w:p>
    <w:p>
      <w:pPr>
        <w:spacing w:after="0" w:line="132" w:lineRule="exact"/>
        <w:rPr>
          <w:sz w:val="20"/>
          <w:szCs w:val="20"/>
          <w:color w:val="auto"/>
        </w:rPr>
      </w:pPr>
    </w:p>
    <w:p>
      <w:pPr>
        <w:jc w:val="both"/>
        <w:ind w:right="20" w:firstLine="802"/>
        <w:spacing w:after="0" w:line="294" w:lineRule="auto"/>
        <w:rPr>
          <w:sz w:val="20"/>
          <w:szCs w:val="20"/>
          <w:color w:val="auto"/>
        </w:rPr>
      </w:pPr>
      <w:r>
        <w:rPr>
          <w:rFonts w:ascii="Arial" w:cs="Arial" w:eastAsia="Arial" w:hAnsi="Arial"/>
          <w:sz w:val="12"/>
          <w:szCs w:val="12"/>
          <w:color w:val="auto"/>
        </w:rPr>
        <w:t>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w:t>
      </w:r>
    </w:p>
    <w:p>
      <w:pPr>
        <w:spacing w:after="0" w:line="250" w:lineRule="auto"/>
        <w:rPr>
          <w:sz w:val="20"/>
          <w:szCs w:val="20"/>
          <w:color w:val="auto"/>
        </w:rPr>
      </w:pPr>
      <w:r>
        <w:rPr>
          <w:rFonts w:ascii="Arial" w:cs="Arial" w:eastAsia="Arial" w:hAnsi="Arial"/>
          <w:sz w:val="14"/>
          <w:szCs w:val="14"/>
          <w:color w:val="auto"/>
        </w:rPr>
        <w:t>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16" w:lineRule="exact"/>
        <w:rPr>
          <w:sz w:val="20"/>
          <w:szCs w:val="20"/>
          <w:color w:val="auto"/>
        </w:rPr>
      </w:pPr>
    </w:p>
    <w:p>
      <w:pPr>
        <w:ind w:right="80" w:firstLine="802"/>
        <w:spacing w:after="0" w:line="255" w:lineRule="auto"/>
        <w:rPr>
          <w:sz w:val="20"/>
          <w:szCs w:val="20"/>
          <w:color w:val="auto"/>
        </w:rPr>
      </w:pPr>
      <w:r>
        <w:rPr>
          <w:rFonts w:ascii="Arial" w:cs="Arial" w:eastAsia="Arial" w:hAnsi="Arial"/>
          <w:sz w:val="14"/>
          <w:szCs w:val="14"/>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 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110" w:lineRule="exact"/>
        <w:rPr>
          <w:sz w:val="20"/>
          <w:szCs w:val="20"/>
          <w:color w:val="auto"/>
        </w:rPr>
      </w:pPr>
    </w:p>
    <w:p>
      <w:pPr>
        <w:ind w:right="100" w:firstLine="802"/>
        <w:spacing w:after="0" w:line="253" w:lineRule="auto"/>
        <w:rPr>
          <w:sz w:val="20"/>
          <w:szCs w:val="20"/>
          <w:color w:val="auto"/>
        </w:rPr>
      </w:pPr>
      <w:r>
        <w:rPr>
          <w:rFonts w:ascii="Arial" w:cs="Arial" w:eastAsia="Arial" w:hAnsi="Arial"/>
          <w:sz w:val="14"/>
          <w:szCs w:val="14"/>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13"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200" w:firstLine="802"/>
        <w:spacing w:after="0" w:line="267"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386"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
        <w:spacing w:after="0" w:line="302" w:lineRule="auto"/>
        <w:rPr>
          <w:sz w:val="20"/>
          <w:szCs w:val="20"/>
          <w:color w:val="auto"/>
        </w:rPr>
      </w:pPr>
      <w:r>
        <w:rPr>
          <w:rFonts w:ascii="Arial" w:cs="Arial" w:eastAsia="Arial" w:hAnsi="Arial"/>
          <w:sz w:val="12"/>
          <w:szCs w:val="12"/>
          <w:color w:val="auto"/>
        </w:rPr>
        <w:t>lifetime of our patents and/or applications. We have systems in place to remind us to pay these fees, and we rely on our outside counsel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are responsible for the payment of patent fees for patent rights that we have licensed from other parties. If any licensor of these patents does not itself elect to make these payments, and we fail to do so, we may be liable to the licensor for any costs and consequences of any resulting loss of patent rights.</w:t>
      </w:r>
    </w:p>
    <w:p>
      <w:pPr>
        <w:spacing w:after="0" w:line="86"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01" w:lineRule="exact"/>
        <w:rPr>
          <w:sz w:val="20"/>
          <w:szCs w:val="20"/>
          <w:color w:val="auto"/>
        </w:rPr>
      </w:pPr>
    </w:p>
    <w:p>
      <w:pPr>
        <w:ind w:right="20" w:firstLine="802"/>
        <w:spacing w:after="0" w:line="302" w:lineRule="auto"/>
        <w:rPr>
          <w:sz w:val="20"/>
          <w:szCs w:val="20"/>
          <w:color w:val="auto"/>
        </w:rPr>
      </w:pPr>
      <w:r>
        <w:rPr>
          <w:rFonts w:ascii="Arial" w:cs="Arial" w:eastAsia="Arial" w:hAnsi="Arial"/>
          <w:sz w:val="12"/>
          <w:szCs w:val="12"/>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Compliance Matters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comply with laws regulating the protection of the environment and health and human safety, our business could be adversely affected.</w:t>
      </w:r>
    </w:p>
    <w:p>
      <w:pPr>
        <w:spacing w:after="0" w:line="132"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40"/>
          </w:cols>
          <w:pgMar w:left="220" w:top="386"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market products in a manner that violates healthcare fraud and abuse laws, or if we violate government price reporting laws, we may be subject to civil or criminal penalties.</w:t>
      </w:r>
    </w:p>
    <w:p>
      <w:pPr>
        <w:spacing w:after="0" w:line="155"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In addition to FDA restrictions on marketing of pharmaceutical products, several other types of state and federal healthcare laws commonly referred to as “fraud and abuse” laws have been applied in recent years to restrict certain marketing practices in the pharmaceutical industry. These laws include false claims and anti-kickback statutes.</w:t>
      </w:r>
    </w:p>
    <w:p>
      <w:pPr>
        <w:spacing w:after="0" w:line="101"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Federal false claims laws prohibit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Most states also have statutes or regulations similar to the federal anti-kickback law and federal false claims laws, which may apply to items such as pharmaceutical products and services reimbursed by private insurers. Administrative, civil and criminal sanctions may be imposed under these federal and state laws.</w:t>
      </w:r>
    </w:p>
    <w:p>
      <w:pPr>
        <w:spacing w:after="0" w:line="87" w:lineRule="exact"/>
        <w:rPr>
          <w:sz w:val="20"/>
          <w:szCs w:val="20"/>
          <w:color w:val="auto"/>
        </w:rPr>
      </w:pPr>
    </w:p>
    <w:p>
      <w:pPr>
        <w:ind w:right="120" w:firstLine="802"/>
        <w:spacing w:after="0" w:line="253" w:lineRule="auto"/>
        <w:rPr>
          <w:sz w:val="20"/>
          <w:szCs w:val="20"/>
          <w:color w:val="auto"/>
        </w:rPr>
      </w:pPr>
      <w:r>
        <w:rPr>
          <w:rFonts w:ascii="Arial" w:cs="Arial" w:eastAsia="Arial" w:hAnsi="Arial"/>
          <w:sz w:val="14"/>
          <w:szCs w:val="14"/>
          <w:color w:val="auto"/>
        </w:rPr>
        <w:t>Over the past few years, a number of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At such time, if ever, as we market any of our future approved products and these products are paid for by governmental programs, it is possible that some of our business activities could also be subject to challenge under one or more of these “fraud and abuse” laws.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employees may engage in misconduct or other improper activities, including noncompliance with regulatory standards and requirements and insider trading.</w:t>
      </w:r>
    </w:p>
    <w:p>
      <w:pPr>
        <w:spacing w:after="0" w:line="132" w:lineRule="exact"/>
        <w:rPr>
          <w:sz w:val="20"/>
          <w:szCs w:val="20"/>
          <w:color w:val="auto"/>
        </w:rPr>
      </w:pPr>
    </w:p>
    <w:p>
      <w:pPr>
        <w:ind w:right="20" w:firstLine="802"/>
        <w:spacing w:after="0" w:line="299" w:lineRule="auto"/>
        <w:rPr>
          <w:sz w:val="20"/>
          <w:szCs w:val="20"/>
          <w:color w:val="auto"/>
        </w:rPr>
      </w:pPr>
      <w:r>
        <w:rPr>
          <w:rFonts w:ascii="Arial" w:cs="Arial" w:eastAsia="Arial" w:hAnsi="Arial"/>
          <w:sz w:val="12"/>
          <w:szCs w:val="12"/>
          <w:color w:val="auto"/>
        </w:rPr>
        <w:t>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completion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386" w:right="2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Employee Matters and Managing Growth</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executives and to attract, retain and motivate qualified personnel.</w:t>
      </w:r>
    </w:p>
    <w:p>
      <w:pPr>
        <w:spacing w:after="0" w:line="132" w:lineRule="exact"/>
        <w:rPr>
          <w:sz w:val="20"/>
          <w:szCs w:val="20"/>
          <w:color w:val="auto"/>
        </w:rPr>
      </w:pPr>
    </w:p>
    <w:p>
      <w:pPr>
        <w:ind w:right="60" w:firstLine="802"/>
        <w:spacing w:after="0" w:line="311" w:lineRule="auto"/>
        <w:rPr>
          <w:sz w:val="20"/>
          <w:szCs w:val="20"/>
          <w:color w:val="auto"/>
        </w:rPr>
      </w:pPr>
      <w:r>
        <w:rPr>
          <w:rFonts w:ascii="Arial" w:cs="Arial" w:eastAsia="Arial" w:hAnsi="Arial"/>
          <w:sz w:val="12"/>
          <w:szCs w:val="12"/>
          <w:color w:val="auto"/>
        </w:rPr>
        <w:t>We are highly dependent on the research and development, clinical and business development expertise of Scott Koenig, M.D., Ph.D., our President and Chief Executive Officer, as well as the other members of our senior management, scientific and clinical team. Although we have entered into employment letter agreements with our executive officers, each of them may terminate their employment with us at any time. We currently maintain $1 million in “key person” insurance coverage for Dr. Koenig. The loss of the services of our executive officers or other key employees could impede the achievement of our research, development and commercialization objectives and seriously harm our ability to successfully implement our business strategy.</w:t>
      </w:r>
    </w:p>
    <w:p>
      <w:pPr>
        <w:spacing w:after="0" w:line="79"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Recruiting and retaining qualified scientific, clinical, manufacturing and sales and marketing personnel will also be critical to our success.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need to grow our organization, and we may experience difficulties in managing this growth, which could disrupt our operations.</w:t>
      </w:r>
    </w:p>
    <w:p>
      <w:pPr>
        <w:spacing w:after="0" w:line="132" w:lineRule="exact"/>
        <w:rPr>
          <w:sz w:val="20"/>
          <w:szCs w:val="20"/>
          <w:color w:val="auto"/>
        </w:rPr>
      </w:pPr>
    </w:p>
    <w:p>
      <w:pPr>
        <w:ind w:right="60" w:firstLine="802"/>
        <w:spacing w:after="0" w:line="299" w:lineRule="auto"/>
        <w:rPr>
          <w:sz w:val="20"/>
          <w:szCs w:val="20"/>
          <w:color w:val="auto"/>
        </w:rPr>
      </w:pPr>
      <w:r>
        <w:rPr>
          <w:rFonts w:ascii="Arial" w:cs="Arial" w:eastAsia="Arial" w:hAnsi="Arial"/>
          <w:sz w:val="12"/>
          <w:szCs w:val="12"/>
          <w:color w:val="auto"/>
        </w:rPr>
        <w:t>As of June 30, 2013, we had 156 full-time employees. As our development and commercialization plans and strategies develop, we expect to expand our employee base for managerial, operational, sales, marketing, financial and other resources.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these growth activities.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capital expenditures and may divert financial resources from other projects, such as the development of existing and additional product candidates. If our management is unable to effectively manage our expected growth, our expenses may increase more than expected, our ability to generate and/or grow revenue could be reduced and we may not be able to implement our business strategy. Our future financial performance and our ability to commercialize our product candidates and compete effectively with others in our industry will depend, in part, on our ability to effectively manage any future growth.</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387" w:right="2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Common Stock and this Offering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is likely to be volatile and the market price of our common stock after this offering may drop below the price you pay.</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You should consider an investment in our common stock as risky and invest only if you can withstand a significant loss and wide fluctuations in the market value of your investment. Prior to this offering, there was not a public market for our common stock. We will negotiate and determine the initial public offering price with the representatives of the underwriters based on several factors. This price may vary from the market price of our common stock after this offering. You may be unable to sell your shares of common stock at or above the initial offering price due to fluctuations in the market price of our common stock arising from changes in our operating performance or prospects. 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or decrease below the price paid in this offering include:</w:t>
      </w:r>
    </w:p>
    <w:p>
      <w:pPr>
        <w:spacing w:after="0" w:line="118" w:lineRule="exact"/>
        <w:rPr>
          <w:sz w:val="20"/>
          <w:szCs w:val="20"/>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results and timing of our clinical trials and clinical trials of our competitors’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or discontinuation of any of our development programs;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issues in manufacturing our product candidates or future approved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regulatory developments or enforcement in the United States and foreign countries with respect to our product candidates or our competitors’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competition from existing products or new products that may emerge;</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developments or disputes concerning patents or other proprietary rights;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introduction of technological innovations or new commercial products by us or our competitors;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announcements by us, our collaborators or our competitors of significant acquisitions, strategic partnerships, joint ventures, collaborations or capital commitments;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estimates or recommendations by securities analysts, if any cover our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fluctuations in the valuation of companies perceived by investors to be comparable to us;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public concern over our product candidates or any future approved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litigation;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future sales of our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 price and volume fluctuations attributable to inconsistent trading volume levels of our shares;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 in the United States or overseas;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of any of our product candidates, if approved, to achieve commercial success;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40"/>
          </w:cols>
          <w:pgMar w:left="220" w:top="386"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economic and other external factors or other disasters or crises;</w:t>
      </w:r>
    </w:p>
    <w:p>
      <w:pPr>
        <w:spacing w:after="0" w:line="162" w:lineRule="exact"/>
        <w:rPr>
          <w:rFonts w:ascii="Arial" w:cs="Arial" w:eastAsia="Arial" w:hAnsi="Arial"/>
          <w:sz w:val="14"/>
          <w:szCs w:val="14"/>
          <w:color w:val="auto"/>
        </w:rPr>
      </w:pPr>
    </w:p>
    <w:p>
      <w:pPr>
        <w:ind w:left="1240" w:right="140" w:hanging="327"/>
        <w:spacing w:after="0" w:line="267" w:lineRule="auto"/>
        <w:tabs>
          <w:tab w:leader="none" w:pos="1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period-to-period fluctuations in our financial condition and results of operations, including the timing of receipt of any milestone or other payments under commercialization or licensing agreements;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market conditions and market conditions for biopharmaceutical stocks;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overall fluctuations in U.S. equity markets.</w:t>
      </w:r>
    </w:p>
    <w:p>
      <w:pPr>
        <w:spacing w:after="0" w:line="132" w:lineRule="exact"/>
        <w:rPr>
          <w:sz w:val="20"/>
          <w:szCs w:val="20"/>
          <w:color w:val="auto"/>
        </w:rPr>
      </w:pPr>
    </w:p>
    <w:p>
      <w:pPr>
        <w:ind w:right="100" w:firstLine="802"/>
        <w:spacing w:after="0" w:line="351" w:lineRule="auto"/>
        <w:rPr>
          <w:sz w:val="20"/>
          <w:szCs w:val="20"/>
          <w:color w:val="auto"/>
        </w:rPr>
      </w:pPr>
      <w:r>
        <w:rPr>
          <w:rFonts w:ascii="Arial" w:cs="Arial" w:eastAsia="Arial" w:hAnsi="Arial"/>
          <w:sz w:val="12"/>
          <w:szCs w:val="12"/>
          <w:color w:val="auto"/>
        </w:rPr>
        <w:t>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not be an active, liquid trading market for our common stock.</w:t>
      </w:r>
    </w:p>
    <w:p>
      <w:pPr>
        <w:spacing w:after="0" w:line="132"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Prior to this offering, there has been no established trading market for our common stock. There is no guarantee that an active trading market for our common stock will develop or, if developed, be maintained after this offering on the NASDAQ Global Market or any other exchange. If a trading market does not develop or is not maintained, you may experience difficulty in reselling, or an inability to sell, your shares quickly or at the latest market price. The lack of an active market may also reduce the fair market value of your shares. An inactive market may also impair our ability to raise capital to continue to fund operations by selling shares and may impair our ability to acquire other companies or technologies by suing our shares as consideration.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Insiders will continue to have substantial control over us which could delay or prevent a change in corporate control or result in the entrenchment of management and/or the board of directors.</w:t>
      </w:r>
    </w:p>
    <w:p>
      <w:pPr>
        <w:spacing w:after="0" w:line="155" w:lineRule="exact"/>
        <w:rPr>
          <w:sz w:val="20"/>
          <w:szCs w:val="20"/>
          <w:color w:val="auto"/>
        </w:rPr>
      </w:pPr>
    </w:p>
    <w:p>
      <w:pPr>
        <w:ind w:right="100" w:firstLine="802"/>
        <w:spacing w:after="0" w:line="311" w:lineRule="auto"/>
        <w:rPr>
          <w:sz w:val="20"/>
          <w:szCs w:val="20"/>
          <w:color w:val="auto"/>
        </w:rPr>
      </w:pPr>
      <w:r>
        <w:rPr>
          <w:rFonts w:ascii="Arial" w:cs="Arial" w:eastAsia="Arial" w:hAnsi="Arial"/>
          <w:sz w:val="12"/>
          <w:szCs w:val="12"/>
          <w:color w:val="auto"/>
        </w:rPr>
        <w:t>After this offering, our directors, executive officers and principal stockholders, together with their affiliates and related persons, will beneficially own, in the aggregate, approximately % of our outstanding common stock. As a result, these stockholders, if acting together, may have the ability to determine the outcome of matters submitted to our stockholders for approval, including the election and removal of directors and any merger, consolidation, or sale of all or substantially all of our assets. In addition, these persons, acting together, may have the ability to control the management and affairs of our company. Accordingly, this concentration of ownership may harm the market price of our common stock by:</w:t>
      </w:r>
    </w:p>
    <w:p>
      <w:pPr>
        <w:spacing w:after="0" w:line="110" w:lineRule="exact"/>
        <w:rPr>
          <w:sz w:val="20"/>
          <w:szCs w:val="20"/>
          <w:color w:val="auto"/>
        </w:rPr>
      </w:pPr>
    </w:p>
    <w:p>
      <w:pPr>
        <w:ind w:left="1240" w:hanging="327"/>
        <w:spacing w:after="0"/>
        <w:tabs>
          <w:tab w:leader="none" w:pos="1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delaying, deferring, or preventing a change in control;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entrenching our management and/or the board of directors;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impeding a merger, consolidation, takeover, or other business combination involving us; or</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discouraging a potential acquirer from making a tender offer or otherwise attempting to obtain control of us.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in the use of the net proceeds from this offering and may not use them effectively.</w:t>
      </w:r>
    </w:p>
    <w:p>
      <w:pPr>
        <w:spacing w:after="0" w:line="132"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Management will retain broad discretion over the use of the net proceeds from this offering. Stockholders may not agree with such uses, and our use of the proceeds may not yield a significant return or any return at all for our stockholders. We intend to use the proceeds from this offering to fund research and development of our current and future product candidates. We may also spend a portion of the net proceeds on working capital and general corporate purposes, which may include in-licensing or acquiring other products or technologies. Because of the number and variability of factors that will determine our use of the proceeds from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386" w:right="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this offering, their ultimate use may vary substantially from their currently intended use. Any failure by our management to apply the proceeds effectively could affect our ability to continue to develop and eventually manufacture and sell our products.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 “emerging growth company” and as a result of the reduced disclosure requirements applicable to emerging growth companies, our common stock may be less attractive to investors.</w:t>
      </w:r>
    </w:p>
    <w:p>
      <w:pPr>
        <w:spacing w:after="0" w:line="155" w:lineRule="exact"/>
        <w:rPr>
          <w:sz w:val="20"/>
          <w:szCs w:val="20"/>
          <w:color w:val="auto"/>
        </w:rPr>
      </w:pPr>
    </w:p>
    <w:p>
      <w:pPr>
        <w:ind w:right="20" w:firstLine="802"/>
        <w:spacing w:after="0" w:line="298" w:lineRule="auto"/>
        <w:rPr>
          <w:sz w:val="20"/>
          <w:szCs w:val="20"/>
          <w:color w:val="auto"/>
        </w:rPr>
      </w:pPr>
      <w:r>
        <w:rPr>
          <w:rFonts w:ascii="Arial" w:cs="Arial" w:eastAsia="Arial" w:hAnsi="Arial"/>
          <w:sz w:val="12"/>
          <w:szCs w:val="12"/>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We cannot predict whether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could remain an “emerging growth company” until the earliest to occur of the following:</w:t>
      </w:r>
    </w:p>
    <w:p>
      <w:pPr>
        <w:spacing w:after="0" w:line="286" w:lineRule="exact"/>
        <w:rPr>
          <w:sz w:val="20"/>
          <w:szCs w:val="20"/>
          <w:color w:val="auto"/>
        </w:rPr>
      </w:pPr>
    </w:p>
    <w:p>
      <w:pPr>
        <w:ind w:left="1240" w:hanging="327"/>
        <w:spacing w:after="0"/>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last day of the fiscal year in which we have total annual gross revenue of $1 billion or more;</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last day of our fiscal year following the fifth anniversary of the date of the first sale of common equity securities pursuant to this prospectus;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date on which we have issued more than $1 billion in non-convertible debt during the previous three years; or</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date on which we are deemed to be a “large accelerated filer” under SEC rules and regulations.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incur significant increased costs as a result of operating as a public company, and our management will be required to devote substantial time to corporate governance standards.</w:t>
      </w:r>
    </w:p>
    <w:p>
      <w:pPr>
        <w:spacing w:after="0" w:line="155" w:lineRule="exact"/>
        <w:rPr>
          <w:sz w:val="20"/>
          <w:szCs w:val="20"/>
          <w:color w:val="auto"/>
        </w:rPr>
      </w:pPr>
    </w:p>
    <w:p>
      <w:pPr>
        <w:ind w:right="40" w:firstLine="802"/>
        <w:spacing w:after="0" w:line="321" w:lineRule="auto"/>
        <w:rPr>
          <w:sz w:val="20"/>
          <w:szCs w:val="20"/>
          <w:color w:val="auto"/>
        </w:rPr>
      </w:pPr>
      <w:r>
        <w:rPr>
          <w:rFonts w:ascii="Arial" w:cs="Arial" w:eastAsia="Arial" w:hAnsi="Arial"/>
          <w:sz w:val="12"/>
          <w:szCs w:val="12"/>
          <w:color w:val="auto"/>
        </w:rPr>
        <w:t>As a public company, we will incur significant legal, accounting and other expenses that we did not incur as a private company. In addition, our administrative staff will be required to perform additional tasks. For example, in anticipation of becoming a public company, we will need to adopt additional internal controls and disclosure controls and procedures, retain a transfer agent and adopt an insider trading policy. Once we are a public company, we will bear all of the internal and external costs of preparing and distributing periodic public reports in compliance with our obligations under the securities laws.</w:t>
      </w:r>
    </w:p>
    <w:p>
      <w:pPr>
        <w:spacing w:after="0" w:line="73"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In addition, regulations and standards relating to corporate governance and public disclosure, including the Sarbanes-Oxley Act and related regulations implemented by the Securities and Exchange Commission and the NASDAQ Global Market, have increased legal and financial compliance costs and will make some compliance activities more time consuming. We are currently evaluating these rules, and cannot predict or estimate the amount of additional costs we may incur or the timing of such costs.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386" w:right="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or governing bodies due to ambiguities related to practice, regulatory authorities may initiate legal proceedings against us and our business may be harmed. In connection with this offering, we are increasing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10" w:lineRule="exact"/>
        <w:rPr>
          <w:sz w:val="20"/>
          <w:szCs w:val="20"/>
          <w:color w:val="auto"/>
        </w:rPr>
      </w:pPr>
    </w:p>
    <w:p>
      <w:pPr>
        <w:ind w:right="100" w:firstLine="802"/>
        <w:spacing w:after="0" w:line="255" w:lineRule="auto"/>
        <w:rPr>
          <w:sz w:val="20"/>
          <w:szCs w:val="20"/>
          <w:color w:val="auto"/>
        </w:rPr>
      </w:pPr>
      <w:r>
        <w:rPr>
          <w:rFonts w:ascii="Arial" w:cs="Arial" w:eastAsia="Arial" w:hAnsi="Arial"/>
          <w:sz w:val="14"/>
          <w:szCs w:val="14"/>
          <w:color w:val="auto"/>
        </w:rPr>
        <w:t>Under the corporate governance standards of the NASDAQ Global Market, a majority of our board of directors and each member of our audit committee must be an independent director no later than the first anniversary of the completion of this offering. We may encounter difficulty in attracting qualified persons to serve on our board of directors and the audit committee, and our board of directors and management may be required to divert significant time and attention and resources away from our business to identify qualified directors. If we fail to attract and retain the required number of independent directors, we may be subject to the delisting of our common stock from the NASDAQ Global Market.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Provisions of our charter, bylaws, and Delaware law may make an acquisition of us or a change in our management more difficult.</w:t>
      </w:r>
    </w:p>
    <w:p>
      <w:pPr>
        <w:spacing w:after="0" w:line="132" w:lineRule="exact"/>
        <w:rPr>
          <w:sz w:val="20"/>
          <w:szCs w:val="20"/>
          <w:color w:val="auto"/>
        </w:rPr>
      </w:pPr>
    </w:p>
    <w:p>
      <w:pPr>
        <w:ind w:right="140" w:firstLine="802"/>
        <w:spacing w:after="0" w:line="305" w:lineRule="auto"/>
        <w:rPr>
          <w:sz w:val="20"/>
          <w:szCs w:val="20"/>
          <w:color w:val="auto"/>
        </w:rPr>
      </w:pPr>
      <w:r>
        <w:rPr>
          <w:rFonts w:ascii="Arial" w:cs="Arial" w:eastAsia="Arial" w:hAnsi="Arial"/>
          <w:sz w:val="12"/>
          <w:szCs w:val="12"/>
          <w:color w:val="auto"/>
        </w:rPr>
        <w:t>Certain provisions of our restated certificate of incorporation and restated bylaws that will be in effect upon the completion of this offering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 or frustrate attempts by our stockholders to replace or remove our management by making it more difficult for stockholders to replace members of our board of directors. These provisions:</w:t>
      </w:r>
    </w:p>
    <w:p>
      <w:pPr>
        <w:spacing w:after="0" w:line="116" w:lineRule="exact"/>
        <w:rPr>
          <w:sz w:val="20"/>
          <w:szCs w:val="20"/>
          <w:color w:val="auto"/>
        </w:rPr>
      </w:pPr>
    </w:p>
    <w:p>
      <w:pPr>
        <w:ind w:left="1240" w:hanging="327"/>
        <w:spacing w:after="0"/>
        <w:tabs>
          <w:tab w:leader="none" w:pos="1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allow the authorized number of directors to be changed only by resolution of our board of directors;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establish a classified board of directors, providing that not all members of the board of directors be elected at one time;</w:t>
      </w:r>
    </w:p>
    <w:p>
      <w:pPr>
        <w:spacing w:after="0" w:line="162" w:lineRule="exact"/>
        <w:rPr>
          <w:rFonts w:ascii="Arial" w:cs="Arial" w:eastAsia="Arial" w:hAnsi="Arial"/>
          <w:sz w:val="14"/>
          <w:szCs w:val="14"/>
          <w:color w:val="auto"/>
        </w:rPr>
      </w:pPr>
    </w:p>
    <w:p>
      <w:pPr>
        <w:ind w:left="1240" w:hanging="327"/>
        <w:spacing w:after="0" w:line="267" w:lineRule="auto"/>
        <w:tabs>
          <w:tab w:leader="none" w:pos="1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authorize our board of directors to issue without stockholder approval blank check preferred stock that, if issued, could operate as a “poison pill” to dilute the stock ownership of a potential hostile acquirer to prevent an acquisition that is not approved by our board of directors;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stockholder action by written consent;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 advance notice requirements for stockholder nominations to our board of directors or for stockholder proposals that can be acted on at stockholder meetings;</w:t>
      </w:r>
    </w:p>
    <w:p>
      <w:pPr>
        <w:spacing w:after="0" w:line="185" w:lineRule="exact"/>
        <w:rPr>
          <w:rFonts w:ascii="Arial" w:cs="Arial" w:eastAsia="Arial" w:hAnsi="Arial"/>
          <w:sz w:val="12"/>
          <w:szCs w:val="12"/>
          <w:color w:val="auto"/>
        </w:rPr>
      </w:pPr>
    </w:p>
    <w:p>
      <w:pPr>
        <w:ind w:left="1240" w:hanging="327"/>
        <w:spacing w:after="0"/>
        <w:tabs>
          <w:tab w:leader="none" w:pos="1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 who may call stockholder meetings; and</w:t>
      </w:r>
    </w:p>
    <w:p>
      <w:pPr>
        <w:sectPr>
          <w:pgSz w:w="11900" w:h="16838" w:orient="portrait"/>
          <w:cols w:equalWidth="0" w:num="1">
            <w:col w:w="11460"/>
          </w:cols>
          <w:pgMar w:left="220" w:top="387" w:right="219" w:bottom="1440" w:gutter="0" w:footer="0" w:header="0"/>
        </w:sectPr>
      </w:pPr>
    </w:p>
    <w:p>
      <w:pPr>
        <w:spacing w:after="0" w:line="16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require the approval of the holders of restated bylaws.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 of the outstanding shares of our capital stock entitled to vote in order to amend certain provisions of our restated certificate of incorporation and</w:t>
      </w:r>
    </w:p>
    <w:p>
      <w:pPr>
        <w:spacing w:after="0" w:line="321" w:lineRule="exact"/>
        <w:rPr>
          <w:sz w:val="20"/>
          <w:szCs w:val="20"/>
          <w:color w:val="auto"/>
        </w:rPr>
      </w:pPr>
    </w:p>
    <w:p>
      <w:pPr>
        <w:sectPr>
          <w:pgSz w:w="11900" w:h="16838" w:orient="portrait"/>
          <w:cols w:equalWidth="0" w:num="3">
            <w:col w:w="960" w:space="280"/>
            <w:col w:w="2020" w:space="140"/>
            <w:col w:w="8060"/>
          </w:cols>
          <w:pgMar w:left="220" w:top="387" w:right="219" w:bottom="1440" w:gutter="0" w:footer="0" w:header="0"/>
          <w:type w:val="continuous"/>
        </w:sectPr>
      </w:pPr>
    </w:p>
    <w:p>
      <w:pPr>
        <w:ind w:right="180" w:firstLine="802"/>
        <w:spacing w:after="0" w:line="258" w:lineRule="auto"/>
        <w:rPr>
          <w:sz w:val="20"/>
          <w:szCs w:val="20"/>
          <w:color w:val="auto"/>
        </w:rPr>
      </w:pPr>
      <w:r>
        <w:rPr>
          <w:rFonts w:ascii="Arial" w:cs="Arial" w:eastAsia="Arial" w:hAnsi="Arial"/>
          <w:sz w:val="14"/>
          <w:szCs w:val="14"/>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387" w:right="21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anticipate paying cash dividends, and accordingly, stockholders must rely on stock appreciation for any return on their investment.</w:t>
      </w:r>
    </w:p>
    <w:p>
      <w:pPr>
        <w:spacing w:after="0" w:line="132" w:lineRule="exact"/>
        <w:rPr>
          <w:sz w:val="20"/>
          <w:szCs w:val="20"/>
          <w:color w:val="auto"/>
        </w:rPr>
      </w:pPr>
    </w:p>
    <w:p>
      <w:pPr>
        <w:ind w:right="320" w:firstLine="802"/>
        <w:spacing w:after="0" w:line="267" w:lineRule="auto"/>
        <w:rPr>
          <w:sz w:val="20"/>
          <w:szCs w:val="20"/>
          <w:color w:val="auto"/>
        </w:rPr>
      </w:pPr>
      <w:r>
        <w:rPr>
          <w:rFonts w:ascii="Arial" w:cs="Arial" w:eastAsia="Arial" w:hAnsi="Arial"/>
          <w:sz w:val="14"/>
          <w:szCs w:val="14"/>
          <w:color w:val="auto"/>
        </w:rPr>
        <w:t>We currently intend to retain our future earnings, if any, to fund the development and growth of our businesses. As a result, capital appreciation, if any, of our common stock will be your sole source of gain on your investment for the foreseeable future. Investors seeking cash dividends should not invest in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initial public offering price will be substantially higher than the net tangible book value per share of shares of our common stock based on the total value of our tangible assets less our total</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2"/>
          <w:szCs w:val="12"/>
          <w:color w:val="auto"/>
        </w:rPr>
        <w:t>liabilities immediately following this offering. Therefore, if you purchase common stock in this offering, you will experience immediate and substantial dilution of approximately $ per share, representing the difference between our pro forma as adjusted net tangible book value per share after giving effect to this offering at an assumed initial public offering price of $ per share. In the past, we issued options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and warrants to acquire common stock at prices below the assumed initial public offering price. To the extent these outstanding options are ultimately exercised, you will experience further dilution.</w:t>
      </w:r>
    </w:p>
    <w:p>
      <w:pPr>
        <w:spacing w:after="0" w:line="149"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b w:val="1"/>
          <w:bCs w:val="1"/>
          <w:i w:val="1"/>
          <w:iCs w:val="1"/>
          <w:color w:val="auto"/>
        </w:rPr>
        <w:t>A significant portion of our total outstanding shares of common stock is restricted from immediate resale but may be sold into the market in the near future. This could cause the market price of our common stock to drop significantly, even if our business is doing well.</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Sales of a substantial number of shares of our common stock in the public market could occur in the future. These sales, or the perception in the market that the holders of a large number of shares</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2"/>
          <w:szCs w:val="12"/>
          <w:color w:val="auto"/>
        </w:rPr>
        <w:t>of common stock intend to sell shares, could reduce the market price of our common stock. After this offering, we will have outstanding shares of common stock based on the number of shares outstanding as of June 30, 2013. Of these shares, shares sold in this offering may be resold in the public market immediately and the remaining shares are currently restricted under securities laws or as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 result of lock-up agreements but will be able to be resold after the offering as described in the “Shares Eligible for Future Sale” section of this prospectus. Moreover, after this offering, holders of an aggregate</w:t>
      </w:r>
    </w:p>
    <w:p>
      <w:pPr>
        <w:spacing w:after="0" w:line="29" w:lineRule="exact"/>
        <w:rPr>
          <w:sz w:val="20"/>
          <w:szCs w:val="20"/>
          <w:color w:val="auto"/>
        </w:rPr>
      </w:pPr>
    </w:p>
    <w:p>
      <w:pPr>
        <w:ind w:right="140"/>
        <w:spacing w:after="0" w:line="290" w:lineRule="auto"/>
        <w:rPr>
          <w:sz w:val="20"/>
          <w:szCs w:val="20"/>
          <w:color w:val="auto"/>
        </w:rPr>
      </w:pPr>
      <w:r>
        <w:rPr>
          <w:rFonts w:ascii="Arial" w:cs="Arial" w:eastAsia="Arial" w:hAnsi="Arial"/>
          <w:sz w:val="12"/>
          <w:szCs w:val="12"/>
          <w:color w:val="auto"/>
        </w:rPr>
        <w:t>of shares of common stock, which includes shares of common stock issuable upon the conversion of all our outstanding shares of our preferred stock will have rights, subject to certain conditions, to require us to file registration statements covering their shares or to include their shares in registration statements that we may file for ourselves or other stockholders. We also intend to register all</w:t>
      </w:r>
    </w:p>
    <w:p>
      <w:pPr>
        <w:spacing w:after="0" w:line="1" w:lineRule="exact"/>
        <w:rPr>
          <w:sz w:val="20"/>
          <w:szCs w:val="20"/>
          <w:color w:val="auto"/>
        </w:rPr>
      </w:pPr>
    </w:p>
    <w:p>
      <w:pPr>
        <w:ind w:right="160" w:firstLine="543"/>
        <w:spacing w:after="0" w:line="258" w:lineRule="auto"/>
        <w:rPr>
          <w:sz w:val="20"/>
          <w:szCs w:val="20"/>
          <w:color w:val="auto"/>
        </w:rPr>
      </w:pPr>
      <w:r>
        <w:rPr>
          <w:rFonts w:ascii="Arial" w:cs="Arial" w:eastAsia="Arial" w:hAnsi="Arial"/>
          <w:sz w:val="14"/>
          <w:szCs w:val="14"/>
          <w:color w:val="auto"/>
        </w:rPr>
        <w:t>shares of common stock that we may issue under our equity compensation plans. Once we register these shares, they can be freely sold in the public market upon issuance and once vested, subject to the lock-up agreements described in the “Underwriting” section of this prospectus.</w:t>
      </w:r>
    </w:p>
    <w:p>
      <w:pPr>
        <w:spacing w:after="0" w:line="108"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Future issuances of our common stock or rights to purchase common stock pursuant to our equity incentive plans or outstanding warrants could result in additional dilution of the percentage ownership of our stockholders and could cause our share price to fall.</w:t>
      </w:r>
    </w:p>
    <w:p>
      <w:pPr>
        <w:spacing w:after="0" w:line="101" w:lineRule="exact"/>
        <w:rPr>
          <w:sz w:val="20"/>
          <w:szCs w:val="20"/>
          <w:color w:val="auto"/>
        </w:rPr>
      </w:pPr>
    </w:p>
    <w:p>
      <w:pPr>
        <w:ind w:right="180" w:firstLine="802"/>
        <w:spacing w:after="0" w:line="258" w:lineRule="auto"/>
        <w:rPr>
          <w:sz w:val="20"/>
          <w:szCs w:val="20"/>
          <w:color w:val="auto"/>
        </w:rPr>
      </w:pPr>
      <w:r>
        <w:rPr>
          <w:rFonts w:ascii="Arial" w:cs="Arial" w:eastAsia="Arial" w:hAnsi="Arial"/>
          <w:sz w:val="14"/>
          <w:szCs w:val="14"/>
          <w:color w:val="auto"/>
        </w:rPr>
        <w:t>As of June 30, 2013, we have options to purchase 51,879,146 shares outstanding under our equity compensation plans. We are also authorized to grant equity awards, including stock options, to our employees, directors and consultants, covering up to 5,342,394 shares of our common stock, pursuant to our equity compensation plans. We plan to register the number of shares available for issuance or subject to outstanding awards under our equity compensation plans after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share price and trading volume could decline.</w:t>
      </w:r>
    </w:p>
    <w:p>
      <w:pPr>
        <w:spacing w:after="0" w:line="155" w:lineRule="exact"/>
        <w:rPr>
          <w:sz w:val="20"/>
          <w:szCs w:val="20"/>
          <w:color w:val="auto"/>
        </w:rPr>
      </w:pPr>
    </w:p>
    <w:p>
      <w:pPr>
        <w:ind w:right="400" w:firstLine="802"/>
        <w:spacing w:after="0" w:line="267" w:lineRule="auto"/>
        <w:rPr>
          <w:sz w:val="20"/>
          <w:szCs w:val="20"/>
          <w:color w:val="auto"/>
        </w:rPr>
      </w:pPr>
      <w:r>
        <w:rPr>
          <w:rFonts w:ascii="Arial" w:cs="Arial" w:eastAsia="Arial" w:hAnsi="Arial"/>
          <w:sz w:val="14"/>
          <w:szCs w:val="14"/>
          <w:color w:val="auto"/>
        </w:rPr>
        <w:t>The trading market for our common stock will depend on the research and reports that securities or industry analysts publish about us or our business. We do not have any control over these analysts. We cannot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387" w:right="2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assure you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other tax attributes may be limited.</w:t>
      </w:r>
    </w:p>
    <w:p>
      <w:pPr>
        <w:spacing w:after="0" w:line="132" w:lineRule="exact"/>
        <w:rPr>
          <w:sz w:val="20"/>
          <w:szCs w:val="20"/>
          <w:color w:val="auto"/>
        </w:rPr>
      </w:pPr>
    </w:p>
    <w:p>
      <w:pPr>
        <w:ind w:right="40" w:firstLine="802"/>
        <w:spacing w:after="0" w:line="299" w:lineRule="auto"/>
        <w:rPr>
          <w:sz w:val="20"/>
          <w:szCs w:val="20"/>
          <w:color w:val="auto"/>
        </w:rPr>
      </w:pPr>
      <w:r>
        <w:rPr>
          <w:rFonts w:ascii="Arial" w:cs="Arial" w:eastAsia="Arial" w:hAnsi="Arial"/>
          <w:sz w:val="12"/>
          <w:szCs w:val="12"/>
          <w:color w:val="auto"/>
        </w:rPr>
        <w:t>Our ability to utilize our federal net operating losses, or NOLs, and federal tax credits is currently limited, and may be limited further, under Sections 382 and 383 of the Internal Revenue Code of 1986, as amended, or the Internal Revenue Code.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an acquisition we made in 2008. As of December 31, 2012, we had federal NOL carryforwards of $100.9 million, state NOL carryforwards of $64.2 million and research and development tax credit carryforwards of $21.8 million available. Future changes in stock ownership, including resulting from this offering,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net operating loss carryforwards and tax credit carryforwards to reduce United States federal income tax may be subject to limitations, which could potentially result in increased future cash tax liability to 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40"/>
          </w:cols>
          <w:pgMar w:left="220" w:top="386"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34"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This prospectus includes forward-looking statements within the meaning of federal securities laws.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“Prospectus Summary”, “Risk Factors”, “Management’s Discussion and Analysis of Financial Condition and Results of Operations” and “Business”.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13"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2"/>
          <w:szCs w:val="12"/>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spacing w:after="0" w:line="110" w:lineRule="exact"/>
        <w:rPr>
          <w:sz w:val="20"/>
          <w:szCs w:val="20"/>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plans to develop and commercialize our product candidates;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ongoing and planned clinical trials;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timing of and our ability to obtain and maintain regulatory approvals for our product candidates;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identify additional products or product candidates with significant commercial potential that are consistent with our commercial objectives;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our products;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significant competition in our industry;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costs of litigation and the failure to successfully defend lawsuits and other claims against us;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economic, political and other risks associated with our international operations;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receive research funding and achieve anticipated milestones under our collaborations;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intellectual property position;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costs of compliance and our failure to comply with new and existing governmental regulations including, but not limited to, tax regulations;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loss or retirement of key members of management;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costs of compliance and our failure to comply with new and existing governmental regulations including, but not limited to, tax regulations;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40"/>
          </w:cols>
          <w:pgMar w:left="220" w:top="386"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failure to successfully execute our growth strategy, including any delays in our planned future growth;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failure to maintain effective internal controls.</w:t>
      </w:r>
    </w:p>
    <w:p>
      <w:pPr>
        <w:spacing w:after="0" w:line="132"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20"/>
          </w:cols>
          <w:pgMar w:left="220" w:top="386"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USE OF PROCEEDS</w:t>
      </w:r>
    </w:p>
    <w:p>
      <w:pPr>
        <w:spacing w:after="0" w:line="134" w:lineRule="exact"/>
        <w:rPr>
          <w:sz w:val="20"/>
          <w:szCs w:val="20"/>
          <w:color w:val="auto"/>
        </w:rPr>
      </w:pPr>
    </w:p>
    <w:p>
      <w:pPr>
        <w:ind w:left="800"/>
        <w:spacing w:after="0"/>
        <w:tabs>
          <w:tab w:leader="none" w:pos="3960" w:val="left"/>
          <w:tab w:leader="none" w:pos="7760" w:val="left"/>
          <w:tab w:leader="none" w:pos="11000" w:val="left"/>
        </w:tabs>
        <w:rPr>
          <w:sz w:val="20"/>
          <w:szCs w:val="20"/>
          <w:color w:val="auto"/>
        </w:rPr>
      </w:pPr>
      <w:r>
        <w:rPr>
          <w:rFonts w:ascii="Arial" w:cs="Arial" w:eastAsia="Arial" w:hAnsi="Arial"/>
          <w:sz w:val="14"/>
          <w:szCs w:val="14"/>
          <w:color w:val="auto"/>
        </w:rPr>
        <w:t>We estimate that the net proceeds from the sale of</w:t>
      </w:r>
      <w:r>
        <w:rPr>
          <w:sz w:val="20"/>
          <w:szCs w:val="20"/>
          <w:color w:val="auto"/>
        </w:rPr>
        <w:tab/>
      </w:r>
      <w:r>
        <w:rPr>
          <w:rFonts w:ascii="Arial" w:cs="Arial" w:eastAsia="Arial" w:hAnsi="Arial"/>
          <w:sz w:val="14"/>
          <w:szCs w:val="14"/>
          <w:color w:val="auto"/>
        </w:rPr>
        <w:t>shares of common stock in this offering will be approximately $</w:t>
      </w:r>
      <w:r>
        <w:rPr>
          <w:sz w:val="20"/>
          <w:szCs w:val="20"/>
          <w:color w:val="auto"/>
        </w:rPr>
        <w:tab/>
      </w:r>
      <w:r>
        <w:rPr>
          <w:rFonts w:ascii="Arial" w:cs="Arial" w:eastAsia="Arial" w:hAnsi="Arial"/>
          <w:sz w:val="14"/>
          <w:szCs w:val="14"/>
          <w:color w:val="auto"/>
        </w:rPr>
        <w:t>million at an assumed initial public offering price of $</w:t>
      </w:r>
      <w:r>
        <w:rPr>
          <w:sz w:val="20"/>
          <w:szCs w:val="20"/>
          <w:color w:val="auto"/>
        </w:rPr>
        <w:tab/>
      </w:r>
      <w:r>
        <w:rPr>
          <w:rFonts w:ascii="Arial" w:cs="Arial" w:eastAsia="Arial" w:hAnsi="Arial"/>
          <w:sz w:val="12"/>
          <w:szCs w:val="12"/>
          <w:color w:val="auto"/>
        </w:rPr>
        <w:t>per</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share, the midpoint of the price range set forth on the cover of this prospectus, after deducting estimated underwriting discounts and commissions and estimated offering expenses payable by us. If the</w:t>
      </w:r>
    </w:p>
    <w:p>
      <w:pPr>
        <w:spacing w:after="0" w:line="299" w:lineRule="exact"/>
        <w:rPr>
          <w:sz w:val="20"/>
          <w:szCs w:val="20"/>
          <w:color w:val="auto"/>
        </w:rPr>
      </w:pPr>
    </w:p>
    <w:p>
      <w:pPr>
        <w:ind w:right="100"/>
        <w:spacing w:after="0" w:line="295" w:lineRule="auto"/>
        <w:rPr>
          <w:sz w:val="20"/>
          <w:szCs w:val="20"/>
          <w:color w:val="auto"/>
        </w:rPr>
      </w:pPr>
      <w:r>
        <w:rPr>
          <w:rFonts w:ascii="Arial" w:cs="Arial" w:eastAsia="Arial" w:hAnsi="Arial"/>
          <w:sz w:val="12"/>
          <w:szCs w:val="12"/>
          <w:color w:val="auto"/>
        </w:rPr>
        <w:t>underwriters exercise their option to purchase additional shares in full, we estimate that the net proceeds will be approximately $ million after deducting estimated underwriting discounts and commissions and estimated offering expenses payable by us. Each $1.00 increase or decrease in the assumed initial public offering price of $ per share would increase or decrease our net proceeds by $ million,</w:t>
      </w:r>
    </w:p>
    <w:p>
      <w:pPr>
        <w:spacing w:after="0" w:line="1"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assuming the number of shares offered by us, as set forth on the cover of this prospectus, remains the same and after deducting the underwriting discounts and commissions and estimated offering expenses payable by us.</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are undertaking this offering in order to access the public capital markets and to increase our liquidity. We intend to use the net proceeds of this offering as follows:</w:t>
      </w:r>
    </w:p>
    <w:p>
      <w:pPr>
        <w:spacing w:after="0" w:line="163" w:lineRule="exact"/>
        <w:rPr>
          <w:sz w:val="20"/>
          <w:szCs w:val="20"/>
          <w:color w:val="auto"/>
        </w:rPr>
      </w:pPr>
    </w:p>
    <w:p>
      <w:pPr>
        <w:ind w:left="1240" w:hanging="327"/>
        <w:spacing w:after="0"/>
        <w:tabs>
          <w:tab w:leader="none" w:pos="1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Approximately $</w:t>
      </w:r>
      <w:r>
        <w:rPr>
          <w:rFonts w:ascii="Arial" w:cs="Arial" w:eastAsia="Arial" w:hAnsi="Arial"/>
          <w:sz w:val="12"/>
          <w:szCs w:val="12"/>
          <w:color w:val="auto"/>
        </w:rPr>
        <w:t>million to fund clinical development expenses for margetuximab and MGA271;</w:t>
      </w:r>
    </w:p>
    <w:p>
      <w:pPr>
        <w:spacing w:after="0" w:line="162" w:lineRule="exact"/>
        <w:rPr>
          <w:rFonts w:ascii="Arial" w:cs="Arial" w:eastAsia="Arial" w:hAnsi="Arial"/>
          <w:sz w:val="14"/>
          <w:szCs w:val="14"/>
          <w:color w:val="auto"/>
        </w:rPr>
      </w:pPr>
    </w:p>
    <w:p>
      <w:pPr>
        <w:ind w:left="1240" w:right="320" w:hanging="327"/>
        <w:spacing w:after="0" w:line="267" w:lineRule="auto"/>
        <w:tabs>
          <w:tab w:leader="none" w:pos="1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Approximately $ million to fund research and development expenses to advance our remaining product candidates, including MGD006, MGD007 and MGD010, as well as other earlier stage programs; and</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remainder for working capital and general corporate purposes, which may include in-licensing or acquiring other products or technologies.</w:t>
      </w:r>
    </w:p>
    <w:p>
      <w:pPr>
        <w:spacing w:after="0" w:line="132" w:lineRule="exact"/>
        <w:rPr>
          <w:sz w:val="20"/>
          <w:szCs w:val="20"/>
          <w:color w:val="auto"/>
        </w:rPr>
      </w:pPr>
    </w:p>
    <w:p>
      <w:pPr>
        <w:ind w:right="20" w:firstLine="802"/>
        <w:spacing w:after="0" w:line="305" w:lineRule="auto"/>
        <w:rPr>
          <w:sz w:val="20"/>
          <w:szCs w:val="20"/>
          <w:color w:val="auto"/>
        </w:rPr>
      </w:pPr>
      <w:r>
        <w:rPr>
          <w:rFonts w:ascii="Arial" w:cs="Arial" w:eastAsia="Arial" w:hAnsi="Arial"/>
          <w:sz w:val="12"/>
          <w:szCs w:val="12"/>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Due to the many variables inherent to the development of oncology and autoimmune therapeutics at this time, such as the timing of patient enrollment and evolving regulatory requirements, we cannot currently predict the stage of development that our product candidates will reach using the net proceeds of this offering. Based upon our current operating plan, we anticipate that the net proceeds from this offering, together with our existing cash and cash equivalents, will enable us to fund our operating expenses and capital expenditure requirements for at least the next 18 months.</w:t>
      </w:r>
    </w:p>
    <w:p>
      <w:pPr>
        <w:spacing w:after="0" w:line="84"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The amount and timing of our actual expenditures will depend upon numerous factors, including the results of our research and development efforts, the timing and success of pre-clinical studies, our ongoing clinical trials or clinical trials we may commence in the future and the timing of regulatory submissions. As a result, our management will have broad discretion over the use of the net proceeds from this offering.</w:t>
      </w:r>
    </w:p>
    <w:p>
      <w:pPr>
        <w:spacing w:after="0" w:line="108" w:lineRule="exact"/>
        <w:rPr>
          <w:sz w:val="20"/>
          <w:szCs w:val="20"/>
          <w:color w:val="auto"/>
        </w:rPr>
      </w:pPr>
    </w:p>
    <w:p>
      <w:pPr>
        <w:ind w:right="20" w:firstLine="802"/>
        <w:spacing w:after="0" w:line="267" w:lineRule="auto"/>
        <w:rPr>
          <w:sz w:val="20"/>
          <w:szCs w:val="20"/>
          <w:color w:val="auto"/>
        </w:rPr>
      </w:pPr>
      <w:r>
        <w:rPr>
          <w:rFonts w:ascii="Arial" w:cs="Arial" w:eastAsia="Arial" w:hAnsi="Arial"/>
          <w:sz w:val="14"/>
          <w:szCs w:val="14"/>
          <w:color w:val="auto"/>
        </w:rPr>
        <w:t>Pending our use of the net proceeds from this offering, we intend to invest the net proceeds in a variety of capital preservation investments, including short-term, interest-bearing, investment-grade securities, certificates of deposit or government securities.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386" w:right="2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DIVIDEND POLICY</w:t>
      </w:r>
    </w:p>
    <w:p>
      <w:pPr>
        <w:spacing w:after="0" w:line="134"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We have never paid any dividends on our common stock. We currently intend to retain any future earnings to finance the growth and development of our business, and we do not anticipate that we will declare or pay any cash dividends on our common stock in the foreseeable future. Any future determination to pay cash dividends will be at the discretion of our board of directors and will be dependent upon our financial condition, results of operations, capital requirements, restrictions under any future indebtedness and other factors the board of directors deems relevant.</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40"/>
          </w:cols>
          <w:pgMar w:left="220" w:top="387"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indicates our capitalization at June 30, 2013:</w:t>
      </w:r>
    </w:p>
    <w:p>
      <w:pPr>
        <w:spacing w:after="0" w:line="163" w:lineRule="exact"/>
        <w:rPr>
          <w:sz w:val="20"/>
          <w:szCs w:val="20"/>
          <w:color w:val="auto"/>
        </w:rPr>
      </w:pPr>
    </w:p>
    <w:p>
      <w:pPr>
        <w:ind w:left="1240" w:hanging="327"/>
        <w:spacing w:after="0"/>
        <w:tabs>
          <w:tab w:leader="none" w:pos="12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ind w:left="920"/>
              <w:spacing w:after="0"/>
              <w:rPr>
                <w:sz w:val="20"/>
                <w:szCs w:val="20"/>
                <w:color w:val="auto"/>
              </w:rPr>
            </w:pPr>
            <w:r>
              <w:rPr>
                <w:rFonts w:ascii="Arial" w:cs="Arial" w:eastAsia="Arial" w:hAnsi="Arial"/>
                <w:sz w:val="14"/>
                <w:szCs w:val="14"/>
                <w:color w:val="auto"/>
              </w:rPr>
              <w:t>•</w:t>
            </w:r>
          </w:p>
        </w:tc>
        <w:tc>
          <w:tcPr>
            <w:tcW w:w="5880" w:type="dxa"/>
            <w:vAlign w:val="bottom"/>
            <w:gridSpan w:val="4"/>
          </w:tcPr>
          <w:p>
            <w:pPr>
              <w:ind w:left="100"/>
              <w:spacing w:after="0"/>
              <w:rPr>
                <w:sz w:val="20"/>
                <w:szCs w:val="20"/>
                <w:color w:val="auto"/>
              </w:rPr>
            </w:pPr>
            <w:r>
              <w:rPr>
                <w:rFonts w:ascii="Arial" w:cs="Arial" w:eastAsia="Arial" w:hAnsi="Arial"/>
                <w:sz w:val="14"/>
                <w:szCs w:val="14"/>
                <w:color w:val="auto"/>
                <w:w w:val="87"/>
              </w:rPr>
              <w:t>on a pro forma basis to reflect the conversion of all of our outstanding preferred stock into an aggregate of</w:t>
            </w:r>
          </w:p>
        </w:tc>
        <w:tc>
          <w:tcPr>
            <w:tcW w:w="4440" w:type="dxa"/>
            <w:vAlign w:val="bottom"/>
            <w:gridSpan w:val="14"/>
          </w:tcPr>
          <w:p>
            <w:pPr>
              <w:ind w:left="740"/>
              <w:spacing w:after="0"/>
              <w:rPr>
                <w:sz w:val="20"/>
                <w:szCs w:val="20"/>
                <w:color w:val="auto"/>
              </w:rPr>
            </w:pPr>
            <w:r>
              <w:rPr>
                <w:rFonts w:ascii="Arial" w:cs="Arial" w:eastAsia="Arial" w:hAnsi="Arial"/>
                <w:sz w:val="14"/>
                <w:szCs w:val="14"/>
                <w:color w:val="auto"/>
                <w:w w:val="88"/>
              </w:rPr>
              <w:t>shares of common stock immediately prior to the completion of this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240" w:type="dxa"/>
            <w:vAlign w:val="bottom"/>
          </w:tcPr>
          <w:p>
            <w:pPr>
              <w:ind w:left="100"/>
              <w:spacing w:after="0"/>
              <w:rPr>
                <w:sz w:val="20"/>
                <w:szCs w:val="20"/>
                <w:color w:val="auto"/>
              </w:rPr>
            </w:pPr>
            <w:r>
              <w:rPr>
                <w:rFonts w:ascii="Arial" w:cs="Arial" w:eastAsia="Arial" w:hAnsi="Arial"/>
                <w:sz w:val="14"/>
                <w:szCs w:val="14"/>
                <w:color w:val="auto"/>
              </w:rPr>
              <w:t>offering; and</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920"/>
              <w:spacing w:after="0"/>
              <w:rPr>
                <w:sz w:val="20"/>
                <w:szCs w:val="20"/>
                <w:color w:val="auto"/>
              </w:rPr>
            </w:pPr>
            <w:r>
              <w:rPr>
                <w:rFonts w:ascii="Arial" w:cs="Arial" w:eastAsia="Arial" w:hAnsi="Arial"/>
                <w:sz w:val="14"/>
                <w:szCs w:val="14"/>
                <w:color w:val="auto"/>
              </w:rPr>
              <w:t>•</w:t>
            </w:r>
          </w:p>
        </w:tc>
        <w:tc>
          <w:tcPr>
            <w:tcW w:w="4500" w:type="dxa"/>
            <w:vAlign w:val="bottom"/>
            <w:gridSpan w:val="3"/>
          </w:tcPr>
          <w:p>
            <w:pPr>
              <w:ind w:left="100"/>
              <w:spacing w:after="0"/>
              <w:rPr>
                <w:sz w:val="20"/>
                <w:szCs w:val="20"/>
                <w:color w:val="auto"/>
              </w:rPr>
            </w:pPr>
            <w:r>
              <w:rPr>
                <w:rFonts w:ascii="Arial" w:cs="Arial" w:eastAsia="Arial" w:hAnsi="Arial"/>
                <w:sz w:val="14"/>
                <w:szCs w:val="14"/>
                <w:color w:val="auto"/>
                <w:w w:val="87"/>
              </w:rPr>
              <w:t>on a pro forma as adjusted basis to give further effect to our issuance and sale of</w:t>
            </w:r>
          </w:p>
        </w:tc>
        <w:tc>
          <w:tcPr>
            <w:tcW w:w="5140" w:type="dxa"/>
            <w:vAlign w:val="bottom"/>
            <w:gridSpan w:val="13"/>
          </w:tcPr>
          <w:p>
            <w:pPr>
              <w:jc w:val="right"/>
              <w:spacing w:after="0"/>
              <w:rPr>
                <w:sz w:val="20"/>
                <w:szCs w:val="20"/>
                <w:color w:val="auto"/>
              </w:rPr>
            </w:pPr>
            <w:r>
              <w:rPr>
                <w:rFonts w:ascii="Arial" w:cs="Arial" w:eastAsia="Arial" w:hAnsi="Arial"/>
                <w:sz w:val="14"/>
                <w:szCs w:val="14"/>
                <w:color w:val="auto"/>
                <w:w w:val="97"/>
              </w:rPr>
              <w:t>shares of common stock in this offering at an assumed initial public offering price of $</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0320" w:type="dxa"/>
            <w:vAlign w:val="bottom"/>
            <w:gridSpan w:val="18"/>
          </w:tcPr>
          <w:p>
            <w:pPr>
              <w:ind w:left="100"/>
              <w:spacing w:after="0"/>
              <w:rPr>
                <w:sz w:val="20"/>
                <w:szCs w:val="20"/>
                <w:color w:val="auto"/>
              </w:rPr>
            </w:pPr>
            <w:r>
              <w:rPr>
                <w:rFonts w:ascii="Arial" w:cs="Arial" w:eastAsia="Arial" w:hAnsi="Arial"/>
                <w:sz w:val="14"/>
                <w:szCs w:val="14"/>
                <w:color w:val="auto"/>
                <w:w w:val="88"/>
              </w:rPr>
              <w:t>share, the midpoint of the price range set forth on the cover page of this prospectus, after deducting underwriting discounts and commissions and estimated offering expenses payable by</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240" w:type="dxa"/>
            <w:vAlign w:val="bottom"/>
          </w:tcPr>
          <w:p>
            <w:pPr>
              <w:ind w:left="100"/>
              <w:spacing w:after="0"/>
              <w:rPr>
                <w:sz w:val="20"/>
                <w:szCs w:val="20"/>
                <w:color w:val="auto"/>
              </w:rPr>
            </w:pPr>
            <w:r>
              <w:rPr>
                <w:rFonts w:ascii="Arial" w:cs="Arial" w:eastAsia="Arial" w:hAnsi="Arial"/>
                <w:sz w:val="14"/>
                <w:szCs w:val="14"/>
                <w:color w:val="auto"/>
              </w:rPr>
              <w:t>us.</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8600" w:type="dxa"/>
            <w:vAlign w:val="bottom"/>
            <w:gridSpan w:val="7"/>
          </w:tcPr>
          <w:p>
            <w:pPr>
              <w:ind w:left="800"/>
              <w:spacing w:after="0"/>
              <w:rPr>
                <w:sz w:val="20"/>
                <w:szCs w:val="20"/>
                <w:color w:val="auto"/>
              </w:rPr>
            </w:pPr>
            <w:r>
              <w:rPr>
                <w:rFonts w:ascii="Arial" w:cs="Arial" w:eastAsia="Arial" w:hAnsi="Arial"/>
                <w:sz w:val="14"/>
                <w:szCs w:val="14"/>
                <w:color w:val="auto"/>
                <w:w w:val="87"/>
              </w:rPr>
              <w:t>This table should be read in conjunction with our consolidated financial statements and the related notes included elsewhere in this prospectus.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0"/>
                <w:szCs w:val="10"/>
                <w:b w:val="1"/>
                <w:bCs w:val="1"/>
                <w:color w:val="auto"/>
                <w:w w:val="92"/>
              </w:rPr>
              <w:t>As of June 30, 2013</w:t>
            </w:r>
          </w:p>
        </w:tc>
        <w:tc>
          <w:tcPr>
            <w:tcW w:w="80" w:type="dxa"/>
            <w:vAlign w:val="bottom"/>
          </w:tcPr>
          <w:p>
            <w:pPr>
              <w:spacing w:after="0"/>
              <w:rPr>
                <w:sz w:val="23"/>
                <w:szCs w:val="23"/>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9"/>
              </w:rPr>
              <w:t>Pro Forma</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1"/>
              </w:rPr>
              <w:t>Actual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0"/>
                <w:szCs w:val="10"/>
                <w:b w:val="1"/>
                <w:bCs w:val="1"/>
                <w:color w:val="auto"/>
              </w:rPr>
              <w:t>Pro Forma</w:t>
            </w:r>
          </w:p>
        </w:tc>
        <w:tc>
          <w:tcPr>
            <w:tcW w:w="7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As Adjusted</w:t>
            </w:r>
          </w:p>
        </w:tc>
        <w:tc>
          <w:tcPr>
            <w:tcW w:w="0" w:type="dxa"/>
            <w:vAlign w:val="bottom"/>
          </w:tcPr>
          <w:p>
            <w:pPr>
              <w:spacing w:after="0"/>
              <w:rPr>
                <w:sz w:val="1"/>
                <w:szCs w:val="1"/>
                <w:color w:val="auto"/>
              </w:rPr>
            </w:pPr>
          </w:p>
        </w:tc>
      </w:tr>
      <w:tr>
        <w:trPr>
          <w:trHeight w:val="104"/>
        </w:trPr>
        <w:tc>
          <w:tcPr>
            <w:tcW w:w="1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jc w:val="center"/>
              <w:ind w:right="8"/>
              <w:spacing w:after="0" w:line="104" w:lineRule="exact"/>
              <w:rPr>
                <w:sz w:val="20"/>
                <w:szCs w:val="20"/>
                <w:color w:val="auto"/>
              </w:rPr>
            </w:pPr>
            <w:r>
              <w:rPr>
                <w:rFonts w:ascii="Arial" w:cs="Arial" w:eastAsia="Arial" w:hAnsi="Arial"/>
                <w:sz w:val="10"/>
                <w:szCs w:val="10"/>
                <w:b w:val="1"/>
                <w:bCs w:val="1"/>
                <w:color w:val="auto"/>
                <w:w w:val="91"/>
              </w:rPr>
              <w:t>(unaudited)</w:t>
            </w:r>
          </w:p>
        </w:tc>
        <w:tc>
          <w:tcPr>
            <w:tcW w:w="460" w:type="dxa"/>
            <w:vAlign w:val="bottom"/>
            <w:gridSpan w:val="2"/>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3"/>
              </w:rPr>
              <w:t>(in thousands, except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33,781</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gridSpan w:val="2"/>
          </w:tcPr>
          <w:p>
            <w:pPr>
              <w:spacing w:after="0"/>
              <w:rPr>
                <w:sz w:val="20"/>
                <w:szCs w:val="20"/>
                <w:color w:val="auto"/>
              </w:rPr>
            </w:pPr>
            <w:r>
              <w:rPr>
                <w:rFonts w:ascii="Arial" w:cs="Arial" w:eastAsia="Arial" w:hAnsi="Arial"/>
                <w:sz w:val="14"/>
                <w:szCs w:val="14"/>
                <w:color w:val="auto"/>
              </w:rPr>
              <w:t>Stockholders’ equity (deficit):</w:t>
            </w: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stock, $0.01 par value per share:</w:t>
            </w:r>
          </w:p>
        </w:tc>
        <w:tc>
          <w:tcPr>
            <w:tcW w:w="1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60" w:type="dxa"/>
            <w:vAlign w:val="bottom"/>
            <w:gridSpan w:val="3"/>
          </w:tcPr>
          <w:p>
            <w:pPr>
              <w:ind w:left="340"/>
              <w:spacing w:after="0" w:line="159" w:lineRule="exact"/>
              <w:rPr>
                <w:sz w:val="20"/>
                <w:szCs w:val="20"/>
                <w:color w:val="auto"/>
              </w:rPr>
            </w:pPr>
            <w:r>
              <w:rPr>
                <w:rFonts w:ascii="Arial" w:cs="Arial" w:eastAsia="Arial" w:hAnsi="Arial"/>
                <w:sz w:val="14"/>
                <w:szCs w:val="14"/>
                <w:color w:val="auto"/>
                <w:w w:val="93"/>
              </w:rPr>
              <w:t>Series A-1: 26,874,792 shares authorized, issued and outstanding, actual;</w:t>
            </w:r>
          </w:p>
        </w:tc>
        <w:tc>
          <w:tcPr>
            <w:tcW w:w="3940" w:type="dxa"/>
            <w:vAlign w:val="bottom"/>
            <w:gridSpan w:val="4"/>
          </w:tcPr>
          <w:p>
            <w:pPr>
              <w:jc w:val="right"/>
              <w:ind w:right="652"/>
              <w:spacing w:after="0" w:line="159" w:lineRule="exact"/>
              <w:rPr>
                <w:sz w:val="20"/>
                <w:szCs w:val="20"/>
                <w:color w:val="auto"/>
              </w:rPr>
            </w:pPr>
            <w:r>
              <w:rPr>
                <w:rFonts w:ascii="Arial" w:cs="Arial" w:eastAsia="Arial" w:hAnsi="Arial"/>
                <w:sz w:val="14"/>
                <w:szCs w:val="14"/>
                <w:color w:val="auto"/>
                <w:w w:val="89"/>
              </w:rPr>
              <w:t>shares authorized, issued and outstanding, pro forma and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80" w:type="dxa"/>
            <w:vAlign w:val="bottom"/>
            <w:gridSpan w:val="2"/>
          </w:tcPr>
          <w:p>
            <w:pPr>
              <w:ind w:left="500"/>
              <w:spacing w:after="0"/>
              <w:rPr>
                <w:sz w:val="20"/>
                <w:szCs w:val="20"/>
                <w:color w:val="auto"/>
              </w:rPr>
            </w:pPr>
            <w:r>
              <w:rPr>
                <w:rFonts w:ascii="Arial" w:cs="Arial" w:eastAsia="Arial" w:hAnsi="Arial"/>
                <w:sz w:val="14"/>
                <w:szCs w:val="14"/>
                <w:color w:val="auto"/>
              </w:rPr>
              <w:t>pro forma as adjusted</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269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w w:val="95"/>
              </w:rPr>
              <w:t>Series A-2: 7,364,582 shares authorized, issued and outstanding, actual;</w:t>
            </w:r>
          </w:p>
        </w:tc>
        <w:tc>
          <w:tcPr>
            <w:tcW w:w="3940" w:type="dxa"/>
            <w:vAlign w:val="bottom"/>
            <w:gridSpan w:val="4"/>
            <w:shd w:val="clear" w:color="auto" w:fill="CCEEFF"/>
          </w:tcPr>
          <w:p>
            <w:pPr>
              <w:jc w:val="right"/>
              <w:ind w:right="692"/>
              <w:spacing w:after="0"/>
              <w:rPr>
                <w:sz w:val="20"/>
                <w:szCs w:val="20"/>
                <w:color w:val="auto"/>
              </w:rPr>
            </w:pPr>
            <w:r>
              <w:rPr>
                <w:rFonts w:ascii="Arial" w:cs="Arial" w:eastAsia="Arial" w:hAnsi="Arial"/>
                <w:sz w:val="14"/>
                <w:szCs w:val="14"/>
                <w:color w:val="auto"/>
                <w:w w:val="87"/>
              </w:rPr>
              <w:t>shares authorized, issued and outstanding, pro forma, and</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pro forma as adjusted</w:t>
            </w:r>
          </w:p>
        </w:tc>
        <w:tc>
          <w:tcPr>
            <w:tcW w:w="1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60" w:type="dxa"/>
            <w:vAlign w:val="bottom"/>
            <w:gridSpan w:val="3"/>
          </w:tcPr>
          <w:p>
            <w:pPr>
              <w:ind w:left="340"/>
              <w:spacing w:after="0" w:line="159" w:lineRule="exact"/>
              <w:rPr>
                <w:sz w:val="20"/>
                <w:szCs w:val="20"/>
                <w:color w:val="auto"/>
              </w:rPr>
            </w:pPr>
            <w:r>
              <w:rPr>
                <w:rFonts w:ascii="Arial" w:cs="Arial" w:eastAsia="Arial" w:hAnsi="Arial"/>
                <w:sz w:val="14"/>
                <w:szCs w:val="14"/>
                <w:color w:val="auto"/>
                <w:w w:val="96"/>
              </w:rPr>
              <w:t>Series B: 71,401,237 shares authorized, issued and outstanding, actual;</w:t>
            </w:r>
          </w:p>
        </w:tc>
        <w:tc>
          <w:tcPr>
            <w:tcW w:w="3940" w:type="dxa"/>
            <w:vAlign w:val="bottom"/>
            <w:gridSpan w:val="4"/>
          </w:tcPr>
          <w:p>
            <w:pPr>
              <w:jc w:val="right"/>
              <w:ind w:right="532"/>
              <w:spacing w:after="0" w:line="159" w:lineRule="exact"/>
              <w:rPr>
                <w:sz w:val="20"/>
                <w:szCs w:val="20"/>
                <w:color w:val="auto"/>
              </w:rPr>
            </w:pPr>
            <w:r>
              <w:rPr>
                <w:rFonts w:ascii="Arial" w:cs="Arial" w:eastAsia="Arial" w:hAnsi="Arial"/>
                <w:sz w:val="14"/>
                <w:szCs w:val="14"/>
                <w:color w:val="auto"/>
                <w:w w:val="86"/>
              </w:rPr>
              <w:t>shares authorized, issued and outstanding, pro forma, and pro</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80" w:type="dxa"/>
            <w:vAlign w:val="bottom"/>
            <w:gridSpan w:val="2"/>
          </w:tcPr>
          <w:p>
            <w:pPr>
              <w:ind w:left="500"/>
              <w:spacing w:after="0"/>
              <w:rPr>
                <w:sz w:val="20"/>
                <w:szCs w:val="20"/>
                <w:color w:val="auto"/>
              </w:rPr>
            </w:pPr>
            <w:r>
              <w:rPr>
                <w:rFonts w:ascii="Arial" w:cs="Arial" w:eastAsia="Arial" w:hAnsi="Arial"/>
                <w:sz w:val="14"/>
                <w:szCs w:val="14"/>
                <w:color w:val="auto"/>
              </w:rPr>
              <w:t>forma as adjusted</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714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w w:val="94"/>
              </w:rPr>
              <w:t>Series C: 110,952,217 shares authorized, issued and outstanding, actual;</w:t>
            </w:r>
          </w:p>
        </w:tc>
        <w:tc>
          <w:tcPr>
            <w:tcW w:w="3940" w:type="dxa"/>
            <w:vAlign w:val="bottom"/>
            <w:gridSpan w:val="4"/>
            <w:shd w:val="clear" w:color="auto" w:fill="CCEEFF"/>
          </w:tcPr>
          <w:p>
            <w:pPr>
              <w:jc w:val="right"/>
              <w:ind w:right="672"/>
              <w:spacing w:after="0"/>
              <w:rPr>
                <w:sz w:val="20"/>
                <w:szCs w:val="20"/>
                <w:color w:val="auto"/>
              </w:rPr>
            </w:pPr>
            <w:r>
              <w:rPr>
                <w:rFonts w:ascii="Arial" w:cs="Arial" w:eastAsia="Arial" w:hAnsi="Arial"/>
                <w:sz w:val="14"/>
                <w:szCs w:val="14"/>
                <w:color w:val="auto"/>
                <w:w w:val="87"/>
              </w:rPr>
              <w:t>shares authorized, issued and outstanding, pro forma, and</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pro forma as adjusted</w:t>
            </w:r>
          </w:p>
        </w:tc>
        <w:tc>
          <w:tcPr>
            <w:tcW w:w="1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1,110</w:t>
            </w:r>
          </w:p>
        </w:tc>
        <w:tc>
          <w:tcPr>
            <w:tcW w:w="3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640" w:type="dxa"/>
            <w:vAlign w:val="bottom"/>
            <w:gridSpan w:val="4"/>
          </w:tcPr>
          <w:p>
            <w:pPr>
              <w:ind w:left="340"/>
              <w:spacing w:after="0" w:line="159" w:lineRule="exact"/>
              <w:rPr>
                <w:sz w:val="20"/>
                <w:szCs w:val="20"/>
                <w:color w:val="auto"/>
              </w:rPr>
            </w:pPr>
            <w:r>
              <w:rPr>
                <w:rFonts w:ascii="Arial" w:cs="Arial" w:eastAsia="Arial" w:hAnsi="Arial"/>
                <w:sz w:val="14"/>
                <w:szCs w:val="14"/>
                <w:color w:val="auto"/>
                <w:w w:val="93"/>
              </w:rPr>
              <w:t>Series D: 30,000,000 shares authorized, 14,446,227 shares issued and outstanding, actual;</w:t>
            </w:r>
          </w:p>
        </w:tc>
        <w:tc>
          <w:tcPr>
            <w:tcW w:w="2960" w:type="dxa"/>
            <w:vAlign w:val="bottom"/>
            <w:gridSpan w:val="3"/>
          </w:tcPr>
          <w:p>
            <w:pPr>
              <w:jc w:val="right"/>
              <w:ind w:right="552"/>
              <w:spacing w:after="0" w:line="159" w:lineRule="exact"/>
              <w:rPr>
                <w:sz w:val="20"/>
                <w:szCs w:val="20"/>
                <w:color w:val="auto"/>
              </w:rPr>
            </w:pPr>
            <w:r>
              <w:rPr>
                <w:rFonts w:ascii="Arial" w:cs="Arial" w:eastAsia="Arial" w:hAnsi="Arial"/>
                <w:sz w:val="14"/>
                <w:szCs w:val="14"/>
                <w:color w:val="auto"/>
                <w:w w:val="86"/>
              </w:rPr>
              <w:t>shares authorized, issued and outstanding,</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80" w:type="dxa"/>
            <w:vAlign w:val="bottom"/>
            <w:gridSpan w:val="2"/>
          </w:tcPr>
          <w:p>
            <w:pPr>
              <w:ind w:left="500"/>
              <w:spacing w:after="0"/>
              <w:rPr>
                <w:sz w:val="20"/>
                <w:szCs w:val="20"/>
                <w:color w:val="auto"/>
              </w:rPr>
            </w:pPr>
            <w:r>
              <w:rPr>
                <w:rFonts w:ascii="Arial" w:cs="Arial" w:eastAsia="Arial" w:hAnsi="Arial"/>
                <w:sz w:val="14"/>
                <w:szCs w:val="14"/>
                <w:color w:val="auto"/>
              </w:rPr>
              <w:t>pro forma, and pro forma as adjusted</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64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w w:val="91"/>
              </w:rPr>
              <w:t>Series D-2: 75,000,000 shares authorized; 63,681,176 shares issued and outstanding, actual,</w:t>
            </w:r>
          </w:p>
        </w:tc>
        <w:tc>
          <w:tcPr>
            <w:tcW w:w="2960" w:type="dxa"/>
            <w:vAlign w:val="bottom"/>
            <w:gridSpan w:val="3"/>
            <w:shd w:val="clear" w:color="auto" w:fill="CCEEFF"/>
          </w:tcPr>
          <w:p>
            <w:pPr>
              <w:jc w:val="right"/>
              <w:ind w:right="1132"/>
              <w:spacing w:after="0"/>
              <w:rPr>
                <w:sz w:val="20"/>
                <w:szCs w:val="20"/>
                <w:color w:val="auto"/>
              </w:rPr>
            </w:pPr>
            <w:r>
              <w:rPr>
                <w:rFonts w:ascii="Arial" w:cs="Arial" w:eastAsia="Arial" w:hAnsi="Arial"/>
                <w:sz w:val="14"/>
                <w:szCs w:val="14"/>
                <w:color w:val="auto"/>
                <w:w w:val="93"/>
              </w:rPr>
              <w:t>shares authorized, issued and</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w w:val="92"/>
              </w:rPr>
              <w:t>outstanding, pro forma, and pro forma as adjusted</w:t>
            </w:r>
          </w:p>
        </w:tc>
        <w:tc>
          <w:tcPr>
            <w:tcW w:w="1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020" w:type="dxa"/>
            <w:vAlign w:val="bottom"/>
            <w:gridSpan w:val="5"/>
          </w:tcPr>
          <w:p>
            <w:pPr>
              <w:ind w:left="340"/>
              <w:spacing w:after="0" w:line="159" w:lineRule="exact"/>
              <w:rPr>
                <w:sz w:val="20"/>
                <w:szCs w:val="20"/>
                <w:color w:val="auto"/>
              </w:rPr>
            </w:pPr>
            <w:r>
              <w:rPr>
                <w:rFonts w:ascii="Arial" w:cs="Arial" w:eastAsia="Arial" w:hAnsi="Arial"/>
                <w:sz w:val="14"/>
                <w:szCs w:val="14"/>
                <w:color w:val="auto"/>
                <w:w w:val="92"/>
              </w:rPr>
              <w:t>Common stock, $0.01 par value; 425,000,000 shares authorized, 36,836,099 shares issued and outstanding, actual;</w:t>
            </w:r>
          </w:p>
        </w:tc>
        <w:tc>
          <w:tcPr>
            <w:tcW w:w="1580" w:type="dxa"/>
            <w:vAlign w:val="bottom"/>
            <w:gridSpan w:val="2"/>
          </w:tcPr>
          <w:p>
            <w:pPr>
              <w:jc w:val="right"/>
              <w:ind w:right="512"/>
              <w:spacing w:after="0" w:line="159" w:lineRule="exact"/>
              <w:rPr>
                <w:sz w:val="20"/>
                <w:szCs w:val="20"/>
                <w:color w:val="auto"/>
              </w:rPr>
            </w:pPr>
            <w:r>
              <w:rPr>
                <w:rFonts w:ascii="Arial" w:cs="Arial" w:eastAsia="Arial" w:hAnsi="Arial"/>
                <w:sz w:val="14"/>
                <w:szCs w:val="14"/>
                <w:color w:val="auto"/>
                <w:w w:val="85"/>
              </w:rPr>
              <w:t>shares authorized,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80" w:type="dxa"/>
            <w:vAlign w:val="bottom"/>
            <w:gridSpan w:val="2"/>
          </w:tcPr>
          <w:p>
            <w:pPr>
              <w:ind w:left="940"/>
              <w:spacing w:after="0"/>
              <w:rPr>
                <w:sz w:val="20"/>
                <w:szCs w:val="20"/>
                <w:color w:val="auto"/>
              </w:rPr>
            </w:pPr>
            <w:r>
              <w:rPr>
                <w:rFonts w:ascii="Arial" w:cs="Arial" w:eastAsia="Arial" w:hAnsi="Arial"/>
                <w:sz w:val="14"/>
                <w:szCs w:val="14"/>
                <w:color w:val="auto"/>
                <w:w w:val="92"/>
              </w:rPr>
              <w:t>shares issued and outstanding, pro forma;</w:t>
            </w:r>
          </w:p>
        </w:tc>
        <w:tc>
          <w:tcPr>
            <w:tcW w:w="1280" w:type="dxa"/>
            <w:vAlign w:val="bottom"/>
          </w:tcPr>
          <w:p>
            <w:pPr>
              <w:ind w:left="300"/>
              <w:spacing w:after="0"/>
              <w:rPr>
                <w:sz w:val="20"/>
                <w:szCs w:val="20"/>
                <w:color w:val="auto"/>
              </w:rPr>
            </w:pPr>
            <w:r>
              <w:rPr>
                <w:rFonts w:ascii="Arial" w:cs="Arial" w:eastAsia="Arial" w:hAnsi="Arial"/>
                <w:sz w:val="14"/>
                <w:szCs w:val="14"/>
                <w:color w:val="auto"/>
                <w:w w:val="83"/>
              </w:rPr>
              <w:t>shares authorized,</w:t>
            </w:r>
          </w:p>
        </w:tc>
        <w:tc>
          <w:tcPr>
            <w:tcW w:w="3940" w:type="dxa"/>
            <w:vAlign w:val="bottom"/>
            <w:gridSpan w:val="4"/>
          </w:tcPr>
          <w:p>
            <w:pPr>
              <w:jc w:val="right"/>
              <w:ind w:right="552"/>
              <w:spacing w:after="0"/>
              <w:rPr>
                <w:sz w:val="20"/>
                <w:szCs w:val="20"/>
                <w:color w:val="auto"/>
              </w:rPr>
            </w:pPr>
            <w:r>
              <w:rPr>
                <w:rFonts w:ascii="Arial" w:cs="Arial" w:eastAsia="Arial" w:hAnsi="Arial"/>
                <w:sz w:val="14"/>
                <w:szCs w:val="14"/>
                <w:color w:val="auto"/>
                <w:w w:val="99"/>
              </w:rPr>
              <w:t>shares issued and outstanding, pro forma as adjusted</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w w:val="95"/>
              </w:rPr>
              <w:t>Treasury stock, at cost, 270,000 shares actual; and</w:t>
            </w:r>
          </w:p>
        </w:tc>
        <w:tc>
          <w:tcPr>
            <w:tcW w:w="3640" w:type="dxa"/>
            <w:vAlign w:val="bottom"/>
            <w:gridSpan w:val="3"/>
            <w:shd w:val="clear" w:color="auto" w:fill="CCEEFF"/>
          </w:tcPr>
          <w:p>
            <w:pPr>
              <w:jc w:val="right"/>
              <w:ind w:right="1072"/>
              <w:spacing w:after="0"/>
              <w:rPr>
                <w:sz w:val="20"/>
                <w:szCs w:val="20"/>
                <w:color w:val="auto"/>
              </w:rPr>
            </w:pPr>
            <w:r>
              <w:rPr>
                <w:rFonts w:ascii="Arial" w:cs="Arial" w:eastAsia="Arial" w:hAnsi="Arial"/>
                <w:sz w:val="14"/>
                <w:szCs w:val="14"/>
                <w:color w:val="auto"/>
                <w:w w:val="91"/>
              </w:rPr>
              <w:t>shares pro forma and pro forma as adjusted</w:t>
            </w: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gridSpan w:val="2"/>
          </w:tcPr>
          <w:p>
            <w:pPr>
              <w:ind w:left="340"/>
              <w:spacing w:after="0"/>
              <w:rPr>
                <w:sz w:val="20"/>
                <w:szCs w:val="20"/>
                <w:color w:val="auto"/>
              </w:rPr>
            </w:pPr>
            <w:r>
              <w:rPr>
                <w:rFonts w:ascii="Arial" w:cs="Arial" w:eastAsia="Arial" w:hAnsi="Arial"/>
                <w:sz w:val="14"/>
                <w:szCs w:val="14"/>
                <w:color w:val="auto"/>
              </w:rPr>
              <w:t>Additional paid-in capital</w:t>
            </w: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4"/>
              </w:rPr>
              <w:t>164,944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Accumulated deficit</w:t>
            </w:r>
          </w:p>
        </w:tc>
        <w:tc>
          <w:tcPr>
            <w:tcW w:w="1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86"/>
              </w:rPr>
              <w:t>(179,132)</w:t>
            </w: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340"/>
              <w:spacing w:after="0"/>
              <w:rPr>
                <w:sz w:val="20"/>
                <w:szCs w:val="20"/>
                <w:color w:val="auto"/>
              </w:rPr>
            </w:pPr>
            <w:r>
              <w:rPr>
                <w:rFonts w:ascii="Arial" w:cs="Arial" w:eastAsia="Arial" w:hAnsi="Arial"/>
                <w:sz w:val="14"/>
                <w:szCs w:val="14"/>
                <w:color w:val="auto"/>
              </w:rPr>
              <w:t>Total stockholders’ equity (deficit)</w:t>
            </w: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4"/>
                <w:szCs w:val="14"/>
                <w:color w:val="auto"/>
                <w:w w:val="99"/>
              </w:rPr>
              <w:t>(10,930)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6"/>
              </w:rPr>
              <w:t>Total capitalization</w:t>
            </w:r>
          </w:p>
        </w:tc>
        <w:tc>
          <w:tcPr>
            <w:tcW w:w="2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9"/>
              </w:rPr>
              <w:t>(10,930)</w:t>
            </w: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vMerge w:val="restart"/>
          </w:tcPr>
          <w:p>
            <w:pPr>
              <w:jc w:val="right"/>
              <w:ind w:right="1152"/>
              <w:spacing w:after="0"/>
              <w:rPr>
                <w:sz w:val="20"/>
                <w:szCs w:val="20"/>
                <w:color w:val="auto"/>
              </w:rPr>
            </w:pPr>
            <w:r>
              <w:rPr>
                <w:rFonts w:ascii="Arial" w:cs="Arial" w:eastAsia="Arial" w:hAnsi="Arial"/>
                <w:sz w:val="14"/>
                <w:szCs w:val="14"/>
                <w:color w:val="auto"/>
                <w:w w:val="89"/>
              </w:rPr>
              <w:t>48</w:t>
            </w: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1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6" w:right="2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shares of our common stock to be outstanding after this offering are based on 36,836,099 shares of our common stock outstanding as of June 30, 2013 and exclude:</w:t>
      </w:r>
    </w:p>
    <w:p>
      <w:pPr>
        <w:spacing w:after="0" w:line="186" w:lineRule="exact"/>
        <w:rPr>
          <w:sz w:val="20"/>
          <w:szCs w:val="20"/>
          <w:color w:val="auto"/>
        </w:rPr>
      </w:pPr>
    </w:p>
    <w:p>
      <w:pPr>
        <w:ind w:left="1240" w:hanging="327"/>
        <w:spacing w:after="0"/>
        <w:tabs>
          <w:tab w:leader="none" w:pos="12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51,879,146 shares of common stock issuable upon the exercise of outstanding options, as of June 30, 2013, at a weighted average exercise price of $0.05 per share;</w:t>
      </w:r>
    </w:p>
    <w:p>
      <w:pPr>
        <w:spacing w:after="0" w:line="185" w:lineRule="exact"/>
        <w:rPr>
          <w:rFonts w:ascii="Arial" w:cs="Arial" w:eastAsia="Arial" w:hAnsi="Arial"/>
          <w:sz w:val="12"/>
          <w:szCs w:val="12"/>
          <w:color w:val="auto"/>
        </w:rPr>
      </w:pPr>
    </w:p>
    <w:p>
      <w:pPr>
        <w:ind w:left="1240" w:hanging="327"/>
        <w:spacing w:after="0" w:line="351" w:lineRule="auto"/>
        <w:tabs>
          <w:tab w:leader="none" w:pos="12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5,342,394 shares of common stock reserved for future grant or issuance under our stock option plans as of June 30, 2013. For additional information regarding our capital structure, see “Management—Employee Benefit Plans,” “Description of Capital Stock” and Note 5 of the Notes to our Consolidated Financial Statements.</w:t>
      </w:r>
    </w:p>
    <w:p>
      <w:pPr>
        <w:spacing w:after="0" w:line="4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20"/>
          </w:cols>
          <w:pgMar w:left="220" w:top="386" w:right="4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DILUTION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historical net tangible book value as of June 30, 2013 was $(13.9) million, or $(0.38) per share of our common stock. Historical net tangible book value per share represents our total tangible</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2"/>
          <w:szCs w:val="12"/>
          <w:color w:val="auto"/>
        </w:rPr>
        <w:t>assets less total liabilities divided by the number of shares of our common stock outstanding. Our pro forma net tangible book value (deficit) as of June 30, 2013 was approximately $ million, or $ per share of common stock. Pro forma tangible book value per share represents our total tangible assets less total liabilities divided by the number of shares of common stock outstanding as of June 30, 2013 after giving effect to the conversion of all of our outstanding preferred stock into common stock immediately prior to the closing of this offering. After giving effect to (a) the conversion of all of our outstanding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4"/>
          </w:tcPr>
          <w:p>
            <w:pPr>
              <w:spacing w:after="0"/>
              <w:rPr>
                <w:sz w:val="20"/>
                <w:szCs w:val="20"/>
                <w:color w:val="auto"/>
              </w:rPr>
            </w:pPr>
            <w:r>
              <w:rPr>
                <w:rFonts w:ascii="Arial" w:cs="Arial" w:eastAsia="Arial" w:hAnsi="Arial"/>
                <w:sz w:val="14"/>
                <w:szCs w:val="14"/>
                <w:color w:val="auto"/>
                <w:w w:val="94"/>
              </w:rPr>
              <w:t>preferred stock into common stock immediately prior to the closing of this offering; and (b) our sale of</w:t>
            </w:r>
          </w:p>
        </w:tc>
        <w:tc>
          <w:tcPr>
            <w:tcW w:w="5560" w:type="dxa"/>
            <w:vAlign w:val="bottom"/>
            <w:gridSpan w:val="4"/>
          </w:tcPr>
          <w:p>
            <w:pPr>
              <w:jc w:val="right"/>
              <w:ind w:right="212"/>
              <w:spacing w:after="0"/>
              <w:rPr>
                <w:sz w:val="20"/>
                <w:szCs w:val="20"/>
                <w:color w:val="auto"/>
              </w:rPr>
            </w:pPr>
            <w:r>
              <w:rPr>
                <w:rFonts w:ascii="Arial" w:cs="Arial" w:eastAsia="Arial" w:hAnsi="Arial"/>
                <w:sz w:val="14"/>
                <w:szCs w:val="14"/>
                <w:color w:val="auto"/>
                <w:w w:val="89"/>
              </w:rPr>
              <w:t>shares of common stock offered by this prospectus and the receipt and application of those net</w:t>
            </w:r>
          </w:p>
        </w:tc>
      </w:tr>
      <w:tr>
        <w:trPr>
          <w:trHeight w:val="167"/>
        </w:trPr>
        <w:tc>
          <w:tcPr>
            <w:tcW w:w="5020" w:type="dxa"/>
            <w:vAlign w:val="bottom"/>
            <w:gridSpan w:val="3"/>
          </w:tcPr>
          <w:p>
            <w:pPr>
              <w:spacing w:after="0"/>
              <w:rPr>
                <w:sz w:val="20"/>
                <w:szCs w:val="20"/>
                <w:color w:val="auto"/>
              </w:rPr>
            </w:pPr>
            <w:r>
              <w:rPr>
                <w:rFonts w:ascii="Arial" w:cs="Arial" w:eastAsia="Arial" w:hAnsi="Arial"/>
                <w:sz w:val="14"/>
                <w:szCs w:val="14"/>
                <w:color w:val="auto"/>
                <w:w w:val="91"/>
              </w:rPr>
              <w:t>proceeds, our pro forma net tangible book value as of June 30, 2013 would have been $</w:t>
            </w:r>
          </w:p>
        </w:tc>
        <w:tc>
          <w:tcPr>
            <w:tcW w:w="880" w:type="dxa"/>
            <w:vAlign w:val="bottom"/>
          </w:tcPr>
          <w:p>
            <w:pPr>
              <w:ind w:left="40"/>
              <w:spacing w:after="0"/>
              <w:rPr>
                <w:sz w:val="20"/>
                <w:szCs w:val="20"/>
                <w:color w:val="auto"/>
              </w:rPr>
            </w:pPr>
            <w:r>
              <w:rPr>
                <w:rFonts w:ascii="Arial" w:cs="Arial" w:eastAsia="Arial" w:hAnsi="Arial"/>
                <w:sz w:val="14"/>
                <w:szCs w:val="14"/>
                <w:color w:val="auto"/>
              </w:rPr>
              <w:t>million, or $</w:t>
            </w:r>
          </w:p>
        </w:tc>
        <w:tc>
          <w:tcPr>
            <w:tcW w:w="5560" w:type="dxa"/>
            <w:vAlign w:val="bottom"/>
            <w:gridSpan w:val="4"/>
          </w:tcPr>
          <w:p>
            <w:pPr>
              <w:jc w:val="right"/>
              <w:ind w:right="52"/>
              <w:spacing w:after="0"/>
              <w:rPr>
                <w:sz w:val="20"/>
                <w:szCs w:val="20"/>
                <w:color w:val="auto"/>
              </w:rPr>
            </w:pPr>
            <w:r>
              <w:rPr>
                <w:rFonts w:ascii="Arial" w:cs="Arial" w:eastAsia="Arial" w:hAnsi="Arial"/>
                <w:sz w:val="14"/>
                <w:szCs w:val="14"/>
                <w:color w:val="auto"/>
                <w:w w:val="89"/>
              </w:rPr>
              <w:t>per share of common stock. This represents an immediate increase in pro forma net tangible book</w:t>
            </w:r>
          </w:p>
        </w:tc>
      </w:tr>
      <w:tr>
        <w:trPr>
          <w:trHeight w:val="173"/>
        </w:trPr>
        <w:tc>
          <w:tcPr>
            <w:tcW w:w="680" w:type="dxa"/>
            <w:vAlign w:val="bottom"/>
          </w:tcPr>
          <w:p>
            <w:pPr>
              <w:spacing w:after="0"/>
              <w:rPr>
                <w:sz w:val="20"/>
                <w:szCs w:val="20"/>
                <w:color w:val="auto"/>
              </w:rPr>
            </w:pPr>
            <w:r>
              <w:rPr>
                <w:rFonts w:ascii="Arial" w:cs="Arial" w:eastAsia="Arial" w:hAnsi="Arial"/>
                <w:sz w:val="14"/>
                <w:szCs w:val="14"/>
                <w:color w:val="auto"/>
              </w:rPr>
              <w:t>value of $</w:t>
            </w:r>
          </w:p>
        </w:tc>
        <w:tc>
          <w:tcPr>
            <w:tcW w:w="5860" w:type="dxa"/>
            <w:vAlign w:val="bottom"/>
            <w:gridSpan w:val="4"/>
          </w:tcPr>
          <w:p>
            <w:pPr>
              <w:ind w:left="180"/>
              <w:spacing w:after="0"/>
              <w:rPr>
                <w:sz w:val="20"/>
                <w:szCs w:val="20"/>
                <w:color w:val="auto"/>
              </w:rPr>
            </w:pPr>
            <w:r>
              <w:rPr>
                <w:rFonts w:ascii="Arial" w:cs="Arial" w:eastAsia="Arial" w:hAnsi="Arial"/>
                <w:sz w:val="14"/>
                <w:szCs w:val="14"/>
                <w:color w:val="auto"/>
                <w:w w:val="90"/>
              </w:rPr>
              <w:t>per share to existing stockholders and an immediate dilution in pro forma net tangible book value of $</w:t>
            </w:r>
          </w:p>
        </w:tc>
        <w:tc>
          <w:tcPr>
            <w:tcW w:w="4040" w:type="dxa"/>
            <w:vAlign w:val="bottom"/>
            <w:gridSpan w:val="2"/>
          </w:tcPr>
          <w:p>
            <w:pPr>
              <w:jc w:val="right"/>
              <w:ind w:right="332"/>
              <w:spacing w:after="0"/>
              <w:rPr>
                <w:sz w:val="20"/>
                <w:szCs w:val="20"/>
                <w:color w:val="auto"/>
              </w:rPr>
            </w:pPr>
            <w:r>
              <w:rPr>
                <w:rFonts w:ascii="Arial" w:cs="Arial" w:eastAsia="Arial" w:hAnsi="Arial"/>
                <w:sz w:val="14"/>
                <w:szCs w:val="14"/>
                <w:color w:val="auto"/>
                <w:w w:val="91"/>
              </w:rPr>
              <w:t>per share to investors purchasing common stock in this offering.</w:t>
            </w:r>
          </w:p>
        </w:tc>
        <w:tc>
          <w:tcPr>
            <w:tcW w:w="880" w:type="dxa"/>
            <w:vAlign w:val="bottom"/>
          </w:tcPr>
          <w:p>
            <w:pPr>
              <w:spacing w:after="0"/>
              <w:rPr>
                <w:sz w:val="15"/>
                <w:szCs w:val="15"/>
                <w:color w:val="auto"/>
              </w:rPr>
            </w:pPr>
          </w:p>
        </w:tc>
      </w:tr>
      <w:tr>
        <w:trPr>
          <w:trHeight w:val="293"/>
        </w:trPr>
        <w:tc>
          <w:tcPr>
            <w:tcW w:w="680" w:type="dxa"/>
            <w:vAlign w:val="bottom"/>
          </w:tcPr>
          <w:p>
            <w:pPr>
              <w:spacing w:after="0"/>
              <w:rPr>
                <w:sz w:val="24"/>
                <w:szCs w:val="2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auto"/>
              </w:rPr>
              <w:t>The following table illustrates this per share dilution:</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9"/>
        </w:trPr>
        <w:tc>
          <w:tcPr>
            <w:tcW w:w="44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7"/>
        </w:trPr>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r>
      <w:tr>
        <w:trPr>
          <w:trHeight w:val="167"/>
        </w:trPr>
        <w:tc>
          <w:tcPr>
            <w:tcW w:w="4440" w:type="dxa"/>
            <w:vAlign w:val="bottom"/>
            <w:gridSpan w:val="2"/>
          </w:tcPr>
          <w:p>
            <w:pPr>
              <w:ind w:left="340"/>
              <w:spacing w:after="0"/>
              <w:rPr>
                <w:sz w:val="20"/>
                <w:szCs w:val="20"/>
                <w:color w:val="auto"/>
              </w:rPr>
            </w:pPr>
            <w:r>
              <w:rPr>
                <w:rFonts w:ascii="Arial" w:cs="Arial" w:eastAsia="Arial" w:hAnsi="Arial"/>
                <w:sz w:val="14"/>
                <w:szCs w:val="14"/>
                <w:color w:val="auto"/>
              </w:rPr>
              <w:t>Historical net tangible book value per share as of June 30, 2013</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20" w:type="dxa"/>
            <w:vAlign w:val="bottom"/>
          </w:tcPr>
          <w:p>
            <w:pPr>
              <w:jc w:val="right"/>
              <w:ind w:right="92"/>
              <w:spacing w:after="0"/>
              <w:rPr>
                <w:sz w:val="20"/>
                <w:szCs w:val="20"/>
                <w:color w:val="auto"/>
              </w:rPr>
            </w:pPr>
            <w:r>
              <w:rPr>
                <w:rFonts w:ascii="Arial" w:cs="Arial" w:eastAsia="Arial" w:hAnsi="Arial"/>
                <w:sz w:val="14"/>
                <w:szCs w:val="14"/>
                <w:color w:val="auto"/>
              </w:rPr>
              <w:t>$ (0.38)</w:t>
            </w:r>
          </w:p>
        </w:tc>
        <w:tc>
          <w:tcPr>
            <w:tcW w:w="880" w:type="dxa"/>
            <w:vAlign w:val="bottom"/>
          </w:tcPr>
          <w:p>
            <w:pPr>
              <w:spacing w:after="0"/>
              <w:rPr>
                <w:sz w:val="14"/>
                <w:szCs w:val="14"/>
                <w:color w:val="auto"/>
              </w:rPr>
            </w:pPr>
          </w:p>
        </w:tc>
      </w:tr>
      <w:tr>
        <w:trPr>
          <w:trHeight w:val="167"/>
        </w:trPr>
        <w:tc>
          <w:tcPr>
            <w:tcW w:w="4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w w:val="94"/>
              </w:rPr>
              <w:t>Decrease attributable to the conversion of outstanding preferred stock</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7"/>
        </w:trPr>
        <w:tc>
          <w:tcPr>
            <w:tcW w:w="4440" w:type="dxa"/>
            <w:vAlign w:val="bottom"/>
            <w:gridSpan w:val="2"/>
          </w:tcPr>
          <w:p>
            <w:pPr>
              <w:ind w:left="340"/>
              <w:spacing w:after="0"/>
              <w:rPr>
                <w:sz w:val="20"/>
                <w:szCs w:val="20"/>
                <w:color w:val="auto"/>
              </w:rPr>
            </w:pPr>
            <w:r>
              <w:rPr>
                <w:rFonts w:ascii="Arial" w:cs="Arial" w:eastAsia="Arial" w:hAnsi="Arial"/>
                <w:sz w:val="14"/>
                <w:szCs w:val="14"/>
                <w:color w:val="auto"/>
              </w:rPr>
              <w:t>Pro forma net tangible book value per share as of June 30, 2013</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w w:val="89"/>
              </w:rPr>
              <w:t>Increase in net tangible book value per share attributable to new investors</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color w:val="auto"/>
              </w:rPr>
              <w:t>Pro forma net tangible book value per share after this offering</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Dilution per share to new investors</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r>
      <w:tr>
        <w:trPr>
          <w:trHeight w:val="285"/>
        </w:trPr>
        <w:tc>
          <w:tcPr>
            <w:tcW w:w="680" w:type="dxa"/>
            <w:vAlign w:val="bottom"/>
          </w:tcPr>
          <w:p>
            <w:pPr>
              <w:spacing w:after="0"/>
              <w:rPr>
                <w:sz w:val="24"/>
                <w:szCs w:val="24"/>
                <w:color w:val="auto"/>
              </w:rPr>
            </w:pPr>
          </w:p>
        </w:tc>
        <w:tc>
          <w:tcPr>
            <w:tcW w:w="4340" w:type="dxa"/>
            <w:vAlign w:val="bottom"/>
            <w:gridSpan w:val="2"/>
          </w:tcPr>
          <w:p>
            <w:pPr>
              <w:ind w:left="120"/>
              <w:spacing w:after="0"/>
              <w:rPr>
                <w:sz w:val="20"/>
                <w:szCs w:val="20"/>
                <w:color w:val="auto"/>
              </w:rPr>
            </w:pPr>
            <w:r>
              <w:rPr>
                <w:rFonts w:ascii="Arial" w:cs="Arial" w:eastAsia="Arial" w:hAnsi="Arial"/>
                <w:sz w:val="14"/>
                <w:szCs w:val="14"/>
                <w:color w:val="auto"/>
                <w:w w:val="89"/>
              </w:rPr>
              <w:t>A $1.00 increase or decrease in the assumed initial public offering price of $</w:t>
            </w:r>
          </w:p>
        </w:tc>
        <w:tc>
          <w:tcPr>
            <w:tcW w:w="5560" w:type="dxa"/>
            <w:vAlign w:val="bottom"/>
            <w:gridSpan w:val="4"/>
          </w:tcPr>
          <w:p>
            <w:pPr>
              <w:jc w:val="right"/>
              <w:ind w:right="72"/>
              <w:spacing w:after="0"/>
              <w:rPr>
                <w:sz w:val="20"/>
                <w:szCs w:val="20"/>
                <w:color w:val="auto"/>
              </w:rPr>
            </w:pPr>
            <w:r>
              <w:rPr>
                <w:rFonts w:ascii="Arial" w:cs="Arial" w:eastAsia="Arial" w:hAnsi="Arial"/>
                <w:sz w:val="14"/>
                <w:szCs w:val="14"/>
                <w:color w:val="auto"/>
                <w:w w:val="91"/>
              </w:rPr>
              <w:t>per share would increase or decrease our pro forma net tangible book value by approximately $</w:t>
            </w: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 our pro</w:t>
            </w: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color w:val="auto"/>
                <w:w w:val="92"/>
              </w:rPr>
              <w:t>forma net tangible book value per share after this offering by approximately $</w:t>
            </w:r>
          </w:p>
        </w:tc>
        <w:tc>
          <w:tcPr>
            <w:tcW w:w="3420" w:type="dxa"/>
            <w:vAlign w:val="bottom"/>
            <w:gridSpan w:val="4"/>
          </w:tcPr>
          <w:p>
            <w:pPr>
              <w:ind w:left="100"/>
              <w:spacing w:after="0"/>
              <w:rPr>
                <w:sz w:val="20"/>
                <w:szCs w:val="20"/>
                <w:color w:val="auto"/>
              </w:rPr>
            </w:pPr>
            <w:r>
              <w:rPr>
                <w:rFonts w:ascii="Arial" w:cs="Arial" w:eastAsia="Arial" w:hAnsi="Arial"/>
                <w:sz w:val="14"/>
                <w:szCs w:val="14"/>
                <w:color w:val="auto"/>
                <w:w w:val="91"/>
              </w:rPr>
              <w:t>and dilution per share to new investors by approximately $</w:t>
            </w:r>
          </w:p>
        </w:tc>
        <w:tc>
          <w:tcPr>
            <w:tcW w:w="3600" w:type="dxa"/>
            <w:vAlign w:val="bottom"/>
            <w:gridSpan w:val="2"/>
          </w:tcPr>
          <w:p>
            <w:pPr>
              <w:jc w:val="right"/>
              <w:spacing w:after="0"/>
              <w:rPr>
                <w:sz w:val="20"/>
                <w:szCs w:val="20"/>
                <w:color w:val="auto"/>
              </w:rPr>
            </w:pPr>
            <w:r>
              <w:rPr>
                <w:rFonts w:ascii="Arial" w:cs="Arial" w:eastAsia="Arial" w:hAnsi="Arial"/>
                <w:sz w:val="14"/>
                <w:szCs w:val="14"/>
                <w:color w:val="auto"/>
                <w:w w:val="89"/>
              </w:rPr>
              <w:t>, assuming that the number of shares offered by us, as set forth</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color w:val="auto"/>
              </w:rPr>
              <w:t>on the cover page of this prospectus, remains the same.</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20"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following table summarizes on a pro forma basis as of June 30, 2013, the difference between the number of shares of common stock purchased from us, the total consideration paid and the</w:t>
      </w:r>
    </w:p>
    <w:p>
      <w:pPr>
        <w:spacing w:after="0" w:line="35"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average price per share paid by existing stockholders and by new investors, assuming an initial public offering price of $ per share, the midpoint of the price range set forth on the cover page of this prospectus, and before deducting estimated underwriting discounts and commissions and estimated offering expenses payable by 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Average Price</w:t>
            </w:r>
          </w:p>
        </w:tc>
      </w:tr>
      <w:tr>
        <w:trPr>
          <w:trHeight w:val="126"/>
        </w:trPr>
        <w:tc>
          <w:tcPr>
            <w:tcW w:w="5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1"/>
              </w:rPr>
              <w:t>Shares Purchased</w:t>
            </w:r>
          </w:p>
        </w:tc>
        <w:tc>
          <w:tcPr>
            <w:tcW w:w="880" w:type="dxa"/>
            <w:vAlign w:val="bottom"/>
            <w:gridSpan w:val="3"/>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Consideration</w:t>
            </w: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per Share</w:t>
            </w:r>
          </w:p>
        </w:tc>
        <w:tc>
          <w:tcPr>
            <w:tcW w:w="60" w:type="dxa"/>
            <w:vAlign w:val="bottom"/>
          </w:tcPr>
          <w:p>
            <w:pPr>
              <w:spacing w:after="0"/>
              <w:rPr>
                <w:sz w:val="10"/>
                <w:szCs w:val="10"/>
                <w:color w:val="auto"/>
              </w:rPr>
            </w:pPr>
          </w:p>
        </w:tc>
      </w:tr>
      <w:tr>
        <w:trPr>
          <w:trHeight w:val="179"/>
        </w:trPr>
        <w:tc>
          <w:tcPr>
            <w:tcW w:w="5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95"/>
              </w:rPr>
              <w:t>Number</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w w:val="87"/>
              </w:rPr>
              <w:t>Percent</w:t>
            </w:r>
          </w:p>
        </w:tc>
        <w:tc>
          <w:tcPr>
            <w:tcW w:w="1000" w:type="dxa"/>
            <w:vAlign w:val="bottom"/>
            <w:gridSpan w:val="4"/>
          </w:tcPr>
          <w:p>
            <w:pPr>
              <w:ind w:left="20"/>
              <w:spacing w:after="0"/>
              <w:rPr>
                <w:sz w:val="20"/>
                <w:szCs w:val="20"/>
                <w:color w:val="auto"/>
              </w:rPr>
            </w:pPr>
            <w:r>
              <w:rPr>
                <w:rFonts w:ascii="Arial" w:cs="Arial" w:eastAsia="Arial" w:hAnsi="Arial"/>
                <w:sz w:val="10"/>
                <w:szCs w:val="10"/>
                <w:b w:val="1"/>
                <w:bCs w:val="1"/>
                <w:color w:val="auto"/>
              </w:rPr>
              <w:t>Amount</w:t>
            </w:r>
          </w:p>
        </w:tc>
        <w:tc>
          <w:tcPr>
            <w:tcW w:w="740" w:type="dxa"/>
            <w:vAlign w:val="bottom"/>
            <w:gridSpan w:val="3"/>
          </w:tcPr>
          <w:p>
            <w:pPr>
              <w:jc w:val="right"/>
              <w:ind w:right="332"/>
              <w:spacing w:after="0"/>
              <w:rPr>
                <w:sz w:val="20"/>
                <w:szCs w:val="20"/>
                <w:color w:val="auto"/>
              </w:rPr>
            </w:pPr>
            <w:r>
              <w:rPr>
                <w:rFonts w:ascii="Arial" w:cs="Arial" w:eastAsia="Arial" w:hAnsi="Arial"/>
                <w:sz w:val="10"/>
                <w:szCs w:val="10"/>
                <w:b w:val="1"/>
                <w:bCs w:val="1"/>
                <w:color w:val="auto"/>
                <w:w w:val="87"/>
              </w:rPr>
              <w:t>Percent</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54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Existing stockholders</w:t>
            </w: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gridSpan w:val="3"/>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spacing w:after="0"/>
              <w:rPr>
                <w:sz w:val="13"/>
                <w:szCs w:val="13"/>
                <w:color w:val="auto"/>
              </w:rPr>
            </w:pPr>
          </w:p>
        </w:tc>
        <w:tc>
          <w:tcPr>
            <w:tcW w:w="680" w:type="dxa"/>
            <w:vAlign w:val="bottom"/>
            <w:gridSpan w:val="2"/>
            <w:shd w:val="clear" w:color="auto" w:fill="CCEEFF"/>
          </w:tcPr>
          <w:p>
            <w:pPr>
              <w:jc w:val="right"/>
              <w:ind w:right="540"/>
              <w:spacing w:after="0" w:line="157" w:lineRule="exact"/>
              <w:rPr>
                <w:sz w:val="20"/>
                <w:szCs w:val="20"/>
                <w:color w:val="auto"/>
              </w:rPr>
            </w:pPr>
            <w:r>
              <w:rPr>
                <w:rFonts w:ascii="Arial" w:cs="Arial" w:eastAsia="Arial" w:hAnsi="Arial"/>
                <w:sz w:val="14"/>
                <w:szCs w:val="14"/>
                <w:color w:val="auto"/>
                <w:w w:val="96"/>
              </w:rPr>
              <w:t>%</w:t>
            </w:r>
          </w:p>
        </w:tc>
        <w:tc>
          <w:tcPr>
            <w:tcW w:w="34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spacing w:after="0"/>
              <w:rPr>
                <w:sz w:val="13"/>
                <w:szCs w:val="13"/>
                <w:color w:val="auto"/>
              </w:rPr>
            </w:pPr>
          </w:p>
        </w:tc>
        <w:tc>
          <w:tcPr>
            <w:tcW w:w="400" w:type="dxa"/>
            <w:vAlign w:val="bottom"/>
            <w:shd w:val="clear" w:color="auto" w:fill="CCEEFF"/>
          </w:tcPr>
          <w:p>
            <w:pPr>
              <w:jc w:val="right"/>
              <w:ind w:right="212"/>
              <w:spacing w:after="0" w:line="157" w:lineRule="exact"/>
              <w:rPr>
                <w:sz w:val="20"/>
                <w:szCs w:val="20"/>
                <w:color w:val="auto"/>
              </w:rPr>
            </w:pPr>
            <w:r>
              <w:rPr>
                <w:rFonts w:ascii="Arial" w:cs="Arial" w:eastAsia="Arial" w:hAnsi="Arial"/>
                <w:sz w:val="14"/>
                <w:szCs w:val="14"/>
                <w:color w:val="auto"/>
                <w:w w:val="79"/>
              </w:rPr>
              <w:t>%</w:t>
            </w:r>
          </w:p>
        </w:tc>
        <w:tc>
          <w:tcPr>
            <w:tcW w:w="26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43"/>
              <w:spacing w:after="0" w:line="157"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3"/>
                <w:szCs w:val="13"/>
                <w:color w:val="auto"/>
              </w:rPr>
            </w:pPr>
          </w:p>
        </w:tc>
      </w:tr>
      <w:tr>
        <w:trPr>
          <w:trHeight w:val="168"/>
        </w:trPr>
        <w:tc>
          <w:tcPr>
            <w:tcW w:w="5400" w:type="dxa"/>
            <w:vAlign w:val="bottom"/>
          </w:tcPr>
          <w:p>
            <w:pPr>
              <w:spacing w:after="0"/>
              <w:rPr>
                <w:sz w:val="20"/>
                <w:szCs w:val="20"/>
                <w:color w:val="auto"/>
              </w:rPr>
            </w:pPr>
            <w:r>
              <w:rPr>
                <w:rFonts w:ascii="Arial" w:cs="Arial" w:eastAsia="Arial" w:hAnsi="Arial"/>
                <w:sz w:val="14"/>
                <w:szCs w:val="14"/>
                <w:color w:val="auto"/>
              </w:rPr>
              <w:t>New investors</w:t>
            </w:r>
          </w:p>
        </w:tc>
        <w:tc>
          <w:tcPr>
            <w:tcW w:w="1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1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540"/>
              <w:spacing w:after="0"/>
              <w:rPr>
                <w:sz w:val="20"/>
                <w:szCs w:val="20"/>
                <w:color w:val="auto"/>
              </w:rPr>
            </w:pPr>
            <w:r>
              <w:rPr>
                <w:rFonts w:ascii="Arial" w:cs="Arial" w:eastAsia="Arial" w:hAnsi="Arial"/>
                <w:sz w:val="14"/>
                <w:szCs w:val="14"/>
                <w:color w:val="auto"/>
              </w:rPr>
              <w:t>100%</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12"/>
              <w:spacing w:after="0"/>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EEFF"/>
          </w:tcPr>
          <w:p>
            <w:pPr>
              <w:jc w:val="right"/>
              <w:ind w:right="543"/>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r>
      <w:tr>
        <w:trPr>
          <w:trHeight w:val="267"/>
        </w:trPr>
        <w:tc>
          <w:tcPr>
            <w:tcW w:w="5400" w:type="dxa"/>
            <w:vAlign w:val="bottom"/>
          </w:tcPr>
          <w:p>
            <w:pPr>
              <w:ind w:left="800"/>
              <w:spacing w:after="0"/>
              <w:rPr>
                <w:sz w:val="20"/>
                <w:szCs w:val="20"/>
                <w:color w:val="auto"/>
              </w:rPr>
            </w:pPr>
            <w:r>
              <w:rPr>
                <w:rFonts w:ascii="Arial" w:cs="Arial" w:eastAsia="Arial" w:hAnsi="Arial"/>
                <w:sz w:val="14"/>
                <w:szCs w:val="14"/>
                <w:color w:val="auto"/>
                <w:w w:val="90"/>
              </w:rPr>
              <w:t>The table above is based on shares outstanding as of June 30, 2013 and includes</w:t>
            </w:r>
          </w:p>
        </w:tc>
        <w:tc>
          <w:tcPr>
            <w:tcW w:w="6060" w:type="dxa"/>
            <w:vAlign w:val="bottom"/>
            <w:gridSpan w:val="21"/>
          </w:tcPr>
          <w:p>
            <w:pPr>
              <w:ind w:left="240"/>
              <w:spacing w:after="0"/>
              <w:rPr>
                <w:sz w:val="20"/>
                <w:szCs w:val="20"/>
                <w:color w:val="auto"/>
              </w:rPr>
            </w:pPr>
            <w:r>
              <w:rPr>
                <w:rFonts w:ascii="Arial" w:cs="Arial" w:eastAsia="Arial" w:hAnsi="Arial"/>
                <w:sz w:val="14"/>
                <w:szCs w:val="14"/>
                <w:color w:val="auto"/>
                <w:w w:val="87"/>
              </w:rPr>
              <w:t>additional shares of our common stock issuable upon the automatic conversion of all outstanding shares of</w:t>
            </w:r>
          </w:p>
        </w:tc>
      </w:tr>
      <w:tr>
        <w:trPr>
          <w:trHeight w:val="173"/>
        </w:trPr>
        <w:tc>
          <w:tcPr>
            <w:tcW w:w="5400" w:type="dxa"/>
            <w:vAlign w:val="bottom"/>
          </w:tcPr>
          <w:p>
            <w:pPr>
              <w:spacing w:after="0"/>
              <w:rPr>
                <w:sz w:val="20"/>
                <w:szCs w:val="20"/>
                <w:color w:val="auto"/>
              </w:rPr>
            </w:pPr>
            <w:r>
              <w:rPr>
                <w:rFonts w:ascii="Arial" w:cs="Arial" w:eastAsia="Arial" w:hAnsi="Arial"/>
                <w:sz w:val="14"/>
                <w:szCs w:val="14"/>
                <w:color w:val="auto"/>
              </w:rPr>
              <w:t>our preferred stock into shares of common stock upon the closing of this offering.</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12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 above excludes:</w:t>
      </w:r>
    </w:p>
    <w:p>
      <w:pPr>
        <w:spacing w:after="0" w:line="163" w:lineRule="exact"/>
        <w:rPr>
          <w:sz w:val="20"/>
          <w:szCs w:val="20"/>
          <w:color w:val="auto"/>
        </w:rPr>
      </w:pPr>
    </w:p>
    <w:p>
      <w:pPr>
        <w:ind w:left="5660" w:right="660" w:hanging="4747"/>
        <w:spacing w:after="0" w:line="438" w:lineRule="auto"/>
        <w:tabs>
          <w:tab w:leader="none" w:pos="1230" w:val="left"/>
        </w:tabs>
        <w:numPr>
          <w:ilvl w:val="0"/>
          <w:numId w:val="46"/>
        </w:numPr>
        <w:rPr>
          <w:rFonts w:ascii="Arial" w:cs="Arial" w:eastAsia="Arial" w:hAnsi="Arial"/>
          <w:sz w:val="14"/>
          <w:szCs w:val="14"/>
          <w:color w:val="auto"/>
        </w:rPr>
      </w:pPr>
      <w:r>
        <w:rPr>
          <w:rFonts w:ascii="Arial" w:cs="Arial" w:eastAsia="Arial" w:hAnsi="Arial"/>
          <w:sz w:val="14"/>
          <w:szCs w:val="14"/>
          <w:color w:val="auto"/>
        </w:rPr>
        <w:t>51,879,146 shares of our common stock issuable upon the exercise of stock options outstanding as of June 30, 2013 at a weighted average exercise price of $0.05 per share; and 50</w:t>
      </w:r>
    </w:p>
    <w:p>
      <w:pPr>
        <w:sectPr>
          <w:pgSz w:w="11900" w:h="16838" w:orient="portrait"/>
          <w:cols w:equalWidth="0" w:num="1">
            <w:col w:w="11460"/>
          </w:cols>
          <w:pgMar w:left="220" w:top="386" w:right="2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line="267" w:lineRule="auto"/>
        <w:tabs>
          <w:tab w:leader="none" w:pos="12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5,342,394 shares of our common stock reserved for future grant or issuance under our stock option plans as of June 30, 2013. For additional information regarding our capital structure, see “Management—Employee Benefit Plans” and Note 5 of the Notes to our Consolidated Financial Statements.</w:t>
      </w:r>
    </w:p>
    <w:p>
      <w:pPr>
        <w:spacing w:after="0" w:line="101" w:lineRule="exact"/>
        <w:rPr>
          <w:sz w:val="20"/>
          <w:szCs w:val="20"/>
          <w:color w:val="auto"/>
        </w:rPr>
      </w:pPr>
    </w:p>
    <w:p>
      <w:pPr>
        <w:ind w:right="120" w:firstLine="802"/>
        <w:spacing w:after="0" w:line="295" w:lineRule="auto"/>
        <w:rPr>
          <w:sz w:val="20"/>
          <w:szCs w:val="20"/>
          <w:color w:val="auto"/>
        </w:rPr>
      </w:pPr>
      <w:r>
        <w:rPr>
          <w:rFonts w:ascii="Arial" w:cs="Arial" w:eastAsia="Arial" w:hAnsi="Arial"/>
          <w:sz w:val="12"/>
          <w:szCs w:val="12"/>
          <w:color w:val="auto"/>
        </w:rPr>
        <w:t>The foregoing discussion and tables assume no exercise of any stock options outstanding as of June 30, 2013. To the extent that these options are exercised, new investors will experience further dilution. As of June 30, 2013, options to purchase 51,879,146 shares of common stock were outstanding at a weighted average exercise price of $0.05 per share. Assuming all of our outstanding options are</w:t>
      </w:r>
    </w:p>
    <w:p>
      <w:pPr>
        <w:spacing w:after="0" w:line="1" w:lineRule="exact"/>
        <w:rPr>
          <w:sz w:val="20"/>
          <w:szCs w:val="20"/>
          <w:color w:val="auto"/>
        </w:rPr>
      </w:pPr>
    </w:p>
    <w:p>
      <w:pPr>
        <w:spacing w:after="0"/>
        <w:tabs>
          <w:tab w:leader="none" w:pos="2960" w:val="left"/>
          <w:tab w:leader="none" w:pos="6620" w:val="left"/>
        </w:tabs>
        <w:rPr>
          <w:sz w:val="20"/>
          <w:szCs w:val="20"/>
          <w:color w:val="auto"/>
        </w:rPr>
      </w:pPr>
      <w:r>
        <w:rPr>
          <w:rFonts w:ascii="Arial" w:cs="Arial" w:eastAsia="Arial" w:hAnsi="Arial"/>
          <w:sz w:val="14"/>
          <w:szCs w:val="14"/>
          <w:color w:val="auto"/>
        </w:rPr>
        <w:t>exercised, new investors will own approximately</w:t>
      </w:r>
      <w:r>
        <w:rPr>
          <w:sz w:val="20"/>
          <w:szCs w:val="20"/>
          <w:color w:val="auto"/>
        </w:rPr>
        <w:tab/>
      </w:r>
      <w:r>
        <w:rPr>
          <w:rFonts w:ascii="Arial" w:cs="Arial" w:eastAsia="Arial" w:hAnsi="Arial"/>
          <w:sz w:val="14"/>
          <w:szCs w:val="14"/>
          <w:color w:val="auto"/>
        </w:rPr>
        <w:t>% of our outstanding shares while contributing approximately</w:t>
      </w:r>
      <w:r>
        <w:rPr>
          <w:sz w:val="20"/>
          <w:szCs w:val="20"/>
          <w:color w:val="auto"/>
        </w:rPr>
        <w:tab/>
      </w:r>
      <w:r>
        <w:rPr>
          <w:rFonts w:ascii="Arial" w:cs="Arial" w:eastAsia="Arial" w:hAnsi="Arial"/>
          <w:sz w:val="12"/>
          <w:szCs w:val="12"/>
          <w:color w:val="auto"/>
        </w:rPr>
        <w:t>% of the total amount paid to fund our company.</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If the underwriters exercise their option to purchase additional shares in full, the following will occur:</w:t>
      </w:r>
    </w:p>
    <w:p>
      <w:pPr>
        <w:sectPr>
          <w:pgSz w:w="11900" w:h="16838" w:orient="portrait"/>
          <w:cols w:equalWidth="0" w:num="1">
            <w:col w:w="11440"/>
          </w:cols>
          <w:pgMar w:left="220" w:top="387" w:right="239" w:bottom="1440" w:gutter="0" w:footer="0" w:header="0"/>
        </w:sectPr>
      </w:pPr>
    </w:p>
    <w:p>
      <w:pPr>
        <w:spacing w:after="0" w:line="16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percentage of shares of our common stock held by existing stockholders will decrease to approximately offering; and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 of the total number of shares of our common stock outstanding after this</w:t>
      </w:r>
    </w:p>
    <w:p>
      <w:pPr>
        <w:spacing w:after="0" w:line="353" w:lineRule="exact"/>
        <w:rPr>
          <w:sz w:val="20"/>
          <w:szCs w:val="20"/>
          <w:color w:val="auto"/>
        </w:rPr>
      </w:pPr>
    </w:p>
    <w:p>
      <w:pPr>
        <w:sectPr>
          <w:pgSz w:w="11900" w:h="16838" w:orient="portrait"/>
          <w:cols w:equalWidth="0" w:num="3">
            <w:col w:w="960" w:space="280"/>
            <w:col w:w="5820" w:space="300"/>
            <w:col w:w="4080"/>
          </w:cols>
          <w:pgMar w:left="220" w:top="387" w:right="239" w:bottom="1440" w:gutter="0" w:footer="0" w:header="0"/>
          <w:type w:val="continuous"/>
        </w:sectPr>
      </w:pPr>
    </w:p>
    <w:p>
      <w:pPr>
        <w:ind w:left="9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4"/>
          <w:szCs w:val="14"/>
          <w:color w:val="auto"/>
        </w:rPr>
        <w:t>the number of shares of our common stock held by new investors will increase to approximately offering.</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Arial" w:cs="Arial" w:eastAsia="Arial" w:hAnsi="Arial"/>
          <w:sz w:val="12"/>
          <w:szCs w:val="12"/>
          <w:color w:val="auto"/>
        </w:rPr>
        <w:t>% of the total number of shares of our common stock outstanding after this</w:t>
      </w:r>
    </w:p>
    <w:p>
      <w:pPr>
        <w:spacing w:after="0" w:line="311" w:lineRule="exact"/>
        <w:rPr>
          <w:sz w:val="20"/>
          <w:szCs w:val="20"/>
          <w:color w:val="auto"/>
        </w:rPr>
      </w:pPr>
    </w:p>
    <w:p>
      <w:pPr>
        <w:sectPr>
          <w:pgSz w:w="11900" w:h="16838" w:orient="portrait"/>
          <w:cols w:equalWidth="0" w:num="3">
            <w:col w:w="960" w:space="280"/>
            <w:col w:w="5220" w:space="440"/>
            <w:col w:w="4540"/>
          </w:cols>
          <w:pgMar w:left="220" w:top="387"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40"/>
          </w:cols>
          <w:pgMar w:left="220" w:top="387" w:right="23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FINANCIAL DATA</w:t>
      </w:r>
    </w:p>
    <w:p>
      <w:pPr>
        <w:spacing w:after="0" w:line="134"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The consolidated statements of operations and comprehensive income (loss) data for the years ended December 31, 2012 and 2011 and the consolidated balance sheet data as of December 31, 2012 included in this prospectus have been derived from our audited consolidated financial statements and footnotes included elsewhere in this prospectus. The following selected consolidated statements of operations and comprehensive income (loss) data for the six months ended June 30, 2012 and 2013 and the balance sheet data as of June 30, 2013 have been derived from our unaudited consolidated financial statements and footnotes included elsewhere in this prospectus. The unaudited consolidated financial statements have been prepared on a basis consistent with our audited consolidated financial statements and, in the opinion of management, include all adjustments, consisting only of normal recurring adjustments, which management considers necessary for the fair presentation of the information for the unaudited periods. Historical results are not necessarily indicative of future results, and our interim period results are not necessarily indicative of results to be expected for a full year or any other interim period. The following data should be read in conjunction with “Management’s Discussion and Analysis of Financial Condition and Results of Operations” and the consolidated financial statements and related notes included elsewhere in this prospectus.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60" w:type="dxa"/>
            <w:vAlign w:val="bottom"/>
            <w:gridSpan w:val="8"/>
          </w:tcPr>
          <w:p>
            <w:pPr>
              <w:jc w:val="right"/>
              <w:ind w:right="1460"/>
              <w:spacing w:after="0"/>
              <w:rPr>
                <w:sz w:val="20"/>
                <w:szCs w:val="20"/>
                <w:color w:val="auto"/>
              </w:rPr>
            </w:pPr>
            <w:r>
              <w:rPr>
                <w:rFonts w:ascii="Arial" w:cs="Arial" w:eastAsia="Arial" w:hAnsi="Arial"/>
                <w:sz w:val="10"/>
                <w:szCs w:val="10"/>
                <w:b w:val="1"/>
                <w:bCs w:val="1"/>
                <w:color w:val="auto"/>
                <w:w w:val="96"/>
              </w:rPr>
              <w:t>Year Ended 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9"/>
          </w:tcPr>
          <w:p>
            <w:pPr>
              <w:jc w:val="right"/>
              <w:ind w:right="660"/>
              <w:spacing w:after="0"/>
              <w:rPr>
                <w:sz w:val="20"/>
                <w:szCs w:val="20"/>
                <w:color w:val="auto"/>
              </w:rPr>
            </w:pPr>
            <w:r>
              <w:rPr>
                <w:rFonts w:ascii="Arial" w:cs="Arial" w:eastAsia="Arial" w:hAnsi="Arial"/>
                <w:sz w:val="10"/>
                <w:szCs w:val="10"/>
                <w:b w:val="1"/>
                <w:bCs w:val="1"/>
                <w:color w:val="auto"/>
                <w:w w:val="95"/>
              </w:rPr>
              <w:t>Six Months Ended June 30,</w:t>
            </w:r>
          </w:p>
        </w:tc>
        <w:tc>
          <w:tcPr>
            <w:tcW w:w="0" w:type="dxa"/>
            <w:vAlign w:val="bottom"/>
          </w:tcPr>
          <w:p>
            <w:pPr>
              <w:spacing w:after="0"/>
              <w:rPr>
                <w:sz w:val="1"/>
                <w:szCs w:val="1"/>
                <w:color w:val="auto"/>
              </w:rPr>
            </w:pPr>
          </w:p>
        </w:tc>
      </w:tr>
      <w:tr>
        <w:trPr>
          <w:trHeight w:val="105"/>
        </w:trPr>
        <w:tc>
          <w:tcPr>
            <w:tcW w:w="4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0"/>
              </w:rPr>
              <w:t>2011</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bottom w:val="single" w:sz="8" w:color="auto"/>
            </w:tcBorders>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(unaudited)</w:t>
            </w:r>
          </w:p>
        </w:tc>
        <w:tc>
          <w:tcPr>
            <w:tcW w:w="1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2013</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11"/>
            <w:vMerge w:val="restart"/>
          </w:tcPr>
          <w:p>
            <w:pPr>
              <w:jc w:val="right"/>
              <w:ind w:right="200"/>
              <w:spacing w:after="0"/>
              <w:rPr>
                <w:sz w:val="20"/>
                <w:szCs w:val="20"/>
                <w:color w:val="auto"/>
              </w:rPr>
            </w:pPr>
            <w:r>
              <w:rPr>
                <w:rFonts w:ascii="Arial" w:cs="Arial" w:eastAsia="Arial" w:hAnsi="Arial"/>
                <w:sz w:val="10"/>
                <w:szCs w:val="10"/>
                <w:b w:val="1"/>
                <w:bCs w:val="1"/>
                <w:color w:val="auto"/>
                <w:w w:val="96"/>
              </w:rPr>
              <w:t>(in thousands, except share and per share data)</w:t>
            </w: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11"/>
            <w:vMerge w:val="continue"/>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9"/>
              </w:rPr>
              <w:t>Consolidated Statements of Operations and Comprehensive Income (loss):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Pr>
          <w:p>
            <w:pPr>
              <w:spacing w:after="0"/>
              <w:rPr>
                <w:sz w:val="20"/>
                <w:szCs w:val="20"/>
                <w:color w:val="auto"/>
              </w:rPr>
            </w:pPr>
            <w:r>
              <w:rPr>
                <w:rFonts w:ascii="Arial" w:cs="Arial" w:eastAsia="Arial" w:hAnsi="Arial"/>
                <w:sz w:val="14"/>
                <w:szCs w:val="14"/>
                <w:color w:val="auto"/>
              </w:rPr>
              <w:t>Total revenues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5"/>
          </w:tcPr>
          <w:p>
            <w:pPr>
              <w:jc w:val="right"/>
              <w:ind w:right="860"/>
              <w:spacing w:after="0"/>
              <w:rPr>
                <w:sz w:val="20"/>
                <w:szCs w:val="20"/>
                <w:color w:val="auto"/>
              </w:rPr>
            </w:pPr>
            <w:r>
              <w:rPr>
                <w:rFonts w:ascii="Arial" w:cs="Arial" w:eastAsia="Arial" w:hAnsi="Arial"/>
                <w:sz w:val="14"/>
                <w:szCs w:val="14"/>
                <w:color w:val="auto"/>
              </w:rPr>
              <w:t>57,207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rPr>
              <w:t>63,826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100"/>
              <w:spacing w:after="0"/>
              <w:rPr>
                <w:sz w:val="20"/>
                <w:szCs w:val="20"/>
                <w:color w:val="auto"/>
              </w:rPr>
            </w:pPr>
            <w:r>
              <w:rPr>
                <w:rFonts w:ascii="Arial" w:cs="Arial" w:eastAsia="Arial" w:hAnsi="Arial"/>
                <w:sz w:val="14"/>
                <w:szCs w:val="14"/>
                <w:color w:val="auto"/>
              </w:rPr>
              <w:t>37,946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22,896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Pr>
          <w:p>
            <w:pPr>
              <w:ind w:left="340"/>
              <w:spacing w:after="0"/>
              <w:rPr>
                <w:sz w:val="20"/>
                <w:szCs w:val="20"/>
                <w:color w:val="auto"/>
              </w:rPr>
            </w:pPr>
            <w:r>
              <w:rPr>
                <w:rFonts w:ascii="Arial" w:cs="Arial" w:eastAsia="Arial" w:hAnsi="Arial"/>
                <w:sz w:val="14"/>
                <w:szCs w:val="14"/>
                <w:color w:val="auto"/>
              </w:rPr>
              <w:t>Research and development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860"/>
              <w:spacing w:after="0"/>
              <w:rPr>
                <w:sz w:val="20"/>
                <w:szCs w:val="20"/>
                <w:color w:val="auto"/>
              </w:rPr>
            </w:pPr>
            <w:r>
              <w:rPr>
                <w:rFonts w:ascii="Arial" w:cs="Arial" w:eastAsia="Arial" w:hAnsi="Arial"/>
                <w:sz w:val="14"/>
                <w:szCs w:val="14"/>
                <w:color w:val="auto"/>
              </w:rPr>
              <w:t>41,089</w:t>
            </w:r>
          </w:p>
        </w:tc>
        <w:tc>
          <w:tcPr>
            <w:tcW w:w="80" w:type="dxa"/>
            <w:vAlign w:val="bottom"/>
          </w:tcPr>
          <w:p>
            <w:pPr>
              <w:spacing w:after="0"/>
              <w:rPr>
                <w:sz w:val="14"/>
                <w:szCs w:val="14"/>
                <w:color w:val="auto"/>
              </w:rPr>
            </w:pP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rPr>
              <w:t>45,433</w:t>
            </w:r>
          </w:p>
        </w:tc>
        <w:tc>
          <w:tcPr>
            <w:tcW w:w="80" w:type="dxa"/>
            <w:vAlign w:val="bottom"/>
          </w:tcPr>
          <w:p>
            <w:pPr>
              <w:spacing w:after="0"/>
              <w:rPr>
                <w:sz w:val="14"/>
                <w:szCs w:val="14"/>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4"/>
                <w:szCs w:val="14"/>
                <w:color w:val="auto"/>
              </w:rPr>
              <w:t>24,957</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21,146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10,868</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rPr>
              <w:t>10,188</w:t>
            </w:r>
          </w:p>
        </w:tc>
        <w:tc>
          <w:tcPr>
            <w:tcW w:w="8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5,126</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5,336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Total costs and expenses</w:t>
            </w: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51,957</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rPr>
              <w:t>55,621</w:t>
            </w:r>
          </w:p>
        </w:tc>
        <w:tc>
          <w:tcPr>
            <w:tcW w:w="80" w:type="dxa"/>
            <w:vAlign w:val="bottom"/>
          </w:tcPr>
          <w:p>
            <w:pPr>
              <w:spacing w:after="0"/>
              <w:rPr>
                <w:sz w:val="14"/>
                <w:szCs w:val="14"/>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4"/>
                <w:szCs w:val="14"/>
                <w:color w:val="auto"/>
              </w:rPr>
              <w:t>30,083</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26,482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rPr>
              <w:t>8,205</w:t>
            </w:r>
          </w:p>
        </w:tc>
        <w:tc>
          <w:tcPr>
            <w:tcW w:w="8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7,863</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20"/>
                <w:szCs w:val="20"/>
                <w:color w:val="auto"/>
              </w:rPr>
            </w:pPr>
            <w:r>
              <w:rPr>
                <w:rFonts w:ascii="Arial" w:cs="Arial" w:eastAsia="Arial" w:hAnsi="Arial"/>
                <w:sz w:val="14"/>
                <w:szCs w:val="14"/>
                <w:color w:val="auto"/>
              </w:rPr>
              <w:t>Other income (expense):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income (expense)</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5"/>
            <w:shd w:val="clear" w:color="auto" w:fill="CCEEFF"/>
          </w:tcPr>
          <w:p>
            <w:pPr>
              <w:jc w:val="right"/>
              <w:ind w:right="86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4980" w:type="dxa"/>
            <w:vAlign w:val="bottom"/>
          </w:tcPr>
          <w:p>
            <w:pPr>
              <w:ind w:left="340"/>
              <w:spacing w:after="0"/>
              <w:rPr>
                <w:sz w:val="20"/>
                <w:szCs w:val="20"/>
                <w:color w:val="auto"/>
              </w:rPr>
            </w:pPr>
            <w:r>
              <w:rPr>
                <w:rFonts w:ascii="Arial" w:cs="Arial" w:eastAsia="Arial" w:hAnsi="Arial"/>
                <w:sz w:val="14"/>
                <w:szCs w:val="14"/>
                <w:color w:val="auto"/>
              </w:rPr>
              <w:t>Other income (expense)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1,459</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(expense)</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Net comprehensive income (loss)</w:t>
            </w: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6,717</w:t>
            </w:r>
          </w:p>
        </w:tc>
        <w:tc>
          <w:tcPr>
            <w:tcW w:w="8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rPr>
              <w:t>8,362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100"/>
              <w:spacing w:after="0"/>
              <w:rPr>
                <w:sz w:val="20"/>
                <w:szCs w:val="20"/>
                <w:color w:val="auto"/>
              </w:rPr>
            </w:pPr>
            <w:r>
              <w:rPr>
                <w:rFonts w:ascii="Arial" w:cs="Arial" w:eastAsia="Arial" w:hAnsi="Arial"/>
                <w:sz w:val="14"/>
                <w:szCs w:val="14"/>
                <w:color w:val="auto"/>
              </w:rPr>
              <w:t>7,866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(3,660)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Basic net income (loss) per common share</w:t>
            </w:r>
          </w:p>
        </w:tc>
        <w:tc>
          <w:tcPr>
            <w:tcW w:w="880" w:type="dxa"/>
            <w:vAlign w:val="bottom"/>
            <w:gridSpan w:val="2"/>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20"/>
              <w:spacing w:after="0" w:line="15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940"/>
              <w:spacing w:after="0" w:line="15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w w:val="76"/>
              </w:rPr>
              <w:t>$</w:t>
            </w:r>
          </w:p>
        </w:tc>
        <w:tc>
          <w:tcPr>
            <w:tcW w:w="780" w:type="dxa"/>
            <w:vAlign w:val="bottom"/>
            <w:gridSpan w:val="5"/>
            <w:shd w:val="clear" w:color="auto" w:fill="CCEEFF"/>
          </w:tcPr>
          <w:p>
            <w:pPr>
              <w:jc w:val="right"/>
              <w:ind w:right="100"/>
              <w:spacing w:after="0" w:line="150" w:lineRule="exact"/>
              <w:rPr>
                <w:sz w:val="20"/>
                <w:szCs w:val="20"/>
                <w:color w:val="auto"/>
              </w:rPr>
            </w:pPr>
            <w:r>
              <w:rPr>
                <w:rFonts w:ascii="Arial" w:cs="Arial" w:eastAsia="Arial" w:hAnsi="Arial"/>
                <w:sz w:val="14"/>
                <w:szCs w:val="14"/>
                <w:color w:val="auto"/>
              </w:rPr>
              <w:t>0.00</w:t>
            </w:r>
          </w:p>
        </w:tc>
        <w:tc>
          <w:tcPr>
            <w:tcW w:w="860" w:type="dxa"/>
            <w:vAlign w:val="bottom"/>
            <w:gridSpan w:val="2"/>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40"/>
              <w:spacing w:after="0" w:line="150"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20"/>
                <w:szCs w:val="20"/>
                <w:color w:val="auto"/>
              </w:rPr>
            </w:pPr>
            <w:r>
              <w:rPr>
                <w:rFonts w:ascii="Arial" w:cs="Arial" w:eastAsia="Arial" w:hAnsi="Arial"/>
                <w:sz w:val="14"/>
                <w:szCs w:val="14"/>
                <w:color w:val="auto"/>
              </w:rPr>
              <w:t>Diluted net income (loss) per common share</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100"/>
              <w:spacing w:after="0"/>
              <w:rPr>
                <w:sz w:val="20"/>
                <w:szCs w:val="20"/>
                <w:color w:val="auto"/>
              </w:rPr>
            </w:pPr>
            <w:r>
              <w:rPr>
                <w:rFonts w:ascii="Arial" w:cs="Arial" w:eastAsia="Arial" w:hAnsi="Arial"/>
                <w:sz w:val="14"/>
                <w:szCs w:val="14"/>
                <w:color w:val="auto"/>
              </w:rPr>
              <w:t>0.00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Basic weighted average number of common shares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5"/>
            <w:shd w:val="clear" w:color="auto" w:fill="CCEEFF"/>
          </w:tcPr>
          <w:p>
            <w:pPr>
              <w:jc w:val="right"/>
              <w:ind w:right="860"/>
              <w:spacing w:after="0"/>
              <w:rPr>
                <w:sz w:val="20"/>
                <w:szCs w:val="20"/>
                <w:color w:val="auto"/>
              </w:rPr>
            </w:pPr>
            <w:r>
              <w:rPr>
                <w:rFonts w:ascii="Arial" w:cs="Arial" w:eastAsia="Arial" w:hAnsi="Arial"/>
                <w:sz w:val="14"/>
                <w:szCs w:val="14"/>
                <w:color w:val="auto"/>
                <w:w w:val="85"/>
              </w:rPr>
              <w:t>19,254,567</w:t>
            </w:r>
          </w:p>
        </w:tc>
        <w:tc>
          <w:tcPr>
            <w:tcW w:w="8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w w:val="94"/>
              </w:rPr>
              <w:t>20,337,513</w:t>
            </w:r>
          </w:p>
        </w:tc>
        <w:tc>
          <w:tcPr>
            <w:tcW w:w="8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w w:val="94"/>
              </w:rPr>
              <w:t>20,106,584</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4"/>
              </w:rPr>
              <w:t>22,237,823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20"/>
                <w:szCs w:val="20"/>
                <w:color w:val="auto"/>
              </w:rPr>
            </w:pPr>
            <w:r>
              <w:rPr>
                <w:rFonts w:ascii="Arial" w:cs="Arial" w:eastAsia="Arial" w:hAnsi="Arial"/>
                <w:sz w:val="14"/>
                <w:szCs w:val="14"/>
                <w:color w:val="auto"/>
              </w:rPr>
              <w:t>Diluted weighted average number of common shares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5"/>
          </w:tcPr>
          <w:p>
            <w:pPr>
              <w:jc w:val="right"/>
              <w:ind w:right="860"/>
              <w:spacing w:after="0"/>
              <w:rPr>
                <w:sz w:val="20"/>
                <w:szCs w:val="20"/>
                <w:color w:val="auto"/>
              </w:rPr>
            </w:pPr>
            <w:r>
              <w:rPr>
                <w:rFonts w:ascii="Arial" w:cs="Arial" w:eastAsia="Arial" w:hAnsi="Arial"/>
                <w:sz w:val="14"/>
                <w:szCs w:val="14"/>
                <w:color w:val="auto"/>
                <w:w w:val="85"/>
              </w:rPr>
              <w:t>19,254,567</w:t>
            </w:r>
          </w:p>
        </w:tc>
        <w:tc>
          <w:tcPr>
            <w:tcW w:w="80" w:type="dxa"/>
            <w:vAlign w:val="bottom"/>
          </w:tcPr>
          <w:p>
            <w:pPr>
              <w:spacing w:after="0"/>
              <w:rPr>
                <w:sz w:val="15"/>
                <w:szCs w:val="15"/>
                <w:color w:val="auto"/>
              </w:rPr>
            </w:pP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w w:val="94"/>
              </w:rPr>
              <w:t>20,337,513</w:t>
            </w:r>
          </w:p>
        </w:tc>
        <w:tc>
          <w:tcPr>
            <w:tcW w:w="80" w:type="dxa"/>
            <w:vAlign w:val="bottom"/>
          </w:tcPr>
          <w:p>
            <w:pPr>
              <w:spacing w:after="0"/>
              <w:rPr>
                <w:sz w:val="15"/>
                <w:szCs w:val="15"/>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4"/>
                <w:szCs w:val="14"/>
                <w:color w:val="auto"/>
                <w:w w:val="84"/>
              </w:rPr>
              <w:t>401,152,574</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94"/>
              </w:rPr>
              <w:t>22,237,823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Pro forma basic net income (loss) per common share</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20"/>
                <w:szCs w:val="20"/>
                <w:color w:val="auto"/>
              </w:rPr>
            </w:pPr>
            <w:r>
              <w:rPr>
                <w:rFonts w:ascii="Arial" w:cs="Arial" w:eastAsia="Arial" w:hAnsi="Arial"/>
                <w:sz w:val="14"/>
                <w:szCs w:val="14"/>
                <w:color w:val="auto"/>
              </w:rPr>
              <w:t>Pro forma diluted net income (loss) per common share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Pro forma basic weighted average number of common shares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5"/>
            <w:shd w:val="clear" w:color="auto" w:fill="CCEEFF"/>
          </w:tcPr>
          <w:p>
            <w:pPr>
              <w:jc w:val="right"/>
              <w:ind w:right="880"/>
              <w:spacing w:after="0"/>
              <w:rPr>
                <w:sz w:val="20"/>
                <w:szCs w:val="20"/>
                <w:color w:val="auto"/>
              </w:rPr>
            </w:pPr>
            <w:r>
              <w:rPr>
                <w:rFonts w:ascii="Arial" w:cs="Arial" w:eastAsia="Arial" w:hAnsi="Arial"/>
                <w:sz w:val="14"/>
                <w:szCs w:val="14"/>
                <w:color w:val="auto"/>
                <w:w w:val="84"/>
              </w:rPr>
              <w:t>338,665,060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4"/>
              </w:rPr>
              <w:t>340,565,370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20"/>
                <w:szCs w:val="20"/>
                <w:color w:val="auto"/>
              </w:rPr>
            </w:pPr>
            <w:r>
              <w:rPr>
                <w:rFonts w:ascii="Arial" w:cs="Arial" w:eastAsia="Arial" w:hAnsi="Arial"/>
                <w:sz w:val="14"/>
                <w:szCs w:val="14"/>
                <w:color w:val="auto"/>
              </w:rPr>
              <w:t>Pro forma diluted weighted average number of common shares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right"/>
              <w:ind w:right="880"/>
              <w:spacing w:after="0"/>
              <w:rPr>
                <w:sz w:val="20"/>
                <w:szCs w:val="20"/>
                <w:color w:val="auto"/>
              </w:rPr>
            </w:pPr>
            <w:r>
              <w:rPr>
                <w:rFonts w:ascii="Arial" w:cs="Arial" w:eastAsia="Arial" w:hAnsi="Arial"/>
                <w:sz w:val="14"/>
                <w:szCs w:val="14"/>
                <w:color w:val="auto"/>
                <w:w w:val="84"/>
              </w:rPr>
              <w:t>403,144,899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color w:val="auto"/>
                <w:w w:val="84"/>
              </w:rPr>
              <w:t>340,565,370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980" w:type="dxa"/>
            <w:vAlign w:val="bottom"/>
          </w:tcPr>
          <w:p>
            <w:pPr>
              <w:spacing w:after="0"/>
              <w:rPr>
                <w:sz w:val="23"/>
                <w:szCs w:val="23"/>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6" w:right="2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6"/>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8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6"/>
              </w:rPr>
              <w:t>Six Months Ended</w:t>
            </w:r>
          </w:p>
        </w:tc>
        <w:tc>
          <w:tcPr>
            <w:tcW w:w="0" w:type="dxa"/>
            <w:vAlign w:val="bottom"/>
          </w:tcPr>
          <w:p>
            <w:pPr>
              <w:spacing w:after="0"/>
              <w:rPr>
                <w:sz w:val="1"/>
                <w:szCs w:val="1"/>
                <w:color w:val="auto"/>
              </w:rPr>
            </w:pPr>
          </w:p>
        </w:tc>
      </w:tr>
      <w:tr>
        <w:trPr>
          <w:trHeight w:val="105"/>
        </w:trPr>
        <w:tc>
          <w:tcPr>
            <w:tcW w:w="38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 w:type="dxa"/>
            <w:vAlign w:val="bottom"/>
            <w:tcBorders>
              <w:top w:val="single" w:sz="8" w:color="auto"/>
            </w:tcBorders>
            <w:gridSpan w:val="2"/>
          </w:tcPr>
          <w:p>
            <w:pPr>
              <w:ind w:left="40"/>
              <w:spacing w:after="0" w:line="105"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2012</w:t>
            </w:r>
          </w:p>
        </w:tc>
        <w:tc>
          <w:tcPr>
            <w:tcW w:w="20" w:type="dxa"/>
            <w:vAlign w:val="bottom"/>
            <w:tcBorders>
              <w:top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92"/>
              </w:rPr>
              <w:t>June 30, 2013</w:t>
            </w:r>
          </w:p>
        </w:tc>
        <w:tc>
          <w:tcPr>
            <w:tcW w:w="0" w:type="dxa"/>
            <w:vAlign w:val="bottom"/>
          </w:tcPr>
          <w:p>
            <w:pPr>
              <w:spacing w:after="0"/>
              <w:rPr>
                <w:sz w:val="1"/>
                <w:szCs w:val="1"/>
                <w:color w:val="auto"/>
              </w:rPr>
            </w:pPr>
          </w:p>
        </w:tc>
      </w:tr>
      <w:tr>
        <w:trPr>
          <w:trHeight w:val="126"/>
        </w:trPr>
        <w:tc>
          <w:tcPr>
            <w:tcW w:w="38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0"/>
                <w:szCs w:val="10"/>
                <w:b w:val="1"/>
                <w:bCs w:val="1"/>
                <w:color w:val="auto"/>
                <w:w w:val="92"/>
              </w:rPr>
              <w:t>(in thousands)</w:t>
            </w: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5"/>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4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4860" w:type="dxa"/>
            <w:vAlign w:val="bottom"/>
            <w:gridSpan w:val="4"/>
          </w:tcPr>
          <w:p>
            <w:pPr>
              <w:jc w:val="right"/>
              <w:ind w:right="220"/>
              <w:spacing w:after="0"/>
              <w:rPr>
                <w:sz w:val="20"/>
                <w:szCs w:val="20"/>
                <w:color w:val="auto"/>
              </w:rPr>
            </w:pPr>
            <w:r>
              <w:rPr>
                <w:rFonts w:ascii="Arial" w:cs="Arial" w:eastAsia="Arial" w:hAnsi="Arial"/>
                <w:sz w:val="14"/>
                <w:szCs w:val="14"/>
                <w:color w:val="auto"/>
              </w:rPr>
              <w:t>$  55,218</w:t>
            </w:r>
          </w:p>
        </w:tc>
        <w:tc>
          <w:tcPr>
            <w:tcW w:w="1540" w:type="dxa"/>
            <w:vAlign w:val="bottom"/>
            <w:gridSpan w:val="4"/>
          </w:tcPr>
          <w:p>
            <w:pPr>
              <w:jc w:val="right"/>
              <w:ind w:right="748"/>
              <w:spacing w:after="0"/>
              <w:rPr>
                <w:sz w:val="20"/>
                <w:szCs w:val="20"/>
                <w:color w:val="auto"/>
              </w:rPr>
            </w:pPr>
            <w:r>
              <w:rPr>
                <w:rFonts w:ascii="Arial" w:cs="Arial" w:eastAsia="Arial" w:hAnsi="Arial"/>
                <w:sz w:val="14"/>
                <w:szCs w:val="14"/>
                <w:color w:val="auto"/>
              </w:rPr>
              <w:t>$  47,743</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33,781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48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62,681</w:t>
            </w:r>
          </w:p>
        </w:tc>
        <w:tc>
          <w:tcPr>
            <w:tcW w:w="1540" w:type="dxa"/>
            <w:vAlign w:val="bottom"/>
            <w:gridSpan w:val="4"/>
            <w:shd w:val="clear" w:color="auto" w:fill="CCEEFF"/>
          </w:tcPr>
          <w:p>
            <w:pPr>
              <w:jc w:val="right"/>
              <w:ind w:right="748"/>
              <w:spacing w:after="0"/>
              <w:rPr>
                <w:sz w:val="20"/>
                <w:szCs w:val="20"/>
                <w:color w:val="auto"/>
              </w:rPr>
            </w:pPr>
            <w:r>
              <w:rPr>
                <w:rFonts w:ascii="Arial" w:cs="Arial" w:eastAsia="Arial" w:hAnsi="Arial"/>
                <w:sz w:val="14"/>
                <w:szCs w:val="14"/>
                <w:color w:val="auto"/>
              </w:rPr>
              <w:t>53,747</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20"/>
                <w:szCs w:val="20"/>
                <w:color w:val="auto"/>
              </w:rPr>
            </w:pPr>
            <w:r>
              <w:rPr>
                <w:rFonts w:ascii="Arial" w:cs="Arial" w:eastAsia="Arial" w:hAnsi="Arial"/>
                <w:sz w:val="14"/>
                <w:szCs w:val="14"/>
                <w:color w:val="auto"/>
              </w:rPr>
              <w:t>Deferred revenue</w:t>
            </w:r>
          </w:p>
        </w:tc>
        <w:tc>
          <w:tcPr>
            <w:tcW w:w="4860" w:type="dxa"/>
            <w:vAlign w:val="bottom"/>
            <w:gridSpan w:val="4"/>
          </w:tcPr>
          <w:p>
            <w:pPr>
              <w:jc w:val="right"/>
              <w:ind w:right="220"/>
              <w:spacing w:after="0"/>
              <w:rPr>
                <w:sz w:val="20"/>
                <w:szCs w:val="20"/>
                <w:color w:val="auto"/>
              </w:rPr>
            </w:pPr>
            <w:r>
              <w:rPr>
                <w:rFonts w:ascii="Arial" w:cs="Arial" w:eastAsia="Arial" w:hAnsi="Arial"/>
                <w:sz w:val="14"/>
                <w:szCs w:val="14"/>
                <w:color w:val="auto"/>
              </w:rPr>
              <w:t>54,890</w:t>
            </w:r>
          </w:p>
        </w:tc>
        <w:tc>
          <w:tcPr>
            <w:tcW w:w="1540" w:type="dxa"/>
            <w:vAlign w:val="bottom"/>
            <w:gridSpan w:val="4"/>
          </w:tcPr>
          <w:p>
            <w:pPr>
              <w:jc w:val="right"/>
              <w:ind w:right="748"/>
              <w:spacing w:after="0"/>
              <w:rPr>
                <w:sz w:val="20"/>
                <w:szCs w:val="20"/>
                <w:color w:val="auto"/>
              </w:rPr>
            </w:pPr>
            <w:r>
              <w:rPr>
                <w:rFonts w:ascii="Arial" w:cs="Arial" w:eastAsia="Arial" w:hAnsi="Arial"/>
                <w:sz w:val="14"/>
                <w:szCs w:val="14"/>
                <w:color w:val="auto"/>
              </w:rPr>
              <w:t>44,080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37,308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48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2,947</w:t>
            </w:r>
          </w:p>
        </w:tc>
        <w:tc>
          <w:tcPr>
            <w:tcW w:w="1540" w:type="dxa"/>
            <w:vAlign w:val="bottom"/>
            <w:gridSpan w:val="4"/>
            <w:shd w:val="clear" w:color="auto" w:fill="CCEEFF"/>
          </w:tcPr>
          <w:p>
            <w:pPr>
              <w:jc w:val="right"/>
              <w:ind w:right="748"/>
              <w:spacing w:after="0"/>
              <w:rPr>
                <w:sz w:val="20"/>
                <w:szCs w:val="20"/>
                <w:color w:val="auto"/>
              </w:rPr>
            </w:pPr>
            <w:r>
              <w:rPr>
                <w:rFonts w:ascii="Arial" w:cs="Arial" w:eastAsia="Arial" w:hAnsi="Arial"/>
                <w:sz w:val="14"/>
                <w:szCs w:val="14"/>
                <w:color w:val="auto"/>
              </w:rPr>
              <w:t>2,947</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4860" w:type="dxa"/>
            <w:vAlign w:val="bottom"/>
            <w:gridSpan w:val="4"/>
          </w:tcPr>
          <w:p>
            <w:pPr>
              <w:jc w:val="right"/>
              <w:ind w:right="180"/>
              <w:spacing w:after="0"/>
              <w:rPr>
                <w:sz w:val="20"/>
                <w:szCs w:val="20"/>
                <w:color w:val="auto"/>
              </w:rPr>
            </w:pPr>
            <w:r>
              <w:rPr>
                <w:rFonts w:ascii="Arial" w:cs="Arial" w:eastAsia="Arial" w:hAnsi="Arial"/>
                <w:sz w:val="14"/>
                <w:szCs w:val="14"/>
                <w:color w:val="auto"/>
              </w:rPr>
              <w:t>(17,484)</w:t>
            </w:r>
          </w:p>
        </w:tc>
        <w:tc>
          <w:tcPr>
            <w:tcW w:w="1540" w:type="dxa"/>
            <w:vAlign w:val="bottom"/>
            <w:gridSpan w:val="4"/>
          </w:tcPr>
          <w:p>
            <w:pPr>
              <w:jc w:val="right"/>
              <w:ind w:right="708"/>
              <w:spacing w:after="0"/>
              <w:rPr>
                <w:sz w:val="20"/>
                <w:szCs w:val="20"/>
                <w:color w:val="auto"/>
              </w:rPr>
            </w:pPr>
            <w:r>
              <w:rPr>
                <w:rFonts w:ascii="Arial" w:cs="Arial" w:eastAsia="Arial" w:hAnsi="Arial"/>
                <w:sz w:val="14"/>
                <w:szCs w:val="14"/>
                <w:color w:val="auto"/>
              </w:rPr>
              <w:t>(8,237)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(10,930)</w:t>
            </w:r>
          </w:p>
        </w:tc>
        <w:tc>
          <w:tcPr>
            <w:tcW w:w="0" w:type="dxa"/>
            <w:vAlign w:val="bottom"/>
          </w:tcPr>
          <w:p>
            <w:pPr>
              <w:spacing w:after="0"/>
              <w:rPr>
                <w:sz w:val="1"/>
                <w:szCs w:val="1"/>
                <w:color w:val="auto"/>
              </w:rPr>
            </w:pPr>
          </w:p>
        </w:tc>
      </w:tr>
      <w:tr>
        <w:trPr>
          <w:trHeight w:val="274"/>
        </w:trPr>
        <w:tc>
          <w:tcPr>
            <w:tcW w:w="3820" w:type="dxa"/>
            <w:vAlign w:val="bottom"/>
          </w:tcPr>
          <w:p>
            <w:pPr>
              <w:spacing w:after="0"/>
              <w:rPr>
                <w:sz w:val="23"/>
                <w:szCs w:val="23"/>
                <w:color w:val="auto"/>
              </w:rPr>
            </w:pPr>
          </w:p>
        </w:tc>
        <w:tc>
          <w:tcPr>
            <w:tcW w:w="4200" w:type="dxa"/>
            <w:vAlign w:val="bottom"/>
          </w:tcPr>
          <w:p>
            <w:pPr>
              <w:jc w:val="right"/>
              <w:ind w:right="2152"/>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7" w:right="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26"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i w:val="1"/>
          <w:iCs w:val="1"/>
          <w:color w:val="auto"/>
        </w:rPr>
        <w:t>The following discussion of our financial condition and results of operations should be read together with our selected consolidated financial data and the consolidated financial statements and related notes included elsewhere in this prospectus. This discussion contains forward-looking statements that involve risks and uncertainties. As a result of many factors, such as those set forth under the section entitled “Risk Factors” and elsewhere in this prospectus, our actual results may differ materially from those anticipated in these forward-looking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4" w:lineRule="exact"/>
        <w:rPr>
          <w:sz w:val="20"/>
          <w:szCs w:val="20"/>
          <w:color w:val="auto"/>
        </w:rPr>
      </w:pPr>
    </w:p>
    <w:p>
      <w:pPr>
        <w:ind w:right="20" w:firstLine="802"/>
        <w:spacing w:after="0" w:line="252" w:lineRule="auto"/>
        <w:rPr>
          <w:sz w:val="20"/>
          <w:szCs w:val="20"/>
          <w:color w:val="auto"/>
        </w:rPr>
      </w:pPr>
      <w:r>
        <w:rPr>
          <w:rFonts w:ascii="Arial" w:cs="Arial" w:eastAsia="Arial" w:hAnsi="Arial"/>
          <w:sz w:val="14"/>
          <w:szCs w:val="14"/>
          <w:color w:val="auto"/>
        </w:rPr>
        <w:t>We are a clinical-stage biopharmaceutical company focused on discovering and developing innovative monoclonal antibody-based therapeutics for the treatment of cancer and autoimmune diseases. We generate our pipeline of product candidates from our proprietary suite of next-generation antibody technology platforms which we believe improve the performance of monoclonal antibodies and antibody-derived molecules. These product candidates, which we have identified through our understanding of disease biology and immune-mediated mechanisms, may address disease-specific challenges which are not currently being met by existing therapies. The combination of our technology platforms and antibody engineering expertise has allowed us to generate promising product candidates and enter into several strategic collaborations with global pharmaceutical and biotechnology companies. These collaborations provide us with funding and allow us to leverage the additional expertise of our collaborators to advance the development of our product candidates.</w:t>
      </w:r>
    </w:p>
    <w:p>
      <w:pPr>
        <w:spacing w:after="0" w:line="114"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We currently have two oncology product candidates in clinical development. Additionally, we have several proprietary product candidates in pre-clinical development and we expect to commence Phase 1 clinical trials on two of these product candidates in 2014.</w:t>
      </w:r>
    </w:p>
    <w:p>
      <w:pPr>
        <w:spacing w:after="0" w:line="133" w:lineRule="exact"/>
        <w:rPr>
          <w:sz w:val="20"/>
          <w:szCs w:val="20"/>
          <w:color w:val="auto"/>
        </w:rPr>
      </w:pPr>
    </w:p>
    <w:p>
      <w:pPr>
        <w:ind w:left="1240" w:right="80" w:hanging="327"/>
        <w:spacing w:after="0" w:line="321" w:lineRule="auto"/>
        <w:tabs>
          <w:tab w:leader="none" w:pos="124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Margetuximab</w:t>
      </w:r>
      <w:r>
        <w:rPr>
          <w:rFonts w:ascii="Arial" w:cs="Arial" w:eastAsia="Arial" w:hAnsi="Arial"/>
          <w:sz w:val="12"/>
          <w:szCs w:val="12"/>
          <w:color w:val="auto"/>
        </w:rPr>
        <w:t>, also known as MGAH22, is a monoclonal antibody that targets HER2-expressing tumors, including breast, gastroesophageal, bladder and other cancers. HER2, or human</w:t>
      </w:r>
      <w:r>
        <w:rPr>
          <w:rFonts w:ascii="Arial" w:cs="Arial" w:eastAsia="Arial" w:hAnsi="Arial"/>
          <w:sz w:val="12"/>
          <w:szCs w:val="12"/>
          <w:i w:val="1"/>
          <w:iCs w:val="1"/>
          <w:color w:val="auto"/>
        </w:rPr>
        <w:t xml:space="preserve"> </w:t>
      </w:r>
      <w:r>
        <w:rPr>
          <w:rFonts w:ascii="Arial" w:cs="Arial" w:eastAsia="Arial" w:hAnsi="Arial"/>
          <w:sz w:val="12"/>
          <w:szCs w:val="12"/>
          <w:color w:val="auto"/>
        </w:rPr>
        <w:t>epidermal growth factor receptor 2, is critical for the growth of many types of tumors. We currently are enrolling a Phase 2a clinical trial in metastatic breast cancer and anticipate commencing a Phase 3 potential registration clinical trial in advanced gastroesophageal cancer in the second half of 2014.</w:t>
      </w:r>
    </w:p>
    <w:p>
      <w:pPr>
        <w:spacing w:after="0" w:line="104" w:lineRule="exact"/>
        <w:rPr>
          <w:rFonts w:ascii="Arial" w:cs="Arial" w:eastAsia="Arial" w:hAnsi="Arial"/>
          <w:sz w:val="12"/>
          <w:szCs w:val="12"/>
          <w:color w:val="auto"/>
        </w:rPr>
      </w:pPr>
    </w:p>
    <w:p>
      <w:pPr>
        <w:ind w:left="1240" w:right="300" w:hanging="327"/>
        <w:spacing w:after="0" w:line="351" w:lineRule="auto"/>
        <w:tabs>
          <w:tab w:leader="none" w:pos="124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MGA271 </w:t>
      </w:r>
      <w:r>
        <w:rPr>
          <w:rFonts w:ascii="Arial" w:cs="Arial" w:eastAsia="Arial" w:hAnsi="Arial"/>
          <w:sz w:val="12"/>
          <w:szCs w:val="12"/>
          <w:color w:val="auto"/>
        </w:rPr>
        <w:t>is an Fc-optimized monoclonal antibody that targets B7-H3, a member of the B7 family of molecules and is over-expressed on a wide variety of solid tumor types. We have</w:t>
      </w:r>
      <w:r>
        <w:rPr>
          <w:rFonts w:ascii="Arial" w:cs="Arial" w:eastAsia="Arial" w:hAnsi="Arial"/>
          <w:sz w:val="12"/>
          <w:szCs w:val="12"/>
          <w:i w:val="1"/>
          <w:iCs w:val="1"/>
          <w:color w:val="auto"/>
        </w:rPr>
        <w:t xml:space="preserve"> </w:t>
      </w:r>
      <w:r>
        <w:rPr>
          <w:rFonts w:ascii="Arial" w:cs="Arial" w:eastAsia="Arial" w:hAnsi="Arial"/>
          <w:sz w:val="12"/>
          <w:szCs w:val="12"/>
          <w:color w:val="auto"/>
        </w:rPr>
        <w:t>initiated a Phase 1 clinical trial that we expect to complete by the end of 2014. We plan to initiate a Phase 2 clinical trial no later than early 2015.</w:t>
      </w:r>
    </w:p>
    <w:p>
      <w:pPr>
        <w:spacing w:after="0" w:line="87" w:lineRule="exact"/>
        <w:rPr>
          <w:rFonts w:ascii="Arial" w:cs="Arial" w:eastAsia="Arial" w:hAnsi="Arial"/>
          <w:sz w:val="12"/>
          <w:szCs w:val="12"/>
          <w:color w:val="auto"/>
        </w:rPr>
      </w:pPr>
    </w:p>
    <w:p>
      <w:pPr>
        <w:ind w:left="1240" w:right="240" w:hanging="327"/>
        <w:spacing w:after="0" w:line="351" w:lineRule="auto"/>
        <w:tabs>
          <w:tab w:leader="none" w:pos="124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MGD006 </w:t>
      </w:r>
      <w:r>
        <w:rPr>
          <w:rFonts w:ascii="Arial" w:cs="Arial" w:eastAsia="Arial" w:hAnsi="Arial"/>
          <w:sz w:val="12"/>
          <w:szCs w:val="12"/>
          <w:color w:val="auto"/>
        </w:rPr>
        <w:t>is a humanized DART molecule that recognizes CD123, the Interleukin-3 receptor, or IL3R, alpha chain which is expressed on leukemia and leukemic stem cells, but not on</w:t>
      </w:r>
      <w:r>
        <w:rPr>
          <w:rFonts w:ascii="Arial" w:cs="Arial" w:eastAsia="Arial" w:hAnsi="Arial"/>
          <w:sz w:val="12"/>
          <w:szCs w:val="12"/>
          <w:i w:val="1"/>
          <w:iCs w:val="1"/>
          <w:color w:val="auto"/>
        </w:rPr>
        <w:t xml:space="preserve"> </w:t>
      </w:r>
      <w:r>
        <w:rPr>
          <w:rFonts w:ascii="Arial" w:cs="Arial" w:eastAsia="Arial" w:hAnsi="Arial"/>
          <w:sz w:val="12"/>
          <w:szCs w:val="12"/>
          <w:color w:val="auto"/>
        </w:rPr>
        <w:t>normal hematopoietic stem cells, and CD3, which is expressed on T cells. We expect to commence a Phase 1 clinical trial in the first half of 2014.</w:t>
      </w:r>
    </w:p>
    <w:p>
      <w:pPr>
        <w:spacing w:after="0" w:line="87" w:lineRule="exact"/>
        <w:rPr>
          <w:rFonts w:ascii="Arial" w:cs="Arial" w:eastAsia="Arial" w:hAnsi="Arial"/>
          <w:sz w:val="12"/>
          <w:szCs w:val="12"/>
          <w:color w:val="auto"/>
        </w:rPr>
      </w:pPr>
    </w:p>
    <w:p>
      <w:pPr>
        <w:ind w:left="1240" w:right="20" w:hanging="327"/>
        <w:spacing w:after="0" w:line="267" w:lineRule="auto"/>
        <w:tabs>
          <w:tab w:leader="none" w:pos="12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MGD007 </w:t>
      </w:r>
      <w:r>
        <w:rPr>
          <w:rFonts w:ascii="Arial" w:cs="Arial" w:eastAsia="Arial" w:hAnsi="Arial"/>
          <w:sz w:val="14"/>
          <w:szCs w:val="14"/>
          <w:color w:val="auto"/>
        </w:rPr>
        <w:t>is a humanized DART molecule that recognizes both the glycoprotein gpA33, expressed on gastrointestinal tumors, including more than 95% of human colon cancers, and CD3,</w:t>
      </w:r>
      <w:r>
        <w:rPr>
          <w:rFonts w:ascii="Arial" w:cs="Arial" w:eastAsia="Arial" w:hAnsi="Arial"/>
          <w:sz w:val="14"/>
          <w:szCs w:val="14"/>
          <w:i w:val="1"/>
          <w:iCs w:val="1"/>
          <w:color w:val="auto"/>
        </w:rPr>
        <w:t xml:space="preserve"> </w:t>
      </w:r>
      <w:r>
        <w:rPr>
          <w:rFonts w:ascii="Arial" w:cs="Arial" w:eastAsia="Arial" w:hAnsi="Arial"/>
          <w:sz w:val="14"/>
          <w:szCs w:val="14"/>
          <w:color w:val="auto"/>
        </w:rPr>
        <w:t>which is expressed on T cells. We expect to commence a Phase 1 clinical trial in the second half of 2014.</w:t>
      </w:r>
    </w:p>
    <w:p>
      <w:pPr>
        <w:spacing w:after="0" w:line="101" w:lineRule="exact"/>
        <w:rPr>
          <w:sz w:val="20"/>
          <w:szCs w:val="20"/>
          <w:color w:val="auto"/>
        </w:rPr>
      </w:pPr>
    </w:p>
    <w:p>
      <w:pPr>
        <w:ind w:right="60" w:firstLine="802"/>
        <w:spacing w:after="0" w:line="255" w:lineRule="auto"/>
        <w:rPr>
          <w:sz w:val="20"/>
          <w:szCs w:val="20"/>
          <w:color w:val="auto"/>
        </w:rPr>
      </w:pPr>
      <w:r>
        <w:rPr>
          <w:rFonts w:ascii="Arial" w:cs="Arial" w:eastAsia="Arial" w:hAnsi="Arial"/>
          <w:sz w:val="14"/>
          <w:szCs w:val="14"/>
          <w:color w:val="auto"/>
        </w:rPr>
        <w:t>We commenced active operations in 2000, and have since devoted substantially all of our resources to staffing our company, business planning, raising capital, developing our technology platforms, identifying potential product candidates, undertaking pre-clinical studies and conducting clinical trials. We have not generated any revenues from the sale of any products to date. We have financed our operations primarily through the private placements of our convertible preferred stock, collaborations and government grants and contracts. From inception through June 30, 2013, we have received $151.3 million from the sale of convertible preferred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00"/>
          </w:cols>
          <w:pgMar w:left="220" w:top="387" w:right="2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60"/>
        <w:spacing w:after="0" w:line="321" w:lineRule="auto"/>
        <w:rPr>
          <w:sz w:val="20"/>
          <w:szCs w:val="20"/>
          <w:color w:val="auto"/>
        </w:rPr>
      </w:pPr>
      <w:r>
        <w:rPr>
          <w:rFonts w:ascii="Arial" w:cs="Arial" w:eastAsia="Arial" w:hAnsi="Arial"/>
          <w:sz w:val="12"/>
          <w:szCs w:val="12"/>
          <w:color w:val="auto"/>
        </w:rPr>
        <w:t>stock and warrants. We have received an additional $180.0 million of upfront, milestone and annual maintenance payments from our collaborators and have been reimbursed $216.1 million through our collaborations and government grants and contracts. Although it is difficult to predict our liquidity requirements, based upon our current operating plan, we anticipate that the net proceeds from this offering, together with our existing cash and cash equivalents, will enable us to fund our operating expenses and capital expenditure requirements for at least the next 18 months.</w:t>
      </w:r>
    </w:p>
    <w:p>
      <w:pPr>
        <w:spacing w:after="0" w:line="73" w:lineRule="exact"/>
        <w:rPr>
          <w:sz w:val="20"/>
          <w:szCs w:val="20"/>
          <w:color w:val="auto"/>
        </w:rPr>
      </w:pPr>
    </w:p>
    <w:p>
      <w:pPr>
        <w:jc w:val="both"/>
        <w:ind w:right="40" w:firstLine="802"/>
        <w:spacing w:after="0" w:line="258" w:lineRule="auto"/>
        <w:rPr>
          <w:sz w:val="20"/>
          <w:szCs w:val="20"/>
          <w:color w:val="auto"/>
        </w:rPr>
      </w:pPr>
      <w:r>
        <w:rPr>
          <w:rFonts w:ascii="Arial" w:cs="Arial" w:eastAsia="Arial" w:hAnsi="Arial"/>
          <w:sz w:val="14"/>
          <w:szCs w:val="14"/>
          <w:color w:val="auto"/>
        </w:rPr>
        <w:t>Through June 30, 2013, we had an accumulated deficit of $179.1 million. Due primarily to upfront fees paid by our collaborators, we realized a profit of $6.7 million and $8.4 million for the years ended December 31, 2011 and 2012, respectively. We have recognized a loss of $3.7 million for the six months ended June 30, 2013. We expect that over the next several years we will increase our expenditures in research and development in connection with our ongoing activities with several clinical trials.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Collaborations and Licenses</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We have entered into several strategic collaborations which provide us with significant additional funding in order to continue development of our pipeline and to extend our technology platforms and on-going programs. Our collaborations have allowed us to speed up the progress of our on-going pre-clinical and clinical stage programs.</w:t>
      </w:r>
    </w:p>
    <w:p>
      <w:pPr>
        <w:spacing w:after="0" w:line="133" w:lineRule="exact"/>
        <w:rPr>
          <w:sz w:val="20"/>
          <w:szCs w:val="20"/>
          <w:color w:val="auto"/>
        </w:rPr>
      </w:pPr>
    </w:p>
    <w:p>
      <w:pPr>
        <w:ind w:left="1240" w:right="80" w:hanging="327"/>
        <w:spacing w:after="0" w:line="305" w:lineRule="auto"/>
        <w:tabs>
          <w:tab w:leader="none" w:pos="124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Servier</w:t>
      </w:r>
      <w:r>
        <w:rPr>
          <w:rFonts w:ascii="Arial" w:cs="Arial" w:eastAsia="Arial" w:hAnsi="Arial"/>
          <w:sz w:val="12"/>
          <w:szCs w:val="12"/>
          <w:color w:val="auto"/>
        </w:rPr>
        <w:t>. In November 2011, we entered into a collaboration agreement with Servier under which we granted Servier an option to obtain an exclusive license to develop and commercialize</w:t>
      </w:r>
      <w:r>
        <w:rPr>
          <w:rFonts w:ascii="Arial" w:cs="Arial" w:eastAsia="Arial" w:hAnsi="Arial"/>
          <w:sz w:val="12"/>
          <w:szCs w:val="12"/>
          <w:i w:val="1"/>
          <w:iCs w:val="1"/>
          <w:color w:val="auto"/>
        </w:rPr>
        <w:t xml:space="preserve"> </w:t>
      </w:r>
      <w:r>
        <w:rPr>
          <w:rFonts w:ascii="Arial" w:cs="Arial" w:eastAsia="Arial" w:hAnsi="Arial"/>
          <w:sz w:val="12"/>
          <w:szCs w:val="12"/>
          <w:color w:val="auto"/>
        </w:rPr>
        <w:t>MGA271 in all countries other than the United States, Canada, Mexico, Japan, South Korea and India. We have received a $20 million option grant fee and a $10 million milestone payment, and may be eligible to receive up to approximately $415 million in license grant fees, and clinical, development, regulatory and sales milestone payments. In the event Servier exercises its option, Servier must pay a license grant fee, which we estimate to be $30 million, based on the number of different indications represented within the planned Phase 1 patient population. We and Servier will share Phase 2 and Phase 3 development costs.</w:t>
      </w:r>
    </w:p>
    <w:p>
      <w:pPr>
        <w:spacing w:after="0" w:line="84" w:lineRule="exact"/>
        <w:rPr>
          <w:sz w:val="20"/>
          <w:szCs w:val="20"/>
          <w:color w:val="auto"/>
        </w:rPr>
      </w:pPr>
    </w:p>
    <w:p>
      <w:pPr>
        <w:ind w:left="1260" w:right="40"/>
        <w:spacing w:after="0" w:line="302" w:lineRule="auto"/>
        <w:rPr>
          <w:sz w:val="20"/>
          <w:szCs w:val="20"/>
          <w:color w:val="auto"/>
        </w:rPr>
      </w:pPr>
      <w:r>
        <w:rPr>
          <w:rFonts w:ascii="Arial" w:cs="Arial" w:eastAsia="Arial" w:hAnsi="Arial"/>
          <w:sz w:val="12"/>
          <w:szCs w:val="12"/>
          <w:color w:val="auto"/>
        </w:rPr>
        <w:t>In September 2012, we entered into a second agreement with Servier and granted it options to obtain three separate exclusive licenses to develop and commercialize DART-based molecules, consisting of those designated by us as MGD006 and MGD007, as well as a third DART molecule, in all countries other than the United States, Canada, Mexico, Japan, South Korea and India. We received a $20 million option grant fee. In addition, we will be eligible to receive up to approximately $1 billion in additional license grant fees, and clinical, development, regulatory and sales milestone payments if Servier exercises all three of its options and successfully develops, obtains regulatory approval for, and commercializes a product under each license, including $5 million upon IND acceptance for each of MGD006, MGD007 and a third DART molecule. In addition to these milestone payments, we and Servier will share Phase 2 and Phase 3 development costs.</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Additionally, under both agreements, Servier would be obligated to pay us low double digit to mid-teen royalties on product sales in its territories.</w:t>
      </w:r>
    </w:p>
    <w:p>
      <w:pPr>
        <w:spacing w:after="0" w:line="163" w:lineRule="exact"/>
        <w:rPr>
          <w:sz w:val="20"/>
          <w:szCs w:val="20"/>
          <w:color w:val="auto"/>
        </w:rPr>
      </w:pPr>
    </w:p>
    <w:p>
      <w:pPr>
        <w:ind w:left="1240" w:hanging="327"/>
        <w:spacing w:after="0" w:line="253" w:lineRule="auto"/>
        <w:tabs>
          <w:tab w:leader="none" w:pos="1240"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Gilead. </w:t>
      </w:r>
      <w:r>
        <w:rPr>
          <w:rFonts w:ascii="Arial" w:cs="Arial" w:eastAsia="Arial" w:hAnsi="Arial"/>
          <w:sz w:val="14"/>
          <w:szCs w:val="14"/>
          <w:color w:val="auto"/>
        </w:rPr>
        <w:t>In January 2013, we entered into an agreement with Gilead to grant it an exclusive worldwide license to research, develop and commercialize up to four DART-based molecules.</w:t>
      </w:r>
      <w:r>
        <w:rPr>
          <w:rFonts w:ascii="Arial" w:cs="Arial" w:eastAsia="Arial" w:hAnsi="Arial"/>
          <w:sz w:val="14"/>
          <w:szCs w:val="14"/>
          <w:i w:val="1"/>
          <w:iCs w:val="1"/>
          <w:color w:val="auto"/>
        </w:rPr>
        <w:t xml:space="preserve"> </w:t>
      </w:r>
      <w:r>
        <w:rPr>
          <w:rFonts w:ascii="Arial" w:cs="Arial" w:eastAsia="Arial" w:hAnsi="Arial"/>
          <w:sz w:val="14"/>
          <w:szCs w:val="14"/>
          <w:color w:val="auto"/>
        </w:rPr>
        <w:t>Gilead has exclusive worldwide rights for three of the programs. For one program, we retain development and commercialization rights outside of North America, the European Union, Norway, Iceland, Turkey, Australia and New Zealand. We received an initial $7.5 million license grant fee for the first DART-based molecule, and are eligible to receive up to an additional $22.5 million in grant fees on the remaining three DART-based molecules. We are further eligible to receive up to an additional $85 million in pre-clinical milestones across the four DART programs and up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386" w:right="2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60" w:right="200"/>
        <w:spacing w:after="0" w:line="258" w:lineRule="auto"/>
        <w:rPr>
          <w:sz w:val="20"/>
          <w:szCs w:val="20"/>
          <w:color w:val="auto"/>
        </w:rPr>
      </w:pPr>
      <w:r>
        <w:rPr>
          <w:rFonts w:ascii="Arial" w:cs="Arial" w:eastAsia="Arial" w:hAnsi="Arial"/>
          <w:sz w:val="14"/>
          <w:szCs w:val="14"/>
          <w:color w:val="auto"/>
        </w:rPr>
        <w:t>approximately $1 billion in additional clinical, regulatory and sales milestone payments if Gilead exercises all four of the options and achieves all of the requisite milestones under each option and license. Gilead also provides funding for our internal and external research costs under the agreement. We are also eligible to receive tiered royalties on the net sales at percentages ranging from the high-single digits to the low-teens, subject to reductions in specified circumstances.</w:t>
      </w:r>
    </w:p>
    <w:p>
      <w:pPr>
        <w:spacing w:after="0" w:line="139" w:lineRule="exact"/>
        <w:rPr>
          <w:sz w:val="20"/>
          <w:szCs w:val="20"/>
          <w:color w:val="auto"/>
        </w:rPr>
      </w:pPr>
    </w:p>
    <w:p>
      <w:pPr>
        <w:ind w:left="1240" w:hanging="327"/>
        <w:spacing w:after="0" w:line="252" w:lineRule="auto"/>
        <w:tabs>
          <w:tab w:leader="none" w:pos="1240"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Boehringer</w:t>
      </w:r>
      <w:r>
        <w:rPr>
          <w:rFonts w:ascii="Arial" w:cs="Arial" w:eastAsia="Arial" w:hAnsi="Arial"/>
          <w:sz w:val="14"/>
          <w:szCs w:val="14"/>
          <w:color w:val="auto"/>
        </w:rPr>
        <w:t>. In October 2010, we entered into an agreement with Boehringer to discover, develop and commercialize up to ten DART-based molecules which may span multiple therapeutic</w:t>
      </w:r>
      <w:r>
        <w:rPr>
          <w:rFonts w:ascii="Arial" w:cs="Arial" w:eastAsia="Arial" w:hAnsi="Arial"/>
          <w:sz w:val="14"/>
          <w:szCs w:val="14"/>
          <w:i w:val="1"/>
          <w:iCs w:val="1"/>
          <w:color w:val="auto"/>
        </w:rPr>
        <w:t xml:space="preserve"> </w:t>
      </w:r>
      <w:r>
        <w:rPr>
          <w:rFonts w:ascii="Arial" w:cs="Arial" w:eastAsia="Arial" w:hAnsi="Arial"/>
          <w:sz w:val="14"/>
          <w:szCs w:val="14"/>
          <w:color w:val="auto"/>
        </w:rPr>
        <w:t>areas. We granted Boehringer an exclusive worldwide, royalty-bearing, license and received an upfront payment of $15 million. We subsequently received two annual maintenance payments and anticipate receiving a third annual maintenance payment in the fourth quarter of 2013. We have the potential to earn development, regulatory and sales milestone payments that can reach up to approximately $210 million for each of the DART programs under this agreement. Boehringer provides funding for our internal and external research costs and is required to pay us mid-single digit royalties on product sales. From the commencement of the collaboration through June 30, 2013, we have received $37.9 million under this agreement, including upfront, annual maintenance and milestone payments as well as research funding. In addition, Boehringer purchased $10 million of our Series D-2 Preferred Stock in January 2011.</w:t>
      </w:r>
    </w:p>
    <w:p>
      <w:pPr>
        <w:spacing w:after="0" w:line="143" w:lineRule="exact"/>
        <w:rPr>
          <w:rFonts w:ascii="Arial" w:cs="Arial" w:eastAsia="Arial" w:hAnsi="Arial"/>
          <w:sz w:val="14"/>
          <w:szCs w:val="14"/>
          <w:color w:val="auto"/>
        </w:rPr>
      </w:pPr>
    </w:p>
    <w:p>
      <w:pPr>
        <w:ind w:left="1240" w:right="40" w:hanging="327"/>
        <w:spacing w:after="0" w:line="305" w:lineRule="auto"/>
        <w:tabs>
          <w:tab w:leader="none" w:pos="124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Pfizer. </w:t>
      </w:r>
      <w:r>
        <w:rPr>
          <w:rFonts w:ascii="Arial" w:cs="Arial" w:eastAsia="Arial" w:hAnsi="Arial"/>
          <w:sz w:val="12"/>
          <w:szCs w:val="12"/>
          <w:color w:val="auto"/>
        </w:rPr>
        <w:t>In October 2010, we entered into a three year agreement with Pfizer to discover, develop and commercialize up to two DART-based molecules. We granted Pfizer a non-exclusive</w:t>
      </w:r>
      <w:r>
        <w:rPr>
          <w:rFonts w:ascii="Arial" w:cs="Arial" w:eastAsia="Arial" w:hAnsi="Arial"/>
          <w:sz w:val="12"/>
          <w:szCs w:val="12"/>
          <w:i w:val="1"/>
          <w:iCs w:val="1"/>
          <w:color w:val="auto"/>
        </w:rPr>
        <w:t xml:space="preserve"> </w:t>
      </w:r>
      <w:r>
        <w:rPr>
          <w:rFonts w:ascii="Arial" w:cs="Arial" w:eastAsia="Arial" w:hAnsi="Arial"/>
          <w:sz w:val="12"/>
          <w:szCs w:val="12"/>
          <w:color w:val="auto"/>
        </w:rPr>
        <w:t>worldwide, royalty-bearing license and received an upfront payment of $5 million and have received milestone payments and funding for our internal and external research costs under the agreement. We are eligible to receive technical, development and sales milestone payments that can reach up to approximately $210 million for each DART program under this agreement. Pfizer is responsible for all pre-clinical and clinical development costs for the program. In addition, Pfizer is required to pay us mid-single digit to low-teen royalties on product sales. Under this collaboration, one DART program is currently being pursued and we will complete our research obligations under this program in October 2013.</w:t>
      </w:r>
    </w:p>
    <w:p>
      <w:pPr>
        <w:spacing w:after="0" w:line="115" w:lineRule="exact"/>
        <w:rPr>
          <w:rFonts w:ascii="Arial" w:cs="Arial" w:eastAsia="Arial" w:hAnsi="Arial"/>
          <w:sz w:val="12"/>
          <w:szCs w:val="12"/>
          <w:color w:val="auto"/>
        </w:rPr>
      </w:pPr>
    </w:p>
    <w:p>
      <w:pPr>
        <w:ind w:left="1240" w:right="180" w:hanging="327"/>
        <w:spacing w:after="0" w:line="311" w:lineRule="auto"/>
        <w:tabs>
          <w:tab w:leader="none" w:pos="124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Green Cross. </w:t>
      </w:r>
      <w:r>
        <w:rPr>
          <w:rFonts w:ascii="Arial" w:cs="Arial" w:eastAsia="Arial" w:hAnsi="Arial"/>
          <w:sz w:val="12"/>
          <w:szCs w:val="12"/>
          <w:color w:val="auto"/>
        </w:rPr>
        <w:t>In June 2010, we entered into a collaboration agreement with Green Cross for the development of margetuximab. We granted Green Cross an exclusive license for all</w:t>
      </w:r>
      <w:r>
        <w:rPr>
          <w:rFonts w:ascii="Arial" w:cs="Arial" w:eastAsia="Arial" w:hAnsi="Arial"/>
          <w:sz w:val="12"/>
          <w:szCs w:val="12"/>
          <w:i w:val="1"/>
          <w:iCs w:val="1"/>
          <w:color w:val="auto"/>
        </w:rPr>
        <w:t xml:space="preserve"> </w:t>
      </w:r>
      <w:r>
        <w:rPr>
          <w:rFonts w:ascii="Arial" w:cs="Arial" w:eastAsia="Arial" w:hAnsi="Arial"/>
          <w:sz w:val="12"/>
          <w:szCs w:val="12"/>
          <w:color w:val="auto"/>
        </w:rPr>
        <w:t>indications for all pharmaceutical forms of margetuximab in South Korea. Under the terms of this agreement, we received an upfront, nonrefundable payment of $1.0 million and are eligible to receive clinical, development and commercial milestone payments up to $4.5 million as well as royalties ranging from the low-single digits to the low-twenties on net sales of margetuximab in South Korea. In addition, Green Cross purchased $2.0 million of our Series D-2 Preferred Stock in January 2011.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2"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Our revenue consists of collaboration revenue, including amounts recognized relating to upfront nonrefundable payments for licenses or options to obtain future licenses, research and development funding and milestone payments earned under our collaboration and license agreement with our strategic collaborators, including Servier, Gilead, Boehringer, Pfizer and Green Cross. In addition, we have earned revenues through several grants and/or contracts with the U.S. government and other educational institutions on behalf of the U.S. government, primarily with respect to research and development activities related to infectious disease product candidates.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Research and development expenses consist of expenses incurred in performing research and development activities. These expenses include conducting pre-clinical experiments and studies,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386" w:right="2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manufacturing efforts and regulatory filings for all product candidates, and other indirect expenses in support of our research and development activities. We capture research and development expense on a program-by-program basis for our product candidates that are in clinical development and recognize these expenses as they are incurred. The following are items we include in research and development expenses:</w:t>
      </w:r>
    </w:p>
    <w:p>
      <w:pPr>
        <w:spacing w:after="0" w:line="139" w:lineRule="exact"/>
        <w:rPr>
          <w:sz w:val="20"/>
          <w:szCs w:val="20"/>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Employee-related expenses such as salaries and benefits;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Employee-related overhead expenses such as facilities and other allocated items;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Stock-based compensation expense to employees and consultants engaged in research and development activities;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Depreciation of laboratory equipment, computers and leasehold improvements;</w:t>
      </w:r>
    </w:p>
    <w:p>
      <w:pPr>
        <w:spacing w:after="0" w:line="162" w:lineRule="exact"/>
        <w:rPr>
          <w:rFonts w:ascii="Arial" w:cs="Arial" w:eastAsia="Arial" w:hAnsi="Arial"/>
          <w:sz w:val="14"/>
          <w:szCs w:val="14"/>
          <w:color w:val="auto"/>
        </w:rPr>
      </w:pPr>
    </w:p>
    <w:p>
      <w:pPr>
        <w:ind w:left="1240" w:right="120" w:hanging="327"/>
        <w:spacing w:after="0" w:line="267" w:lineRule="auto"/>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Fees paid to consultants, subcontractors, clinical research organizations, or CROs, and other third party vendors for work performed under our pre-clinical and clinical trials including but not limited to investigator grants, laboratory work and analysis, database management, statistical analysis, and other items;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paid to vendors and suppliers for laboratory supplies;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Costs related to manufacturing clinical trial materials, including vialing, packaging and testing;</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License fees and other third party vendor payments related to in-licensed product candidates and technology;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Costs related to compliance with regulatory requirements.</w:t>
      </w:r>
    </w:p>
    <w:p>
      <w:pPr>
        <w:spacing w:after="0" w:line="132" w:lineRule="exact"/>
        <w:rPr>
          <w:sz w:val="20"/>
          <w:szCs w:val="20"/>
          <w:color w:val="auto"/>
        </w:rPr>
      </w:pPr>
    </w:p>
    <w:p>
      <w:pPr>
        <w:ind w:right="220" w:firstLine="802"/>
        <w:spacing w:after="0" w:line="267" w:lineRule="auto"/>
        <w:rPr>
          <w:sz w:val="20"/>
          <w:szCs w:val="20"/>
          <w:color w:val="auto"/>
        </w:rPr>
      </w:pPr>
      <w:r>
        <w:rPr>
          <w:rFonts w:ascii="Arial" w:cs="Arial" w:eastAsia="Arial" w:hAnsi="Arial"/>
          <w:sz w:val="14"/>
          <w:szCs w:val="14"/>
          <w:color w:val="auto"/>
        </w:rPr>
        <w:t>The following table shows a summary of our research and development expenses for the years ended December 31, 2011 and 2012, the six months ended June 30, 2012 and 2013, and from our inception in 2000 to June 30,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8"/>
            <w:vMerge w:val="restart"/>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9"/>
            <w:vMerge w:val="restart"/>
          </w:tcPr>
          <w:p>
            <w:pPr>
              <w:ind w:left="40"/>
              <w:spacing w:after="0"/>
              <w:rPr>
                <w:sz w:val="20"/>
                <w:szCs w:val="20"/>
                <w:color w:val="auto"/>
              </w:rPr>
            </w:pPr>
            <w:r>
              <w:rPr>
                <w:rFonts w:ascii="Arial" w:cs="Arial" w:eastAsia="Arial" w:hAnsi="Arial"/>
                <w:sz w:val="10"/>
                <w:szCs w:val="10"/>
                <w:b w:val="1"/>
                <w:bCs w:val="1"/>
                <w:color w:val="auto"/>
              </w:rPr>
              <w:t>Six Months Ended June 30,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From</w:t>
            </w:r>
          </w:p>
        </w:tc>
        <w:tc>
          <w:tcPr>
            <w:tcW w:w="0" w:type="dxa"/>
            <w:vAlign w:val="bottom"/>
          </w:tcPr>
          <w:p>
            <w:pPr>
              <w:spacing w:after="0"/>
              <w:rPr>
                <w:sz w:val="1"/>
                <w:szCs w:val="1"/>
                <w:color w:val="auto"/>
              </w:rPr>
            </w:pPr>
          </w:p>
        </w:tc>
      </w:tr>
      <w:tr>
        <w:trPr>
          <w:trHeight w:val="116"/>
        </w:trPr>
        <w:tc>
          <w:tcPr>
            <w:tcW w:w="4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8"/>
            <w:vMerge w:val="continue"/>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9"/>
            <w:vMerge w:val="continue"/>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Inception to</w:t>
            </w:r>
          </w:p>
        </w:tc>
        <w:tc>
          <w:tcPr>
            <w:tcW w:w="0" w:type="dxa"/>
            <w:vAlign w:val="bottom"/>
          </w:tcPr>
          <w:p>
            <w:pPr>
              <w:spacing w:after="0"/>
              <w:rPr>
                <w:sz w:val="1"/>
                <w:szCs w:val="1"/>
                <w:color w:val="auto"/>
              </w:rPr>
            </w:pPr>
          </w:p>
        </w:tc>
      </w:tr>
      <w:tr>
        <w:trPr>
          <w:trHeight w:val="94"/>
        </w:trPr>
        <w:tc>
          <w:tcPr>
            <w:tcW w:w="4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160"/>
              <w:spacing w:after="0" w:line="94" w:lineRule="exact"/>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6"/>
        </w:trPr>
        <w:tc>
          <w:tcPr>
            <w:tcW w:w="4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b w:val="1"/>
                <w:bCs w:val="1"/>
                <w:color w:val="auto"/>
                <w:w w:val="80"/>
              </w:rPr>
              <w:t>2011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2012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0"/>
              </w:rPr>
              <w:t>2012</w:t>
            </w:r>
          </w:p>
        </w:tc>
        <w:tc>
          <w:tcPr>
            <w:tcW w:w="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millions)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2013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37"/>
              <w:spacing w:after="0"/>
              <w:rPr>
                <w:sz w:val="20"/>
                <w:szCs w:val="20"/>
                <w:color w:val="auto"/>
              </w:rPr>
            </w:pPr>
            <w:r>
              <w:rPr>
                <w:rFonts w:ascii="Arial" w:cs="Arial" w:eastAsia="Arial" w:hAnsi="Arial"/>
                <w:sz w:val="10"/>
                <w:szCs w:val="10"/>
                <w:b w:val="1"/>
                <w:bCs w:val="1"/>
                <w:color w:val="auto"/>
                <w:w w:val="89"/>
              </w:rPr>
              <w:t>2013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Borders>
              <w:top w:val="single" w:sz="8" w:color="auto"/>
            </w:tcBorders>
          </w:tcPr>
          <w:p>
            <w:pPr>
              <w:ind w:left="40"/>
              <w:spacing w:after="0" w:line="105" w:lineRule="exact"/>
              <w:rPr>
                <w:sz w:val="20"/>
                <w:szCs w:val="20"/>
                <w:color w:val="auto"/>
              </w:rPr>
            </w:pPr>
            <w:r>
              <w:rPr>
                <w:rFonts w:ascii="Arial" w:cs="Arial" w:eastAsia="Arial" w:hAnsi="Arial"/>
                <w:sz w:val="10"/>
                <w:szCs w:val="10"/>
                <w:b w:val="1"/>
                <w:bCs w:val="1"/>
                <w:color w:val="auto"/>
              </w:rPr>
              <w:t>in</w:t>
            </w: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w:t>
            </w: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ind w:left="340"/>
              <w:spacing w:after="0"/>
              <w:rPr>
                <w:sz w:val="20"/>
                <w:szCs w:val="20"/>
                <w:color w:val="auto"/>
              </w:rPr>
            </w:pPr>
            <w:r>
              <w:rPr>
                <w:rFonts w:ascii="Arial" w:cs="Arial" w:eastAsia="Arial" w:hAnsi="Arial"/>
                <w:sz w:val="14"/>
                <w:szCs w:val="14"/>
                <w:color w:val="auto"/>
              </w:rPr>
              <w:t>Margetuximab</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4"/>
          </w:tcPr>
          <w:p>
            <w:pPr>
              <w:jc w:val="right"/>
              <w:ind w:right="200"/>
              <w:spacing w:after="0"/>
              <w:rPr>
                <w:sz w:val="20"/>
                <w:szCs w:val="20"/>
                <w:color w:val="auto"/>
              </w:rPr>
            </w:pPr>
            <w:r>
              <w:rPr>
                <w:rFonts w:ascii="Arial" w:cs="Arial" w:eastAsia="Arial" w:hAnsi="Arial"/>
                <w:sz w:val="14"/>
                <w:szCs w:val="14"/>
                <w:color w:val="auto"/>
              </w:rPr>
              <w:t>6.3</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6.1</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460"/>
              <w:spacing w:after="0"/>
              <w:rPr>
                <w:sz w:val="20"/>
                <w:szCs w:val="20"/>
                <w:color w:val="auto"/>
              </w:rPr>
            </w:pPr>
            <w:r>
              <w:rPr>
                <w:rFonts w:ascii="Arial" w:cs="Arial" w:eastAsia="Arial" w:hAnsi="Arial"/>
                <w:sz w:val="14"/>
                <w:szCs w:val="14"/>
                <w:color w:val="auto"/>
              </w:rPr>
              <w:t>3.1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MGA271</w:t>
            </w: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460"/>
              <w:spacing w:after="0"/>
              <w:rPr>
                <w:sz w:val="20"/>
                <w:szCs w:val="20"/>
                <w:color w:val="auto"/>
              </w:rPr>
            </w:pPr>
            <w:r>
              <w:rPr>
                <w:rFonts w:ascii="Arial" w:cs="Arial" w:eastAsia="Arial" w:hAnsi="Arial"/>
                <w:sz w:val="14"/>
                <w:szCs w:val="14"/>
                <w:color w:val="auto"/>
              </w:rPr>
              <w:t>3.6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ind w:left="340"/>
              <w:spacing w:after="0"/>
              <w:rPr>
                <w:sz w:val="20"/>
                <w:szCs w:val="20"/>
                <w:color w:val="auto"/>
              </w:rPr>
            </w:pPr>
            <w:r>
              <w:rPr>
                <w:rFonts w:ascii="Arial" w:cs="Arial" w:eastAsia="Arial" w:hAnsi="Arial"/>
                <w:sz w:val="14"/>
                <w:szCs w:val="14"/>
                <w:color w:val="auto"/>
              </w:rPr>
              <w:t>DART-based product candidates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12.0</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ind w:right="460"/>
              <w:spacing w:after="0"/>
              <w:rPr>
                <w:sz w:val="20"/>
                <w:szCs w:val="20"/>
                <w:color w:val="auto"/>
              </w:rPr>
            </w:pPr>
            <w:r>
              <w:rPr>
                <w:rFonts w:ascii="Arial" w:cs="Arial" w:eastAsia="Arial" w:hAnsi="Arial"/>
                <w:sz w:val="14"/>
                <w:szCs w:val="14"/>
                <w:color w:val="auto"/>
              </w:rPr>
              <w:t>10.6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Teplizumab</w:t>
            </w: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460"/>
              <w:spacing w:after="0"/>
              <w:rPr>
                <w:sz w:val="20"/>
                <w:szCs w:val="20"/>
                <w:color w:val="auto"/>
              </w:rPr>
            </w:pPr>
            <w:r>
              <w:rPr>
                <w:rFonts w:ascii="Arial" w:cs="Arial" w:eastAsia="Arial" w:hAnsi="Arial"/>
                <w:sz w:val="14"/>
                <w:szCs w:val="14"/>
                <w:color w:val="auto"/>
              </w:rPr>
              <w:t>1.2</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ind w:left="340"/>
              <w:spacing w:after="0"/>
              <w:rPr>
                <w:sz w:val="20"/>
                <w:szCs w:val="20"/>
                <w:color w:val="auto"/>
              </w:rPr>
            </w:pPr>
            <w:r>
              <w:rPr>
                <w:rFonts w:ascii="Arial" w:cs="Arial" w:eastAsia="Arial" w:hAnsi="Arial"/>
                <w:sz w:val="14"/>
                <w:szCs w:val="14"/>
                <w:color w:val="auto"/>
              </w:rPr>
              <w:t>Other discovery and pre-clinical programs, collectively</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6.0</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ind w:right="460"/>
              <w:spacing w:after="0"/>
              <w:rPr>
                <w:sz w:val="20"/>
                <w:szCs w:val="20"/>
                <w:color w:val="auto"/>
              </w:rPr>
            </w:pPr>
            <w:r>
              <w:rPr>
                <w:rFonts w:ascii="Arial" w:cs="Arial" w:eastAsia="Arial" w:hAnsi="Arial"/>
                <w:sz w:val="14"/>
                <w:szCs w:val="14"/>
                <w:color w:val="auto"/>
              </w:rPr>
              <w:t>2.6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research and development expense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41.</w:t>
            </w:r>
            <w:r>
              <w:rPr>
                <w:rFonts w:ascii="Arial" w:cs="Arial" w:eastAsia="Arial" w:hAnsi="Arial"/>
                <w:sz w:val="14"/>
                <w:szCs w:val="14"/>
                <w:u w:val="single" w:color="auto"/>
                <w:color w:val="auto"/>
              </w:rPr>
              <w:t>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w:t>
            </w:r>
            <w:r>
              <w:rPr>
                <w:rFonts w:ascii="Arial" w:cs="Arial" w:eastAsia="Arial" w:hAnsi="Arial"/>
                <w:sz w:val="14"/>
                <w:szCs w:val="14"/>
                <w:u w:val="single" w:color="auto"/>
                <w:color w:val="auto"/>
              </w:rPr>
              <w:t>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r>
              <w:rPr>
                <w:rFonts w:ascii="Arial" w:cs="Arial" w:eastAsia="Arial" w:hAnsi="Arial"/>
                <w:sz w:val="14"/>
                <w:szCs w:val="14"/>
                <w:u w:val="single" w:color="auto"/>
                <w:color w:val="auto"/>
              </w:rPr>
              <w:t>0</w:t>
            </w:r>
          </w:p>
        </w:tc>
        <w:tc>
          <w:tcPr>
            <w:tcW w:w="3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460"/>
              <w:spacing w:after="0"/>
              <w:rPr>
                <w:sz w:val="20"/>
                <w:szCs w:val="20"/>
                <w:color w:val="auto"/>
              </w:rPr>
            </w:pPr>
            <w:r>
              <w:rPr>
                <w:rFonts w:ascii="Arial" w:cs="Arial" w:eastAsia="Arial" w:hAnsi="Arial"/>
                <w:sz w:val="14"/>
                <w:szCs w:val="14"/>
                <w:color w:val="auto"/>
              </w:rPr>
              <w:t>21.1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120" w:firstLine="802"/>
        <w:spacing w:after="0" w:line="253" w:lineRule="auto"/>
        <w:rPr>
          <w:sz w:val="20"/>
          <w:szCs w:val="20"/>
          <w:color w:val="auto"/>
        </w:rPr>
      </w:pPr>
      <w:r>
        <w:rPr>
          <w:rFonts w:ascii="Arial" w:cs="Arial" w:eastAsia="Arial" w:hAnsi="Arial"/>
          <w:sz w:val="14"/>
          <w:szCs w:val="14"/>
          <w:color w:val="auto"/>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386" w:right="2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132" w:lineRule="exact"/>
        <w:rPr>
          <w:sz w:val="20"/>
          <w:szCs w:val="20"/>
          <w:color w:val="auto"/>
        </w:rPr>
      </w:pPr>
    </w:p>
    <w:p>
      <w:pPr>
        <w:ind w:right="200" w:firstLine="802"/>
        <w:spacing w:after="0" w:line="267" w:lineRule="auto"/>
        <w:rPr>
          <w:sz w:val="20"/>
          <w:szCs w:val="20"/>
          <w:color w:val="auto"/>
        </w:rPr>
      </w:pPr>
      <w:r>
        <w:rPr>
          <w:rFonts w:ascii="Arial" w:cs="Arial" w:eastAsia="Arial" w:hAnsi="Arial"/>
          <w:sz w:val="14"/>
          <w:szCs w:val="14"/>
          <w:color w:val="auto"/>
        </w:rPr>
        <w:t>General and administrative expenses consist of salaries and related benefit costs for employees in our executive, finance, legal and intellectual property, business development, human resources and other support functions, travel expenses and other legal and professional fees.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132" w:lineRule="exact"/>
        <w:rPr>
          <w:sz w:val="20"/>
          <w:szCs w:val="20"/>
          <w:color w:val="auto"/>
        </w:rPr>
      </w:pPr>
    </w:p>
    <w:p>
      <w:pPr>
        <w:ind w:right="140" w:firstLine="802"/>
        <w:spacing w:after="0" w:line="267" w:lineRule="auto"/>
        <w:rPr>
          <w:sz w:val="20"/>
          <w:szCs w:val="20"/>
          <w:color w:val="auto"/>
        </w:rPr>
      </w:pPr>
      <w:r>
        <w:rPr>
          <w:rFonts w:ascii="Arial" w:cs="Arial" w:eastAsia="Arial" w:hAnsi="Arial"/>
          <w:sz w:val="14"/>
          <w:szCs w:val="14"/>
          <w:color w:val="auto"/>
        </w:rPr>
        <w:t>Other income (expense) consists of interest income earned on our cash equivalents, offset by interest expense and other expense, including changes in the fair market value of the preferred stock warrant liability.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34" w:lineRule="exact"/>
        <w:rPr>
          <w:sz w:val="20"/>
          <w:szCs w:val="20"/>
          <w:color w:val="auto"/>
        </w:rPr>
      </w:pPr>
    </w:p>
    <w:p>
      <w:pPr>
        <w:ind w:right="80" w:firstLine="802"/>
        <w:spacing w:after="0" w:line="302" w:lineRule="auto"/>
        <w:rPr>
          <w:sz w:val="20"/>
          <w:szCs w:val="20"/>
          <w:color w:val="auto"/>
        </w:rPr>
      </w:pPr>
      <w:r>
        <w:rPr>
          <w:rFonts w:ascii="Arial" w:cs="Arial" w:eastAsia="Arial" w:hAnsi="Arial"/>
          <w:sz w:val="12"/>
          <w:szCs w:val="12"/>
          <w:color w:val="auto"/>
        </w:rPr>
        <w:t>Our management’s discussion and analysis of financial conditions and results of operations is based on our consolidated financial statements, which have been prepared in accordance with accounting principles generally accepted in the United States of America. The preparation of these consolidated financial statements requires us to make estimates, judgments and assumptions that affect the reported amounts of assets and liabilities and disclosure of contingent assets and 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The results of any material revisions would be reflected in the consolidated financial statements prospectively from the date of the change in estimate.</w:t>
      </w:r>
    </w:p>
    <w:p>
      <w:pPr>
        <w:spacing w:after="0" w:line="86" w:lineRule="exact"/>
        <w:rPr>
          <w:sz w:val="20"/>
          <w:szCs w:val="20"/>
          <w:color w:val="auto"/>
        </w:rPr>
      </w:pPr>
    </w:p>
    <w:p>
      <w:pPr>
        <w:ind w:right="160" w:firstLine="802"/>
        <w:spacing w:after="0" w:line="351" w:lineRule="auto"/>
        <w:rPr>
          <w:sz w:val="20"/>
          <w:szCs w:val="20"/>
          <w:color w:val="auto"/>
        </w:rPr>
      </w:pPr>
      <w:r>
        <w:rPr>
          <w:rFonts w:ascii="Arial" w:cs="Arial" w:eastAsia="Arial" w:hAnsi="Arial"/>
          <w:sz w:val="12"/>
          <w:szCs w:val="12"/>
          <w:color w:val="auto"/>
        </w:rPr>
        <w:t>While a summary of significant accounting policies is described fully in Note 2 in our consolidated financial statements, we believe that the following accounting policies are the most critical to assist you in fully understanding and evaluating our financial results and any affect the estimates and judgments we used in preparing our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2" w:lineRule="exact"/>
        <w:rPr>
          <w:sz w:val="20"/>
          <w:szCs w:val="20"/>
          <w:color w:val="auto"/>
        </w:rPr>
      </w:pPr>
    </w:p>
    <w:p>
      <w:pPr>
        <w:ind w:firstLine="802"/>
        <w:spacing w:after="0" w:line="297" w:lineRule="auto"/>
        <w:rPr>
          <w:sz w:val="20"/>
          <w:szCs w:val="20"/>
          <w:color w:val="auto"/>
        </w:rPr>
      </w:pPr>
      <w:r>
        <w:rPr>
          <w:rFonts w:ascii="Arial" w:cs="Arial" w:eastAsia="Arial" w:hAnsi="Arial"/>
          <w:sz w:val="12"/>
          <w:szCs w:val="12"/>
          <w:color w:val="auto"/>
        </w:rPr>
        <w:t xml:space="preserve">We enter into collaboration and license agreements with collaborators for the development of monoclonal antibody-based therapeutics to treat cancer and other complex diseases. The terms of these agreements contain multiple deliverables which may include (i) licenses, or options to obtain licenses, to our technological platforms, such as our Fc engineering and DART technologies, (ii) rights to future technological improvements, (iii) research and development activities to be performed on behalf of the collaborative partner or as part of the collaboration, and (iv) the manufacture of pre-clinical or clinical materials for the collaborative partner. Payments to us under these agreements may include nonrefundable license fees, option fees, exercise fees, payments for research and development activities, payments for the manufacture of pre-clinical or clinical materials, license maintenance payments, payments based upon the achievement of certain milestones and royalties on product sales. Other benefits to us from these agreements include the right to sell products resulting from the collaborative efforts of the parties in specific geographic territories. We follow the provisions of the Financial Accounting Standards Board, or FASB, Accounting Standards Codification, or ASC, Topic 605-25, </w:t>
      </w:r>
      <w:r>
        <w:rPr>
          <w:rFonts w:ascii="Arial" w:cs="Arial" w:eastAsia="Arial" w:hAnsi="Arial"/>
          <w:sz w:val="12"/>
          <w:szCs w:val="12"/>
          <w:i w:val="1"/>
          <w:iCs w:val="1"/>
          <w:color w:val="auto"/>
        </w:rPr>
        <w:t>Revenue Recognition–Multiple-Element Arrangements</w:t>
      </w:r>
      <w:r>
        <w:rPr>
          <w:rFonts w:ascii="Arial" w:cs="Arial" w:eastAsia="Arial" w:hAnsi="Arial"/>
          <w:sz w:val="12"/>
          <w:szCs w:val="12"/>
          <w:color w:val="auto"/>
        </w:rPr>
        <w:t xml:space="preserve">, and ASC Topic 605-28, </w:t>
      </w:r>
      <w:r>
        <w:rPr>
          <w:rFonts w:ascii="Arial" w:cs="Arial" w:eastAsia="Arial" w:hAnsi="Arial"/>
          <w:sz w:val="12"/>
          <w:szCs w:val="12"/>
          <w:i w:val="1"/>
          <w:iCs w:val="1"/>
          <w:color w:val="auto"/>
        </w:rPr>
        <w:t>Revenue Recognition–Milestone Method</w:t>
      </w:r>
      <w:r>
        <w:rPr>
          <w:rFonts w:ascii="Arial" w:cs="Arial" w:eastAsia="Arial" w:hAnsi="Arial"/>
          <w:sz w:val="12"/>
          <w:szCs w:val="12"/>
          <w:color w:val="auto"/>
        </w:rPr>
        <w:t>, in accounting for these agreements. In order to account for these agreements, we must identify the deliverables included within the agreement and evaluate which deliverables represent separate units of accounting based on the achievement of certain criteria, including whether the delivered element has stand-alone value to the collaborator. The consideration received is allocated among the separate units of accounting, and the applicable revenue recognition criteria are applied to each of the separate units.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386" w:right="2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As of December 31, 2012, we had the following two types of agreements: 1) exclusive development and commercialization licenses to use our technology and/or certain other intellectual property to develop compounds against specified targets, which we refer to as exclusive licenses; and 2) option/research agreements to secure on established terms development and commercialization licenses to anticancer and other therapeutic product candidates to collaborator selected targets developed by us during an option period, which we refer to as right-to-develop agreements.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Exclusive Licenses</w:t>
      </w:r>
    </w:p>
    <w:p>
      <w:pPr>
        <w:spacing w:after="0" w:line="132"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The deliverables under an exclusive license agreement generally include the exclusive license to our technology with respect to a specified antigen target, and may also include deliverables related to rights to future technological improvements, research and pre-clinical development activities to be performed on behalf of the collaborator. In some cases we may have an option to participate in the co-development of product candidates that result from such agreements.</w:t>
      </w:r>
    </w:p>
    <w:p>
      <w:pPr>
        <w:spacing w:after="0" w:line="108" w:lineRule="exact"/>
        <w:rPr>
          <w:sz w:val="20"/>
          <w:szCs w:val="20"/>
          <w:color w:val="auto"/>
        </w:rPr>
      </w:pPr>
    </w:p>
    <w:p>
      <w:pPr>
        <w:jc w:val="both"/>
        <w:ind w:right="260" w:firstLine="802"/>
        <w:spacing w:after="0" w:line="295" w:lineRule="auto"/>
        <w:rPr>
          <w:sz w:val="20"/>
          <w:szCs w:val="20"/>
          <w:color w:val="auto"/>
        </w:rPr>
      </w:pPr>
      <w:r>
        <w:rPr>
          <w:rFonts w:ascii="Arial" w:cs="Arial" w:eastAsia="Arial" w:hAnsi="Arial"/>
          <w:sz w:val="12"/>
          <w:szCs w:val="12"/>
          <w:color w:val="auto"/>
        </w:rPr>
        <w:t>Generally, exclusive license agreements contain nonrefundable terms for payments and, depending on the terms of the agreement, provide that we will (i) at the collaborator’s request, provide research and pre-clinical development services at negotiated prices which are generally consistent with what other third parties would charge, (ii) earn payments upon the achievement of certain milestones,</w:t>
      </w:r>
    </w:p>
    <w:p>
      <w:pPr>
        <w:spacing w:after="0" w:line="1" w:lineRule="exact"/>
        <w:rPr>
          <w:sz w:val="20"/>
          <w:szCs w:val="20"/>
          <w:color w:val="auto"/>
        </w:rPr>
      </w:pPr>
    </w:p>
    <w:p>
      <w:pPr>
        <w:ind w:right="340" w:firstLine="4"/>
        <w:spacing w:after="0" w:line="253" w:lineRule="auto"/>
        <w:tabs>
          <w:tab w:leader="none" w:pos="2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earn royalty payments, and (iv) in some cases grant us an option to participate in the development and commercialization of products that result from such agreements. Royalty rates may vary over the royalty term depending on our intellectual property rights and whether we exercise any co-development and co-commercialization rights. We may provide technical assistance and share any technology improvements with our collaborators during the term of the collaboration agreements.</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do not directly control when any collaborator will achieve milestones or become liable for royalty payments.</w:t>
      </w:r>
    </w:p>
    <w:p>
      <w:pPr>
        <w:spacing w:after="0" w:line="132" w:lineRule="exact"/>
        <w:rPr>
          <w:sz w:val="20"/>
          <w:szCs w:val="20"/>
          <w:color w:val="auto"/>
        </w:rPr>
      </w:pPr>
    </w:p>
    <w:p>
      <w:pPr>
        <w:ind w:right="80" w:firstLine="802"/>
        <w:spacing w:after="0" w:line="300" w:lineRule="auto"/>
        <w:rPr>
          <w:sz w:val="20"/>
          <w:szCs w:val="20"/>
          <w:color w:val="auto"/>
        </w:rPr>
      </w:pPr>
      <w:r>
        <w:rPr>
          <w:rFonts w:ascii="Arial" w:cs="Arial" w:eastAsia="Arial" w:hAnsi="Arial"/>
          <w:sz w:val="12"/>
          <w:szCs w:val="12"/>
          <w:color w:val="auto"/>
        </w:rPr>
        <w:t>In determining the units of accounting, management evaluates whether the exclusive license has stand-alone value from the undelivered elements to the collaborator based on the consideration of the relevant facts and circumstances for each arrangement. Factors considered in this determination include the research capabilities of the collaborator and the availability of technology platform and product research expertise in the general marketplace. If we conclude that the license has stand-alone value and therefore will be accounted for as a separate unit of accounting, we then determine the estimated selling prices of the license and all other units of accounting based on market conditions, similar arrangements entered into by third parties, and entity-specific factors such as the terms of our previous collaboration agreements, recent pre-clinical and clinical testing results of therapeutic product candidates that use our technology platforms, our pricing practices and pricing objectives, the likelihood that technological improvements will be made, the likelihood that technological improvements made will be used by our collaborators and the nature of the research services to be performed on behalf of our collaborators and market rates for similar services.</w:t>
      </w:r>
    </w:p>
    <w:p>
      <w:pPr>
        <w:spacing w:after="0" w:line="88" w:lineRule="exact"/>
        <w:rPr>
          <w:sz w:val="20"/>
          <w:szCs w:val="20"/>
          <w:color w:val="auto"/>
        </w:rPr>
      </w:pPr>
    </w:p>
    <w:p>
      <w:pPr>
        <w:ind w:right="60" w:firstLine="802"/>
        <w:spacing w:after="0" w:line="302" w:lineRule="auto"/>
        <w:rPr>
          <w:sz w:val="20"/>
          <w:szCs w:val="20"/>
          <w:color w:val="auto"/>
        </w:rPr>
      </w:pPr>
      <w:r>
        <w:rPr>
          <w:rFonts w:ascii="Arial" w:cs="Arial" w:eastAsia="Arial" w:hAnsi="Arial"/>
          <w:sz w:val="12"/>
          <w:szCs w:val="12"/>
          <w:color w:val="auto"/>
        </w:rPr>
        <w:t xml:space="preserve">Upfront payments on exclusive licenses are deferred if facts and circumstances dictate that the license does not have stand-alone value. Prior to the adoption of Accounting Standards Update, or ASU, No. 2009-13,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on January 1, 2011, we determined that our licenses lacked stand-alone value and were combined with other elements of the arrangement and any amounts associated with the license were deferred and amortized over a certain period, which we refer to as our period of substantial involvement. The determination of the length of the period over which to defer revenue is subject to judgment and estimation and can have an impact on the amount of revenue recognized in a given period. Historically, our involvement with the development of a collaborator’s product candidate has been significant at the early stages of development, and lessens as it progresses into clinical trials. Accordingly, we generally estimate this period of substantial involvement to begin at the inception of the collaboration agreement and conclude at the end of our substantial involvement. We reassess our periods of substantial involvement over which we amortize our upfront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40"/>
          </w:cols>
          <w:pgMar w:left="220" w:top="386"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license fees and make adjustments as appropriate. In the event a collaborator elects to discontinue development of a specific product candidate under a single target license, but retains its right to use our technology to develop an alternative product candidate to the same target or a target substitute, we would cease amortization of any remaining portion of the upfront fee until there is substantial pre-clinical activity on another product candidate and its remaining period of substantial involvement can be estimated. In the event that a single target license were to be terminated, we would recognize as revenue any portion of the upfront fee that had not previously been recorded as revenue, but was classified as deferred revenue, at the date of such termination or through the remaining substantial involvement in the wind down of the agreement.</w:t>
      </w:r>
    </w:p>
    <w:p>
      <w:pPr>
        <w:spacing w:after="0" w:line="113" w:lineRule="exact"/>
        <w:rPr>
          <w:sz w:val="20"/>
          <w:szCs w:val="20"/>
          <w:color w:val="auto"/>
        </w:rPr>
      </w:pPr>
    </w:p>
    <w:p>
      <w:pPr>
        <w:ind w:right="280" w:firstLine="802"/>
        <w:spacing w:after="0" w:line="267" w:lineRule="auto"/>
        <w:rPr>
          <w:sz w:val="20"/>
          <w:szCs w:val="20"/>
          <w:color w:val="auto"/>
        </w:rPr>
      </w:pPr>
      <w:r>
        <w:rPr>
          <w:rFonts w:ascii="Arial" w:cs="Arial" w:eastAsia="Arial" w:hAnsi="Arial"/>
          <w:sz w:val="14"/>
          <w:szCs w:val="14"/>
          <w:color w:val="auto"/>
        </w:rPr>
        <w:t>Upfront payments on exclusive licenses may be recognized upon delivery of the license if facts and circumstances dictate that the license has stand-alone value from the undelivered elements, which generally include rights to future technological improvements, research services and the manufacture of pre-clinical and clinical materials.</w:t>
      </w:r>
    </w:p>
    <w:p>
      <w:pPr>
        <w:spacing w:after="0" w:line="101" w:lineRule="exact"/>
        <w:rPr>
          <w:sz w:val="20"/>
          <w:szCs w:val="20"/>
          <w:color w:val="auto"/>
        </w:rPr>
      </w:pPr>
    </w:p>
    <w:p>
      <w:pPr>
        <w:ind w:right="120" w:firstLine="802"/>
        <w:spacing w:after="0" w:line="258" w:lineRule="auto"/>
        <w:rPr>
          <w:sz w:val="20"/>
          <w:szCs w:val="20"/>
          <w:color w:val="auto"/>
        </w:rPr>
      </w:pPr>
      <w:r>
        <w:rPr>
          <w:rFonts w:ascii="Arial" w:cs="Arial" w:eastAsia="Arial" w:hAnsi="Arial"/>
          <w:sz w:val="14"/>
          <w:szCs w:val="14"/>
          <w:color w:val="auto"/>
        </w:rPr>
        <w:t>We recognize revenue related to research and pre-clinical development services that represent separate units of accounting as they are performed, as long as there is persuasive evidence of an arrangement, the fee is fixed or determinable, and collection of the related receivable is probable. We recognize revenue related to the rights to future technological improvements over the estimated term of the applicable license.</w:t>
      </w:r>
    </w:p>
    <w:p>
      <w:pPr>
        <w:spacing w:after="0" w:line="108" w:lineRule="exact"/>
        <w:rPr>
          <w:sz w:val="20"/>
          <w:szCs w:val="20"/>
          <w:color w:val="auto"/>
        </w:rPr>
      </w:pPr>
    </w:p>
    <w:p>
      <w:pPr>
        <w:ind w:right="60" w:firstLine="802"/>
        <w:spacing w:after="0" w:line="351" w:lineRule="auto"/>
        <w:rPr>
          <w:sz w:val="20"/>
          <w:szCs w:val="20"/>
          <w:color w:val="auto"/>
        </w:rPr>
      </w:pPr>
      <w:r>
        <w:rPr>
          <w:rFonts w:ascii="Arial" w:cs="Arial" w:eastAsia="Arial" w:hAnsi="Arial"/>
          <w:sz w:val="12"/>
          <w:szCs w:val="12"/>
          <w:color w:val="auto"/>
        </w:rPr>
        <w:t>We typically perform research activities and pre-clinical development services, including generating and engineering product candidates, on behalf of our licensees during the early evaluation and pre-clinical testing stages of drug development under our exclusive licenses. We record amounts received for research materials produced or services performed as revenue from collaborative research.</w:t>
      </w:r>
    </w:p>
    <w:p>
      <w:pPr>
        <w:spacing w:after="0" w:line="56"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Our license agreements have milestone payments which for reporting purposes are aggregated into three categories: (i) development milestones, (ii) regulatory milestones, and (iii) sales milestones. Development milestones are typically payable when a product candidate initiates or advances into different clinical trial phases. Regulatory milestones are typically payable upon submission for marketing approval with the FDA or other countries’ regulatory authorities or on receipt of actual marketing approvals for the compound or for additional indications. Sales milestones are typically payable when annual sales reach certain levels.</w:t>
      </w:r>
    </w:p>
    <w:p>
      <w:pPr>
        <w:spacing w:after="0" w:line="110" w:lineRule="exact"/>
        <w:rPr>
          <w:sz w:val="20"/>
          <w:szCs w:val="20"/>
          <w:color w:val="auto"/>
        </w:rPr>
      </w:pPr>
    </w:p>
    <w:p>
      <w:pPr>
        <w:ind w:right="40" w:firstLine="802"/>
        <w:spacing w:after="0" w:line="252" w:lineRule="auto"/>
        <w:rPr>
          <w:sz w:val="20"/>
          <w:szCs w:val="20"/>
          <w:color w:val="auto"/>
        </w:rPr>
      </w:pPr>
      <w:r>
        <w:rPr>
          <w:rFonts w:ascii="Arial" w:cs="Arial" w:eastAsia="Arial" w:hAnsi="Arial"/>
          <w:sz w:val="14"/>
          <w:szCs w:val="14"/>
          <w:color w:val="auto"/>
        </w:rPr>
        <w:t>At the inception of each agreement that includes milestone payments, we evaluate whether each milestone is substantive and at risk to both parties on the basis of the contingent nature of the milestone. This evaluation includes an assessment of whether (a) the consideration is commensurate with either (1) our performance to achieve the milestone, or (2) the enhancement of the value of the delivered item(s) as a result of a specific outcome resulting from our performance to achieve the milestone, (b) the consideration relates solely to past performance and (c) the consideration is reasonable relative to all of the deliverables and payment terms within the arrangement. We evaluate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w:t>
      </w:r>
    </w:p>
    <w:p>
      <w:pPr>
        <w:spacing w:after="0" w:line="114" w:lineRule="exact"/>
        <w:rPr>
          <w:sz w:val="20"/>
          <w:szCs w:val="20"/>
          <w:color w:val="auto"/>
        </w:rPr>
      </w:pPr>
    </w:p>
    <w:p>
      <w:pPr>
        <w:ind w:right="180" w:firstLine="802"/>
        <w:spacing w:after="0" w:line="311" w:lineRule="auto"/>
        <w:rPr>
          <w:sz w:val="20"/>
          <w:szCs w:val="20"/>
          <w:color w:val="auto"/>
        </w:rPr>
      </w:pPr>
      <w:r>
        <w:rPr>
          <w:rFonts w:ascii="Arial" w:cs="Arial" w:eastAsia="Arial" w:hAnsi="Arial"/>
          <w:sz w:val="12"/>
          <w:szCs w:val="12"/>
          <w:color w:val="auto"/>
        </w:rPr>
        <w:t>Non-refundable development and regulatory milestones that are expected to be achieved as a result of our efforts during the period of substantial involvement are considered substantive and are recognized as revenue upon the achievement of the milestone, assuming all other revenue recognition criteria are met. Milestones that are not considered substantive because we did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Right-to-Develop Agreements</w:t>
      </w:r>
    </w:p>
    <w:p>
      <w:pPr>
        <w:spacing w:after="0" w:line="132" w:lineRule="exact"/>
        <w:rPr>
          <w:sz w:val="20"/>
          <w:szCs w:val="20"/>
          <w:color w:val="auto"/>
        </w:rPr>
      </w:pPr>
    </w:p>
    <w:p>
      <w:pPr>
        <w:ind w:right="160" w:firstLine="802"/>
        <w:spacing w:after="0" w:line="267" w:lineRule="auto"/>
        <w:rPr>
          <w:sz w:val="20"/>
          <w:szCs w:val="20"/>
          <w:color w:val="auto"/>
        </w:rPr>
      </w:pPr>
      <w:r>
        <w:rPr>
          <w:rFonts w:ascii="Arial" w:cs="Arial" w:eastAsia="Arial" w:hAnsi="Arial"/>
          <w:sz w:val="14"/>
          <w:szCs w:val="14"/>
          <w:color w:val="auto"/>
        </w:rPr>
        <w:t>Our right-to-develop agreements provide collaborators with an exclusive option to obtain licenses to develop and commercialize in specified geographic territories product candidates developed by us under agreed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386" w:right="2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upon research and pre-clinical development programs. The product candidates resulting from each program are all directed to a specific target selected by the collaborator. Under these agreements, fees may be due to us (i) at the inception of the arrangement (referred to as “upfront” fees or payments), (ii) the selection of a target for a program, (iii) upon the exercise of an option to acquire a development and commercialization license, referred to as exercise fee, for a program, or (iv) some combination of all of these fees.</w:t>
      </w:r>
    </w:p>
    <w:p>
      <w:pPr>
        <w:spacing w:after="0" w:line="108" w:lineRule="exact"/>
        <w:rPr>
          <w:sz w:val="20"/>
          <w:szCs w:val="20"/>
          <w:color w:val="auto"/>
        </w:rPr>
      </w:pPr>
    </w:p>
    <w:p>
      <w:pPr>
        <w:ind w:right="120" w:firstLine="802"/>
        <w:spacing w:after="0" w:line="311" w:lineRule="auto"/>
        <w:rPr>
          <w:sz w:val="20"/>
          <w:szCs w:val="20"/>
          <w:color w:val="auto"/>
        </w:rPr>
      </w:pPr>
      <w:r>
        <w:rPr>
          <w:rFonts w:ascii="Arial" w:cs="Arial" w:eastAsia="Arial" w:hAnsi="Arial"/>
          <w:sz w:val="12"/>
          <w:szCs w:val="12"/>
          <w:color w:val="auto"/>
        </w:rPr>
        <w:t>The accounting for right-to-develop agreements is dependent on the nature of the options granted to the collaborative partner. Options are considered substantive if, at the inception of a right-to-develop agreement, we are at risk as to whether the collaborative partner will choose to exercise the options to secure development and commercialization licenses. Factors that are considered in evaluating whether options are substantive include the overall objective of the arrangement, the benefit the collaborator might obtain from the agreement without exercising the options, the cost to exercise the options relative to the total upfront consideration, and the additional financial commitments imposed on the collaborator as a result of exercising the options.</w:t>
      </w:r>
    </w:p>
    <w:p>
      <w:pPr>
        <w:spacing w:after="0" w:line="79" w:lineRule="exact"/>
        <w:rPr>
          <w:sz w:val="20"/>
          <w:szCs w:val="20"/>
          <w:color w:val="auto"/>
        </w:rPr>
      </w:pPr>
    </w:p>
    <w:p>
      <w:pPr>
        <w:ind w:firstLine="802"/>
        <w:spacing w:after="0" w:line="298" w:lineRule="auto"/>
        <w:rPr>
          <w:sz w:val="20"/>
          <w:szCs w:val="20"/>
          <w:color w:val="auto"/>
        </w:rPr>
      </w:pPr>
      <w:r>
        <w:rPr>
          <w:rFonts w:ascii="Arial" w:cs="Arial" w:eastAsia="Arial" w:hAnsi="Arial"/>
          <w:sz w:val="12"/>
          <w:szCs w:val="12"/>
          <w:color w:val="auto"/>
        </w:rPr>
        <w:t>For right-to-develop agreements where the options to secure a development and commercialization licenses to a product program are considered substantive, we do not consider the development and commercialization licenses to be a deliverable at the inception of the agreement. For those right-to-develop agreements entered into prior to the adoption of ASU No. 2009-13 where the options to secure development and commercialization licenses are considered substantive, we have deferred the upfront payments received and recognize this revenue over the period during which the collaborator could elect to exercise options for development and commercialization licenses. These periods are specific to each collaboration agreement. If a collaborator selects a target for a product program, any substantive option fee is deferred and recognized over the life of the option, generally 12 months. If a collaborator exercises an option and acquires a development and commercialization license to a product program, we attribute the exercise fee to the development and commercialization license. Upon exercise of an option to acquire a development and commercialization license, we would also attribute any remaining deferred option fee to the development and commercialization license and apply the multiple-element revenue recognition criteria to the development and commercialization license and any other deliverables to determine the appropriate revenue recognition, which will be consistent with our accounting policy for upfront payments on exclusive licenses. In the event a right-to-develop agreement were to be terminated, we would recognize as revenue any portion of the upfront fee that had not previously been recorded as revenue, but was classified as deferred revenue, at the date of such termination.</w:t>
      </w:r>
    </w:p>
    <w:p>
      <w:pPr>
        <w:spacing w:after="0" w:line="88" w:lineRule="exact"/>
        <w:rPr>
          <w:sz w:val="20"/>
          <w:szCs w:val="20"/>
          <w:color w:val="auto"/>
        </w:rPr>
      </w:pPr>
    </w:p>
    <w:p>
      <w:pPr>
        <w:ind w:right="60" w:firstLine="802"/>
        <w:spacing w:after="0" w:line="321" w:lineRule="auto"/>
        <w:rPr>
          <w:sz w:val="20"/>
          <w:szCs w:val="20"/>
          <w:color w:val="auto"/>
        </w:rPr>
      </w:pPr>
      <w:r>
        <w:rPr>
          <w:rFonts w:ascii="Arial" w:cs="Arial" w:eastAsia="Arial" w:hAnsi="Arial"/>
          <w:sz w:val="12"/>
          <w:szCs w:val="12"/>
          <w:color w:val="auto"/>
        </w:rPr>
        <w:t>For right-to-develop agreements where the options to secure development and commercialization licenses to product programs are not considered substantive, we consider the development and commercialization licenses to be a deliverable at the inception of the agreement and apply the multiple-element revenue recognition criteria to determine the appropriate revenue recognition. All of our right-to-develop agreements have been determined to contain substantive options. We do not directly control when any collaborator will exercise its options for development and commercialization licenses.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 and related Accrued Expenses</w:t>
      </w:r>
    </w:p>
    <w:p>
      <w:pPr>
        <w:spacing w:after="0" w:line="132" w:lineRule="exact"/>
        <w:rPr>
          <w:sz w:val="20"/>
          <w:szCs w:val="20"/>
          <w:color w:val="auto"/>
        </w:rPr>
      </w:pPr>
    </w:p>
    <w:p>
      <w:pPr>
        <w:jc w:val="both"/>
        <w:ind w:right="80" w:firstLine="802"/>
        <w:spacing w:after="0" w:line="321" w:lineRule="auto"/>
        <w:rPr>
          <w:sz w:val="20"/>
          <w:szCs w:val="20"/>
          <w:color w:val="auto"/>
        </w:rPr>
      </w:pPr>
      <w:r>
        <w:rPr>
          <w:rFonts w:ascii="Arial" w:cs="Arial" w:eastAsia="Arial" w:hAnsi="Arial"/>
          <w:sz w:val="12"/>
          <w:szCs w:val="12"/>
          <w:color w:val="auto"/>
        </w:rPr>
        <w:t>As part of the process of preparing our consolidated financial statements, we may be required to estimate accrued expenses. In order to obtain reasonable estimates, we review open contracts and purchase orders. In addition, we communicate with applicable personnel in order to identify services that have been performed, but for which we have not yet been invoiced. In most cases, our vendors provide us with monthly invoices in arrears for services performed. We confirm our estimates with these vendors and make adjustments as needed. The following are examples of our accrued expenses:</w:t>
      </w:r>
    </w:p>
    <w:p>
      <w:pPr>
        <w:spacing w:after="0" w:line="105" w:lineRule="exact"/>
        <w:rPr>
          <w:sz w:val="20"/>
          <w:szCs w:val="20"/>
          <w:color w:val="auto"/>
        </w:rPr>
      </w:pPr>
    </w:p>
    <w:p>
      <w:pPr>
        <w:ind w:left="1240" w:hanging="327"/>
        <w:spacing w:after="0"/>
        <w:tabs>
          <w:tab w:leader="none" w:pos="1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Fees paid to CROs for services performed on clinical trials;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Fees paid to investigative sites for services performed on clinical trials;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Fees paid for professional services.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20" w:top="387" w:right="2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120" w:firstLine="802"/>
        <w:spacing w:after="0" w:line="321" w:lineRule="auto"/>
        <w:rPr>
          <w:sz w:val="20"/>
          <w:szCs w:val="20"/>
          <w:color w:val="auto"/>
        </w:rPr>
      </w:pPr>
      <w:r>
        <w:rPr>
          <w:rFonts w:ascii="Arial" w:cs="Arial" w:eastAsia="Arial" w:hAnsi="Arial"/>
          <w:sz w:val="12"/>
          <w:szCs w:val="12"/>
          <w:color w:val="auto"/>
        </w:rPr>
        <w:t>Expenses related to clinical trials performed by our CROs are dependent on the successful enrollment of patients. These expenses can vary from site to site and contract to contract. We base our estimated accruals on the time period over which the services are to be performed and the level of effort to be expended in each period based on the estimated enrollment of patients in each trial. We will adjust accordingly should the estimates vary from the actual expenses. However, we do not anticipate that our payment of actual expenses will differ materially from our estimates.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as income in the period that such tax rate changes are enacted. The measurement of a deferred tax asset is reduced, if necessary, by a valuation allowance if it is more likely than not that some portion or all of the deferred tax asset will not be realized. Financial statement recognition of a tax position taken or expected to be taken in a tax return is determined based on a more-likely-than-not threshold of that position being sustained. If the tax position meets this threshold, the benefit to be recognized is measured as the largest amount that is more than 50% likely to be realized upon ultimate settlement. Our policy is to record interest and penalties related to uncertain tax positions as a component of income tax expense.</w:t>
      </w:r>
    </w:p>
    <w:p>
      <w:pPr>
        <w:spacing w:after="0" w:line="86" w:lineRule="exact"/>
        <w:rPr>
          <w:sz w:val="20"/>
          <w:szCs w:val="20"/>
          <w:color w:val="auto"/>
        </w:rPr>
      </w:pPr>
    </w:p>
    <w:p>
      <w:pPr>
        <w:ind w:right="40" w:firstLine="802"/>
        <w:spacing w:after="0" w:line="300" w:lineRule="auto"/>
        <w:rPr>
          <w:sz w:val="20"/>
          <w:szCs w:val="20"/>
          <w:color w:val="auto"/>
        </w:rPr>
      </w:pPr>
      <w:r>
        <w:rPr>
          <w:rFonts w:ascii="Arial" w:cs="Arial" w:eastAsia="Arial" w:hAnsi="Arial"/>
          <w:sz w:val="12"/>
          <w:szCs w:val="12"/>
          <w:color w:val="auto"/>
        </w:rPr>
        <w:t>We recorded deferred tax assets of $78.1 million as of December 31, 2012, which have been fully offset by a valuation allowance due to uncertainties surrounding our ability to realize these tax benefits. The deferred tax assets are primarily comprised of federal and state tax net operating loss, or NOL, carryforwards and research and development tax credit carryforwards. As of December 31, 2012, we had federal NOL carryforwards of $100.9 million, state NOL carryforwards of $64.2 million and research and development tax credit carryforwards of $21.8 million available. These federal NOL carryforwards will begin to expire at various dates starting in 2023. We are already subject to Section 382 limitations due to an acquisition we made in 2008. Future changes in stock ownership, including resulting from this offering,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net operating loss carryforwards and tax credit carryforwards to reduce United States federal income tax may be subject to limitations, which could potentially result in increased future cash tax liability to us.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2" w:lineRule="exact"/>
        <w:rPr>
          <w:sz w:val="20"/>
          <w:szCs w:val="20"/>
          <w:color w:val="auto"/>
        </w:rPr>
      </w:pPr>
    </w:p>
    <w:p>
      <w:pPr>
        <w:jc w:val="both"/>
        <w:ind w:right="60" w:firstLine="802"/>
        <w:spacing w:after="0" w:line="258" w:lineRule="auto"/>
        <w:rPr>
          <w:sz w:val="20"/>
          <w:szCs w:val="20"/>
          <w:color w:val="auto"/>
        </w:rPr>
      </w:pPr>
      <w:r>
        <w:rPr>
          <w:rFonts w:ascii="Arial" w:cs="Arial" w:eastAsia="Arial" w:hAnsi="Arial"/>
          <w:sz w:val="14"/>
          <w:szCs w:val="14"/>
          <w:color w:val="auto"/>
        </w:rPr>
        <w:t xml:space="preserve">We recognize stock-based compensation expense in accordance with the provisions of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The fair value of stock-based payments is estimated, on the date of grant, using a Black-Scholes model. The resulting fair value is recognized on a straight-line basis over the requisite service period, which is generally the vesting period of the option. The use of a Black-Scholes model requires us to apply judgment and make assumptions and estimates that include the following:</w:t>
      </w:r>
    </w:p>
    <w:p>
      <w:pPr>
        <w:spacing w:after="0" w:line="139" w:lineRule="exact"/>
        <w:rPr>
          <w:sz w:val="20"/>
          <w:szCs w:val="20"/>
          <w:color w:val="auto"/>
        </w:rPr>
      </w:pPr>
    </w:p>
    <w:p>
      <w:pPr>
        <w:ind w:left="1240" w:right="260" w:hanging="327"/>
        <w:spacing w:after="0" w:line="267" w:lineRule="auto"/>
        <w:tabs>
          <w:tab w:leader="none" w:pos="124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Fair Value of Common Stock—</w:t>
      </w:r>
      <w:r>
        <w:rPr>
          <w:rFonts w:ascii="Arial" w:cs="Arial" w:eastAsia="Arial" w:hAnsi="Arial"/>
          <w:sz w:val="14"/>
          <w:szCs w:val="14"/>
          <w:color w:val="auto"/>
        </w:rPr>
        <w:t>Given that there is no public market for our common stock, our board of directors has historically determined the fair value of our common stock.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2007, the board has relied on contemporaneous valuations to determine the fair value of our common stock.</w:t>
      </w:r>
    </w:p>
    <w:p>
      <w:pPr>
        <w:spacing w:after="0" w:line="132" w:lineRule="exact"/>
        <w:rPr>
          <w:rFonts w:ascii="Arial" w:cs="Arial" w:eastAsia="Arial" w:hAnsi="Arial"/>
          <w:sz w:val="14"/>
          <w:szCs w:val="14"/>
          <w:color w:val="auto"/>
        </w:rPr>
      </w:pPr>
    </w:p>
    <w:p>
      <w:pPr>
        <w:ind w:left="1240" w:right="140" w:hanging="327"/>
        <w:spacing w:after="0" w:line="258" w:lineRule="auto"/>
        <w:tabs>
          <w:tab w:leader="none" w:pos="124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—Volatility is a measure of the amount by which a financial variable such as a share price has fluctuated (historical volatility) or is expected to fluctuate (expected</w:t>
      </w:r>
      <w:r>
        <w:rPr>
          <w:rFonts w:ascii="Arial" w:cs="Arial" w:eastAsia="Arial" w:hAnsi="Arial"/>
          <w:sz w:val="14"/>
          <w:szCs w:val="14"/>
          <w:i w:val="1"/>
          <w:iCs w:val="1"/>
          <w:color w:val="auto"/>
        </w:rPr>
        <w:t xml:space="preserve"> </w:t>
      </w:r>
      <w:r>
        <w:rPr>
          <w:rFonts w:ascii="Arial" w:cs="Arial" w:eastAsia="Arial" w:hAnsi="Arial"/>
          <w:sz w:val="14"/>
          <w:szCs w:val="14"/>
          <w:color w:val="auto"/>
        </w:rPr>
        <w:t>volatility) during a given period. As we are not a publicly traded company, we have historically identified several public companies of similar size, complexity and stage of development and calculated the historical volatility using the volatility of these companies.</w:t>
      </w:r>
    </w:p>
    <w:p>
      <w:pPr>
        <w:spacing w:after="0" w:line="138" w:lineRule="exact"/>
        <w:rPr>
          <w:rFonts w:ascii="Arial" w:cs="Arial" w:eastAsia="Arial" w:hAnsi="Arial"/>
          <w:sz w:val="14"/>
          <w:szCs w:val="14"/>
          <w:color w:val="auto"/>
        </w:rPr>
      </w:pPr>
    </w:p>
    <w:p>
      <w:pPr>
        <w:ind w:left="1240" w:hanging="327"/>
        <w:spacing w:after="0"/>
        <w:tabs>
          <w:tab w:leader="none" w:pos="124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Expected Dividend Yield—</w:t>
      </w:r>
      <w:r>
        <w:rPr>
          <w:rFonts w:ascii="Arial" w:cs="Arial" w:eastAsia="Arial" w:hAnsi="Arial"/>
          <w:sz w:val="14"/>
          <w:szCs w:val="14"/>
          <w:color w:val="auto"/>
        </w:rPr>
        <w:t>We have never declared or paid dividends.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40"/>
          </w:cols>
          <w:pgMar w:left="220" w:top="386"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right="480" w:hanging="327"/>
        <w:spacing w:after="0" w:line="267" w:lineRule="auto"/>
        <w:tabs>
          <w:tab w:leader="none" w:pos="124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We have historically used the United States Treasury rate for the week of each option grant during the year, having a term that most closely resembles the</w:t>
      </w:r>
      <w:r>
        <w:rPr>
          <w:rFonts w:ascii="Arial" w:cs="Arial" w:eastAsia="Arial" w:hAnsi="Arial"/>
          <w:sz w:val="14"/>
          <w:szCs w:val="14"/>
          <w:i w:val="1"/>
          <w:iCs w:val="1"/>
          <w:color w:val="auto"/>
        </w:rPr>
        <w:t xml:space="preserve"> </w:t>
      </w:r>
      <w:r>
        <w:rPr>
          <w:rFonts w:ascii="Arial" w:cs="Arial" w:eastAsia="Arial" w:hAnsi="Arial"/>
          <w:sz w:val="14"/>
          <w:szCs w:val="14"/>
          <w:color w:val="auto"/>
        </w:rPr>
        <w:t>expected life of our options.</w:t>
      </w:r>
    </w:p>
    <w:p>
      <w:pPr>
        <w:spacing w:after="0" w:line="132" w:lineRule="exact"/>
        <w:rPr>
          <w:rFonts w:ascii="Arial" w:cs="Arial" w:eastAsia="Arial" w:hAnsi="Arial"/>
          <w:sz w:val="14"/>
          <w:szCs w:val="14"/>
          <w:color w:val="auto"/>
        </w:rPr>
      </w:pPr>
    </w:p>
    <w:p>
      <w:pPr>
        <w:ind w:left="1240" w:right="380" w:hanging="327"/>
        <w:spacing w:after="0" w:line="267" w:lineRule="auto"/>
        <w:tabs>
          <w:tab w:leader="none" w:pos="124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This is the period of time that the options granted are expected to remain unexercised. Options granted have a maximum term of ten year and we have estimated the</w:t>
      </w:r>
      <w:r>
        <w:rPr>
          <w:rFonts w:ascii="Arial" w:cs="Arial" w:eastAsia="Arial" w:hAnsi="Arial"/>
          <w:sz w:val="14"/>
          <w:szCs w:val="14"/>
          <w:i w:val="1"/>
          <w:iCs w:val="1"/>
          <w:color w:val="auto"/>
        </w:rPr>
        <w:t xml:space="preserve"> </w:t>
      </w:r>
      <w:r>
        <w:rPr>
          <w:rFonts w:ascii="Arial" w:cs="Arial" w:eastAsia="Arial" w:hAnsi="Arial"/>
          <w:sz w:val="14"/>
          <w:szCs w:val="14"/>
          <w:color w:val="auto"/>
        </w:rPr>
        <w:t>expected life of the option term to be seven years. We use a simplified method to calculate the average expected term.</w:t>
      </w:r>
    </w:p>
    <w:p>
      <w:pPr>
        <w:spacing w:after="0" w:line="132" w:lineRule="exact"/>
        <w:rPr>
          <w:rFonts w:ascii="Arial" w:cs="Arial" w:eastAsia="Arial" w:hAnsi="Arial"/>
          <w:sz w:val="14"/>
          <w:szCs w:val="14"/>
          <w:color w:val="auto"/>
        </w:rPr>
      </w:pPr>
    </w:p>
    <w:p>
      <w:pPr>
        <w:ind w:left="1240" w:right="160" w:hanging="327"/>
        <w:spacing w:after="0" w:line="351" w:lineRule="auto"/>
        <w:tabs>
          <w:tab w:leader="none" w:pos="124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Expected Forfeiture Rate—</w:t>
      </w:r>
      <w:r>
        <w:rPr>
          <w:rFonts w:ascii="Arial" w:cs="Arial" w:eastAsia="Arial" w:hAnsi="Arial"/>
          <w:sz w:val="12"/>
          <w:szCs w:val="12"/>
          <w:color w:val="auto"/>
        </w:rPr>
        <w:t>The forfeiture rate is the estimated percentage of options granted that is expected to be forfeited or canceled on an annual basis before becoming fully vested.</w:t>
      </w:r>
      <w:r>
        <w:rPr>
          <w:rFonts w:ascii="Arial" w:cs="Arial" w:eastAsia="Arial" w:hAnsi="Arial"/>
          <w:sz w:val="12"/>
          <w:szCs w:val="12"/>
          <w:i w:val="1"/>
          <w:iCs w:val="1"/>
          <w:color w:val="auto"/>
        </w:rPr>
        <w:t xml:space="preserve"> </w:t>
      </w:r>
      <w:r>
        <w:rPr>
          <w:rFonts w:ascii="Arial" w:cs="Arial" w:eastAsia="Arial" w:hAnsi="Arial"/>
          <w:sz w:val="12"/>
          <w:szCs w:val="12"/>
          <w:color w:val="auto"/>
        </w:rPr>
        <w:t>We estimate the forfeiture rate based on historical turnover data with further consideration given to the class of the employees to whom the options were granted.</w:t>
      </w:r>
    </w:p>
    <w:p>
      <w:pPr>
        <w:spacing w:after="0" w:line="56"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color w:val="auto"/>
        </w:rPr>
        <w:t>The assumptions used in the Black-Scholes option pricing model for the years ended December 31, 2011 and 2012 and for the six months ended June 30, 2013 are set forth in our consolidated financial statements included within this prospectus. The stock-based compensation expense includes stock options granted to employees and non-employees and has been reported in our consolidated financial statements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6"/>
              </w:rPr>
              <w:t>Year Ended December 31,</w:t>
            </w:r>
          </w:p>
        </w:tc>
        <w:tc>
          <w:tcPr>
            <w:tcW w:w="220" w:type="dxa"/>
            <w:vAlign w:val="bottom"/>
            <w:gridSpan w:val="2"/>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95"/>
              </w:rPr>
              <w:t>Six Months Ended June 30,</w:t>
            </w:r>
          </w:p>
        </w:tc>
        <w:tc>
          <w:tcPr>
            <w:tcW w:w="3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auto"/>
            </w:tcBorders>
            <w:gridSpan w:val="2"/>
          </w:tcPr>
          <w:p>
            <w:pPr>
              <w:jc w:val="right"/>
              <w:spacing w:after="0" w:line="105" w:lineRule="exact"/>
              <w:rPr>
                <w:sz w:val="20"/>
                <w:szCs w:val="20"/>
                <w:color w:val="auto"/>
              </w:rPr>
            </w:pPr>
            <w:r>
              <w:rPr>
                <w:rFonts w:ascii="Arial" w:cs="Arial" w:eastAsia="Arial" w:hAnsi="Arial"/>
                <w:sz w:val="10"/>
                <w:szCs w:val="10"/>
                <w:b w:val="1"/>
                <w:bCs w:val="1"/>
                <w:color w:val="auto"/>
                <w:w w:val="92"/>
              </w:rPr>
              <w:t>2011(1)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w w:val="89"/>
              </w:rPr>
              <w:t>2012</w:t>
            </w:r>
          </w:p>
        </w:tc>
        <w:tc>
          <w:tcPr>
            <w:tcW w:w="100" w:type="dxa"/>
            <w:vAlign w:val="bottom"/>
          </w:tcPr>
          <w:p>
            <w:pPr>
              <w:spacing w:after="0"/>
              <w:rPr>
                <w:sz w:val="9"/>
                <w:szCs w:val="9"/>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(in thousands)</w:t>
            </w:r>
          </w:p>
        </w:tc>
        <w:tc>
          <w:tcPr>
            <w:tcW w:w="240" w:type="dxa"/>
            <w:vAlign w:val="bottom"/>
            <w:tcBorders>
              <w:bottom w:val="single" w:sz="8" w:color="auto"/>
            </w:tcBorders>
            <w:gridSpan w:val="2"/>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71"/>
              </w:rPr>
              <w:t>2013</w:t>
            </w:r>
          </w:p>
        </w:tc>
        <w:tc>
          <w:tcPr>
            <w:tcW w:w="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Research and development expense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236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General and administrative expense</w:t>
            </w:r>
          </w:p>
        </w:tc>
        <w:tc>
          <w:tcPr>
            <w:tcW w:w="1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1,328</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366</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4"/>
                <w:szCs w:val="14"/>
                <w:color w:val="auto"/>
              </w:rPr>
              <w:t>183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0" w:type="dxa"/>
            <w:vAlign w:val="bottom"/>
            <w:vMerge w:val="continue"/>
          </w:tcPr>
          <w:p>
            <w:pPr>
              <w:spacing w:after="0"/>
              <w:rPr>
                <w:sz w:val="14"/>
                <w:szCs w:val="14"/>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2,347</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419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8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6"/>
        <w:spacing w:after="0" w:line="311" w:lineRule="auto"/>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 March 2011, we exchanged outstanding options to purchase 36,081,455 shares of our common stock with exercise prices ranging from $0.10 to $0.25 per share, for new options to purchase the same number of shares of our common stock with an exercise price of $0.05 per share, which we deemed to represent the fair market value of the shares of our common stock as of December 31, 2010. The exchange was implemented because one of our product candidates, teplizumab, did not meet the primary efficacy endpoint in a Phase 3 clinical trial and our collaboration with Eli Lilly was subsequently terminated. We recognized compensation expense of $2.1 million related to this modification as of the exchange date.</w:t>
      </w:r>
    </w:p>
    <w:p>
      <w:pPr>
        <w:spacing w:after="0" w:line="79" w:lineRule="exact"/>
        <w:rPr>
          <w:sz w:val="20"/>
          <w:szCs w:val="20"/>
          <w:color w:val="auto"/>
        </w:rPr>
      </w:pPr>
    </w:p>
    <w:p>
      <w:pPr>
        <w:jc w:val="both"/>
        <w:ind w:right="40" w:firstLine="802"/>
        <w:spacing w:after="0" w:line="255" w:lineRule="auto"/>
        <w:rPr>
          <w:sz w:val="20"/>
          <w:szCs w:val="20"/>
          <w:color w:val="auto"/>
        </w:rPr>
      </w:pPr>
      <w:r>
        <w:rPr>
          <w:rFonts w:ascii="Arial" w:cs="Arial" w:eastAsia="Arial" w:hAnsi="Arial"/>
          <w:sz w:val="14"/>
          <w:szCs w:val="14"/>
          <w:color w:val="auto"/>
        </w:rPr>
        <w:t xml:space="preserve">Our board of directors has historically estimated the fair value of our common stock relying on contemporaneous valuations.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4"/>
          <w:szCs w:val="14"/>
          <w:i w:val="1"/>
          <w:iCs w:val="1"/>
          <w:color w:val="auto"/>
        </w:rPr>
        <w:t>Valuation of Privately-Held Company</w:t>
      </w:r>
      <w:r>
        <w:rPr>
          <w:rFonts w:ascii="Arial" w:cs="Arial" w:eastAsia="Arial" w:hAnsi="Arial"/>
          <w:sz w:val="14"/>
          <w:szCs w:val="14"/>
          <w:color w:val="auto"/>
        </w:rPr>
        <w:t xml:space="preserve"> </w:t>
      </w:r>
      <w:r>
        <w:rPr>
          <w:rFonts w:ascii="Arial" w:cs="Arial" w:eastAsia="Arial" w:hAnsi="Arial"/>
          <w:sz w:val="14"/>
          <w:szCs w:val="14"/>
          <w:i w:val="1"/>
          <w:iCs w:val="1"/>
          <w:color w:val="auto"/>
        </w:rPr>
        <w:t>Equity Securities Issued as Compensation</w:t>
      </w:r>
      <w:r>
        <w:rPr>
          <w:rFonts w:ascii="Arial" w:cs="Arial" w:eastAsia="Arial" w:hAnsi="Arial"/>
          <w:sz w:val="14"/>
          <w:szCs w:val="14"/>
          <w:color w:val="auto"/>
        </w:rPr>
        <w:t>, or the AICPA Practice Aid, and considered many objective and subjective factors to determine the common stock fair market value each valuation date. The following</w:t>
      </w:r>
      <w:r>
        <w:rPr>
          <w:rFonts w:ascii="Arial" w:cs="Arial" w:eastAsia="Arial" w:hAnsi="Arial"/>
          <w:sz w:val="14"/>
          <w:szCs w:val="14"/>
          <w:i w:val="1"/>
          <w:iCs w:val="1"/>
          <w:color w:val="auto"/>
        </w:rPr>
        <w:t xml:space="preserve"> </w:t>
      </w:r>
      <w:r>
        <w:rPr>
          <w:rFonts w:ascii="Arial" w:cs="Arial" w:eastAsia="Arial" w:hAnsi="Arial"/>
          <w:sz w:val="14"/>
          <w:szCs w:val="14"/>
          <w:color w:val="auto"/>
        </w:rPr>
        <w:t>factors, among others, were considered:</w:t>
      </w:r>
    </w:p>
    <w:p>
      <w:pPr>
        <w:spacing w:after="0" w:line="141" w:lineRule="exact"/>
        <w:rPr>
          <w:sz w:val="20"/>
          <w:szCs w:val="20"/>
          <w:color w:val="auto"/>
        </w:rPr>
      </w:pPr>
    </w:p>
    <w:p>
      <w:pPr>
        <w:ind w:left="1240" w:hanging="327"/>
        <w:spacing w:after="0"/>
        <w:tabs>
          <w:tab w:leader="none" w:pos="1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Our financial condition and operating results, including our projected results;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Our stage of development and business strategy;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financial condition and operating results of publicly-owned companies with similar lines of business and their historical volatility;</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External market conditions that could affect companies in the life sciences and biotechnology sectors;</w:t>
      </w:r>
    </w:p>
    <w:p>
      <w:pPr>
        <w:spacing w:after="0" w:line="162" w:lineRule="exact"/>
        <w:rPr>
          <w:rFonts w:ascii="Arial" w:cs="Arial" w:eastAsia="Arial" w:hAnsi="Arial"/>
          <w:sz w:val="14"/>
          <w:szCs w:val="14"/>
          <w:color w:val="auto"/>
        </w:rPr>
      </w:pPr>
    </w:p>
    <w:p>
      <w:pPr>
        <w:ind w:left="1240" w:right="440" w:hanging="327"/>
        <w:spacing w:after="0" w:line="267" w:lineRule="auto"/>
        <w:tabs>
          <w:tab w:leader="none" w:pos="1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prices of our preferred stock sold to outside investors and the rights, preferences and privileges of our preferred stock as compared to those of our common stock, including the liquidation preference of our preferred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40"/>
          </w:cols>
          <w:pgMar w:left="220" w:top="386"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likelihood of a liquidity event such as an initial public offering, a merger or the sale of our company;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recent valuations prepared in accordance with the AICPA Practice Aid.</w:t>
      </w:r>
    </w:p>
    <w:p>
      <w:pPr>
        <w:spacing w:after="0" w:line="132" w:lineRule="exact"/>
        <w:rPr>
          <w:sz w:val="20"/>
          <w:szCs w:val="20"/>
          <w:color w:val="auto"/>
        </w:rPr>
      </w:pPr>
    </w:p>
    <w:p>
      <w:pPr>
        <w:jc w:val="both"/>
        <w:ind w:right="60" w:firstLine="802"/>
        <w:spacing w:after="0" w:line="258" w:lineRule="auto"/>
        <w:rPr>
          <w:sz w:val="20"/>
          <w:szCs w:val="20"/>
          <w:color w:val="auto"/>
        </w:rPr>
      </w:pPr>
      <w:r>
        <w:rPr>
          <w:rFonts w:ascii="Arial" w:cs="Arial" w:eastAsia="Arial" w:hAnsi="Arial"/>
          <w:sz w:val="14"/>
          <w:szCs w:val="14"/>
          <w:color w:val="auto"/>
        </w:rPr>
        <w:t>The dates of our valuations have historically coincided with our year end and would therefore not always fall on the same dates as when options have been granted. However, we have historically granted the majority of our equity awards on an annual basis coinciding with the beginning of each calendar year. Therefore, our board of directors has historically used the valuation closest to the grant date of options granted in determining the exercise prices.</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considered several types of approaches in the preparation of our valuations as follows:</w:t>
      </w:r>
    </w:p>
    <w:p>
      <w:pPr>
        <w:spacing w:after="0" w:line="163" w:lineRule="exact"/>
        <w:rPr>
          <w:sz w:val="20"/>
          <w:szCs w:val="20"/>
          <w:color w:val="auto"/>
        </w:rPr>
      </w:pPr>
    </w:p>
    <w:p>
      <w:pPr>
        <w:ind w:left="1240" w:right="180" w:hanging="327"/>
        <w:spacing w:after="0" w:line="321" w:lineRule="auto"/>
        <w:tabs>
          <w:tab w:leader="none" w:pos="1240"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Market Approach—</w:t>
      </w:r>
      <w:r>
        <w:rPr>
          <w:rFonts w:ascii="Arial" w:cs="Arial" w:eastAsia="Arial" w:hAnsi="Arial"/>
          <w:sz w:val="12"/>
          <w:szCs w:val="12"/>
          <w:color w:val="auto"/>
        </w:rPr>
        <w:t>The market approach values a business by reference to guideline companies, for which enterprise values are known. This approach has two principal methodologies.</w:t>
      </w:r>
      <w:r>
        <w:rPr>
          <w:rFonts w:ascii="Arial" w:cs="Arial" w:eastAsia="Arial" w:hAnsi="Arial"/>
          <w:sz w:val="12"/>
          <w:szCs w:val="12"/>
          <w:i w:val="1"/>
          <w:iCs w:val="1"/>
          <w:color w:val="auto"/>
        </w:rPr>
        <w:t xml:space="preserve"> </w:t>
      </w:r>
      <w:r>
        <w:rPr>
          <w:rFonts w:ascii="Arial" w:cs="Arial" w:eastAsia="Arial" w:hAnsi="Arial"/>
          <w:sz w:val="12"/>
          <w:szCs w:val="12"/>
          <w:color w:val="auto"/>
        </w:rPr>
        <w:t>The guideline public company methodology derives valuation multiples from the operating data and share prices of similar publicly traded companies. The guideline acquisition methodology focuses on comparisons between the subject company and guideline acquired public or private companies.</w:t>
      </w:r>
    </w:p>
    <w:p>
      <w:pPr>
        <w:spacing w:after="0" w:line="104" w:lineRule="exact"/>
        <w:rPr>
          <w:rFonts w:ascii="Arial" w:cs="Arial" w:eastAsia="Arial" w:hAnsi="Arial"/>
          <w:sz w:val="12"/>
          <w:szCs w:val="12"/>
          <w:color w:val="auto"/>
        </w:rPr>
      </w:pPr>
    </w:p>
    <w:p>
      <w:pPr>
        <w:ind w:left="1240" w:right="40" w:hanging="327"/>
        <w:spacing w:after="0" w:line="311" w:lineRule="auto"/>
        <w:tabs>
          <w:tab w:leader="none" w:pos="1240"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Income Approach—</w:t>
      </w:r>
      <w:r>
        <w:rPr>
          <w:rFonts w:ascii="Arial" w:cs="Arial" w:eastAsia="Arial" w:hAnsi="Arial"/>
          <w:sz w:val="12"/>
          <w:szCs w:val="12"/>
          <w:color w:val="auto"/>
        </w:rPr>
        <w:t>The income approach values a business based upon the future benefits that will accrue to it, with the value of the future economic benefits discounted back to a present</w:t>
      </w:r>
      <w:r>
        <w:rPr>
          <w:rFonts w:ascii="Arial" w:cs="Arial" w:eastAsia="Arial" w:hAnsi="Arial"/>
          <w:sz w:val="12"/>
          <w:szCs w:val="12"/>
          <w:i w:val="1"/>
          <w:iCs w:val="1"/>
          <w:color w:val="auto"/>
        </w:rPr>
        <w:t xml:space="preserve"> </w:t>
      </w:r>
      <w:r>
        <w:rPr>
          <w:rFonts w:ascii="Arial" w:cs="Arial" w:eastAsia="Arial" w:hAnsi="Arial"/>
          <w:sz w:val="12"/>
          <w:szCs w:val="12"/>
          <w:color w:val="auto"/>
        </w:rPr>
        <w:t>value at an appropriate discount rate. This approach uses two methods to value an investment. The discounted cash flow analysis forecasts future revenues and free cash flow, or net operating profit after tax from continuing operations, associated with those revenues. The capitalization of earnings analysis uses a single year’s estimated free cash flow and converts it into a value in one step by dividing free cash flow from operation by a capitalization rate.</w:t>
      </w:r>
    </w:p>
    <w:p>
      <w:pPr>
        <w:spacing w:after="0" w:line="110" w:lineRule="exact"/>
        <w:rPr>
          <w:rFonts w:ascii="Arial" w:cs="Arial" w:eastAsia="Arial" w:hAnsi="Arial"/>
          <w:sz w:val="12"/>
          <w:szCs w:val="12"/>
          <w:color w:val="auto"/>
        </w:rPr>
      </w:pPr>
    </w:p>
    <w:p>
      <w:pPr>
        <w:ind w:left="1240" w:right="180" w:hanging="327"/>
        <w:spacing w:after="0" w:line="267" w:lineRule="auto"/>
        <w:tabs>
          <w:tab w:leader="none" w:pos="1240"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Asset Approach—</w:t>
      </w:r>
      <w:r>
        <w:rPr>
          <w:rFonts w:ascii="Arial" w:cs="Arial" w:eastAsia="Arial" w:hAnsi="Arial"/>
          <w:sz w:val="14"/>
          <w:szCs w:val="14"/>
          <w:color w:val="auto"/>
        </w:rPr>
        <w:t>The asset approach considers the underlying value of a company’s individual assets net of its liabilities. This approach uses the most recent balance sheet as a basis for</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determining value.</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addition, we also considered several types of allocation methods as follows:</w:t>
      </w:r>
    </w:p>
    <w:p>
      <w:pPr>
        <w:spacing w:after="0" w:line="163" w:lineRule="exact"/>
        <w:rPr>
          <w:sz w:val="20"/>
          <w:szCs w:val="20"/>
          <w:color w:val="auto"/>
        </w:rPr>
      </w:pPr>
    </w:p>
    <w:p>
      <w:pPr>
        <w:ind w:left="1240" w:right="60" w:hanging="327"/>
        <w:spacing w:after="0" w:line="311" w:lineRule="auto"/>
        <w:tabs>
          <w:tab w:leader="none" w:pos="124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Current Value Method—</w:t>
      </w:r>
      <w:r>
        <w:rPr>
          <w:rFonts w:ascii="Arial" w:cs="Arial" w:eastAsia="Arial" w:hAnsi="Arial"/>
          <w:sz w:val="12"/>
          <w:szCs w:val="12"/>
          <w:color w:val="auto"/>
        </w:rPr>
        <w:t>This method allocates the enterprise value of a company to its conversion value. The method assumes that each preferred shareholder will, at the valuation date,</w:t>
      </w:r>
      <w:r>
        <w:rPr>
          <w:rFonts w:ascii="Arial" w:cs="Arial" w:eastAsia="Arial" w:hAnsi="Arial"/>
          <w:sz w:val="12"/>
          <w:szCs w:val="12"/>
          <w:i w:val="1"/>
          <w:iCs w:val="1"/>
          <w:color w:val="auto"/>
        </w:rPr>
        <w:t xml:space="preserve"> </w:t>
      </w:r>
      <w:r>
        <w:rPr>
          <w:rFonts w:ascii="Arial" w:cs="Arial" w:eastAsia="Arial" w:hAnsi="Arial"/>
          <w:sz w:val="12"/>
          <w:szCs w:val="12"/>
          <w:color w:val="auto"/>
        </w:rPr>
        <w:t>exercise its conversion rights in the manner that is most beneficial. If the conversion of a class of preferred stock into common stock would result in a value less than the total liquidation preference of that class, that class is considered to be “out of the money” and would not convert. On the other hand, if the value of the common stock would be greater than the liquidation preference of that class, the preferred stock is considered to be “in the money” and would convert.</w:t>
      </w:r>
    </w:p>
    <w:p>
      <w:pPr>
        <w:spacing w:after="0" w:line="110" w:lineRule="exact"/>
        <w:rPr>
          <w:rFonts w:ascii="Arial" w:cs="Arial" w:eastAsia="Arial" w:hAnsi="Arial"/>
          <w:sz w:val="12"/>
          <w:szCs w:val="12"/>
          <w:color w:val="auto"/>
        </w:rPr>
      </w:pPr>
    </w:p>
    <w:p>
      <w:pPr>
        <w:ind w:left="1240" w:hanging="327"/>
        <w:spacing w:after="0" w:line="258" w:lineRule="auto"/>
        <w:tabs>
          <w:tab w:leader="none" w:pos="124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Option-Pricing Method—</w:t>
      </w:r>
      <w:r>
        <w:rPr>
          <w:rFonts w:ascii="Arial" w:cs="Arial" w:eastAsia="Arial" w:hAnsi="Arial"/>
          <w:sz w:val="14"/>
          <w:szCs w:val="14"/>
          <w:color w:val="auto"/>
        </w:rPr>
        <w:t>Under this method, each class of stock is modeled as a call option with a distinct claim on the enterprise value of the company. The option’s exercise prices would</w:t>
      </w:r>
      <w:r>
        <w:rPr>
          <w:rFonts w:ascii="Arial" w:cs="Arial" w:eastAsia="Arial" w:hAnsi="Arial"/>
          <w:sz w:val="14"/>
          <w:szCs w:val="14"/>
          <w:i w:val="1"/>
          <w:iCs w:val="1"/>
          <w:color w:val="auto"/>
        </w:rPr>
        <w:t xml:space="preserve"> </w:t>
      </w:r>
      <w:r>
        <w:rPr>
          <w:rFonts w:ascii="Arial" w:cs="Arial" w:eastAsia="Arial" w:hAnsi="Arial"/>
          <w:sz w:val="14"/>
          <w:szCs w:val="14"/>
          <w:color w:val="auto"/>
        </w:rPr>
        <w:t>be based on a comparison with the enterprise value. The method assumes that a formula, such as the Black-Scholes model, would calculate the fair value when provided with certain values, including share price, expiration date, volatility and the risk free interest rate.</w:t>
      </w:r>
    </w:p>
    <w:p>
      <w:pPr>
        <w:spacing w:after="0" w:line="138" w:lineRule="exact"/>
        <w:rPr>
          <w:rFonts w:ascii="Arial" w:cs="Arial" w:eastAsia="Arial" w:hAnsi="Arial"/>
          <w:sz w:val="14"/>
          <w:szCs w:val="14"/>
          <w:color w:val="auto"/>
        </w:rPr>
      </w:pPr>
    </w:p>
    <w:p>
      <w:pPr>
        <w:jc w:val="both"/>
        <w:ind w:left="1240" w:right="40" w:hanging="327"/>
        <w:spacing w:after="0" w:line="321" w:lineRule="auto"/>
        <w:tabs>
          <w:tab w:leader="none" w:pos="124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Probability Weighted Expected Return Method—</w:t>
      </w:r>
      <w:r>
        <w:rPr>
          <w:rFonts w:ascii="Arial" w:cs="Arial" w:eastAsia="Arial" w:hAnsi="Arial"/>
          <w:sz w:val="12"/>
          <w:szCs w:val="12"/>
          <w:color w:val="auto"/>
        </w:rPr>
        <w:t>Using the probability weighted expected return, or PWERM method, the value of a company’s common stock is estimated based upon the</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of future values for the company assuming various possible future liquidity events like an initial public offering, or IPO, sale or merger. Share value is based upon the probability-weighted present value of expected future net cash flows, considering each of the possible future events, as well as the rights and preferences of each share class.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40"/>
          </w:cols>
          <w:pgMar w:left="220" w:top="386"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following table illustrates our stock option grant information from January 1, 2011 through August 31, 2013, including the estimated fair value of our common stock on the date of grant.</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540" w:type="dxa"/>
            <w:vAlign w:val="bottom"/>
            <w:vMerge w:val="restart"/>
          </w:tcPr>
          <w:p>
            <w:pPr>
              <w:spacing w:after="0"/>
              <w:rPr>
                <w:sz w:val="20"/>
                <w:szCs w:val="20"/>
                <w:color w:val="auto"/>
              </w:rPr>
            </w:pPr>
            <w:r>
              <w:rPr>
                <w:rFonts w:ascii="Arial" w:cs="Arial" w:eastAsia="Arial" w:hAnsi="Arial"/>
                <w:sz w:val="10"/>
                <w:szCs w:val="10"/>
                <w:b w:val="1"/>
                <w:bCs w:val="1"/>
                <w:color w:val="auto"/>
              </w:rPr>
              <w:t>Grant Date</w:t>
            </w:r>
          </w:p>
        </w:tc>
        <w:tc>
          <w:tcPr>
            <w:tcW w:w="2960" w:type="dxa"/>
            <w:vAlign w:val="bottom"/>
            <w:vMerge w:val="restart"/>
          </w:tcPr>
          <w:p>
            <w:pPr>
              <w:spacing w:after="0"/>
              <w:rPr>
                <w:sz w:val="10"/>
                <w:szCs w:val="10"/>
                <w:color w:val="auto"/>
              </w:rPr>
            </w:pPr>
          </w:p>
        </w:tc>
        <w:tc>
          <w:tcPr>
            <w:tcW w:w="1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93"/>
              </w:rPr>
              <w:t>Estimated Fair Value of</w:t>
            </w:r>
          </w:p>
        </w:tc>
        <w:tc>
          <w:tcPr>
            <w:tcW w:w="0" w:type="dxa"/>
            <w:vAlign w:val="bottom"/>
          </w:tcPr>
          <w:p>
            <w:pPr>
              <w:spacing w:after="0"/>
              <w:rPr>
                <w:sz w:val="1"/>
                <w:szCs w:val="1"/>
                <w:color w:val="auto"/>
              </w:rPr>
            </w:pPr>
          </w:p>
        </w:tc>
      </w:tr>
      <w:tr>
        <w:trPr>
          <w:trHeight w:val="136"/>
        </w:trPr>
        <w:tc>
          <w:tcPr>
            <w:tcW w:w="540" w:type="dxa"/>
            <w:vAlign w:val="bottom"/>
            <w:tcBorders>
              <w:bottom w:val="single" w:sz="8" w:color="auto"/>
            </w:tcBorders>
            <w:vMerge w:val="continue"/>
          </w:tcPr>
          <w:p>
            <w:pPr>
              <w:spacing w:after="0"/>
              <w:rPr>
                <w:sz w:val="11"/>
                <w:szCs w:val="11"/>
                <w:color w:val="auto"/>
              </w:rPr>
            </w:pPr>
          </w:p>
        </w:tc>
        <w:tc>
          <w:tcPr>
            <w:tcW w:w="2960" w:type="dxa"/>
            <w:vAlign w:val="bottom"/>
            <w:vMerge w:val="continue"/>
          </w:tcPr>
          <w:p>
            <w:pPr>
              <w:spacing w:after="0"/>
              <w:rPr>
                <w:sz w:val="11"/>
                <w:szCs w:val="11"/>
                <w:color w:val="auto"/>
              </w:rPr>
            </w:pPr>
          </w:p>
        </w:tc>
        <w:tc>
          <w:tcPr>
            <w:tcW w:w="2760" w:type="dxa"/>
            <w:vAlign w:val="bottom"/>
            <w:gridSpan w:val="2"/>
          </w:tcPr>
          <w:p>
            <w:pPr>
              <w:jc w:val="right"/>
              <w:ind w:right="1480"/>
              <w:spacing w:after="0"/>
              <w:rPr>
                <w:sz w:val="20"/>
                <w:szCs w:val="20"/>
                <w:color w:val="auto"/>
              </w:rPr>
            </w:pPr>
            <w:r>
              <w:rPr>
                <w:rFonts w:ascii="Arial" w:cs="Arial" w:eastAsia="Arial" w:hAnsi="Arial"/>
                <w:sz w:val="10"/>
                <w:szCs w:val="10"/>
                <w:b w:val="1"/>
                <w:bCs w:val="1"/>
                <w:color w:val="auto"/>
                <w:w w:val="95"/>
              </w:rPr>
              <w:t>Number of Options Granted</w:t>
            </w:r>
          </w:p>
        </w:tc>
        <w:tc>
          <w:tcPr>
            <w:tcW w:w="2460" w:type="dxa"/>
            <w:vAlign w:val="bottom"/>
            <w:gridSpan w:val="3"/>
          </w:tcPr>
          <w:p>
            <w:pPr>
              <w:jc w:val="right"/>
              <w:ind w:right="1480"/>
              <w:spacing w:after="0"/>
              <w:rPr>
                <w:sz w:val="20"/>
                <w:szCs w:val="20"/>
                <w:color w:val="auto"/>
              </w:rPr>
            </w:pPr>
            <w:r>
              <w:rPr>
                <w:rFonts w:ascii="Arial" w:cs="Arial" w:eastAsia="Arial" w:hAnsi="Arial"/>
                <w:sz w:val="10"/>
                <w:szCs w:val="10"/>
                <w:b w:val="1"/>
                <w:bCs w:val="1"/>
                <w:color w:val="auto"/>
                <w:w w:val="92"/>
              </w:rPr>
              <w:t>Option Exercise Price</w:t>
            </w:r>
          </w:p>
        </w:tc>
        <w:tc>
          <w:tcPr>
            <w:tcW w:w="12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Common Stock</w:t>
            </w:r>
          </w:p>
        </w:tc>
        <w:tc>
          <w:tcPr>
            <w:tcW w:w="0" w:type="dxa"/>
            <w:vAlign w:val="bottom"/>
          </w:tcPr>
          <w:p>
            <w:pPr>
              <w:spacing w:after="0"/>
              <w:rPr>
                <w:sz w:val="1"/>
                <w:szCs w:val="1"/>
                <w:color w:val="auto"/>
              </w:rPr>
            </w:pPr>
          </w:p>
        </w:tc>
      </w:tr>
      <w:tr>
        <w:trPr>
          <w:trHeight w:val="148"/>
        </w:trPr>
        <w:tc>
          <w:tcPr>
            <w:tcW w:w="350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color w:val="auto"/>
              </w:rPr>
              <w:t>January 9, 2011</w:t>
            </w:r>
          </w:p>
        </w:tc>
        <w:tc>
          <w:tcPr>
            <w:tcW w:w="12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4,456,250</w:t>
            </w:r>
          </w:p>
        </w:tc>
        <w:tc>
          <w:tcPr>
            <w:tcW w:w="14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0.05</w:t>
            </w: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0.05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color w:val="auto"/>
              </w:rPr>
              <w:t>March 16, 2011</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29,500</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0.05</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15, 2011</w:t>
            </w:r>
          </w:p>
        </w:tc>
        <w:tc>
          <w:tcPr>
            <w:tcW w:w="2760" w:type="dxa"/>
            <w:vAlign w:val="bottom"/>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211,000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color w:val="auto"/>
              </w:rPr>
              <w:t>September 7, 2011</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263,600</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0.05</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November 10, 2011</w:t>
            </w:r>
          </w:p>
        </w:tc>
        <w:tc>
          <w:tcPr>
            <w:tcW w:w="2760" w:type="dxa"/>
            <w:vAlign w:val="bottom"/>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16,000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color w:val="auto"/>
              </w:rPr>
              <w:t>January 8, 2012</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2,119,225</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0.05</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14, 2012</w:t>
            </w:r>
          </w:p>
        </w:tc>
        <w:tc>
          <w:tcPr>
            <w:tcW w:w="2760" w:type="dxa"/>
            <w:vAlign w:val="bottom"/>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5,878,000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color w:val="auto"/>
              </w:rPr>
              <w:t>June 13, 2012</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81,000</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0.05</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19, 2012</w:t>
            </w:r>
          </w:p>
        </w:tc>
        <w:tc>
          <w:tcPr>
            <w:tcW w:w="2760" w:type="dxa"/>
            <w:vAlign w:val="bottom"/>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150,400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color w:val="auto"/>
              </w:rPr>
              <w:t>November 8, 2012</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295,000</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0.05</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January 6, 2013</w:t>
            </w:r>
          </w:p>
        </w:tc>
        <w:tc>
          <w:tcPr>
            <w:tcW w:w="2760" w:type="dxa"/>
            <w:vAlign w:val="bottom"/>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6,332,100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spacing w:after="0"/>
              <w:rPr>
                <w:sz w:val="20"/>
                <w:szCs w:val="20"/>
                <w:color w:val="auto"/>
              </w:rPr>
            </w:pPr>
            <w:r>
              <w:rPr>
                <w:rFonts w:ascii="Arial" w:cs="Arial" w:eastAsia="Arial" w:hAnsi="Arial"/>
                <w:sz w:val="14"/>
                <w:szCs w:val="14"/>
                <w:color w:val="auto"/>
              </w:rPr>
              <w:t>March 8, 2013</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263,000</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0.08</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19, 2013</w:t>
            </w:r>
          </w:p>
        </w:tc>
        <w:tc>
          <w:tcPr>
            <w:tcW w:w="2760" w:type="dxa"/>
            <w:vAlign w:val="bottom"/>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1,117,000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00" w:type="dxa"/>
            <w:vAlign w:val="bottom"/>
            <w:gridSpan w:val="2"/>
          </w:tcPr>
          <w:p>
            <w:pPr>
              <w:spacing w:after="0"/>
              <w:rPr>
                <w:sz w:val="20"/>
                <w:szCs w:val="20"/>
                <w:color w:val="auto"/>
              </w:rPr>
            </w:pPr>
            <w:r>
              <w:rPr>
                <w:rFonts w:ascii="Arial" w:cs="Arial" w:eastAsia="Arial" w:hAnsi="Arial"/>
                <w:sz w:val="14"/>
                <w:szCs w:val="14"/>
                <w:color w:val="auto"/>
              </w:rPr>
              <w:t>July 19, 2013</w:t>
            </w:r>
          </w:p>
        </w:tc>
        <w:tc>
          <w:tcPr>
            <w:tcW w:w="2760" w:type="dxa"/>
            <w:vAlign w:val="bottom"/>
            <w:gridSpan w:val="2"/>
          </w:tcPr>
          <w:p>
            <w:pPr>
              <w:jc w:val="right"/>
              <w:ind w:right="1480"/>
              <w:spacing w:after="0"/>
              <w:rPr>
                <w:sz w:val="20"/>
                <w:szCs w:val="20"/>
                <w:color w:val="auto"/>
              </w:rPr>
            </w:pPr>
            <w:r>
              <w:rPr>
                <w:rFonts w:ascii="Arial" w:cs="Arial" w:eastAsia="Arial" w:hAnsi="Arial"/>
                <w:sz w:val="14"/>
                <w:szCs w:val="14"/>
                <w:color w:val="auto"/>
              </w:rPr>
              <w:t>3,869,000</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0.25</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right="140" w:firstLine="802"/>
        <w:spacing w:after="0" w:line="258" w:lineRule="auto"/>
        <w:rPr>
          <w:sz w:val="20"/>
          <w:szCs w:val="20"/>
          <w:color w:val="auto"/>
        </w:rPr>
      </w:pPr>
      <w:r>
        <w:rPr>
          <w:rFonts w:ascii="Arial" w:cs="Arial" w:eastAsia="Arial" w:hAnsi="Arial"/>
          <w:sz w:val="14"/>
          <w:szCs w:val="14"/>
          <w:color w:val="auto"/>
        </w:rPr>
        <w:t>The intrinsic value of all outstanding vested and unvested options as of June 30, 2013 was $ million based on an assumed public offering price of $ per share, which is the midpoint of the price range set forth on the cover page of this prospectus, and based on 51,879,146 shares of common stock issuable upon the exercise of options outstanding as of June 30, 2013 with a weighted average exercise price of $0.05 per share.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December 31, 2010 Valuation</w:t>
      </w:r>
    </w:p>
    <w:p>
      <w:pPr>
        <w:spacing w:after="0" w:line="132" w:lineRule="exact"/>
        <w:rPr>
          <w:sz w:val="20"/>
          <w:szCs w:val="20"/>
          <w:color w:val="auto"/>
        </w:rPr>
      </w:pPr>
    </w:p>
    <w:p>
      <w:pPr>
        <w:ind w:firstLine="802"/>
        <w:spacing w:after="0" w:line="295" w:lineRule="auto"/>
        <w:rPr>
          <w:sz w:val="20"/>
          <w:szCs w:val="20"/>
          <w:color w:val="auto"/>
        </w:rPr>
      </w:pPr>
      <w:r>
        <w:rPr>
          <w:rFonts w:ascii="Arial" w:cs="Arial" w:eastAsia="Arial" w:hAnsi="Arial"/>
          <w:sz w:val="12"/>
          <w:szCs w:val="12"/>
          <w:color w:val="auto"/>
        </w:rPr>
        <w:t>We determined that the income approach was best suited to use for the December 31, 2010 valuation. We focused on determining the market value of our total capitalization. The market value of non-operating assets was added to determine the market value of the total common equity. We used the option pricing method as the allocation method. We utilized a long-term forecast that represented our best estimate of expected performance. We determined that a 14.71% cost of capital would be appropriate. We developed a long-term model that projected our product candidates’ performance and potential commercialization over the next twenty years. We assumed that we would continue development of additional product candidates in our pipeline and generate revenue through commercialization of our product candidates or through collaborations. This normalized cash flow was then discounted back to a present value at the above mentioned cost of capital. The cost of capital utilized was 14.71%. The Company’s capital structure did not contain any debt; therefore the weighted average cost of capital did not contain a cost of debt. We noted that the capital structure of 100% equity and 0% debt was comparable to the median capital structure of the guideline public companies of 99.6% equity and 0.4% debt. We determined the cost of capital utilizing the following inputs: (i) yield on a 20-year Treasury bond of 4.13% derived from the U.S. Federal Reserve website; (ii) market risk premium of 5.18% based upon Morningstar’s publication “Stocks, Bonds, Bills, and Inflation: Valuation Edition 2010 Yearbook”; (iii) an unlevered beta of 1.00 based upon an analysis of betas of publicly-traded guideline companies, debt-to-equity ratios and tax rates; and (iv) a small stock premium of 5.4% based upon stocks in the 10th decile, including companies with market capitalizations ranging from $1.0 million to $214.1 million from Morningstar’s publication “Stocks, Bonds, Bills and Inflation: Valuation Edition 2010 Yearbook.” The total market value of our capital stock, based upon a discounted cash flow analysis, on a minority interest basis was approximately $74.0 million. We added free cash in the amount of $43.5 million and determined that the market value of total equity, on a marketable minority interest basis was approximately $117.5 million. Using the option pricing method approach, this value was then allocated among the preferred and common stock and we applied a discount rate of 30% to account for the lack of marketability of our common stock. We concluded that the fair value of our common stock was $0.05 per share at December 31, 2010.</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20" w:top="387" w:right="2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Stock Option Grants from January 2011 to November 2011</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Our board of directors granted options to purchase common stock on January 9, 2011, March 16, 2011, June 15, 2011, September 7, 2011 and November 10, 2011, with each option having an exercise price of $0.05 per share. In establishing this exercise price, our board of directors considered input from management, including the valuation we conducted of our common stock as of December 31, 2010, as well as the objective and subjective factors outlined above. At each grant date, our board of directors considered the events and circumstances most likely to affect the value of our common stock that occurred between December 2010 and the grant date, and whether those events and circumstances were part of the assumptions used in the December 2010 valuation. Our board of directors determined that there were no other events and circumstances that occurred between December 2010 and November 2011 that were indicative of a significant change in the fair value of our common stock. Based on these factors, our board of directors determined that the fair value of our common stock at January 9, 2011, March 16, 2011, June 15, 2011, September 7, 2011 and November 10, 2011 was $0.05 per share.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December 31, 2011 Valuation</w:t>
      </w:r>
    </w:p>
    <w:p>
      <w:pPr>
        <w:spacing w:after="0" w:line="132" w:lineRule="exact"/>
        <w:rPr>
          <w:sz w:val="20"/>
          <w:szCs w:val="20"/>
          <w:color w:val="auto"/>
        </w:rPr>
      </w:pPr>
    </w:p>
    <w:p>
      <w:pPr>
        <w:ind w:right="80" w:firstLine="802"/>
        <w:spacing w:after="0" w:line="299" w:lineRule="auto"/>
        <w:rPr>
          <w:sz w:val="20"/>
          <w:szCs w:val="20"/>
          <w:color w:val="auto"/>
        </w:rPr>
      </w:pPr>
      <w:r>
        <w:rPr>
          <w:rFonts w:ascii="Arial" w:cs="Arial" w:eastAsia="Arial" w:hAnsi="Arial"/>
          <w:sz w:val="12"/>
          <w:szCs w:val="12"/>
          <w:color w:val="auto"/>
        </w:rPr>
        <w:t>We determined that the income approach was best suited to us for the December 31, 2011 valuation. We focused on determining the market value of total capitalization. The market value of non-operating assets was added to determine the market value of the total common equity. We used the option pricing method as the allocation method. We utilized a long-term forecast that represented our best estimates of expected performance. We determined that a 15.46% cost of capital would be appropriate. We developed a long-term model that projected our product candidates’ performance and potential commercialization over the next twenty years. We assumed that we would continue development of additional product candidates in our pipeline and generate revenue through commercialization of our product candidates or though collaborations. This normalized cash flow was then discounted back to a present value at the above mentioned cost of capital. The total market value of our capital stock, based upon a discounted cash flow analysis, on a minority interest basis was approximately $61.6 million. We added free cash in the amount of $48.2 million and determined that the market value of total equity, on a marketable minority interest basis was approximately $109.8 million. Using the option pricing method approach, this value was then allocated among the preferred and common stock and applying a discount rate of 30% to account for the lack of marketability of our common stock. We concluded that the fair value of our common stock was $0.05 per share as December 31, 2011.</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Stock Option Grants from January 2012 to November 2012</w:t>
      </w:r>
    </w:p>
    <w:p>
      <w:pPr>
        <w:spacing w:after="0" w:line="132" w:lineRule="exact"/>
        <w:rPr>
          <w:sz w:val="20"/>
          <w:szCs w:val="20"/>
          <w:color w:val="auto"/>
        </w:rPr>
      </w:pPr>
    </w:p>
    <w:p>
      <w:pPr>
        <w:ind w:right="40" w:firstLine="802"/>
        <w:spacing w:after="0" w:line="302" w:lineRule="auto"/>
        <w:rPr>
          <w:sz w:val="20"/>
          <w:szCs w:val="20"/>
          <w:color w:val="auto"/>
        </w:rPr>
      </w:pPr>
      <w:r>
        <w:rPr>
          <w:rFonts w:ascii="Arial" w:cs="Arial" w:eastAsia="Arial" w:hAnsi="Arial"/>
          <w:sz w:val="12"/>
          <w:szCs w:val="12"/>
          <w:color w:val="auto"/>
        </w:rPr>
        <w:t>Our board of directors granted options to purchase common stock on January 8, 2012, March 14, 2012, June 13, 2012, September 19, 2012 and November 8, 2012, with each option having an exercise price of $0.05 per share. In establishing this exercise price, our board of directors considered input from management, including the valuation we conducted of our common stock as of December 31, 2011, as well as the objective and subjective factors outlined above. At each grant date, our board of directors considered the events and circumstances most likely to affect the value of our common stock that occurred between December 2011 and the grant date and whether those events and circumstances were part of the assumptions used in the December 2011 valuation. Our board of directors determined that there were no other events and circumstances that occurred between December 2011 and November 2012 that were indicative of a significant change in the fair value of our common stock. Based on these factors, our board of directors determined that the fair value of our common stock at January 8, 2012, March 14, 2012, June 13, 2012, September 19, 2012 and November 08, 2012 was $0.05 per share.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December 31, 2012 Valuation</w:t>
      </w:r>
    </w:p>
    <w:p>
      <w:pPr>
        <w:spacing w:after="0" w:line="132" w:lineRule="exact"/>
        <w:rPr>
          <w:sz w:val="20"/>
          <w:szCs w:val="20"/>
          <w:color w:val="auto"/>
        </w:rPr>
      </w:pPr>
    </w:p>
    <w:p>
      <w:pPr>
        <w:ind w:right="160" w:firstLine="802"/>
        <w:spacing w:after="0" w:line="267" w:lineRule="auto"/>
        <w:rPr>
          <w:sz w:val="20"/>
          <w:szCs w:val="20"/>
          <w:color w:val="auto"/>
        </w:rPr>
      </w:pPr>
      <w:r>
        <w:rPr>
          <w:rFonts w:ascii="Arial" w:cs="Arial" w:eastAsia="Arial" w:hAnsi="Arial"/>
          <w:sz w:val="14"/>
          <w:szCs w:val="14"/>
          <w:color w:val="auto"/>
        </w:rPr>
        <w:t>We used the PWERM method to allocate the equity value to our common stock in the December 31, 2012 valuation. For the various scenarios, we utilized a combination of the market approach (e.g., consideration of pre-money IPO value indications from companies in the pharmaceutical and biotechnology industries with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387" w:right="21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similar product candidates and at similar stages of clinical development) and the income approach (e.g., projected future cash flows) to determine the value of our business and ultimately the fair value of our common stock. We utilized the following probability-weighted scenarios to determine the equity value of our company:</w:t>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4"/>
              </w:rPr>
              <w:t>Scenario</w:t>
            </w:r>
          </w:p>
        </w:tc>
        <w:tc>
          <w:tcPr>
            <w:tcW w:w="878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2"/>
              </w:rPr>
              <w:t>Probability</w:t>
            </w:r>
          </w:p>
        </w:tc>
        <w:tc>
          <w:tcPr>
            <w:tcW w:w="0" w:type="dxa"/>
            <w:vAlign w:val="bottom"/>
          </w:tcPr>
          <w:p>
            <w:pPr>
              <w:spacing w:after="0"/>
              <w:rPr>
                <w:sz w:val="1"/>
                <w:szCs w:val="1"/>
                <w:color w:val="auto"/>
              </w:rPr>
            </w:pPr>
          </w:p>
        </w:tc>
      </w:tr>
      <w:tr>
        <w:trPr>
          <w:trHeight w:val="20"/>
        </w:trPr>
        <w:tc>
          <w:tcPr>
            <w:tcW w:w="9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 IPO by second quarter 2013</w:t>
            </w: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0" w:type="dxa"/>
            <w:vAlign w:val="bottom"/>
            <w:gridSpan w:val="2"/>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7"/>
        </w:trPr>
        <w:tc>
          <w:tcPr>
            <w:tcW w:w="9200" w:type="dxa"/>
            <w:vAlign w:val="bottom"/>
            <w:gridSpan w:val="2"/>
          </w:tcPr>
          <w:p>
            <w:pPr>
              <w:spacing w:after="0"/>
              <w:rPr>
                <w:sz w:val="20"/>
                <w:szCs w:val="20"/>
                <w:color w:val="auto"/>
              </w:rPr>
            </w:pPr>
            <w:r>
              <w:rPr>
                <w:rFonts w:ascii="Arial" w:cs="Arial" w:eastAsia="Arial" w:hAnsi="Arial"/>
                <w:sz w:val="14"/>
                <w:szCs w:val="14"/>
                <w:color w:val="auto"/>
              </w:rPr>
              <w:t>An IPO by fourth quarter 2013</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7"/>
        </w:trPr>
        <w:tc>
          <w:tcPr>
            <w:tcW w:w="9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 IPO by first quarter 2014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7"/>
        </w:trPr>
        <w:tc>
          <w:tcPr>
            <w:tcW w:w="9200" w:type="dxa"/>
            <w:vAlign w:val="bottom"/>
            <w:gridSpan w:val="2"/>
          </w:tcPr>
          <w:p>
            <w:pPr>
              <w:spacing w:after="0"/>
              <w:rPr>
                <w:sz w:val="20"/>
                <w:szCs w:val="20"/>
                <w:color w:val="auto"/>
              </w:rPr>
            </w:pPr>
            <w:r>
              <w:rPr>
                <w:rFonts w:ascii="Arial" w:cs="Arial" w:eastAsia="Arial" w:hAnsi="Arial"/>
                <w:sz w:val="14"/>
                <w:szCs w:val="14"/>
                <w:color w:val="auto"/>
              </w:rPr>
              <w:t>A merger or acquisition by fourth quarter 2014</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9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Remain private through the middle of 2015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In this valuation, we incorporated IPO scenarios as this strategy was considered a possibility based on our stage of development and current market conditions. We believed that a second quarter 2013 IPO was unlikely given the tremendous effort required to file a registration statement and our lack of need for additional cash and therefore applied a 5% probability to this scenario. We determined that an IPO either in the fourth quarter of 2013 or first quarter of 2014 was somewhat more likely due to the progression of our lead product candidates and therefore applied a probability of 15% to each of those scenarios. We determined that the likelihood of a merger or acquisition was low based on the timing of availability of key clinical data and assigned a probability of 10% to that scenario. We determined that given our relatively low need to raise capital as a result of our collaboration agreements and anticipated milestone payments, the scenario most likely to occur would be to remain a private company and therefore assigned a probability of 55% to that scenario. We concluded that after applying a discount rate of 25.0% for lack of marketability, the value of our common stock as December 31, 2012 was $0.08 per share.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Stock Option Grants from January 2013 to March 2013</w:t>
      </w:r>
    </w:p>
    <w:p>
      <w:pPr>
        <w:spacing w:after="0" w:line="132" w:lineRule="exact"/>
        <w:rPr>
          <w:sz w:val="20"/>
          <w:szCs w:val="20"/>
          <w:color w:val="auto"/>
        </w:rPr>
      </w:pPr>
    </w:p>
    <w:p>
      <w:pPr>
        <w:ind w:right="40" w:firstLine="802"/>
        <w:spacing w:after="0" w:line="302" w:lineRule="auto"/>
        <w:rPr>
          <w:sz w:val="20"/>
          <w:szCs w:val="20"/>
          <w:color w:val="auto"/>
        </w:rPr>
      </w:pPr>
      <w:r>
        <w:rPr>
          <w:rFonts w:ascii="Arial" w:cs="Arial" w:eastAsia="Arial" w:hAnsi="Arial"/>
          <w:sz w:val="12"/>
          <w:szCs w:val="12"/>
          <w:color w:val="auto"/>
        </w:rPr>
        <w:t>Our board of directors granted options to purchase common stock on January 6, 2013 and March 8, 2013, with each option having an exercise price of $0.08 per share. In establishing this exercise price, our board of directors considered input from management, including the valuation we conducted of our common stock as of December 31, 2012, as well as the objective and subjective factors outlined above. At each grant date, our board of directors considered the events and circumstances most likely to affect the value of our common stock that occurred between December 2012 and the grant date and whether those events and circumstances were part of the assumptions used in the December 2012 valuation. Our board of directors determined that there were no other events and circumstances that occurred between December 2012 and March 2013 that were indicative of a significant change in the fair value of our common stock. Based on these factors, our board of directors determined that the fair value of our common stock at January 6, 2013 and March 8, 2013 was $0.08 per share.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March 31, 2013 Valuation</w:t>
      </w:r>
    </w:p>
    <w:p>
      <w:pPr>
        <w:spacing w:after="0" w:line="132" w:lineRule="exact"/>
        <w:rPr>
          <w:sz w:val="20"/>
          <w:szCs w:val="20"/>
          <w:color w:val="auto"/>
        </w:rPr>
      </w:pPr>
    </w:p>
    <w:p>
      <w:pPr>
        <w:ind w:right="20" w:firstLine="802"/>
        <w:spacing w:after="0" w:line="253" w:lineRule="auto"/>
        <w:rPr>
          <w:sz w:val="20"/>
          <w:szCs w:val="20"/>
          <w:color w:val="auto"/>
        </w:rPr>
      </w:pPr>
      <w:r>
        <w:rPr>
          <w:rFonts w:ascii="Arial" w:cs="Arial" w:eastAsia="Arial" w:hAnsi="Arial"/>
          <w:sz w:val="14"/>
          <w:szCs w:val="14"/>
          <w:color w:val="auto"/>
        </w:rPr>
        <w:t>Due to the market conditions for IPOs of biotechnology companies, we determined that obtaining a valuation of our common stock on a quarterly rather than annual basis was warranted in 2013. In the first of our quarterly valuations, we used the PWERM method to allocate the equity value to our common stock in the March 31, 2013 valuation. For the various scenarios, we utilized a combination of the market approach (e.g., consideration of pre-money IPO value indications from companies in the pharmaceutical and biotechnology industries with similar product candidates and at similar stages of clinical development) and the income approach (e.g., projected future cash flows) to determine the value of our business and ultimately the fair value of our common stock. We utilized the following probability-weighted scenarios to determine the equity value of our company:</w:t>
      </w:r>
    </w:p>
    <w:p>
      <w:pPr>
        <w:spacing w:after="0" w:line="141"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4"/>
              </w:rPr>
              <w:t>Scenario</w:t>
            </w:r>
          </w:p>
        </w:tc>
        <w:tc>
          <w:tcPr>
            <w:tcW w:w="32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2"/>
              </w:rPr>
              <w:t>Probability</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 IPO by fourth quarter 2013</w:t>
            </w:r>
          </w:p>
        </w:tc>
        <w:tc>
          <w:tcPr>
            <w:tcW w:w="55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680" w:type="dxa"/>
            <w:vAlign w:val="bottom"/>
            <w:gridSpan w:val="2"/>
            <w:vMerge w:val="continue"/>
            <w:shd w:val="clear" w:color="auto" w:fill="CCEEFF"/>
          </w:tcPr>
          <w:p>
            <w:pPr>
              <w:spacing w:after="0"/>
              <w:rPr>
                <w:sz w:val="12"/>
                <w:szCs w:val="12"/>
                <w:color w:val="auto"/>
              </w:rPr>
            </w:pPr>
          </w:p>
        </w:tc>
        <w:tc>
          <w:tcPr>
            <w:tcW w:w="552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7"/>
        </w:trPr>
        <w:tc>
          <w:tcPr>
            <w:tcW w:w="3680" w:type="dxa"/>
            <w:vAlign w:val="bottom"/>
            <w:gridSpan w:val="2"/>
          </w:tcPr>
          <w:p>
            <w:pPr>
              <w:spacing w:after="0"/>
              <w:rPr>
                <w:sz w:val="20"/>
                <w:szCs w:val="20"/>
                <w:color w:val="auto"/>
              </w:rPr>
            </w:pPr>
            <w:r>
              <w:rPr>
                <w:rFonts w:ascii="Arial" w:cs="Arial" w:eastAsia="Arial" w:hAnsi="Arial"/>
                <w:sz w:val="14"/>
                <w:szCs w:val="14"/>
                <w:color w:val="auto"/>
              </w:rPr>
              <w:t>An IPO by first quarter 2014</w:t>
            </w:r>
          </w:p>
        </w:tc>
        <w:tc>
          <w:tcPr>
            <w:tcW w:w="6180" w:type="dxa"/>
            <w:vAlign w:val="bottom"/>
            <w:gridSpan w:val="3"/>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7"/>
        </w:trPr>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 merger or acquisition by third quarter 2015</w:t>
            </w:r>
          </w:p>
        </w:tc>
        <w:tc>
          <w:tcPr>
            <w:tcW w:w="6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3"/>
        </w:trPr>
        <w:tc>
          <w:tcPr>
            <w:tcW w:w="3680" w:type="dxa"/>
            <w:vAlign w:val="bottom"/>
            <w:gridSpan w:val="2"/>
          </w:tcPr>
          <w:p>
            <w:pPr>
              <w:spacing w:after="0"/>
              <w:rPr>
                <w:sz w:val="20"/>
                <w:szCs w:val="20"/>
                <w:color w:val="auto"/>
              </w:rPr>
            </w:pPr>
            <w:r>
              <w:rPr>
                <w:rFonts w:ascii="Arial" w:cs="Arial" w:eastAsia="Arial" w:hAnsi="Arial"/>
                <w:sz w:val="14"/>
                <w:szCs w:val="14"/>
                <w:color w:val="auto"/>
              </w:rPr>
              <w:t>Remain private through the end of 2015</w:t>
            </w:r>
          </w:p>
        </w:tc>
        <w:tc>
          <w:tcPr>
            <w:tcW w:w="6180" w:type="dxa"/>
            <w:vAlign w:val="bottom"/>
            <w:gridSpan w:val="3"/>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4"/>
        </w:trPr>
        <w:tc>
          <w:tcPr>
            <w:tcW w:w="4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5520" w:type="dxa"/>
            <w:vAlign w:val="bottom"/>
          </w:tcPr>
          <w:p>
            <w:pPr>
              <w:jc w:val="right"/>
              <w:ind w:right="4132"/>
              <w:spacing w:after="0"/>
              <w:rPr>
                <w:sz w:val="20"/>
                <w:szCs w:val="20"/>
                <w:color w:val="auto"/>
              </w:rPr>
            </w:pPr>
            <w:r>
              <w:rPr>
                <w:rFonts w:ascii="Arial" w:cs="Arial" w:eastAsia="Arial" w:hAnsi="Arial"/>
                <w:sz w:val="14"/>
                <w:szCs w:val="14"/>
                <w:color w:val="auto"/>
              </w:rPr>
              <w:t>67</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6" w:right="2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40" w:firstLine="802"/>
        <w:spacing w:after="0" w:line="305" w:lineRule="auto"/>
        <w:rPr>
          <w:sz w:val="20"/>
          <w:szCs w:val="20"/>
          <w:color w:val="auto"/>
        </w:rPr>
      </w:pPr>
      <w:r>
        <w:rPr>
          <w:rFonts w:ascii="Arial" w:cs="Arial" w:eastAsia="Arial" w:hAnsi="Arial"/>
          <w:sz w:val="12"/>
          <w:szCs w:val="12"/>
          <w:color w:val="auto"/>
        </w:rPr>
        <w:t>In this valuation, we believed that the possibility of a fourth quarter 2013 IPO or a first quarter 2014 IPO were equal, given that only two biotechnology companies had successfully completed IPOs from December 2012 to our board meeting in March 2013. Therefore we applied a 20% probability to each of those scenarios. We determined that the likelihood of a merger or acquisition was low based on the timing of availability of key clinical data and assigned a probability of 15% to that scenario. We determined that given our relatively low need to raise capital as a result of our collaboration agreements and anticipated milestone payments, the scenario most likely to occur would be to remain a private company and therefore assigned a probability of 45% to that scenario. We concluded that after applying a discount rate of 20.0% for lack of marketability, the value of our common stock at March 31, 2013 was $0.14 per share.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Stock Option Grants from April 2013 to June 2013</w:t>
      </w:r>
    </w:p>
    <w:p>
      <w:pPr>
        <w:spacing w:after="0" w:line="132"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Our board of directors granted options to purchase common stock on June 19, 2013, with each option having an exercise price of $0.14 per share. In establishing this exercise price, our board of directors considered input from management, including the valuation we conducted of our common stock as of March 31, 2013, as well as the objective and subjective factors outlined above. At the grant date, our board of directors considered the events and circumstances most likely to affect the value of our common stock that occurred between March 31, 2013 and the grant date and whether those events and circumstances were part of the assumptions used in the March 31, 2013 valuation. Our board of directors determined that there were no other events and circumstances that occurred between March 31, 2013 and June 19, 2013 that were indicative of a significant change in the fair value of our common stock. Based on these factors, our board of directors determined that the fair value of our common stock at June 19, 2013 was $0.14 per share.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June 30, 2013 Valuation</w:t>
      </w:r>
    </w:p>
    <w:p>
      <w:pPr>
        <w:spacing w:after="0" w:line="132" w:lineRule="exact"/>
        <w:rPr>
          <w:sz w:val="20"/>
          <w:szCs w:val="20"/>
          <w:color w:val="auto"/>
        </w:rPr>
      </w:pPr>
    </w:p>
    <w:p>
      <w:pPr>
        <w:ind w:right="380" w:firstLine="802"/>
        <w:spacing w:after="0" w:line="255" w:lineRule="auto"/>
        <w:rPr>
          <w:sz w:val="20"/>
          <w:szCs w:val="20"/>
          <w:color w:val="auto"/>
        </w:rPr>
      </w:pPr>
      <w:r>
        <w:rPr>
          <w:rFonts w:ascii="Arial" w:cs="Arial" w:eastAsia="Arial" w:hAnsi="Arial"/>
          <w:sz w:val="14"/>
          <w:szCs w:val="14"/>
          <w:color w:val="auto"/>
        </w:rPr>
        <w:t>In this quarterly valuation, we again used the PWERM method to allocate value to our common stock as of June 30, 2013. For the various scenarios, we utilized a combination of the market approach (e.g., consideration of pre-money IPO value indications from companies in the pharmaceutical and biotechnology industries with similar product candidates and at similar stages of clinical development) and the income approach (e.g., projected future cash flows) to determine the value of our business and ultimately the fair value of our common stock. We utilized the following probability-weighted scenarios to determine the equity value of our company:</w:t>
      </w:r>
    </w:p>
    <w:p>
      <w:pPr>
        <w:spacing w:after="0" w:line="138"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4"/>
              </w:rPr>
              <w:t>Scenario</w:t>
            </w:r>
          </w:p>
        </w:tc>
        <w:tc>
          <w:tcPr>
            <w:tcW w:w="878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2"/>
              </w:rPr>
              <w:t>Probability</w:t>
            </w:r>
          </w:p>
        </w:tc>
        <w:tc>
          <w:tcPr>
            <w:tcW w:w="0" w:type="dxa"/>
            <w:vAlign w:val="bottom"/>
          </w:tcPr>
          <w:p>
            <w:pPr>
              <w:spacing w:after="0"/>
              <w:rPr>
                <w:sz w:val="1"/>
                <w:szCs w:val="1"/>
                <w:color w:val="auto"/>
              </w:rPr>
            </w:pPr>
          </w:p>
        </w:tc>
      </w:tr>
      <w:tr>
        <w:trPr>
          <w:trHeight w:val="20"/>
        </w:trPr>
        <w:tc>
          <w:tcPr>
            <w:tcW w:w="9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 IPO by fourth quarter 2013</w:t>
            </w: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0" w:type="dxa"/>
            <w:vAlign w:val="bottom"/>
            <w:gridSpan w:val="2"/>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7"/>
        </w:trPr>
        <w:tc>
          <w:tcPr>
            <w:tcW w:w="9200" w:type="dxa"/>
            <w:vAlign w:val="bottom"/>
            <w:gridSpan w:val="2"/>
          </w:tcPr>
          <w:p>
            <w:pPr>
              <w:spacing w:after="0"/>
              <w:rPr>
                <w:sz w:val="20"/>
                <w:szCs w:val="20"/>
                <w:color w:val="auto"/>
              </w:rPr>
            </w:pPr>
            <w:r>
              <w:rPr>
                <w:rFonts w:ascii="Arial" w:cs="Arial" w:eastAsia="Arial" w:hAnsi="Arial"/>
                <w:sz w:val="14"/>
                <w:szCs w:val="14"/>
                <w:color w:val="auto"/>
              </w:rPr>
              <w:t>An IPO by first quarter 2014</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7"/>
        </w:trPr>
        <w:tc>
          <w:tcPr>
            <w:tcW w:w="9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 merger or acquisition by third quarter 2015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3"/>
        </w:trPr>
        <w:tc>
          <w:tcPr>
            <w:tcW w:w="9200" w:type="dxa"/>
            <w:vAlign w:val="bottom"/>
            <w:gridSpan w:val="2"/>
          </w:tcPr>
          <w:p>
            <w:pPr>
              <w:spacing w:after="0"/>
              <w:rPr>
                <w:sz w:val="20"/>
                <w:szCs w:val="20"/>
                <w:color w:val="auto"/>
              </w:rPr>
            </w:pPr>
            <w:r>
              <w:rPr>
                <w:rFonts w:ascii="Arial" w:cs="Arial" w:eastAsia="Arial" w:hAnsi="Arial"/>
                <w:sz w:val="14"/>
                <w:szCs w:val="14"/>
                <w:color w:val="auto"/>
              </w:rPr>
              <w:t>Remain private through the end of 2015</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00" w:firstLine="802"/>
        <w:spacing w:after="0" w:line="252" w:lineRule="auto"/>
        <w:rPr>
          <w:sz w:val="20"/>
          <w:szCs w:val="20"/>
          <w:color w:val="auto"/>
        </w:rPr>
      </w:pPr>
      <w:r>
        <w:rPr>
          <w:rFonts w:ascii="Arial" w:cs="Arial" w:eastAsia="Arial" w:hAnsi="Arial"/>
          <w:sz w:val="14"/>
          <w:szCs w:val="14"/>
          <w:color w:val="auto"/>
        </w:rPr>
        <w:t>In this valuation, we believed that the possibility of a fourth quarter 2013 IPO was more probable than in previous valuations. This is due primarily to the recent market for biotechnology IPOs. We assigned a 32.5% probability to that scenario. While we determined that this was the most likely scenario, we assigned a 22.5% probability to an IPO in the first quarter of 2014. We determined that the likelihood of a merger or acquisition by the third quarter of 2015 was relatively low based on the timing of availability of key clinical data and assigned a probability of 15.0% to that scenario. We determined that given our relatively low need to raise capital as a result of our collaboration agreements and anticipated milestone payments, the scenario where we would remain a private company was more likely and therefore assigned a probability of 30.0% to that scenario. We concluded that after applying a discount rate of 15.0% for lack of marketability, the value of our common stock at June 30, 2013 was $0.25 per share.</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Stock Option Grants in July 2013</w:t>
      </w:r>
    </w:p>
    <w:p>
      <w:pPr>
        <w:spacing w:after="0" w:line="132" w:lineRule="exact"/>
        <w:rPr>
          <w:sz w:val="20"/>
          <w:szCs w:val="20"/>
          <w:color w:val="auto"/>
        </w:rPr>
      </w:pPr>
    </w:p>
    <w:p>
      <w:pPr>
        <w:ind w:right="180" w:firstLine="802"/>
        <w:spacing w:after="0" w:line="267" w:lineRule="auto"/>
        <w:rPr>
          <w:sz w:val="20"/>
          <w:szCs w:val="20"/>
          <w:color w:val="auto"/>
        </w:rPr>
      </w:pPr>
      <w:r>
        <w:rPr>
          <w:rFonts w:ascii="Arial" w:cs="Arial" w:eastAsia="Arial" w:hAnsi="Arial"/>
          <w:sz w:val="14"/>
          <w:szCs w:val="14"/>
          <w:color w:val="auto"/>
        </w:rPr>
        <w:t>Our board of directors granted options to purchase common stock on July 19, 2013, with each option having an exercise price of $0.25 per share. In establishing this exercise price, our board of directors considered input from management, including the valuation we conducted of our common stock as of June 30, 2013, as well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386" w:right="2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as the objective and subjective factors outlined above. At the grant date, our board of directors considered the events and circumstances most likely to affect the value of our common stock that occurred between June 30, 2013 and the grant date and whether those events and circumstances were part of the assumptions used in the June 2013 valuation. Our board of directors determined that there were no other events and circumstances that occurred between June 30, 2013 and July 19, 2013 that were indicative of a significant change in the fair value of our common stock. Based on these factors, our board of directors determined that the fair value of our common stock at July 19, 2013 was $0.25 per share.</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Determination of Estimated Offering Price</w:t>
      </w:r>
    </w:p>
    <w:p>
      <w:pPr>
        <w:spacing w:after="0" w:line="132" w:lineRule="exact"/>
        <w:rPr>
          <w:sz w:val="20"/>
          <w:szCs w:val="20"/>
          <w:color w:val="auto"/>
        </w:rPr>
      </w:pPr>
    </w:p>
    <w:p>
      <w:pPr>
        <w:ind w:right="80" w:firstLine="802"/>
        <w:spacing w:after="0" w:line="255" w:lineRule="auto"/>
        <w:rPr>
          <w:sz w:val="20"/>
          <w:szCs w:val="20"/>
          <w:color w:val="auto"/>
        </w:rPr>
      </w:pPr>
      <w:r>
        <w:rPr>
          <w:rFonts w:ascii="Arial" w:cs="Arial" w:eastAsia="Arial" w:hAnsi="Arial"/>
          <w:sz w:val="14"/>
          <w:szCs w:val="14"/>
          <w:color w:val="auto"/>
        </w:rPr>
        <w:t>In June 2013, we selected underwriters for this offering. The midpoint of the preliminary range for this offering as determined by us and the underwriters was $ per share. In comparison, our estimate of the fair value of our common stock was $0.25 per share as of the June 30, 2013 valuation. We note that, as typical in IPOs, the preliminary range was not derived using a formal determination of fair value, but was determined based upon discussions between us and the underwriters. Among the factors that were considered in setting this range were our prospects and the recent market prices of, and the demand for, publicly traded common stock of comparable companies.</w:t>
      </w:r>
    </w:p>
    <w:p>
      <w:pPr>
        <w:spacing w:after="0" w:line="110"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We believe that the difference between the fair value of our common stock as of June 30, 2013 and the midpoint of the estimated price range for this offering is the result of these factors as well as the fact that the estimated IPO price range necessarily assumes that the IPO has occurred, a public market for our common stock has been created and our preferred stock has converted into common stock in connection with the IPO. The estimated IPO price range therefore excludes any discount for lack of marketability of our common stock and any consideration of the preferences of our convertible preferred stock, which we factored into the June 30, 2013 contemporaneous valuation. In addition, since the time of the June 30, 2013 valuation, our product candidates have continued to progress through clinical and pre-clinical development, including achievement of additional partial responses in our margetuximab Phase 1 clinical trial, and we have had further discussion with the FDA regarding our development plans for a potential Phase 3 clinical trial of margetuximab in gastroesophageal cancer; we received a $10 million milestone payment for dosing a first patient in the dose expansion portion of our MGA271 Phase 1 clinical trial; we have generated additional supportive pre-clinical data for multiple proprietary as well as partnered DART-based programs; and finally, other clinical-stage oncology companies, including those with differentiated technology platforms, have gone public during this time.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JOBS Act</w:t>
      </w:r>
    </w:p>
    <w:p>
      <w:pPr>
        <w:spacing w:after="0" w:line="132"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79" w:lineRule="exact"/>
        <w:rPr>
          <w:sz w:val="20"/>
          <w:szCs w:val="20"/>
          <w:color w:val="auto"/>
        </w:rPr>
      </w:pPr>
    </w:p>
    <w:p>
      <w:pPr>
        <w:ind w:right="80" w:firstLine="802"/>
        <w:spacing w:after="0" w:line="293" w:lineRule="auto"/>
        <w:rPr>
          <w:sz w:val="20"/>
          <w:szCs w:val="20"/>
          <w:color w:val="auto"/>
        </w:rPr>
      </w:pPr>
      <w:r>
        <w:rPr>
          <w:rFonts w:ascii="Arial" w:cs="Arial" w:eastAsia="Arial" w:hAnsi="Arial"/>
          <w:sz w:val="12"/>
          <w:szCs w:val="12"/>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w:t>
      </w:r>
    </w:p>
    <w:p>
      <w:pPr>
        <w:spacing w:after="0" w:line="1" w:lineRule="exact"/>
        <w:rPr>
          <w:sz w:val="20"/>
          <w:szCs w:val="20"/>
          <w:color w:val="auto"/>
        </w:rPr>
      </w:pPr>
    </w:p>
    <w:p>
      <w:pPr>
        <w:ind w:left="5660" w:right="1940" w:hanging="5656"/>
        <w:spacing w:after="0" w:line="429" w:lineRule="auto"/>
        <w:tabs>
          <w:tab w:leader="none" w:pos="1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last day of the fiscal year in which we have total annual gross revenues of $1 billion or more; (ii) the last day of the fiscal year following the fifth anniversary of the date 69</w:t>
      </w:r>
    </w:p>
    <w:p>
      <w:pPr>
        <w:sectPr>
          <w:pgSz w:w="11900" w:h="16838" w:orient="portrait"/>
          <w:cols w:equalWidth="0" w:num="1">
            <w:col w:w="11460"/>
          </w:cols>
          <w:pgMar w:left="220" w:top="386" w:right="2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color w:val="auto"/>
        </w:rPr>
        <w:t>of the completion of this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for the Six Months Ended June 30, 2012 and 2013</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Revenue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represents a comparison of our research and development revenue for the six months ended June 30, 2012 and 2013:</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3860" w:type="dxa"/>
            <w:vAlign w:val="bottom"/>
          </w:tcPr>
          <w:p>
            <w:pPr>
              <w:spacing w:after="0"/>
              <w:rPr>
                <w:sz w:val="10"/>
                <w:szCs w:val="10"/>
                <w:color w:val="auto"/>
              </w:rPr>
            </w:pPr>
          </w:p>
        </w:tc>
        <w:tc>
          <w:tcPr>
            <w:tcW w:w="1800" w:type="dxa"/>
            <w:vAlign w:val="bottom"/>
            <w:gridSpan w:val="3"/>
            <w:vMerge w:val="restart"/>
          </w:tcPr>
          <w:p>
            <w:pPr>
              <w:jc w:val="right"/>
              <w:ind w:right="20"/>
              <w:spacing w:after="0"/>
              <w:rPr>
                <w:sz w:val="20"/>
                <w:szCs w:val="20"/>
                <w:color w:val="auto"/>
              </w:rPr>
            </w:pPr>
            <w:r>
              <w:rPr>
                <w:rFonts w:ascii="Arial" w:cs="Arial" w:eastAsia="Arial" w:hAnsi="Arial"/>
                <w:sz w:val="10"/>
                <w:szCs w:val="10"/>
                <w:b w:val="1"/>
                <w:bCs w:val="1"/>
                <w:color w:val="auto"/>
              </w:rPr>
              <w:t>2012</w:t>
            </w: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95"/>
              </w:rPr>
              <w:t>Six Months Ended June 30,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Increase/(Decrease)</w:t>
            </w:r>
          </w:p>
        </w:tc>
        <w:tc>
          <w:tcPr>
            <w:tcW w:w="0" w:type="dxa"/>
            <w:vAlign w:val="bottom"/>
          </w:tcPr>
          <w:p>
            <w:pPr>
              <w:spacing w:after="0"/>
              <w:rPr>
                <w:sz w:val="1"/>
                <w:szCs w:val="1"/>
                <w:color w:val="auto"/>
              </w:rPr>
            </w:pPr>
          </w:p>
        </w:tc>
      </w:tr>
      <w:tr>
        <w:trPr>
          <w:trHeight w:val="105"/>
        </w:trPr>
        <w:tc>
          <w:tcPr>
            <w:tcW w:w="38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3"/>
          </w:tcPr>
          <w:p>
            <w:pPr>
              <w:jc w:val="right"/>
              <w:spacing w:after="0" w:line="105" w:lineRule="exact"/>
              <w:rPr>
                <w:sz w:val="20"/>
                <w:szCs w:val="20"/>
                <w:color w:val="auto"/>
              </w:rPr>
            </w:pPr>
            <w:r>
              <w:rPr>
                <w:rFonts w:ascii="Arial" w:cs="Arial" w:eastAsia="Arial" w:hAnsi="Arial"/>
                <w:sz w:val="10"/>
                <w:szCs w:val="10"/>
                <w:b w:val="1"/>
                <w:bCs w:val="1"/>
                <w:color w:val="auto"/>
              </w:rPr>
              <w:t>2013</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line="105" w:lineRule="exact"/>
              <w:rPr>
                <w:sz w:val="20"/>
                <w:szCs w:val="20"/>
                <w:color w:val="auto"/>
              </w:rPr>
            </w:pPr>
            <w:r>
              <w:rPr>
                <w:rFonts w:ascii="Arial" w:cs="Arial" w:eastAsia="Arial" w:hAnsi="Arial"/>
                <w:sz w:val="10"/>
                <w:szCs w:val="10"/>
                <w:b w:val="1"/>
                <w:bCs w:val="1"/>
                <w:color w:val="auto"/>
                <w:w w:val="82"/>
              </w:rPr>
              <w:t>(dollars</w:t>
            </w:r>
          </w:p>
        </w:tc>
        <w:tc>
          <w:tcPr>
            <w:tcW w:w="240" w:type="dxa"/>
            <w:vAlign w:val="bottom"/>
            <w:tcBorders>
              <w:top w:val="single" w:sz="8" w:color="auto"/>
            </w:tcBorders>
          </w:tcPr>
          <w:p>
            <w:pPr>
              <w:jc w:val="right"/>
              <w:ind w:right="48"/>
              <w:spacing w:after="0" w:line="105" w:lineRule="exact"/>
              <w:rPr>
                <w:sz w:val="20"/>
                <w:szCs w:val="20"/>
                <w:color w:val="auto"/>
              </w:rPr>
            </w:pPr>
            <w:r>
              <w:rPr>
                <w:rFonts w:ascii="Arial" w:cs="Arial" w:eastAsia="Arial" w:hAnsi="Arial"/>
                <w:sz w:val="10"/>
                <w:szCs w:val="10"/>
                <w:b w:val="1"/>
                <w:bCs w:val="1"/>
                <w:color w:val="auto"/>
              </w:rPr>
              <w:t>in</w:t>
            </w:r>
          </w:p>
        </w:tc>
        <w:tc>
          <w:tcPr>
            <w:tcW w:w="52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millions)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60" w:type="dxa"/>
            <w:vAlign w:val="bottom"/>
          </w:tcPr>
          <w:p>
            <w:pPr>
              <w:ind w:left="340"/>
              <w:spacing w:after="0"/>
              <w:rPr>
                <w:sz w:val="20"/>
                <w:szCs w:val="20"/>
                <w:color w:val="auto"/>
              </w:rPr>
            </w:pPr>
            <w:r>
              <w:rPr>
                <w:rFonts w:ascii="Arial" w:cs="Arial" w:eastAsia="Arial" w:hAnsi="Arial"/>
                <w:sz w:val="14"/>
                <w:szCs w:val="14"/>
                <w:color w:val="auto"/>
              </w:rPr>
              <w:t>Revenue from collaborative research</w:t>
            </w:r>
          </w:p>
        </w:tc>
        <w:tc>
          <w:tcPr>
            <w:tcW w:w="1840" w:type="dxa"/>
            <w:vAlign w:val="bottom"/>
            <w:gridSpan w:val="5"/>
          </w:tcPr>
          <w:p>
            <w:pPr>
              <w:jc w:val="right"/>
              <w:spacing w:after="0"/>
              <w:rPr>
                <w:sz w:val="20"/>
                <w:szCs w:val="20"/>
                <w:color w:val="auto"/>
              </w:rPr>
            </w:pPr>
            <w:r>
              <w:rPr>
                <w:rFonts w:ascii="Arial" w:cs="Arial" w:eastAsia="Arial" w:hAnsi="Arial"/>
                <w:sz w:val="14"/>
                <w:szCs w:val="14"/>
                <w:color w:val="auto"/>
              </w:rPr>
              <w:t>$34.8</w:t>
            </w: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22.0</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(12.8)</w:t>
            </w:r>
          </w:p>
        </w:tc>
        <w:tc>
          <w:tcPr>
            <w:tcW w:w="1660" w:type="dxa"/>
            <w:vAlign w:val="bottom"/>
            <w:gridSpan w:val="4"/>
          </w:tcPr>
          <w:p>
            <w:pPr>
              <w:ind w:left="1280"/>
              <w:spacing w:after="0"/>
              <w:rPr>
                <w:sz w:val="20"/>
                <w:szCs w:val="20"/>
                <w:color w:val="auto"/>
              </w:rPr>
            </w:pPr>
            <w:r>
              <w:rPr>
                <w:rFonts w:ascii="Arial" w:cs="Arial" w:eastAsia="Arial" w:hAnsi="Arial"/>
                <w:sz w:val="14"/>
                <w:szCs w:val="14"/>
                <w:color w:val="auto"/>
                <w:w w:val="96"/>
              </w:rPr>
              <w:t>(37)%</w:t>
            </w: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Grant revenue</w:t>
            </w:r>
          </w:p>
        </w:tc>
        <w:tc>
          <w:tcPr>
            <w:tcW w:w="1520" w:type="dxa"/>
            <w:vAlign w:val="bottom"/>
            <w:shd w:val="clear" w:color="auto" w:fill="CCEEFF"/>
          </w:tcPr>
          <w:p>
            <w:pPr>
              <w:spacing w:after="0"/>
              <w:rPr>
                <w:sz w:val="14"/>
                <w:szCs w:val="14"/>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60" w:type="dxa"/>
            <w:vAlign w:val="bottom"/>
            <w:gridSpan w:val="4"/>
            <w:shd w:val="clear" w:color="auto" w:fill="CCEEFF"/>
          </w:tcPr>
          <w:p>
            <w:pPr>
              <w:ind w:left="128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Total revenues</w:t>
            </w:r>
          </w:p>
        </w:tc>
        <w:tc>
          <w:tcPr>
            <w:tcW w:w="152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color w:val="auto"/>
                <w:w w:val="85"/>
              </w:rPr>
              <w:t>$38.0</w:t>
            </w:r>
          </w:p>
        </w:tc>
        <w:tc>
          <w:tcPr>
            <w:tcW w:w="68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23.0</w:t>
            </w:r>
          </w:p>
        </w:tc>
        <w:tc>
          <w:tcPr>
            <w:tcW w:w="20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1660" w:type="dxa"/>
            <w:vAlign w:val="bottom"/>
            <w:gridSpan w:val="4"/>
          </w:tcPr>
          <w:p>
            <w:pPr>
              <w:ind w:left="1280"/>
              <w:spacing w:after="0"/>
              <w:rPr>
                <w:sz w:val="20"/>
                <w:szCs w:val="20"/>
                <w:color w:val="auto"/>
              </w:rPr>
            </w:pPr>
            <w:r>
              <w:rPr>
                <w:rFonts w:ascii="Arial" w:cs="Arial" w:eastAsia="Arial" w:hAnsi="Arial"/>
                <w:sz w:val="14"/>
                <w:szCs w:val="14"/>
                <w:color w:val="auto"/>
                <w:w w:val="96"/>
              </w:rPr>
              <w:t>(39)%</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The decrease in collaboration revenue of $15.0 million from the six months ended June 30, 2012 to the same period in 2013 is primarily due to the conclusion of the teplizumab clinical trial related reimbursement from our former collaborator, Eli Lilly. Aside from reimbursing us for the continued monitoring expense of one on-going trial, Eli Lilly’s participation in the teplizumab development concluded in the first quarter of 2013. In addition, we have experienced a reduction in the amount of revenue from our government grants in the first half of 2013 as compared to the same period in 2012. This is due primarily to the completion of grants to study H5N1 influenza virus, small pox and West Nile virus.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represents a comparison of our research and development expense for the six months ended June 30, 2012 and 2013:</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2012</w:t>
            </w:r>
          </w:p>
        </w:tc>
        <w:tc>
          <w:tcPr>
            <w:tcW w:w="20" w:type="dxa"/>
            <w:vAlign w:val="bottom"/>
          </w:tcPr>
          <w:p>
            <w:pPr>
              <w:spacing w:after="0"/>
              <w:rPr>
                <w:sz w:val="10"/>
                <w:szCs w:val="1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5"/>
              </w:rPr>
              <w:t>Six Months Ended June 30,</w:t>
            </w: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vMerge w:val="restart"/>
          </w:tcPr>
          <w:p>
            <w:pPr>
              <w:jc w:val="right"/>
              <w:ind w:right="320"/>
              <w:spacing w:after="0"/>
              <w:rPr>
                <w:sz w:val="20"/>
                <w:szCs w:val="20"/>
                <w:color w:val="auto"/>
              </w:rPr>
            </w:pPr>
            <w:r>
              <w:rPr>
                <w:rFonts w:ascii="Arial" w:cs="Arial" w:eastAsia="Arial" w:hAnsi="Arial"/>
                <w:sz w:val="10"/>
                <w:szCs w:val="10"/>
                <w:b w:val="1"/>
                <w:bCs w:val="1"/>
                <w:color w:val="auto"/>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3"/>
          </w:tcPr>
          <w:p>
            <w:pPr>
              <w:jc w:val="right"/>
              <w:spacing w:after="0" w:line="105" w:lineRule="exact"/>
              <w:rPr>
                <w:sz w:val="20"/>
                <w:szCs w:val="20"/>
                <w:color w:val="auto"/>
              </w:rPr>
            </w:pPr>
            <w:r>
              <w:rPr>
                <w:rFonts w:ascii="Arial" w:cs="Arial" w:eastAsia="Arial" w:hAnsi="Arial"/>
                <w:sz w:val="10"/>
                <w:szCs w:val="10"/>
                <w:b w:val="1"/>
                <w:bCs w:val="1"/>
                <w:color w:val="auto"/>
              </w:rPr>
              <w:t>2013</w:t>
            </w: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ind w:left="20"/>
              <w:spacing w:after="0" w:line="105" w:lineRule="exact"/>
              <w:rPr>
                <w:sz w:val="20"/>
                <w:szCs w:val="20"/>
                <w:color w:val="auto"/>
              </w:rPr>
            </w:pPr>
            <w:r>
              <w:rPr>
                <w:rFonts w:ascii="Arial" w:cs="Arial" w:eastAsia="Arial" w:hAnsi="Arial"/>
                <w:sz w:val="10"/>
                <w:szCs w:val="10"/>
                <w:b w:val="1"/>
                <w:bCs w:val="1"/>
                <w:color w:val="auto"/>
                <w:w w:val="82"/>
              </w:rPr>
              <w:t>(dollars</w:t>
            </w:r>
          </w:p>
        </w:tc>
        <w:tc>
          <w:tcPr>
            <w:tcW w:w="220" w:type="dxa"/>
            <w:vAlign w:val="bottom"/>
            <w:tcBorders>
              <w:top w:val="single" w:sz="8" w:color="auto"/>
            </w:tcBorders>
          </w:tcPr>
          <w:p>
            <w:pPr>
              <w:jc w:val="right"/>
              <w:ind w:right="48"/>
              <w:spacing w:after="0" w:line="105" w:lineRule="exact"/>
              <w:rPr>
                <w:sz w:val="20"/>
                <w:szCs w:val="20"/>
                <w:color w:val="auto"/>
              </w:rPr>
            </w:pPr>
            <w:r>
              <w:rPr>
                <w:rFonts w:ascii="Arial" w:cs="Arial" w:eastAsia="Arial" w:hAnsi="Arial"/>
                <w:sz w:val="10"/>
                <w:szCs w:val="10"/>
                <w:b w:val="1"/>
                <w:bCs w:val="1"/>
                <w:color w:val="auto"/>
              </w:rPr>
              <w:t>in</w:t>
            </w:r>
          </w:p>
        </w:tc>
        <w:tc>
          <w:tcPr>
            <w:tcW w:w="3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72"/>
              </w:rPr>
              <w:t>millions)</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w:t>
            </w:r>
          </w:p>
        </w:tc>
        <w:tc>
          <w:tcPr>
            <w:tcW w:w="60" w:type="dxa"/>
            <w:vAlign w:val="bottom"/>
            <w:tcBorders>
              <w:lef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Margetuximab</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center"/>
              <w:spacing w:after="0"/>
              <w:rPr>
                <w:sz w:val="20"/>
                <w:szCs w:val="20"/>
                <w:color w:val="auto"/>
              </w:rPr>
            </w:pPr>
            <w:r>
              <w:rPr>
                <w:rFonts w:ascii="Arial" w:cs="Arial" w:eastAsia="Arial" w:hAnsi="Arial"/>
                <w:sz w:val="14"/>
                <w:szCs w:val="14"/>
                <w:color w:val="auto"/>
                <w:w w:val="81"/>
              </w:rPr>
              <w:t>0.1</w:t>
            </w:r>
          </w:p>
        </w:tc>
        <w:tc>
          <w:tcPr>
            <w:tcW w:w="66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MGA271</w:t>
            </w:r>
          </w:p>
        </w:tc>
        <w:tc>
          <w:tcPr>
            <w:tcW w:w="60" w:type="dxa"/>
            <w:vAlign w:val="bottom"/>
            <w:tcBorders>
              <w:left w:val="single" w:sz="8" w:color="CCEEFF"/>
            </w:tcBorders>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1"/>
              </w:rPr>
              <w:t>1.2</w:t>
            </w:r>
          </w:p>
        </w:tc>
        <w:tc>
          <w:tcPr>
            <w:tcW w:w="6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DART-based product candidates</w:t>
            </w:r>
          </w:p>
        </w:tc>
        <w:tc>
          <w:tcPr>
            <w:tcW w:w="6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10.6</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color w:val="auto"/>
                <w:w w:val="81"/>
              </w:rPr>
              <w:t>5.5</w:t>
            </w:r>
          </w:p>
        </w:tc>
        <w:tc>
          <w:tcPr>
            <w:tcW w:w="6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Teplizumab</w:t>
            </w:r>
          </w:p>
        </w:tc>
        <w:tc>
          <w:tcPr>
            <w:tcW w:w="60" w:type="dxa"/>
            <w:vAlign w:val="bottom"/>
            <w:tcBorders>
              <w:left w:val="single" w:sz="8" w:color="CCEEFF"/>
            </w:tcBorders>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600"/>
              <w:spacing w:after="0"/>
              <w:rPr>
                <w:sz w:val="20"/>
                <w:szCs w:val="20"/>
                <w:color w:val="auto"/>
              </w:rPr>
            </w:pPr>
            <w:r>
              <w:rPr>
                <w:rFonts w:ascii="Arial" w:cs="Arial" w:eastAsia="Arial" w:hAnsi="Arial"/>
                <w:sz w:val="14"/>
                <w:szCs w:val="14"/>
                <w:color w:val="auto"/>
                <w:w w:val="90"/>
              </w:rPr>
              <w:t>(8.2)</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ind w:left="320"/>
              <w:spacing w:after="0"/>
              <w:rPr>
                <w:sz w:val="20"/>
                <w:szCs w:val="20"/>
                <w:color w:val="auto"/>
              </w:rPr>
            </w:pPr>
            <w:r>
              <w:rPr>
                <w:rFonts w:ascii="Arial" w:cs="Arial" w:eastAsia="Arial" w:hAnsi="Arial"/>
                <w:sz w:val="14"/>
                <w:szCs w:val="14"/>
                <w:color w:val="auto"/>
              </w:rPr>
              <w:t>Other discovery and pre-clinical programs, collectively</w:t>
            </w:r>
          </w:p>
        </w:tc>
        <w:tc>
          <w:tcPr>
            <w:tcW w:w="6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(2.5)</w:t>
            </w: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research and development expense</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0"/>
              </w:rPr>
              <w:t>25.0</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600"/>
              <w:spacing w:after="0"/>
              <w:rPr>
                <w:sz w:val="20"/>
                <w:szCs w:val="20"/>
                <w:color w:val="auto"/>
              </w:rPr>
            </w:pPr>
            <w:r>
              <w:rPr>
                <w:rFonts w:ascii="Arial" w:cs="Arial" w:eastAsia="Arial" w:hAnsi="Arial"/>
                <w:sz w:val="14"/>
                <w:szCs w:val="14"/>
                <w:color w:val="auto"/>
                <w:w w:val="90"/>
              </w:rPr>
              <w:t>(3.9)</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right="320" w:firstLine="802"/>
        <w:spacing w:after="0" w:line="321" w:lineRule="auto"/>
        <w:rPr>
          <w:sz w:val="20"/>
          <w:szCs w:val="20"/>
          <w:color w:val="auto"/>
        </w:rPr>
      </w:pPr>
      <w:r>
        <w:rPr>
          <w:rFonts w:ascii="Arial" w:cs="Arial" w:eastAsia="Arial" w:hAnsi="Arial"/>
          <w:sz w:val="12"/>
          <w:szCs w:val="12"/>
          <w:color w:val="auto"/>
        </w:rPr>
        <w:t>During the six months ended June 30, 2013, as compared to the same period in 2012, our research and development expense decreased overall by $3.9 million. This was due primarily to the reduction in spending on teplizumab related clinical development as we ended trial enrollment and began closing down the trials during this period. In addition, we significantly reduced our CSLC related activities. These decreases were partially offset by an increase in spending on MGA271 and our various DART-based product candidates.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20" w:top="386" w:right="2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represents a comparison of our general and administrative expense for the six months ended June 30, 2012 and 2013:</w:t>
      </w:r>
    </w:p>
    <w:p>
      <w:pPr>
        <w:spacing w:after="0" w:line="159" w:lineRule="exact"/>
        <w:rPr>
          <w:sz w:val="20"/>
          <w:szCs w:val="20"/>
          <w:color w:val="auto"/>
        </w:rPr>
      </w:pPr>
    </w:p>
    <w:p>
      <w:pPr>
        <w:ind w:left="6400"/>
        <w:spacing w:after="0"/>
        <w:rPr>
          <w:sz w:val="20"/>
          <w:szCs w:val="20"/>
          <w:color w:val="auto"/>
        </w:rPr>
      </w:pPr>
      <w:r>
        <w:rPr>
          <w:rFonts w:ascii="Arial" w:cs="Arial" w:eastAsia="Arial" w:hAnsi="Arial"/>
          <w:sz w:val="10"/>
          <w:szCs w:val="1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6985</wp:posOffset>
            </wp:positionV>
            <wp:extent cx="82232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ind w:left="6080"/>
        <w:spacing w:after="0"/>
        <w:tabs>
          <w:tab w:leader="none" w:pos="7380" w:val="left"/>
          <w:tab w:leader="none" w:pos="8940" w:val="left"/>
        </w:tabs>
        <w:rPr>
          <w:sz w:val="20"/>
          <w:szCs w:val="20"/>
          <w:color w:val="auto"/>
        </w:rPr>
      </w:pPr>
      <w:r>
        <w:rPr>
          <w:rFonts w:ascii="Arial" w:cs="Arial" w:eastAsia="Arial" w:hAnsi="Arial"/>
          <w:sz w:val="10"/>
          <w:szCs w:val="10"/>
          <w:b w:val="1"/>
          <w:bCs w:val="1"/>
          <w:u w:val="single" w:color="auto"/>
          <w:color w:val="auto"/>
        </w:rPr>
        <w:t>2012</w:t>
      </w:r>
      <w:r>
        <w:rPr>
          <w:sz w:val="20"/>
          <w:szCs w:val="20"/>
          <w:color w:val="auto"/>
        </w:rPr>
        <w:tab/>
      </w:r>
      <w:r>
        <w:rPr>
          <w:rFonts w:ascii="Arial" w:cs="Arial" w:eastAsia="Arial" w:hAnsi="Arial"/>
          <w:sz w:val="10"/>
          <w:szCs w:val="10"/>
          <w:b w:val="1"/>
          <w:bCs w:val="1"/>
          <w:u w:val="single" w:color="auto"/>
          <w:color w:val="auto"/>
        </w:rPr>
        <w:t>2013</w:t>
      </w:r>
      <w:r>
        <w:rPr>
          <w:sz w:val="20"/>
          <w:szCs w:val="20"/>
          <w:color w:val="auto"/>
        </w:rPr>
        <w:tab/>
      </w:r>
      <w:r>
        <w:rPr>
          <w:rFonts w:ascii="Arial" w:cs="Arial" w:eastAsia="Arial" w:hAnsi="Arial"/>
          <w:sz w:val="9"/>
          <w:szCs w:val="9"/>
          <w:b w:val="1"/>
          <w:bCs w:val="1"/>
          <w:u w:val="single" w:color="auto"/>
          <w:color w:val="auto"/>
        </w:rPr>
        <w:t>Increase/(Decrease)</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0"/>
          <w:szCs w:val="10"/>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635</wp:posOffset>
            </wp:positionV>
            <wp:extent cx="6256020" cy="106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56020" cy="106045"/>
                    </a:xfrm>
                    <a:prstGeom prst="rect">
                      <a:avLst/>
                    </a:prstGeom>
                    <a:noFill/>
                  </pic:spPr>
                </pic:pic>
              </a:graphicData>
            </a:graphic>
          </wp:anchor>
        </w:drawing>
      </w:r>
    </w:p>
    <w:p>
      <w:pPr>
        <w:ind w:left="800"/>
        <w:spacing w:after="0"/>
        <w:tabs>
          <w:tab w:leader="none" w:pos="6040" w:val="left"/>
          <w:tab w:leader="none" w:pos="7020" w:val="left"/>
          <w:tab w:leader="none" w:pos="7780" w:val="left"/>
          <w:tab w:leader="none" w:pos="8260" w:val="left"/>
          <w:tab w:leader="none" w:pos="8520" w:val="left"/>
          <w:tab w:leader="none" w:pos="10420" w:val="left"/>
        </w:tabs>
        <w:rPr>
          <w:sz w:val="20"/>
          <w:szCs w:val="20"/>
          <w:color w:val="auto"/>
        </w:rPr>
      </w:pPr>
      <w:r>
        <w:rPr>
          <w:rFonts w:ascii="Arial" w:cs="Arial" w:eastAsia="Arial" w:hAnsi="Arial"/>
          <w:sz w:val="14"/>
          <w:szCs w:val="14"/>
          <w:b w:val="1"/>
          <w:bCs w:val="1"/>
          <w:color w:val="auto"/>
        </w:rPr>
        <w:t>General and administrative expense</w:t>
      </w:r>
      <w:r>
        <w:rPr>
          <w:sz w:val="20"/>
          <w:szCs w:val="20"/>
          <w:color w:val="auto"/>
        </w:rPr>
        <w:tab/>
      </w: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w:t>
        <w:tab/>
        <w:t>0.2</w:t>
      </w:r>
      <w:r>
        <w:rPr>
          <w:sz w:val="20"/>
          <w:szCs w:val="20"/>
          <w:color w:val="auto"/>
        </w:rPr>
        <w:tab/>
      </w:r>
      <w:r>
        <w:rPr>
          <w:rFonts w:ascii="Arial" w:cs="Arial" w:eastAsia="Arial" w:hAnsi="Arial"/>
          <w:sz w:val="12"/>
          <w:szCs w:val="12"/>
          <w:color w:val="auto"/>
        </w:rPr>
        <w:t>4%</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2"/>
          <w:szCs w:val="12"/>
          <w:color w:val="auto"/>
        </w:rPr>
        <w:t>General and administrative expense for the six months ended June 30, 2013 was $0.2 million higher than the same period in 2012 primarily due to an increase in patent filing and related legal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expenses.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for the Years Ended December 31, 2011 and 2012</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Revenue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represents a comparison of our research and development revenue for the years ended December 31, 2011 and 2012:</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5320" w:type="dxa"/>
            <w:vAlign w:val="bottom"/>
          </w:tcPr>
          <w:p>
            <w:pPr>
              <w:spacing w:after="0"/>
              <w:rPr>
                <w:sz w:val="10"/>
                <w:szCs w:val="10"/>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2011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4"/>
          </w:tcPr>
          <w:p>
            <w:pPr>
              <w:ind w:left="40"/>
              <w:spacing w:after="0"/>
              <w:rPr>
                <w:sz w:val="20"/>
                <w:szCs w:val="20"/>
                <w:color w:val="auto"/>
              </w:rPr>
            </w:pPr>
            <w:r>
              <w:rPr>
                <w:rFonts w:ascii="Arial" w:cs="Arial" w:eastAsia="Arial" w:hAnsi="Arial"/>
                <w:sz w:val="10"/>
                <w:szCs w:val="10"/>
                <w:b w:val="1"/>
                <w:bCs w:val="1"/>
                <w:color w:val="auto"/>
                <w:w w:val="99"/>
              </w:rPr>
              <w:t>Year Ended December 31,</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vMerge w:val="restart"/>
          </w:tcPr>
          <w:p>
            <w:pPr>
              <w:jc w:val="right"/>
              <w:ind w:right="720"/>
              <w:spacing w:after="0"/>
              <w:rPr>
                <w:sz w:val="20"/>
                <w:szCs w:val="20"/>
                <w:color w:val="auto"/>
              </w:rPr>
            </w:pPr>
            <w:r>
              <w:rPr>
                <w:rFonts w:ascii="Arial" w:cs="Arial" w:eastAsia="Arial" w:hAnsi="Arial"/>
                <w:sz w:val="10"/>
                <w:szCs w:val="10"/>
                <w:b w:val="1"/>
                <w:bCs w:val="1"/>
                <w:color w:val="auto"/>
                <w:w w:val="93"/>
              </w:rPr>
              <w:t>Increase/(Decrease)</w:t>
            </w:r>
          </w:p>
        </w:tc>
        <w:tc>
          <w:tcPr>
            <w:tcW w:w="0" w:type="dxa"/>
            <w:vAlign w:val="bottom"/>
          </w:tcPr>
          <w:p>
            <w:pPr>
              <w:spacing w:after="0"/>
              <w:rPr>
                <w:sz w:val="1"/>
                <w:szCs w:val="1"/>
                <w:color w:val="auto"/>
              </w:rPr>
            </w:pPr>
          </w:p>
        </w:tc>
      </w:tr>
      <w:tr>
        <w:trPr>
          <w:trHeight w:val="105"/>
        </w:trPr>
        <w:tc>
          <w:tcPr>
            <w:tcW w:w="532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top w:val="single" w:sz="8" w:color="auto"/>
            </w:tcBorders>
            <w:gridSpan w:val="3"/>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line="105" w:lineRule="exact"/>
              <w:rPr>
                <w:sz w:val="20"/>
                <w:szCs w:val="20"/>
                <w:color w:val="auto"/>
              </w:rPr>
            </w:pPr>
            <w:r>
              <w:rPr>
                <w:rFonts w:ascii="Arial" w:cs="Arial" w:eastAsia="Arial" w:hAnsi="Arial"/>
                <w:sz w:val="10"/>
                <w:szCs w:val="10"/>
                <w:b w:val="1"/>
                <w:bCs w:val="1"/>
                <w:color w:val="auto"/>
                <w:w w:val="82"/>
              </w:rPr>
              <w:t>(dollars</w:t>
            </w:r>
          </w:p>
        </w:tc>
        <w:tc>
          <w:tcPr>
            <w:tcW w:w="240" w:type="dxa"/>
            <w:vAlign w:val="bottom"/>
            <w:tcBorders>
              <w:top w:val="single" w:sz="8" w:color="auto"/>
            </w:tcBorders>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in</w:t>
            </w:r>
          </w:p>
        </w:tc>
        <w:tc>
          <w:tcPr>
            <w:tcW w:w="3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72"/>
              </w:rPr>
              <w:t>millions)</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20" w:type="dxa"/>
            <w:vAlign w:val="bottom"/>
          </w:tcPr>
          <w:p>
            <w:pPr>
              <w:ind w:left="340"/>
              <w:spacing w:after="0"/>
              <w:rPr>
                <w:sz w:val="20"/>
                <w:szCs w:val="20"/>
                <w:color w:val="auto"/>
              </w:rPr>
            </w:pPr>
            <w:r>
              <w:rPr>
                <w:rFonts w:ascii="Arial" w:cs="Arial" w:eastAsia="Arial" w:hAnsi="Arial"/>
                <w:sz w:val="14"/>
                <w:szCs w:val="14"/>
                <w:color w:val="auto"/>
              </w:rPr>
              <w:t>Revenue from collaborative research</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$47.0</w:t>
            </w:r>
          </w:p>
        </w:tc>
        <w:tc>
          <w:tcPr>
            <w:tcW w:w="4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59.6</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12.6</w:t>
            </w:r>
          </w:p>
        </w:tc>
        <w:tc>
          <w:tcPr>
            <w:tcW w:w="1620" w:type="dxa"/>
            <w:vAlign w:val="bottom"/>
            <w:gridSpan w:val="4"/>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7"/>
        </w:trPr>
        <w:tc>
          <w:tcPr>
            <w:tcW w:w="5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Grant revenue</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16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20" w:type="dxa"/>
            <w:vAlign w:val="bottom"/>
            <w:vMerge w:val="continue"/>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85"/>
              </w:rPr>
              <w:t>$57.2</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63.8</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6.6</w:t>
            </w:r>
          </w:p>
        </w:tc>
        <w:tc>
          <w:tcPr>
            <w:tcW w:w="1620" w:type="dxa"/>
            <w:vAlign w:val="bottom"/>
            <w:gridSpan w:val="4"/>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Collaboration revenue was $12.6 million higher for the year ended December 31, 2012 compared to the year ended December 31, 2011 primarily due to two Servier collaborations signed in late 2011 and late 2012. Grant revenue decreased as our contract with the U.S. government to develop a monoclonal antibody for the treatment of West Nile Virus ended in September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represents a comparison of our research and development expense for the years ended December 31, 2011 and 2012:</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2011</w:t>
            </w:r>
          </w:p>
        </w:tc>
        <w:tc>
          <w:tcPr>
            <w:tcW w:w="40" w:type="dxa"/>
            <w:vAlign w:val="bottom"/>
          </w:tcPr>
          <w:p>
            <w:pPr>
              <w:spacing w:after="0"/>
              <w:rPr>
                <w:sz w:val="10"/>
                <w:szCs w:val="10"/>
                <w:color w:val="auto"/>
              </w:rPr>
            </w:pPr>
          </w:p>
        </w:tc>
        <w:tc>
          <w:tcPr>
            <w:tcW w:w="1260" w:type="dxa"/>
            <w:vAlign w:val="bottom"/>
            <w:gridSpan w:val="4"/>
          </w:tcPr>
          <w:p>
            <w:pPr>
              <w:ind w:left="40"/>
              <w:spacing w:after="0"/>
              <w:rPr>
                <w:sz w:val="20"/>
                <w:szCs w:val="20"/>
                <w:color w:val="auto"/>
              </w:rPr>
            </w:pPr>
            <w:r>
              <w:rPr>
                <w:rFonts w:ascii="Arial" w:cs="Arial" w:eastAsia="Arial" w:hAnsi="Arial"/>
                <w:sz w:val="10"/>
                <w:szCs w:val="10"/>
                <w:b w:val="1"/>
                <w:bCs w:val="1"/>
                <w:color w:val="auto"/>
                <w:w w:val="97"/>
              </w:rPr>
              <w:t>Year Ended December 31,</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4"/>
            <w:vMerge w:val="restart"/>
          </w:tcPr>
          <w:p>
            <w:pPr>
              <w:jc w:val="right"/>
              <w:ind w:right="740"/>
              <w:spacing w:after="0"/>
              <w:rPr>
                <w:sz w:val="20"/>
                <w:szCs w:val="20"/>
                <w:color w:val="auto"/>
              </w:rPr>
            </w:pPr>
            <w:r>
              <w:rPr>
                <w:rFonts w:ascii="Arial" w:cs="Arial" w:eastAsia="Arial" w:hAnsi="Arial"/>
                <w:sz w:val="10"/>
                <w:szCs w:val="10"/>
                <w:b w:val="1"/>
                <w:bCs w:val="1"/>
                <w:color w:val="auto"/>
                <w:w w:val="93"/>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top w:val="single" w:sz="8" w:color="auto"/>
            </w:tcBorders>
            <w:gridSpan w:val="3"/>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line="105" w:lineRule="exact"/>
              <w:rPr>
                <w:sz w:val="20"/>
                <w:szCs w:val="20"/>
                <w:color w:val="auto"/>
              </w:rPr>
            </w:pPr>
            <w:r>
              <w:rPr>
                <w:rFonts w:ascii="Arial" w:cs="Arial" w:eastAsia="Arial" w:hAnsi="Arial"/>
                <w:sz w:val="10"/>
                <w:szCs w:val="10"/>
                <w:b w:val="1"/>
                <w:bCs w:val="1"/>
                <w:color w:val="auto"/>
                <w:w w:val="82"/>
              </w:rPr>
              <w:t>(dollars</w:t>
            </w:r>
          </w:p>
        </w:tc>
        <w:tc>
          <w:tcPr>
            <w:tcW w:w="220" w:type="dxa"/>
            <w:vAlign w:val="bottom"/>
            <w:tcBorders>
              <w:top w:val="single" w:sz="8" w:color="auto"/>
            </w:tcBorders>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rPr>
              <w:t>in</w:t>
            </w:r>
          </w:p>
        </w:tc>
        <w:tc>
          <w:tcPr>
            <w:tcW w:w="3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72"/>
              </w:rPr>
              <w:t>millions)</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w:t>
            </w:r>
          </w:p>
        </w:tc>
        <w:tc>
          <w:tcPr>
            <w:tcW w:w="12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ind w:left="320"/>
              <w:spacing w:after="0"/>
              <w:rPr>
                <w:sz w:val="20"/>
                <w:szCs w:val="20"/>
                <w:color w:val="auto"/>
              </w:rPr>
            </w:pPr>
            <w:r>
              <w:rPr>
                <w:rFonts w:ascii="Arial" w:cs="Arial" w:eastAsia="Arial" w:hAnsi="Arial"/>
                <w:sz w:val="14"/>
                <w:szCs w:val="14"/>
                <w:color w:val="auto"/>
              </w:rPr>
              <w:t>Margetuximab</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1640" w:type="dxa"/>
            <w:vAlign w:val="bottom"/>
            <w:gridSpan w:val="4"/>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MGA271</w:t>
            </w:r>
          </w:p>
        </w:tc>
        <w:tc>
          <w:tcPr>
            <w:tcW w:w="12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ind w:left="320"/>
              <w:spacing w:after="0"/>
              <w:rPr>
                <w:sz w:val="20"/>
                <w:szCs w:val="20"/>
                <w:color w:val="auto"/>
              </w:rPr>
            </w:pPr>
            <w:r>
              <w:rPr>
                <w:rFonts w:ascii="Arial" w:cs="Arial" w:eastAsia="Arial" w:hAnsi="Arial"/>
                <w:sz w:val="14"/>
                <w:szCs w:val="14"/>
                <w:color w:val="auto"/>
              </w:rPr>
              <w:t>DART-based product candidates</w:t>
            </w: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7.3</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12.0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Teplizumab</w:t>
            </w:r>
          </w:p>
        </w:tc>
        <w:tc>
          <w:tcPr>
            <w:tcW w:w="12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ind w:left="320"/>
              <w:spacing w:after="0"/>
              <w:rPr>
                <w:sz w:val="20"/>
                <w:szCs w:val="20"/>
                <w:color w:val="auto"/>
              </w:rPr>
            </w:pPr>
            <w:r>
              <w:rPr>
                <w:rFonts w:ascii="Arial" w:cs="Arial" w:eastAsia="Arial" w:hAnsi="Arial"/>
                <w:sz w:val="14"/>
                <w:szCs w:val="14"/>
                <w:color w:val="auto"/>
              </w:rPr>
              <w:t>Other discovery and pre-clinical programs, collectively</w:t>
            </w: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13.6</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1640" w:type="dxa"/>
            <w:vAlign w:val="bottom"/>
            <w:gridSpan w:val="4"/>
          </w:tcPr>
          <w:p>
            <w:pPr>
              <w:jc w:val="right"/>
              <w:ind w:right="1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research and development expense</w:t>
            </w:r>
          </w:p>
        </w:tc>
        <w:tc>
          <w:tcPr>
            <w:tcW w:w="12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0"/>
              </w:rPr>
              <w:t>41.1</w:t>
            </w:r>
          </w:p>
        </w:tc>
        <w:tc>
          <w:tcPr>
            <w:tcW w:w="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4"/>
                <w:szCs w:val="14"/>
                <w:color w:val="auto"/>
              </w:rPr>
            </w:pPr>
          </w:p>
        </w:tc>
        <w:tc>
          <w:tcPr>
            <w:tcW w:w="16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80" w:type="dxa"/>
            <w:vAlign w:val="bottom"/>
          </w:tcPr>
          <w:p>
            <w:pPr>
              <w:jc w:val="right"/>
              <w:ind w:right="317"/>
              <w:spacing w:after="0"/>
              <w:rPr>
                <w:sz w:val="20"/>
                <w:szCs w:val="20"/>
                <w:color w:val="auto"/>
              </w:rPr>
            </w:pPr>
            <w:r>
              <w:rPr>
                <w:rFonts w:ascii="Arial" w:cs="Arial" w:eastAsia="Arial" w:hAnsi="Arial"/>
                <w:sz w:val="14"/>
                <w:szCs w:val="14"/>
                <w:color w:val="auto"/>
              </w:rPr>
              <w:t>71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20" w:top="387" w:right="3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Expenditures in research and development increased by $4.3 million overall from the year ended December 31, 2011 to the year ended December 31, 2012. This was due to the following:</w:t>
      </w:r>
    </w:p>
    <w:p>
      <w:pPr>
        <w:spacing w:after="0" w:line="186" w:lineRule="exact"/>
        <w:rPr>
          <w:sz w:val="20"/>
          <w:szCs w:val="20"/>
          <w:color w:val="auto"/>
        </w:rPr>
      </w:pPr>
    </w:p>
    <w:p>
      <w:pPr>
        <w:ind w:left="1240" w:hanging="327"/>
        <w:spacing w:after="0"/>
        <w:tabs>
          <w:tab w:leader="none" w:pos="1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Increased spending in support of the MGA271 Phase 1 clinical trial;</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Increased spending on toxicology related studies and increased efforts on our DART-based product candidates as a result of additional collaborations; and</w:t>
      </w:r>
    </w:p>
    <w:p>
      <w:pPr>
        <w:spacing w:after="0" w:line="162" w:lineRule="exact"/>
        <w:rPr>
          <w:rFonts w:ascii="Arial" w:cs="Arial" w:eastAsia="Arial" w:hAnsi="Arial"/>
          <w:sz w:val="14"/>
          <w:szCs w:val="14"/>
          <w:color w:val="auto"/>
        </w:rPr>
      </w:pPr>
    </w:p>
    <w:p>
      <w:pPr>
        <w:ind w:left="800" w:right="1040" w:firstLine="113"/>
        <w:spacing w:after="0" w:line="453" w:lineRule="auto"/>
        <w:tabs>
          <w:tab w:leader="none" w:pos="1231"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Despite ceasing enrollment on teplizumab-related clinical trials, we continued to follow the patients for an additional 18 months and closed down the trials in late 2012. These increases were partially offset by:</w:t>
      </w:r>
    </w:p>
    <w:p>
      <w:pPr>
        <w:spacing w:after="0" w:line="8" w:lineRule="exact"/>
        <w:rPr>
          <w:rFonts w:ascii="Arial" w:cs="Arial" w:eastAsia="Arial" w:hAnsi="Arial"/>
          <w:sz w:val="14"/>
          <w:szCs w:val="14"/>
          <w:color w:val="auto"/>
        </w:rPr>
      </w:pPr>
    </w:p>
    <w:p>
      <w:pPr>
        <w:ind w:left="1240" w:hanging="327"/>
        <w:spacing w:after="0"/>
        <w:tabs>
          <w:tab w:leader="none" w:pos="1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Completion of our contract with the U.S. government to study West Nile Virus that resulted in a reduction in spending;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Reduced spending on our CSLC efforts.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represents a comparison of our general and administrative expense for the years ended December 31, 2011 and 2012:</w:t>
      </w:r>
    </w:p>
    <w:p>
      <w:pPr>
        <w:spacing w:after="0" w:line="159" w:lineRule="exact"/>
        <w:rPr>
          <w:sz w:val="20"/>
          <w:szCs w:val="20"/>
          <w:color w:val="auto"/>
        </w:rPr>
      </w:pPr>
    </w:p>
    <w:p>
      <w:pPr>
        <w:ind w:left="6460"/>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6985</wp:posOffset>
            </wp:positionV>
            <wp:extent cx="78295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2955" cy="6350"/>
                    </a:xfrm>
                    <a:prstGeom prst="rect">
                      <a:avLst/>
                    </a:prstGeom>
                    <a:noFill/>
                  </pic:spPr>
                </pic:pic>
              </a:graphicData>
            </a:graphic>
          </wp:anchor>
        </w:drawing>
      </w:r>
    </w:p>
    <w:p>
      <w:pPr>
        <w:ind w:left="6120"/>
        <w:spacing w:after="0"/>
        <w:tabs>
          <w:tab w:leader="none" w:pos="7460" w:val="left"/>
          <w:tab w:leader="none" w:pos="8960" w:val="left"/>
        </w:tabs>
        <w:rPr>
          <w:sz w:val="20"/>
          <w:szCs w:val="20"/>
          <w:color w:val="auto"/>
        </w:rPr>
      </w:pPr>
      <w:r>
        <w:rPr>
          <w:rFonts w:ascii="Arial" w:cs="Arial" w:eastAsia="Arial" w:hAnsi="Arial"/>
          <w:sz w:val="10"/>
          <w:szCs w:val="10"/>
          <w:b w:val="1"/>
          <w:bCs w:val="1"/>
          <w:u w:val="single" w:color="auto"/>
          <w:color w:val="auto"/>
        </w:rPr>
        <w:t>2011</w:t>
      </w:r>
      <w:r>
        <w:rPr>
          <w:sz w:val="20"/>
          <w:szCs w:val="20"/>
          <w:color w:val="auto"/>
        </w:rPr>
        <w:tab/>
      </w:r>
      <w:r>
        <w:rPr>
          <w:rFonts w:ascii="Arial" w:cs="Arial" w:eastAsia="Arial" w:hAnsi="Arial"/>
          <w:sz w:val="10"/>
          <w:szCs w:val="10"/>
          <w:b w:val="1"/>
          <w:bCs w:val="1"/>
          <w:u w:val="single" w:color="auto"/>
          <w:color w:val="auto"/>
        </w:rPr>
        <w:t>2012</w:t>
      </w:r>
      <w:r>
        <w:rPr>
          <w:sz w:val="20"/>
          <w:szCs w:val="20"/>
          <w:color w:val="auto"/>
        </w:rPr>
        <w:tab/>
      </w:r>
      <w:r>
        <w:rPr>
          <w:rFonts w:ascii="Arial" w:cs="Arial" w:eastAsia="Arial" w:hAnsi="Arial"/>
          <w:sz w:val="9"/>
          <w:szCs w:val="9"/>
          <w:b w:val="1"/>
          <w:bCs w:val="1"/>
          <w:u w:val="single" w:color="auto"/>
          <w:color w:val="auto"/>
        </w:rPr>
        <w:t>Increase/(Decrease)</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0"/>
          <w:szCs w:val="10"/>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635</wp:posOffset>
            </wp:positionV>
            <wp:extent cx="6256020" cy="1060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56020" cy="106045"/>
                    </a:xfrm>
                    <a:prstGeom prst="rect">
                      <a:avLst/>
                    </a:prstGeom>
                    <a:noFill/>
                  </pic:spPr>
                </pic:pic>
              </a:graphicData>
            </a:graphic>
          </wp:anchor>
        </w:drawing>
      </w:r>
    </w:p>
    <w:p>
      <w:pPr>
        <w:ind w:left="800"/>
        <w:spacing w:after="0"/>
        <w:tabs>
          <w:tab w:leader="none" w:pos="6060" w:val="left"/>
          <w:tab w:leader="none" w:pos="7120" w:val="left"/>
          <w:tab w:leader="none" w:pos="7760" w:val="left"/>
          <w:tab w:leader="none" w:pos="8340" w:val="left"/>
          <w:tab w:leader="none" w:pos="8580" w:val="left"/>
          <w:tab w:leader="none" w:pos="10320" w:val="left"/>
        </w:tabs>
        <w:rPr>
          <w:sz w:val="20"/>
          <w:szCs w:val="20"/>
          <w:color w:val="auto"/>
        </w:rPr>
      </w:pPr>
      <w:r>
        <w:rPr>
          <w:rFonts w:ascii="Arial" w:cs="Arial" w:eastAsia="Arial" w:hAnsi="Arial"/>
          <w:sz w:val="14"/>
          <w:szCs w:val="14"/>
          <w:b w:val="1"/>
          <w:bCs w:val="1"/>
          <w:color w:val="auto"/>
        </w:rPr>
        <w:t>General and administrative expense</w:t>
      </w:r>
      <w:r>
        <w:rPr>
          <w:sz w:val="20"/>
          <w:szCs w:val="20"/>
          <w:color w:val="auto"/>
        </w:rPr>
        <w:tab/>
      </w: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w:t>
        <w:tab/>
        <w:t>(0.7)</w:t>
      </w:r>
      <w:r>
        <w:rPr>
          <w:sz w:val="20"/>
          <w:szCs w:val="20"/>
          <w:color w:val="auto"/>
        </w:rPr>
        <w:tab/>
      </w:r>
      <w:r>
        <w:rPr>
          <w:rFonts w:ascii="Arial" w:cs="Arial" w:eastAsia="Arial" w:hAnsi="Arial"/>
          <w:sz w:val="12"/>
          <w:szCs w:val="12"/>
          <w:color w:val="auto"/>
        </w:rPr>
        <w:t>(6)%</w:t>
      </w:r>
    </w:p>
    <w:p>
      <w:pPr>
        <w:spacing w:after="0" w:line="120" w:lineRule="exact"/>
        <w:rPr>
          <w:sz w:val="20"/>
          <w:szCs w:val="20"/>
          <w:color w:val="auto"/>
        </w:rPr>
      </w:pPr>
    </w:p>
    <w:p>
      <w:pPr>
        <w:ind w:right="140" w:firstLine="802"/>
        <w:spacing w:after="0" w:line="351" w:lineRule="auto"/>
        <w:rPr>
          <w:sz w:val="20"/>
          <w:szCs w:val="20"/>
          <w:color w:val="auto"/>
        </w:rPr>
      </w:pPr>
      <w:r>
        <w:rPr>
          <w:rFonts w:ascii="Arial" w:cs="Arial" w:eastAsia="Arial" w:hAnsi="Arial"/>
          <w:sz w:val="12"/>
          <w:szCs w:val="12"/>
          <w:color w:val="auto"/>
        </w:rPr>
        <w:t>The decrease in general and administrative expense of $0.7 million is due primarily to reduced patent filing and related legal expense, which was partially offset by an increase in the amount of bonuses paid in the year ended December 31, 2012. Additionally, we realized a savings from a consolidation of personnel from three to two facilities in Rockville, Maryland.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represents a summary of our cash flows for the years ended December 31, 2011 and 2012 and the six months ended June 30, 2013:</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0"/>
                <w:szCs w:val="10"/>
                <w:b w:val="1"/>
                <w:bCs w:val="1"/>
                <w:color w:val="auto"/>
                <w:w w:val="96"/>
              </w:rPr>
              <w:t>Year Ended December 31,</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9"/>
              </w:rPr>
              <w:t>2012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vMerge w:val="restart"/>
          </w:tcPr>
          <w:p>
            <w:pPr>
              <w:jc w:val="right"/>
              <w:ind w:right="55"/>
              <w:spacing w:after="0"/>
              <w:rPr>
                <w:sz w:val="20"/>
                <w:szCs w:val="20"/>
                <w:color w:val="auto"/>
              </w:rPr>
            </w:pPr>
            <w:r>
              <w:rPr>
                <w:rFonts w:ascii="Arial" w:cs="Arial" w:eastAsia="Arial" w:hAnsi="Arial"/>
                <w:sz w:val="10"/>
                <w:szCs w:val="10"/>
                <w:b w:val="1"/>
                <w:bCs w:val="1"/>
                <w:color w:val="auto"/>
                <w:w w:val="98"/>
              </w:rPr>
              <w:t>2012</w:t>
            </w:r>
          </w:p>
        </w:tc>
        <w:tc>
          <w:tcPr>
            <w:tcW w:w="40" w:type="dxa"/>
            <w:vAlign w:val="bottom"/>
          </w:tcPr>
          <w:p>
            <w:pPr>
              <w:spacing w:after="0"/>
              <w:rPr>
                <w:sz w:val="10"/>
                <w:szCs w:val="10"/>
                <w:color w:val="auto"/>
              </w:rPr>
            </w:pPr>
          </w:p>
        </w:tc>
        <w:tc>
          <w:tcPr>
            <w:tcW w:w="1360" w:type="dxa"/>
            <w:vAlign w:val="bottom"/>
            <w:gridSpan w:val="2"/>
          </w:tcPr>
          <w:p>
            <w:pPr>
              <w:jc w:val="right"/>
              <w:ind w:right="69"/>
              <w:spacing w:after="0"/>
              <w:rPr>
                <w:sz w:val="20"/>
                <w:szCs w:val="20"/>
                <w:color w:val="auto"/>
              </w:rPr>
            </w:pPr>
            <w:r>
              <w:rPr>
                <w:rFonts w:ascii="Arial" w:cs="Arial" w:eastAsia="Arial" w:hAnsi="Arial"/>
                <w:sz w:val="10"/>
                <w:szCs w:val="10"/>
                <w:b w:val="1"/>
                <w:bCs w:val="1"/>
                <w:color w:val="auto"/>
                <w:w w:val="94"/>
              </w:rPr>
              <w:t>Six Months Ended June 30,</w:t>
            </w:r>
          </w:p>
        </w:tc>
        <w:tc>
          <w:tcPr>
            <w:tcW w:w="460" w:type="dxa"/>
            <w:vAlign w:val="bottom"/>
            <w:vMerge w:val="restart"/>
          </w:tcPr>
          <w:p>
            <w:pPr>
              <w:jc w:val="right"/>
              <w:ind w:right="115"/>
              <w:spacing w:after="0"/>
              <w:rPr>
                <w:sz w:val="20"/>
                <w:szCs w:val="20"/>
                <w:color w:val="auto"/>
              </w:rPr>
            </w:pPr>
            <w:r>
              <w:rPr>
                <w:rFonts w:ascii="Arial" w:cs="Arial" w:eastAsia="Arial" w:hAnsi="Arial"/>
                <w:sz w:val="10"/>
                <w:szCs w:val="10"/>
                <w:b w:val="1"/>
                <w:bCs w:val="1"/>
                <w:color w:val="auto"/>
              </w:rPr>
              <w:t>2013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0"/>
                <w:szCs w:val="10"/>
                <w:b w:val="1"/>
                <w:bCs w:val="1"/>
                <w:color w:val="auto"/>
                <w:w w:val="82"/>
              </w:rPr>
              <w:t>(dollars in millions)</w:t>
            </w: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by (used in):</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320"/>
              <w:spacing w:after="0"/>
              <w:rPr>
                <w:sz w:val="20"/>
                <w:szCs w:val="20"/>
                <w:color w:val="auto"/>
              </w:rPr>
            </w:pPr>
            <w:r>
              <w:rPr>
                <w:rFonts w:ascii="Arial" w:cs="Arial" w:eastAsia="Arial" w:hAnsi="Arial"/>
                <w:sz w:val="14"/>
                <w:szCs w:val="14"/>
                <w:color w:val="auto"/>
              </w:rPr>
              <w:t>Operating activities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4"/>
          </w:tcPr>
          <w:p>
            <w:pPr>
              <w:jc w:val="right"/>
              <w:ind w:right="980"/>
              <w:spacing w:after="0"/>
              <w:rPr>
                <w:sz w:val="20"/>
                <w:szCs w:val="20"/>
                <w:color w:val="auto"/>
              </w:rPr>
            </w:pPr>
            <w:r>
              <w:rPr>
                <w:rFonts w:ascii="Arial" w:cs="Arial" w:eastAsia="Arial" w:hAnsi="Arial"/>
                <w:sz w:val="14"/>
                <w:szCs w:val="14"/>
                <w:color w:val="auto"/>
              </w:rPr>
              <w:t>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(6.6)</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1128"/>
              <w:spacing w:after="0"/>
              <w:rPr>
                <w:sz w:val="20"/>
                <w:szCs w:val="20"/>
                <w:color w:val="auto"/>
              </w:rPr>
            </w:pPr>
            <w:r>
              <w:rPr>
                <w:rFonts w:ascii="Arial" w:cs="Arial" w:eastAsia="Arial" w:hAnsi="Arial"/>
                <w:sz w:val="14"/>
                <w:szCs w:val="14"/>
                <w:color w:val="auto"/>
              </w:rPr>
              <w:t>(18.0)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Investing activities</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4"/>
            <w:shd w:val="clear" w:color="auto" w:fill="CCEEFF"/>
          </w:tcPr>
          <w:p>
            <w:pPr>
              <w:jc w:val="right"/>
              <w:ind w:right="92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(0.9)</w:t>
            </w:r>
          </w:p>
        </w:tc>
        <w:tc>
          <w:tcPr>
            <w:tcW w:w="8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right"/>
              <w:ind w:right="1128"/>
              <w:spacing w:after="0"/>
              <w:rPr>
                <w:sz w:val="20"/>
                <w:szCs w:val="20"/>
                <w:color w:val="auto"/>
              </w:rPr>
            </w:pPr>
            <w:r>
              <w:rPr>
                <w:rFonts w:ascii="Arial" w:cs="Arial" w:eastAsia="Arial" w:hAnsi="Arial"/>
                <w:sz w:val="14"/>
                <w:szCs w:val="14"/>
                <w:color w:val="auto"/>
              </w:rPr>
              <w:t>(0.2)</w:t>
            </w: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320"/>
              <w:spacing w:after="0"/>
              <w:rPr>
                <w:sz w:val="20"/>
                <w:szCs w:val="20"/>
                <w:color w:val="auto"/>
              </w:rPr>
            </w:pPr>
            <w:r>
              <w:rPr>
                <w:rFonts w:ascii="Arial" w:cs="Arial" w:eastAsia="Arial" w:hAnsi="Arial"/>
                <w:sz w:val="14"/>
                <w:szCs w:val="14"/>
                <w:color w:val="auto"/>
              </w:rPr>
              <w:t>Financing activities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980"/>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right"/>
              <w:ind w:right="1188"/>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4"/>
            <w:shd w:val="clear" w:color="auto" w:fill="CCEEFF"/>
          </w:tcPr>
          <w:p>
            <w:pPr>
              <w:jc w:val="right"/>
              <w:ind w:right="980"/>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1128"/>
              <w:spacing w:after="0"/>
              <w:rPr>
                <w:sz w:val="20"/>
                <w:szCs w:val="20"/>
                <w:color w:val="auto"/>
              </w:rPr>
            </w:pPr>
            <w:r>
              <w:rPr>
                <w:rFonts w:ascii="Arial" w:cs="Arial" w:eastAsia="Arial" w:hAnsi="Arial"/>
                <w:sz w:val="14"/>
                <w:szCs w:val="14"/>
                <w:color w:val="auto"/>
              </w:rPr>
              <w:t>(18.2)</w:t>
            </w:r>
          </w:p>
        </w:tc>
        <w:tc>
          <w:tcPr>
            <w:tcW w:w="120" w:type="dxa"/>
            <w:vAlign w:val="bottom"/>
            <w:tcBorders>
              <w:left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32"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Net cash used in operating activities reflects, among other things, the amounts used to run our clinical trials and perform toxicology studies. The differences between the year ended December 31, 2011 and 2012 were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20" w:top="386" w:right="2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primarily due to the upfront fees received from our collaborators. The primary difference between the six months ended June 30, 2012 and 2013 was due to the recognition of upfront fees and accounts receivable due from our collaborators. The decrease in accounts payable from the year ended December 31, 2011 to the year ended December 31, 2012 and from the six months ended June 30, 2012 to the six months ended June 30, 2013, is due to decreased spending on clinical trials. Specifically, we ceased enrollment of the teplizumab trial in late 2011. While we did continue to incur costs under this trial, we were no longer enrolling new patients and the costs significantly decreased from the prior year.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Net cash used in investing activities in all periods was primarily due to the acquisition of additional lab equipment needed to further our research and development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32" w:lineRule="exact"/>
        <w:rPr>
          <w:sz w:val="20"/>
          <w:szCs w:val="20"/>
          <w:color w:val="auto"/>
        </w:rPr>
      </w:pPr>
    </w:p>
    <w:p>
      <w:pPr>
        <w:ind w:right="560" w:firstLine="802"/>
        <w:spacing w:after="0" w:line="267" w:lineRule="auto"/>
        <w:rPr>
          <w:sz w:val="20"/>
          <w:szCs w:val="20"/>
          <w:color w:val="auto"/>
        </w:rPr>
      </w:pPr>
      <w:r>
        <w:rPr>
          <w:rFonts w:ascii="Arial" w:cs="Arial" w:eastAsia="Arial" w:hAnsi="Arial"/>
          <w:sz w:val="14"/>
          <w:szCs w:val="14"/>
          <w:color w:val="auto"/>
        </w:rPr>
        <w:t>Other than stock option exercises, we had no financing activity in the six months ended June 30, 2013 or 2012 and in the year ended December 31, 2012. However, during the year ended December 31, 2011 we sold 18.4 million shares of Series D-2 preferred stock to our collaborators for net proceeds of $12.0 million.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34" w:lineRule="exact"/>
        <w:rPr>
          <w:sz w:val="20"/>
          <w:szCs w:val="20"/>
          <w:color w:val="auto"/>
        </w:rPr>
      </w:pPr>
    </w:p>
    <w:p>
      <w:pPr>
        <w:jc w:val="both"/>
        <w:ind w:right="100" w:firstLine="802"/>
        <w:spacing w:after="0" w:line="321" w:lineRule="auto"/>
        <w:rPr>
          <w:sz w:val="20"/>
          <w:szCs w:val="20"/>
          <w:color w:val="auto"/>
        </w:rPr>
      </w:pPr>
      <w:r>
        <w:rPr>
          <w:rFonts w:ascii="Arial" w:cs="Arial" w:eastAsia="Arial" w:hAnsi="Arial"/>
          <w:sz w:val="12"/>
          <w:szCs w:val="12"/>
          <w:color w:val="auto"/>
        </w:rPr>
        <w:t>Since our inception through June 30, 2013, we have raised an aggregate of $547.4 million to fund our operations. Of this total amount, we have received $151.3 million from the sale of preferred stock, $341.8 million from our collaborators, including payments in the form of upfront, milestone and annual maintenance payments and reimbursement for research and development services performed, and $54.3 million from government grants and contracts. As of June 30, 2013, we had $33.8 million in cash and cash equivalents. Subsequently, we received a $10 million milestone payment in August 2013.</w:t>
      </w:r>
    </w:p>
    <w:p>
      <w:pPr>
        <w:spacing w:after="0" w:line="73"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color w:val="auto"/>
        </w:rPr>
        <w:t>In addition to our existing cash and cash equivalents, we expect to continue to receive additional reimbursement from our collaborators for research and development services rendered, additional milestone payments, annual license maintenance payments and grant revenue. However, our ability to receive these milestone payments is dependent upon our ability to achieve certain levels of research and development activities and is therefore uncertain at this time.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32"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We have not generated any revenue from product sales to date and do not expect to do so until such time as we obtain regulatory approval of and commercialize one or more of our product candidates. As we are currently in the clinical trial stage of development, it will be some time before we expect to achieve this and it is uncertain that we ever will. We expect that we will continue to increase our operating expenses in connection with ongoing as well as additional clinical trials and pre-clinical development of product candidates in our pipeline. We expect to continue our collaboration arrangements and will look for additional collaboration opportunities. We also expect to continue our efforts to pursue additional grants and contracts from the U.S. government in order to further our research and development. Based upon our current operating plan, we anticipate that the net proceeds from this offering, together with our existing cash and cash equivalents, will enable us to fund our operating expenses and capital expenditure requirements for at least the next 18 months.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Contingent Liabilities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represents future minimum operating lease payments under noncancelable operating leases as of June 30, 2013:</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0"/>
                <w:szCs w:val="10"/>
                <w:b w:val="1"/>
                <w:bCs w:val="1"/>
                <w:color w:val="auto"/>
                <w:w w:val="94"/>
              </w:rPr>
              <w:t>Less than 1 year</w:t>
            </w:r>
          </w:p>
        </w:tc>
        <w:tc>
          <w:tcPr>
            <w:tcW w:w="9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w w:val="90"/>
              </w:rPr>
              <w:t>1 to 3 years</w:t>
            </w:r>
          </w:p>
        </w:tc>
        <w:tc>
          <w:tcPr>
            <w:tcW w:w="10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(in millions)</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0"/>
              </w:rPr>
              <w:t>3 to 5 years</w:t>
            </w:r>
          </w:p>
        </w:tc>
        <w:tc>
          <w:tcPr>
            <w:tcW w:w="1020" w:type="dxa"/>
            <w:vAlign w:val="bottom"/>
          </w:tcPr>
          <w:p>
            <w:pPr>
              <w:spacing w:after="0"/>
              <w:rPr>
                <w:sz w:val="10"/>
                <w:szCs w:val="10"/>
                <w:color w:val="auto"/>
              </w:rPr>
            </w:pPr>
          </w:p>
        </w:tc>
        <w:tc>
          <w:tcPr>
            <w:tcW w:w="940" w:type="dxa"/>
            <w:vAlign w:val="bottom"/>
            <w:gridSpan w:val="3"/>
          </w:tcPr>
          <w:p>
            <w:pPr>
              <w:ind w:left="20"/>
              <w:spacing w:after="0"/>
              <w:rPr>
                <w:sz w:val="20"/>
                <w:szCs w:val="20"/>
                <w:color w:val="auto"/>
              </w:rPr>
            </w:pPr>
            <w:r>
              <w:rPr>
                <w:rFonts w:ascii="Arial" w:cs="Arial" w:eastAsia="Arial" w:hAnsi="Arial"/>
                <w:sz w:val="10"/>
                <w:szCs w:val="10"/>
                <w:b w:val="1"/>
                <w:bCs w:val="1"/>
                <w:color w:val="auto"/>
              </w:rPr>
              <w:t>More than 5 years</w:t>
            </w:r>
          </w:p>
        </w:tc>
        <w:tc>
          <w:tcPr>
            <w:tcW w:w="0" w:type="dxa"/>
            <w:vAlign w:val="bottom"/>
          </w:tcPr>
          <w:p>
            <w:pPr>
              <w:spacing w:after="0"/>
              <w:rPr>
                <w:sz w:val="1"/>
                <w:szCs w:val="1"/>
                <w:color w:val="auto"/>
              </w:rPr>
            </w:pPr>
          </w:p>
        </w:tc>
      </w:tr>
      <w:tr>
        <w:trPr>
          <w:trHeight w:val="105"/>
        </w:trPr>
        <w:tc>
          <w:tcPr>
            <w:tcW w:w="40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12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4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752"/>
              <w:spacing w:after="0"/>
              <w:rPr>
                <w:sz w:val="20"/>
                <w:szCs w:val="20"/>
                <w:color w:val="auto"/>
              </w:rPr>
            </w:pPr>
            <w:r>
              <w:rPr>
                <w:rFonts w:ascii="Arial" w:cs="Arial" w:eastAsia="Arial" w:hAnsi="Arial"/>
                <w:sz w:val="14"/>
                <w:szCs w:val="14"/>
                <w:color w:val="auto"/>
                <w:w w:val="89"/>
              </w:rPr>
              <w:t>73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7" w:right="2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current obligations and contingent liabilities are limited to the operating leases at our three facilities, including two in Rockville, Maryland and one in South San Francisco, California.</w:t>
      </w:r>
    </w:p>
    <w:p>
      <w:pPr>
        <w:spacing w:after="0" w:line="155"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In connection with an Asset Purchase Agreement with Tolerance Therapeutics, Inc., or Tolerance, entered into in June 2005, we may be required to give Tolerance additional consideration as follows: (i) a maximum of $10.9 million if certain milestones are met, including the initiation of Phase 3 trials and the filing of various regulatory product license applications; (ii) 678,398 shares of our common stock; and (iii) royalty payments between 1.75% and 4.0% of net sales of products acquired from or patented by Tolerance or other product fees earned by us.</w:t>
      </w:r>
    </w:p>
    <w:p>
      <w:pPr>
        <w:spacing w:after="0" w:line="73"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In July 2008, we acquired Raven Biotechnologies, or Raven. The Raven purchase agreement provides for certain contingent payments that are based on the achievement of development and commercialization activities for product candidates derived from the acquired Raven technology. We are required to make a onetime payment of $5.0 million to the former Raven stockholders upon the initiation of patient dosing in the first Phase 2 clinical trial of any product derived from the Raven cancer stem cell program. No payment shall be made if the Phase 2 trial start date has not occurred on or before July 15, 2018. Other consideration includes a percentage of revenue (excluding consideration for research and development, equity and certain cost reimbursements) we may receive for each license of a product candidate derived from the Raven cancer stem cell program. The revenue percentage in each case is based upon the execution date of the subject license. No consideration is owed for licenses executed after July 16, 2018. There is additional contingent consideration of one time payments of $8 million and $12 million, which depend upon the achievement of a specified level of sales of a product derived from the Raven cancer stem cell program. At our sole discretion, each payment can be made in cash, common stock or a combination thereof.</w:t>
      </w:r>
    </w:p>
    <w:p>
      <w:pPr>
        <w:spacing w:after="0" w:line="88" w:lineRule="exact"/>
        <w:rPr>
          <w:sz w:val="20"/>
          <w:szCs w:val="20"/>
          <w:color w:val="auto"/>
        </w:rPr>
      </w:pPr>
    </w:p>
    <w:p>
      <w:pPr>
        <w:ind w:right="60" w:firstLine="802"/>
        <w:spacing w:after="0" w:line="351" w:lineRule="auto"/>
        <w:rPr>
          <w:sz w:val="20"/>
          <w:szCs w:val="20"/>
          <w:color w:val="auto"/>
        </w:rPr>
      </w:pPr>
      <w:r>
        <w:rPr>
          <w:rFonts w:ascii="Arial" w:cs="Arial" w:eastAsia="Arial" w:hAnsi="Arial"/>
          <w:sz w:val="12"/>
          <w:szCs w:val="12"/>
          <w:color w:val="auto"/>
        </w:rPr>
        <w:t>The contractual obligations table does not include any potential future payments we may be required to make under our Asset Purchase Agreement with Tolerance or the purchase agreement with Raven. Due to the uncertainty of the achievement and timing of the events requiring payment under that agreement, the amounts to be paid by us are not fixed or determinable at this time.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have never entered into any off-balance sheet arrangements, as defined under the rules and regulations of the Securities and Exchange Commission.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Loss Carryforwards</w:t>
      </w:r>
    </w:p>
    <w:p>
      <w:pPr>
        <w:spacing w:after="0" w:line="134"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We are already subject to Section 382 limitations due to an acquisition we made in 2008. As of December 31, 2012, we had federal NOL carryforwards of $100.9 million, state NOL carryforwards of $64.2 million and research and development tax credit carryforwards of $21.8 million available. Future changes in stock ownership, including resulting from this offering,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net operating loss carryforwards and tax credit carryforwards to reduce United States federal income tax may be subject to limitations, which could potentially result in increased future cash tax liability to us.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34" w:lineRule="exact"/>
        <w:rPr>
          <w:sz w:val="20"/>
          <w:szCs w:val="20"/>
          <w:color w:val="auto"/>
        </w:rPr>
      </w:pPr>
    </w:p>
    <w:p>
      <w:pPr>
        <w:jc w:val="both"/>
        <w:ind w:right="20" w:firstLine="802"/>
        <w:spacing w:after="0" w:line="321" w:lineRule="auto"/>
        <w:rPr>
          <w:sz w:val="20"/>
          <w:szCs w:val="20"/>
          <w:color w:val="auto"/>
        </w:rPr>
      </w:pPr>
      <w:r>
        <w:rPr>
          <w:rFonts w:ascii="Arial" w:cs="Arial" w:eastAsia="Arial" w:hAnsi="Arial"/>
          <w:sz w:val="12"/>
          <w:szCs w:val="12"/>
          <w:color w:val="auto"/>
        </w:rPr>
        <w:t>In May 2011, FASB issued ASU No. 2011-04, which amended ASC Topic 820 to achieve common fair value measurements and disclosure requirements in U.S. GAAP and International Financial Reporting Standards, or IFRS. The amendments in ASU No. 2011-05 result in common fair value measurement and disclosure requirements in U.S. GAAP and IFRS. Consequently, the amendments change the wording used to describe many of the requirements in U.S. GAAP for measuring fair value and for disclosing information about fair value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40"/>
          </w:cols>
          <w:pgMar w:left="220" w:top="386"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measurements. This amendment is effective for fiscal years, beginning after December 15, 2011. The adoption of this amendment did not have a material impact on our consolidated financial statements for the year ended December 31, 2012.</w:t>
      </w:r>
    </w:p>
    <w:p>
      <w:pPr>
        <w:spacing w:after="0" w:line="101" w:lineRule="exact"/>
        <w:rPr>
          <w:sz w:val="20"/>
          <w:szCs w:val="20"/>
          <w:color w:val="auto"/>
        </w:rPr>
      </w:pPr>
    </w:p>
    <w:p>
      <w:pPr>
        <w:ind w:right="120" w:firstLine="802"/>
        <w:spacing w:after="0" w:line="253" w:lineRule="auto"/>
        <w:rPr>
          <w:sz w:val="20"/>
          <w:szCs w:val="20"/>
          <w:color w:val="auto"/>
        </w:rPr>
      </w:pPr>
      <w:r>
        <w:rPr>
          <w:rFonts w:ascii="Arial" w:cs="Arial" w:eastAsia="Arial" w:hAnsi="Arial"/>
          <w:sz w:val="14"/>
          <w:szCs w:val="14"/>
          <w:color w:val="auto"/>
        </w:rPr>
        <w:t>In June 2011, the FASB issued ASU No. 2011-05, which amended ASC Topic 220 regarding presentation of comprehensive income. The amendments in ASU No. 2011-05 require that all nonowner changes in stockholders’ equity be presented either in a single continuous statement of comprehensive income or in two separate but consecutive statements.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This amendment is effective for fiscal years beginning after December 15, 2011. The adoption of this amendment did not have a material impact on our consolidated financial statements for the year ended December 31, 2012.</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We evaluated all ASUs through the date the consolidated financial statements were issued and believe that the adoption of these will not have a material impact on our consolidated financial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statements.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34"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Our primary objective when considering our investment activities is to preserve capital in order to fund our operations. As of June 30, 2013, we had cash and cash equivalents of $33.8 million, of which $29.0 million was invested in money market funds. Our primary exposure to market risk is related to changes in interest rates and our current investment policy is to invest principally in deposits and securities issued by the U.S. government and its agencies and money market instruments. We do not believe that our cash and cash equivalents have significant risk.</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380"/>
          </w:cols>
          <w:pgMar w:left="220" w:top="386" w:right="29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4"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We are a clinical-stage biopharmaceutical company focused on discovering and developing innovative monoclonal antibody-based therapeutics for the treatment of cancer and autoimmune diseases. We generate our pipeline of product candidates from our proprietary suite of next-generation antibody technology platforms, which we believe improve the performance of monoclonal antibodies and antibody-derived molecules. These product candidates, which we have identified through our understanding of disease biology and immune-mediated mechanisms, may address disease-specific challenges which are not currently being met by existing therapies. We create both differentiated molecules that are directed to novel cancer targets, as well as “bio-betters,” which are drugs designed to improve upon marketed medicines. The combination of our technology platforms and antibody engineering expertise has allowed us to generate promising product candidates and enter into several strategic collaborations with global pharmaceutical and biotechnology companies. These collaborations provide us with funding and allow us to leverage the additional expertise of these collaborators to advance the development of our product candidates.</w:t>
      </w:r>
    </w:p>
    <w:p>
      <w:pPr>
        <w:spacing w:after="0" w:line="112"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We have three versatile, proprietary technology platforms consisting of: (1) our Dual Affinity Re-Targeting, or DART, platform, which enables the targeting of multiple antigens or cells by using a single molecule with an antibody-like structure, and also includes the ability to recruit any T cell in a patient’s body to destroy targeted cancer cells; (2) our Fc Optimization platform, which enhances the body’s immune system to mediate the killing of cancer cells through a mechanism called antibody-dependent cellular cytotoxicity, or ADCC, in which antibodies and immune cells cooperate to destroy targets such as tumor cells; and (3) our Cancer Stem-like Cell, or CSLC, platform, which provides a unique discovery tool to identify cancer targets shared both by tumor-initiating cells and the differentiated cancer cells derived from them. These versatile technology platforms can be applied in combination with one another to custom-design an antibody or antibody-derived molecule that is optimized to treat a specific disease.</w:t>
      </w:r>
    </w:p>
    <w:p>
      <w:pPr>
        <w:spacing w:after="0" w:line="84" w:lineRule="exact"/>
        <w:rPr>
          <w:sz w:val="20"/>
          <w:szCs w:val="20"/>
          <w:color w:val="auto"/>
        </w:rPr>
      </w:pPr>
    </w:p>
    <w:p>
      <w:pPr>
        <w:ind w:right="40" w:firstLine="802"/>
        <w:spacing w:after="0" w:line="255" w:lineRule="auto"/>
        <w:rPr>
          <w:sz w:val="20"/>
          <w:szCs w:val="20"/>
          <w:color w:val="auto"/>
        </w:rPr>
      </w:pPr>
      <w:r>
        <w:rPr>
          <w:rFonts w:ascii="Arial" w:cs="Arial" w:eastAsia="Arial" w:hAnsi="Arial"/>
          <w:sz w:val="14"/>
          <w:szCs w:val="14"/>
          <w:color w:val="auto"/>
        </w:rPr>
        <w:t>Antibodies, which are proteins produced by specialized cells of the body’s immune system usually in response to foreign substances, such as bacteria and viruses, or to cancer cells, serve as the primary resource for our product candidates. Many of our cancer product candidates are derived from our library of over 1,900 purified antibodies. Our antibodies are targeted to more than 70 different antigens, or components of the foreign substance that induce the production of antibodies, expressed on the surface of cancer cells. In addition, we continue to generate new antibodies for our library using our proprietary CSLC lines and soluble protein antigens.</w:t>
      </w:r>
    </w:p>
    <w:p>
      <w:pPr>
        <w:spacing w:after="0" w:line="110" w:lineRule="exact"/>
        <w:rPr>
          <w:sz w:val="20"/>
          <w:szCs w:val="20"/>
          <w:color w:val="auto"/>
        </w:rPr>
      </w:pPr>
    </w:p>
    <w:p>
      <w:pPr>
        <w:ind w:right="140" w:firstLine="802"/>
        <w:spacing w:after="0" w:line="252" w:lineRule="auto"/>
        <w:rPr>
          <w:sz w:val="20"/>
          <w:szCs w:val="20"/>
          <w:color w:val="auto"/>
        </w:rPr>
      </w:pPr>
      <w:r>
        <w:rPr>
          <w:rFonts w:ascii="Arial" w:cs="Arial" w:eastAsia="Arial" w:hAnsi="Arial"/>
          <w:sz w:val="14"/>
          <w:szCs w:val="14"/>
          <w:color w:val="auto"/>
        </w:rPr>
        <w:t>We initially select a specific antibody based on its functional properties related to a disease target as well as its distribution on tissues in the body. We then utilize one or more of our technology platforms for engineering and optimizing our product candidate. We believe our approach allows us to take advantage of the enhanced properties of an engineered antibody or antibody-derived molecule to kill cancer cells and to interfere with autoimmune diseases more effectively than a wild type, or non-engineered, monoclonal antibody. Our methods for improving the effectiveness of antibodies include the following: enhancing the body’s immune system, targeting multiple antigens on the surface of the same target cell, increasing the strength of the binding of an antibody to its antigen targets, and reducing the likelihood of an unwanted immune response to the antibody or antibody-derived molecule. We believe our differentiated product candidates have the potential to provide new approaches to treat cancer, autoimmune disorders and other complex diseases.</w:t>
      </w:r>
    </w:p>
    <w:p>
      <w:pPr>
        <w:spacing w:after="0" w:line="114"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color w:val="auto"/>
        </w:rPr>
        <w:t>We currently have two oncology product candidates in clinical development. Additionally, we have several proprietary product candidates in pre-clinical development and we expect to commence Phase 1 clinical trials on two of these product candidates in 2014. We believe the profile of our compounds provides us with the flexibility to pursue either monotherapy or combination therapy, depending on disease characteristics, current standards of care, and overall safety, tolerability, and efficacy of specific regimens.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60"/>
          </w:cols>
          <w:pgMar w:left="220" w:top="386" w:right="2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 below depicts the current status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40" w:hanging="327"/>
        <w:spacing w:after="0" w:line="297" w:lineRule="auto"/>
        <w:tabs>
          <w:tab w:leader="none" w:pos="1240" w:val="left"/>
        </w:tabs>
        <w:numPr>
          <w:ilvl w:val="0"/>
          <w:numId w:val="64"/>
        </w:numPr>
        <w:rPr>
          <w:rFonts w:ascii="Arial" w:cs="Arial" w:eastAsia="Arial" w:hAnsi="Arial"/>
          <w:sz w:val="12"/>
          <w:szCs w:val="12"/>
          <w:color w:val="auto"/>
        </w:rPr>
      </w:pPr>
      <w:r>
        <w:rPr>
          <w:rFonts w:ascii="Arial" w:cs="Arial" w:eastAsia="Arial" w:hAnsi="Arial"/>
          <w:sz w:val="12"/>
          <w:szCs w:val="12"/>
          <w:i w:val="1"/>
          <w:iCs w:val="1"/>
          <w:color w:val="auto"/>
        </w:rPr>
        <w:t>Margetuximab</w:t>
      </w:r>
      <w:r>
        <w:rPr>
          <w:rFonts w:ascii="Arial" w:cs="Arial" w:eastAsia="Arial" w:hAnsi="Arial"/>
          <w:sz w:val="12"/>
          <w:szCs w:val="12"/>
          <w:color w:val="auto"/>
        </w:rPr>
        <w:t>, also known as MGAH22, is a monoclonal antibody that targets HER2-expressing tumors, including breast, gastroesophageal, bladder and other cancers. HER2, or human</w:t>
      </w:r>
      <w:r>
        <w:rPr>
          <w:rFonts w:ascii="Arial" w:cs="Arial" w:eastAsia="Arial" w:hAnsi="Arial"/>
          <w:sz w:val="12"/>
          <w:szCs w:val="12"/>
          <w:i w:val="1"/>
          <w:iCs w:val="1"/>
          <w:color w:val="auto"/>
        </w:rPr>
        <w:t xml:space="preserve"> </w:t>
      </w:r>
      <w:r>
        <w:rPr>
          <w:rFonts w:ascii="Arial" w:cs="Arial" w:eastAsia="Arial" w:hAnsi="Arial"/>
          <w:sz w:val="12"/>
          <w:szCs w:val="12"/>
          <w:color w:val="auto"/>
        </w:rPr>
        <w:t>epidermal growth factor receptor 2, is critical for the growth of many types of tumors. Using our Fc Optimization platform, we have engineered the constant region, or Fc region, of margetuximab to enhance the antibody’s ability to kill tumor cells expressing lower levels of HER2 than that of currently approved anti-HER2 agents (such as Herceptin) and also to increase margetuximab’s ability to kill tumor cells through ADCC. We designed margetuximab to benefit a large sub-group of patients, which represents 80% or more of the overall population whose Fc receptors, or FcgRs, expressed on immune cells bind less effectively to currently available antibodies that have not been optimized by our technology. Margetuximab represents a new class of bio-betters that may potentially help larger HER2+ patient populations than those treated with current HER2 therapies, as well as improve the outcomes for patients who would be eligible for other HER2 targeted drugs and drug candidates. Phase 1 data from our open-label, dose escalation trial of margetuximab presented at the June 2013 Annual Meeting of the American Society of Clinical Oncology, or ASCO, demonstrated anti-tumor activity had been observed at a range of doses tested, including the lowest dose level of margetuximab, even in patients who were heavily pre-treated (frequently including with other anti-HER2 agents). We currently are enrolling a Phase 2a clinical trial in metastatic breast cancer and anticipate commencing a Phase 3 potential registration clinical trial in advanced gastroesophageal cancer in the second half of 2014.</w:t>
      </w:r>
    </w:p>
    <w:p>
      <w:pPr>
        <w:spacing w:after="0" w:line="120" w:lineRule="exact"/>
        <w:rPr>
          <w:rFonts w:ascii="Arial" w:cs="Arial" w:eastAsia="Arial" w:hAnsi="Arial"/>
          <w:sz w:val="12"/>
          <w:szCs w:val="12"/>
          <w:color w:val="auto"/>
        </w:rPr>
      </w:pPr>
    </w:p>
    <w:p>
      <w:pPr>
        <w:ind w:left="1240" w:right="20" w:hanging="327"/>
        <w:spacing w:after="0" w:line="252" w:lineRule="auto"/>
        <w:tabs>
          <w:tab w:leader="none" w:pos="1240"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MGA271 </w:t>
      </w:r>
      <w:r>
        <w:rPr>
          <w:rFonts w:ascii="Arial" w:cs="Arial" w:eastAsia="Arial" w:hAnsi="Arial"/>
          <w:sz w:val="14"/>
          <w:szCs w:val="14"/>
          <w:color w:val="auto"/>
        </w:rPr>
        <w:t>is an Fc-optimized monoclonal antibody that targets B7-H3, a member of the B7 family of molecules which are involved in immune regulation, and is over-expressed on a wide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variety of solid tumor types. MGA271 represents one of the few novel molecules that may provide relief from immune checkpoint inhibition by releasing a restraint, or brake, on the anti-tumor immune response. Inhibition of immune checkpoints has been shown to have powerful anti-tumor effects in several solid tumor types. For example, in presentations by others at ASCO and in publications in the </w:t>
      </w:r>
      <w:r>
        <w:rPr>
          <w:rFonts w:ascii="Arial" w:cs="Arial" w:eastAsia="Arial" w:hAnsi="Arial"/>
          <w:sz w:val="14"/>
          <w:szCs w:val="14"/>
          <w:i w:val="1"/>
          <w:iCs w:val="1"/>
          <w:color w:val="auto"/>
        </w:rPr>
        <w:t>New England Journal of Medicine,</w:t>
      </w:r>
      <w:r>
        <w:rPr>
          <w:rFonts w:ascii="Arial" w:cs="Arial" w:eastAsia="Arial" w:hAnsi="Arial"/>
          <w:sz w:val="14"/>
          <w:szCs w:val="14"/>
          <w:color w:val="auto"/>
        </w:rPr>
        <w:t xml:space="preserve"> complete or partial tumor regression was observed in patients with certain cancers who participated in clinical trials of antibodies targeting CTLA4, PD-1 and PD-L1, which are also members of the B7 family or their associated checkpoint receptors on T cells. We have engineered MGA271 to utilize the same Fc Optimization enhancements that we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20" w:top="386" w:right="2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60" w:right="60"/>
        <w:spacing w:after="0" w:line="258" w:lineRule="auto"/>
        <w:rPr>
          <w:sz w:val="20"/>
          <w:szCs w:val="20"/>
          <w:color w:val="auto"/>
        </w:rPr>
      </w:pPr>
      <w:r>
        <w:rPr>
          <w:rFonts w:ascii="Arial" w:cs="Arial" w:eastAsia="Arial" w:hAnsi="Arial"/>
          <w:sz w:val="14"/>
          <w:szCs w:val="14"/>
          <w:color w:val="auto"/>
        </w:rPr>
        <w:t>incorporated in margetuximab, and to target the over-expression of B7-H3 on differentiated tumors and CSLCs, as well as on the supporting tumor vasculature and underlying tissues. MGA271 is designed to destroy all of these components of the cancer in addition to reducing its inhibitory properties on T cells. We have initiated a Phase 1 clinical trial that we expect to complete by the end of 2014. We plan to initiate a Phase 2 clinical trial no later than early 2015.</w:t>
      </w:r>
    </w:p>
    <w:p>
      <w:pPr>
        <w:spacing w:after="0" w:line="139" w:lineRule="exact"/>
        <w:rPr>
          <w:sz w:val="20"/>
          <w:szCs w:val="20"/>
          <w:color w:val="auto"/>
        </w:rPr>
      </w:pPr>
    </w:p>
    <w:p>
      <w:pPr>
        <w:ind w:left="1240" w:right="140" w:hanging="327"/>
        <w:spacing w:after="0" w:line="321" w:lineRule="auto"/>
        <w:tabs>
          <w:tab w:leader="none" w:pos="1240" w:val="left"/>
        </w:tabs>
        <w:numPr>
          <w:ilvl w:val="0"/>
          <w:numId w:val="65"/>
        </w:numPr>
        <w:rPr>
          <w:rFonts w:ascii="Arial" w:cs="Arial" w:eastAsia="Arial" w:hAnsi="Arial"/>
          <w:sz w:val="12"/>
          <w:szCs w:val="12"/>
          <w:color w:val="auto"/>
        </w:rPr>
      </w:pPr>
      <w:r>
        <w:rPr>
          <w:rFonts w:ascii="Arial" w:cs="Arial" w:eastAsia="Arial" w:hAnsi="Arial"/>
          <w:sz w:val="12"/>
          <w:szCs w:val="12"/>
          <w:i w:val="1"/>
          <w:iCs w:val="1"/>
          <w:color w:val="auto"/>
        </w:rPr>
        <w:t xml:space="preserve">MGD006 </w:t>
      </w:r>
      <w:r>
        <w:rPr>
          <w:rFonts w:ascii="Arial" w:cs="Arial" w:eastAsia="Arial" w:hAnsi="Arial"/>
          <w:sz w:val="12"/>
          <w:szCs w:val="12"/>
          <w:color w:val="auto"/>
        </w:rPr>
        <w:t>is a humanized DART molecule that recognizes both CD123 and CD3. CD123, the Interleukin-3 receptor, or IL3R, alpha chain is expressed on leukemia and leukemic stem</w:t>
      </w:r>
      <w:r>
        <w:rPr>
          <w:rFonts w:ascii="Arial" w:cs="Arial" w:eastAsia="Arial" w:hAnsi="Arial"/>
          <w:sz w:val="12"/>
          <w:szCs w:val="12"/>
          <w:i w:val="1"/>
          <w:iCs w:val="1"/>
          <w:color w:val="auto"/>
        </w:rPr>
        <w:t xml:space="preserve"> </w:t>
      </w:r>
      <w:r>
        <w:rPr>
          <w:rFonts w:ascii="Arial" w:cs="Arial" w:eastAsia="Arial" w:hAnsi="Arial"/>
          <w:sz w:val="12"/>
          <w:szCs w:val="12"/>
          <w:color w:val="auto"/>
        </w:rPr>
        <w:t>cells, but not on normal hematopoietic stem cells. T cells, which express CD3, can destroy tumor cells. In pre-clinical studies, we have demonstrated the ability of MGD006 at extremely low doses to recruit, activate, and expand T cell populations to eliminate leukemia cells. We expect to commence a Phase 1 clinical trial of MGD006 in the first half of 2014.</w:t>
      </w:r>
    </w:p>
    <w:p>
      <w:pPr>
        <w:spacing w:after="0" w:line="104" w:lineRule="exact"/>
        <w:rPr>
          <w:rFonts w:ascii="Arial" w:cs="Arial" w:eastAsia="Arial" w:hAnsi="Arial"/>
          <w:sz w:val="12"/>
          <w:szCs w:val="12"/>
          <w:color w:val="auto"/>
        </w:rPr>
      </w:pPr>
    </w:p>
    <w:p>
      <w:pPr>
        <w:ind w:left="1240" w:right="60" w:hanging="327"/>
        <w:spacing w:after="0" w:line="258" w:lineRule="auto"/>
        <w:tabs>
          <w:tab w:leader="none" w:pos="124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MGD007 </w:t>
      </w:r>
      <w:r>
        <w:rPr>
          <w:rFonts w:ascii="Arial" w:cs="Arial" w:eastAsia="Arial" w:hAnsi="Arial"/>
          <w:sz w:val="14"/>
          <w:szCs w:val="14"/>
          <w:color w:val="auto"/>
        </w:rPr>
        <w:t>is a humanized DART molecule that recognizes both the glycoprotein gpA33 and CD3. gpA33 is expressed on gastrointestinal tumors, including more than 95% of human colon</w:t>
      </w:r>
      <w:r>
        <w:rPr>
          <w:rFonts w:ascii="Arial" w:cs="Arial" w:eastAsia="Arial" w:hAnsi="Arial"/>
          <w:sz w:val="14"/>
          <w:szCs w:val="14"/>
          <w:i w:val="1"/>
          <w:iCs w:val="1"/>
          <w:color w:val="auto"/>
        </w:rPr>
        <w:t xml:space="preserve"> </w:t>
      </w:r>
      <w:r>
        <w:rPr>
          <w:rFonts w:ascii="Arial" w:cs="Arial" w:eastAsia="Arial" w:hAnsi="Arial"/>
          <w:sz w:val="14"/>
          <w:szCs w:val="14"/>
          <w:color w:val="auto"/>
        </w:rPr>
        <w:t>cancers. We have demonstrated that this molecule is able to mediate T cell killing of gpA33-expressing cancer cells and CSLCs in pre-clinical experiments. We expect to commence a Phase 1 clinical trial of MGD007 in the second half of 2014.</w:t>
      </w:r>
    </w:p>
    <w:p>
      <w:pPr>
        <w:spacing w:after="0" w:line="108"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We pursue a balanced approach between product candidates that we develop ourselves and those that we develop with our collaborators. Under our current strategic collaborations we have received approximately $106 million in non-equity funding over the three year period ended June 30, 2013. Under these agreements we are entitled to receive substantial milestone and other payments, including over $100 million of potential payments that we believe are likely to be received by the end of 2015, assuming all of our collaboration programs advance as currently contemplated. Our collaborators include:</w:t>
      </w:r>
    </w:p>
    <w:p>
      <w:pPr>
        <w:spacing w:after="0" w:line="105" w:lineRule="exact"/>
        <w:rPr>
          <w:sz w:val="20"/>
          <w:szCs w:val="20"/>
          <w:color w:val="auto"/>
        </w:rPr>
      </w:pPr>
    </w:p>
    <w:p>
      <w:pPr>
        <w:ind w:left="1240" w:hanging="327"/>
        <w:spacing w:after="0" w:line="302" w:lineRule="auto"/>
        <w:tabs>
          <w:tab w:leader="none" w:pos="1240" w:val="left"/>
        </w:tabs>
        <w:numPr>
          <w:ilvl w:val="0"/>
          <w:numId w:val="66"/>
        </w:numPr>
        <w:rPr>
          <w:rFonts w:ascii="Arial" w:cs="Arial" w:eastAsia="Arial" w:hAnsi="Arial"/>
          <w:sz w:val="12"/>
          <w:szCs w:val="12"/>
          <w:color w:val="auto"/>
        </w:rPr>
      </w:pPr>
      <w:r>
        <w:rPr>
          <w:rFonts w:ascii="Arial" w:cs="Arial" w:eastAsia="Arial" w:hAnsi="Arial"/>
          <w:sz w:val="12"/>
          <w:szCs w:val="12"/>
          <w:i w:val="1"/>
          <w:iCs w:val="1"/>
          <w:color w:val="auto"/>
        </w:rPr>
        <w:t>Servier</w:t>
      </w:r>
      <w:r>
        <w:rPr>
          <w:rFonts w:ascii="Arial" w:cs="Arial" w:eastAsia="Arial" w:hAnsi="Arial"/>
          <w:sz w:val="12"/>
          <w:szCs w:val="12"/>
          <w:color w:val="auto"/>
        </w:rPr>
        <w:t>. In November 2011, we entered into a collaboration agreement with Servier under which we granted Servier an option to obtain an exclusive license to develop and commercialize</w:t>
      </w:r>
      <w:r>
        <w:rPr>
          <w:rFonts w:ascii="Arial" w:cs="Arial" w:eastAsia="Arial" w:hAnsi="Arial"/>
          <w:sz w:val="12"/>
          <w:szCs w:val="12"/>
          <w:i w:val="1"/>
          <w:iCs w:val="1"/>
          <w:color w:val="auto"/>
        </w:rPr>
        <w:t xml:space="preserve"> </w:t>
      </w:r>
      <w:r>
        <w:rPr>
          <w:rFonts w:ascii="Arial" w:cs="Arial" w:eastAsia="Arial" w:hAnsi="Arial"/>
          <w:sz w:val="12"/>
          <w:szCs w:val="12"/>
          <w:color w:val="auto"/>
        </w:rPr>
        <w:t>MGA271 in all countries other than the United States, Canada, Mexico, Japan, South Korea and India. We have received a $20 million option grant fee and a $10 million milestone payment upon dosing the first patient in the expansion cohort of our Phase I clinical trial of MGA271, and may be eligible to receive up to approximately $415 million in license grant fees, and clinical, development, regulatory and sales milestone payments if Servier exercises the option, obtains regulatory approval for, and successfully commercializes an MGA271 licensed product. In the event Servier exercises its option, Servier must pay a license grant fee, which we estimate to be $30 million, based on the number of different indications represented within the planned Phase 1 patient population. We and Servier will share Phase 2 and Phase 3 development costs.</w:t>
      </w:r>
    </w:p>
    <w:p>
      <w:pPr>
        <w:spacing w:after="0" w:line="117" w:lineRule="exact"/>
        <w:rPr>
          <w:rFonts w:ascii="Arial" w:cs="Arial" w:eastAsia="Arial" w:hAnsi="Arial"/>
          <w:sz w:val="12"/>
          <w:szCs w:val="12"/>
          <w:color w:val="auto"/>
        </w:rPr>
      </w:pPr>
    </w:p>
    <w:p>
      <w:pPr>
        <w:ind w:left="1240" w:right="60"/>
        <w:spacing w:after="0" w:line="252" w:lineRule="auto"/>
        <w:rPr>
          <w:rFonts w:ascii="Arial" w:cs="Arial" w:eastAsia="Arial" w:hAnsi="Arial"/>
          <w:sz w:val="12"/>
          <w:szCs w:val="12"/>
          <w:color w:val="auto"/>
        </w:rPr>
      </w:pPr>
      <w:r>
        <w:rPr>
          <w:rFonts w:ascii="Arial" w:cs="Arial" w:eastAsia="Arial" w:hAnsi="Arial"/>
          <w:sz w:val="14"/>
          <w:szCs w:val="14"/>
          <w:color w:val="auto"/>
        </w:rPr>
        <w:t>In September 2012, we entered into a second agreement with Servier and granted it options to obtain three separate exclusive licenses to develop and commercialize DART-based molecules, consisting of those designated by us as MGD006 and MGD007, as well as a third DART-based molecule, in all countries other than the United States, Canada, Mexico, Japan, South Korea and India. We received a $20 million option grant fee. In addition, we will be eligible to receive up to approximately $1 billion in additional license grant fees, and clinical, development, regulatory and sales milestone payments if Servier exercises all three of its options and successfully develops, obtains regulatory approval for, and commercializes a product under each license, including $5 million upon IND acceptance for each of MGD006, MGD007 and a third DART molecule. In addition to these milestones, we and Servier will share Phase 2 and Phase 3 development costs.</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Additionally, under both agreements, Servier would be obligated to pay us low doublt digit to mid-teen royalties on product sales in its territories.</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60"/>
          </w:cols>
          <w:pgMar w:left="220" w:top="386" w:right="2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line="300" w:lineRule="auto"/>
        <w:tabs>
          <w:tab w:leader="none" w:pos="1240" w:val="left"/>
        </w:tabs>
        <w:numPr>
          <w:ilvl w:val="0"/>
          <w:numId w:val="67"/>
        </w:numPr>
        <w:rPr>
          <w:rFonts w:ascii="Arial" w:cs="Arial" w:eastAsia="Arial" w:hAnsi="Arial"/>
          <w:sz w:val="12"/>
          <w:szCs w:val="12"/>
          <w:color w:val="auto"/>
        </w:rPr>
      </w:pPr>
      <w:r>
        <w:rPr>
          <w:rFonts w:ascii="Arial" w:cs="Arial" w:eastAsia="Arial" w:hAnsi="Arial"/>
          <w:sz w:val="12"/>
          <w:szCs w:val="12"/>
          <w:i w:val="1"/>
          <w:iCs w:val="1"/>
          <w:color w:val="auto"/>
        </w:rPr>
        <w:t xml:space="preserve">Gilead. </w:t>
      </w:r>
      <w:r>
        <w:rPr>
          <w:rFonts w:ascii="Arial" w:cs="Arial" w:eastAsia="Arial" w:hAnsi="Arial"/>
          <w:sz w:val="12"/>
          <w:szCs w:val="12"/>
          <w:color w:val="auto"/>
        </w:rPr>
        <w:t>In January 2013, we entered into an agreement with Gilead to grant it an exclusive worldwide license to research, develop and commercialize up to four DART-based molecules.</w:t>
      </w:r>
      <w:r>
        <w:rPr>
          <w:rFonts w:ascii="Arial" w:cs="Arial" w:eastAsia="Arial" w:hAnsi="Arial"/>
          <w:sz w:val="12"/>
          <w:szCs w:val="12"/>
          <w:i w:val="1"/>
          <w:iCs w:val="1"/>
          <w:color w:val="auto"/>
        </w:rPr>
        <w:t xml:space="preserve"> </w:t>
      </w:r>
      <w:r>
        <w:rPr>
          <w:rFonts w:ascii="Arial" w:cs="Arial" w:eastAsia="Arial" w:hAnsi="Arial"/>
          <w:sz w:val="12"/>
          <w:szCs w:val="12"/>
          <w:color w:val="auto"/>
        </w:rPr>
        <w:t>Gilead has exclusive worldwide rights for three of the programs. For one program, we retain development and commercialization rights outside of North America, the European Union, Norway, Iceland, Turkey, Australia and New Zealand. We received an initial $7.5 million license grant fee for the first DART-based molecule, and are eligible to receive up to an additional $22.5 million in grant fees on the remaining three DART-based molecules. We are further eligible to receive up to an additional $85 million in pre-clinical milestones across the four DART programs and up to approximately $1 billion in additional clinical, regulatory and sales milestone payments if Gilead exercises all four of the options and achieves all of the requisite milestones under each option and license. Gilead also provides funding for our internal and external research costs under the agreement. We are also eligible to receive tiered royalties on the net sales at percentages ranging from the high-single digits to the low-teens, subject to reductions in specified circumstances.</w:t>
      </w:r>
    </w:p>
    <w:p>
      <w:pPr>
        <w:spacing w:after="0" w:line="119" w:lineRule="exact"/>
        <w:rPr>
          <w:rFonts w:ascii="Arial" w:cs="Arial" w:eastAsia="Arial" w:hAnsi="Arial"/>
          <w:sz w:val="12"/>
          <w:szCs w:val="12"/>
          <w:color w:val="auto"/>
        </w:rPr>
      </w:pPr>
    </w:p>
    <w:p>
      <w:pPr>
        <w:ind w:left="1240" w:hanging="327"/>
        <w:spacing w:after="0" w:line="305" w:lineRule="auto"/>
        <w:tabs>
          <w:tab w:leader="none" w:pos="1240" w:val="left"/>
        </w:tabs>
        <w:numPr>
          <w:ilvl w:val="0"/>
          <w:numId w:val="67"/>
        </w:numPr>
        <w:rPr>
          <w:rFonts w:ascii="Arial" w:cs="Arial" w:eastAsia="Arial" w:hAnsi="Arial"/>
          <w:sz w:val="12"/>
          <w:szCs w:val="12"/>
          <w:color w:val="auto"/>
        </w:rPr>
      </w:pPr>
      <w:r>
        <w:rPr>
          <w:rFonts w:ascii="Arial" w:cs="Arial" w:eastAsia="Arial" w:hAnsi="Arial"/>
          <w:sz w:val="12"/>
          <w:szCs w:val="12"/>
          <w:i w:val="1"/>
          <w:iCs w:val="1"/>
          <w:color w:val="auto"/>
        </w:rPr>
        <w:t>Boehringer</w:t>
      </w:r>
      <w:r>
        <w:rPr>
          <w:rFonts w:ascii="Arial" w:cs="Arial" w:eastAsia="Arial" w:hAnsi="Arial"/>
          <w:sz w:val="12"/>
          <w:szCs w:val="12"/>
          <w:color w:val="auto"/>
        </w:rPr>
        <w:t>. In October 2010, we entered into an agreement with Boehringer to discover, develop and commercialize up to ten DART-based molecules which may span multiple therapeutic</w:t>
      </w:r>
      <w:r>
        <w:rPr>
          <w:rFonts w:ascii="Arial" w:cs="Arial" w:eastAsia="Arial" w:hAnsi="Arial"/>
          <w:sz w:val="12"/>
          <w:szCs w:val="12"/>
          <w:i w:val="1"/>
          <w:iCs w:val="1"/>
          <w:color w:val="auto"/>
        </w:rPr>
        <w:t xml:space="preserve"> </w:t>
      </w:r>
      <w:r>
        <w:rPr>
          <w:rFonts w:ascii="Arial" w:cs="Arial" w:eastAsia="Arial" w:hAnsi="Arial"/>
          <w:sz w:val="12"/>
          <w:szCs w:val="12"/>
          <w:color w:val="auto"/>
        </w:rPr>
        <w:t>areas. We granted Boehringer an exclusive worldwide, royalty-bearing, license and received an upfront payment of $15 million. We subsequently received two annual maintenance payments and anticipate receiving a third annual maintenance payment in the fourth quarter of 2013. We have the potential to earn development, regulatory and sales milestone payments that can reach up to approximately $210 million for each of the DART programs under this agreement. Boehringer provides funding for our internal and external research costs and is required to pay us mid-single digit royalties on product sales. Boehringer purchased $10 million of our Series D-2 Preferred Stock in January 2011.</w:t>
      </w:r>
    </w:p>
    <w:p>
      <w:pPr>
        <w:spacing w:after="0" w:line="115" w:lineRule="exact"/>
        <w:rPr>
          <w:rFonts w:ascii="Arial" w:cs="Arial" w:eastAsia="Arial" w:hAnsi="Arial"/>
          <w:sz w:val="12"/>
          <w:szCs w:val="12"/>
          <w:color w:val="auto"/>
        </w:rPr>
      </w:pPr>
    </w:p>
    <w:p>
      <w:pPr>
        <w:ind w:left="1240" w:right="40" w:hanging="327"/>
        <w:spacing w:after="0" w:line="305" w:lineRule="auto"/>
        <w:tabs>
          <w:tab w:leader="none" w:pos="1240" w:val="left"/>
        </w:tabs>
        <w:numPr>
          <w:ilvl w:val="0"/>
          <w:numId w:val="67"/>
        </w:numPr>
        <w:rPr>
          <w:rFonts w:ascii="Arial" w:cs="Arial" w:eastAsia="Arial" w:hAnsi="Arial"/>
          <w:sz w:val="12"/>
          <w:szCs w:val="12"/>
          <w:color w:val="auto"/>
        </w:rPr>
      </w:pPr>
      <w:r>
        <w:rPr>
          <w:rFonts w:ascii="Arial" w:cs="Arial" w:eastAsia="Arial" w:hAnsi="Arial"/>
          <w:sz w:val="12"/>
          <w:szCs w:val="12"/>
          <w:i w:val="1"/>
          <w:iCs w:val="1"/>
          <w:color w:val="auto"/>
        </w:rPr>
        <w:t xml:space="preserve">Pfizer. </w:t>
      </w:r>
      <w:r>
        <w:rPr>
          <w:rFonts w:ascii="Arial" w:cs="Arial" w:eastAsia="Arial" w:hAnsi="Arial"/>
          <w:sz w:val="12"/>
          <w:szCs w:val="12"/>
          <w:color w:val="auto"/>
        </w:rPr>
        <w:t>In October 2010, we entered into a three year agreement with Pfizer to discover, develop and commercialize up to two DART-based molecules. We granted Pfizer a non-exclusive</w:t>
      </w:r>
      <w:r>
        <w:rPr>
          <w:rFonts w:ascii="Arial" w:cs="Arial" w:eastAsia="Arial" w:hAnsi="Arial"/>
          <w:sz w:val="12"/>
          <w:szCs w:val="12"/>
          <w:i w:val="1"/>
          <w:iCs w:val="1"/>
          <w:color w:val="auto"/>
        </w:rPr>
        <w:t xml:space="preserve"> </w:t>
      </w:r>
      <w:r>
        <w:rPr>
          <w:rFonts w:ascii="Arial" w:cs="Arial" w:eastAsia="Arial" w:hAnsi="Arial"/>
          <w:sz w:val="12"/>
          <w:szCs w:val="12"/>
          <w:color w:val="auto"/>
        </w:rPr>
        <w:t>worldwide, royalty-bearing license and received upfront and milestone payments and funding for our internal and external research costs under the agreement. We are eligible to receive technical, development and sales milestone payments that can reach up to approximately $210 million for each DART program under this agreement. Pfizer is responsible for all pre-clinical and clinical development costs for the program. In addition, Pfizer is required to pay us mid-single digit to low-teen royalties on product sales. Under this collaboration, one DART program is currently being pursued and we will complete our research obligations under this program in October 2013.</w:t>
      </w:r>
    </w:p>
    <w:p>
      <w:pPr>
        <w:spacing w:after="0" w:line="84" w:lineRule="exact"/>
        <w:rPr>
          <w:sz w:val="20"/>
          <w:szCs w:val="20"/>
          <w:color w:val="auto"/>
        </w:rPr>
      </w:pPr>
    </w:p>
    <w:p>
      <w:pPr>
        <w:ind w:right="220" w:firstLine="802"/>
        <w:spacing w:after="0" w:line="311" w:lineRule="auto"/>
        <w:rPr>
          <w:sz w:val="20"/>
          <w:szCs w:val="20"/>
          <w:color w:val="auto"/>
        </w:rPr>
      </w:pPr>
      <w:r>
        <w:rPr>
          <w:rFonts w:ascii="Arial" w:cs="Arial" w:eastAsia="Arial" w:hAnsi="Arial"/>
          <w:sz w:val="12"/>
          <w:szCs w:val="12"/>
          <w:color w:val="auto"/>
        </w:rPr>
        <w:t>We currently manufacture all of the drug substance for research and development efforts for all of our product candidates in-house. Drug substance for all of our clinical trials is manufactured using current good manufacturing practices, or cGMP, at our manufacturing facility, located in Rockville, Maryland. We contract with vendors to provide fill finish manufacture of drug product. We currently have capacity to produce Phase 2 material for our antibody product candidates and all clinical and commercial material for our DART therapeutics. We intend to enter into agreements with contract manufacturing organizations to supplement our clinical supply and internal capacity as we advance additional pre-clinical candidates into clinical development.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goal is to be a leader in the discovery, development and commercialization of antibody-based therapeutics for the treatment of patients with cancer, autoimmune disorders and other complex</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diseases.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Key elements of our strategy to achieve this goal are to:</w:t>
      </w:r>
    </w:p>
    <w:p>
      <w:pPr>
        <w:spacing w:after="0" w:line="163" w:lineRule="exact"/>
        <w:rPr>
          <w:sz w:val="20"/>
          <w:szCs w:val="20"/>
          <w:color w:val="auto"/>
        </w:rPr>
      </w:pPr>
    </w:p>
    <w:p>
      <w:pPr>
        <w:ind w:left="1240" w:right="260" w:hanging="327"/>
        <w:spacing w:after="0" w:line="267" w:lineRule="auto"/>
        <w:tabs>
          <w:tab w:leader="none" w:pos="124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Rapidly and concurrently advance our clinical oncology product candidates in multiple tumor types. </w:t>
      </w:r>
      <w:r>
        <w:rPr>
          <w:rFonts w:ascii="Arial" w:cs="Arial" w:eastAsia="Arial" w:hAnsi="Arial"/>
          <w:sz w:val="14"/>
          <w:szCs w:val="14"/>
          <w:color w:val="auto"/>
        </w:rPr>
        <w:t>We intend to pursue the fastest feasible pathways to approval and to address large,</w:t>
      </w:r>
      <w:r>
        <w:rPr>
          <w:rFonts w:ascii="Arial" w:cs="Arial" w:eastAsia="Arial" w:hAnsi="Arial"/>
          <w:sz w:val="14"/>
          <w:szCs w:val="14"/>
          <w:i w:val="1"/>
          <w:iCs w:val="1"/>
          <w:color w:val="auto"/>
        </w:rPr>
        <w:t xml:space="preserve"> </w:t>
      </w:r>
      <w:r>
        <w:rPr>
          <w:rFonts w:ascii="Arial" w:cs="Arial" w:eastAsia="Arial" w:hAnsi="Arial"/>
          <w:sz w:val="14"/>
          <w:szCs w:val="14"/>
          <w:color w:val="auto"/>
        </w:rPr>
        <w:t>underserved markets. We are developing product candidates that we believe could address disease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60"/>
          </w:cols>
          <w:pgMar w:left="220" w:top="386" w:right="21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60" w:right="80"/>
        <w:spacing w:after="0" w:line="300" w:lineRule="auto"/>
        <w:rPr>
          <w:sz w:val="20"/>
          <w:szCs w:val="20"/>
          <w:color w:val="auto"/>
        </w:rPr>
      </w:pPr>
      <w:r>
        <w:rPr>
          <w:rFonts w:ascii="Arial" w:cs="Arial" w:eastAsia="Arial" w:hAnsi="Arial"/>
          <w:sz w:val="12"/>
          <w:szCs w:val="12"/>
          <w:color w:val="auto"/>
        </w:rPr>
        <w:t>specific challenges which are not currently being met by existing therapies. We are currently enrolling a Phase 2a clinical trial of margetuximab in metastatic breast cancer for which we expect to have results in 2014. We anticipate commencing a Phase 3 potential registration clinical trial of margetuximab in advanced gastroesophageal cancer in the second half of 2014. We are currently enrolling the dose-expansion portion of a Phase 1 clinical trial of MGA271 as a single-agent in the treatment of 45 patients with solid tumors, including: 15 patients with melanoma; 15 patients with prostate cancer and an additional group of 15 patients with other solid tumor types. Servier has indicated that it intends to evaluate MGA271 in up to 90 additional cancer patients representing additional types of cancers beginning in the fourth quarter of 2013. We intend to assess and prioritize future indications for MGA271 clinical trials based on data from these cohorts and determine the best path forward to potential commercialization. In addition, we are currently optimizing multiple DART therapeutics as candidates for clinical development. We anticipate that we will begin Phase 1 clinical trials of MGD006, our first DART candidate, in the first half of 2014, and MGD007, our second DART candidate, in the second half of 2014.</w:t>
      </w:r>
    </w:p>
    <w:p>
      <w:pPr>
        <w:spacing w:after="0" w:line="287" w:lineRule="exact"/>
        <w:rPr>
          <w:sz w:val="20"/>
          <w:szCs w:val="20"/>
          <w:color w:val="auto"/>
        </w:rPr>
      </w:pPr>
    </w:p>
    <w:p>
      <w:pPr>
        <w:ind w:left="1240" w:right="100" w:hanging="327"/>
        <w:spacing w:after="0" w:line="305" w:lineRule="auto"/>
        <w:tabs>
          <w:tab w:leader="none" w:pos="1240" w:val="left"/>
        </w:tabs>
        <w:numPr>
          <w:ilvl w:val="0"/>
          <w:numId w:val="69"/>
        </w:numPr>
        <w:rPr>
          <w:rFonts w:ascii="Arial" w:cs="Arial" w:eastAsia="Arial" w:hAnsi="Arial"/>
          <w:sz w:val="12"/>
          <w:szCs w:val="12"/>
          <w:color w:val="auto"/>
        </w:rPr>
      </w:pPr>
      <w:r>
        <w:rPr>
          <w:rFonts w:ascii="Arial" w:cs="Arial" w:eastAsia="Arial" w:hAnsi="Arial"/>
          <w:sz w:val="12"/>
          <w:szCs w:val="12"/>
          <w:i w:val="1"/>
          <w:iCs w:val="1"/>
          <w:color w:val="auto"/>
        </w:rPr>
        <w:t xml:space="preserve">Leverage collaborative relationships. </w:t>
      </w:r>
      <w:r>
        <w:rPr>
          <w:rFonts w:ascii="Arial" w:cs="Arial" w:eastAsia="Arial" w:hAnsi="Arial"/>
          <w:sz w:val="12"/>
          <w:szCs w:val="12"/>
          <w:color w:val="auto"/>
        </w:rPr>
        <w:t>We have multiple programs in development under our collaborations and are working closely with our collaborators to advance these programs. We</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that these collaborations help to validate and rapidly advance our discovery efforts, technology platforms, and product candidates while providing significant funding to advance our pipeline and access the development and commercial expertise of our collaborators. To facilitate the capital-efficient development and commercialization of our proprietary programs, we intend to enter into additional collaboration agreements with biopharmaceutical companies. We anticipate that we would structure these collaborations in ways that would allow us to retain development and commercialization rights in key markets.</w:t>
      </w:r>
    </w:p>
    <w:p>
      <w:pPr>
        <w:spacing w:after="0" w:line="115" w:lineRule="exact"/>
        <w:rPr>
          <w:rFonts w:ascii="Arial" w:cs="Arial" w:eastAsia="Arial" w:hAnsi="Arial"/>
          <w:sz w:val="12"/>
          <w:szCs w:val="12"/>
          <w:color w:val="auto"/>
        </w:rPr>
      </w:pPr>
    </w:p>
    <w:p>
      <w:pPr>
        <w:ind w:left="1240" w:right="40" w:hanging="327"/>
        <w:spacing w:after="0" w:line="311" w:lineRule="auto"/>
        <w:tabs>
          <w:tab w:leader="none" w:pos="1240" w:val="left"/>
        </w:tabs>
        <w:numPr>
          <w:ilvl w:val="0"/>
          <w:numId w:val="69"/>
        </w:numPr>
        <w:rPr>
          <w:rFonts w:ascii="Arial" w:cs="Arial" w:eastAsia="Arial" w:hAnsi="Arial"/>
          <w:sz w:val="12"/>
          <w:szCs w:val="12"/>
          <w:color w:val="auto"/>
        </w:rPr>
      </w:pPr>
      <w:r>
        <w:rPr>
          <w:rFonts w:ascii="Arial" w:cs="Arial" w:eastAsia="Arial" w:hAnsi="Arial"/>
          <w:sz w:val="12"/>
          <w:szCs w:val="12"/>
          <w:i w:val="1"/>
          <w:iCs w:val="1"/>
          <w:color w:val="auto"/>
        </w:rPr>
        <w:t>Create new product candidates that combine the potency and target selectivity of our DART and Fc Optimization technologies with small molecule and toxin conjugation technologies</w:t>
      </w:r>
      <w:r>
        <w:rPr>
          <w:rFonts w:ascii="Arial" w:cs="Arial" w:eastAsia="Arial" w:hAnsi="Arial"/>
          <w:sz w:val="12"/>
          <w:szCs w:val="12"/>
          <w:color w:val="auto"/>
        </w:rPr>
        <w:t>. We</w:t>
      </w:r>
      <w:r>
        <w:rPr>
          <w:rFonts w:ascii="Arial" w:cs="Arial" w:eastAsia="Arial" w:hAnsi="Arial"/>
          <w:sz w:val="12"/>
          <w:szCs w:val="12"/>
          <w:i w:val="1"/>
          <w:iCs w:val="1"/>
          <w:color w:val="auto"/>
        </w:rPr>
        <w:t xml:space="preserve"> </w:t>
      </w:r>
      <w:r>
        <w:rPr>
          <w:rFonts w:ascii="Arial" w:cs="Arial" w:eastAsia="Arial" w:hAnsi="Arial"/>
          <w:sz w:val="12"/>
          <w:szCs w:val="12"/>
          <w:color w:val="auto"/>
        </w:rPr>
        <w:t>are working with several companies to combine their proprietary linkers and drug conjugates with our monoclonal antibodies. We believe that such linkers and drug conjugates can be combined with the selective targeting properties of our DART technology and the enhanced immune activities of our Fc Optimization technology. Our goal is to identify and further develop new clinical candidates, either antibody-drug conjugates, or ADCs, or DART-drug conjugates, through these research efforts.</w:t>
      </w:r>
    </w:p>
    <w:p>
      <w:pPr>
        <w:spacing w:after="0" w:line="110" w:lineRule="exact"/>
        <w:rPr>
          <w:rFonts w:ascii="Arial" w:cs="Arial" w:eastAsia="Arial" w:hAnsi="Arial"/>
          <w:sz w:val="12"/>
          <w:szCs w:val="12"/>
          <w:color w:val="auto"/>
        </w:rPr>
      </w:pPr>
    </w:p>
    <w:p>
      <w:pPr>
        <w:ind w:left="1240" w:right="120" w:hanging="327"/>
        <w:spacing w:after="0" w:line="258" w:lineRule="auto"/>
        <w:tabs>
          <w:tab w:leader="none" w:pos="124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Establish commercialization and marketing capabilities in the United States</w:t>
      </w:r>
      <w:r>
        <w:rPr>
          <w:rFonts w:ascii="Arial" w:cs="Arial" w:eastAsia="Arial" w:hAnsi="Arial"/>
          <w:sz w:val="14"/>
          <w:szCs w:val="14"/>
          <w:color w:val="auto"/>
        </w:rPr>
        <w:t>. We have retained commercialization rights in the United States for our clinical stage programs as well as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DART programs that we are developing in collaboration with Servier. We intend to build a targeted specialty sales force and marketing capabilities in the United States to commercialize our product candidates that receive regulatory approval.</w:t>
      </w:r>
    </w:p>
    <w:p>
      <w:pPr>
        <w:spacing w:after="0" w:line="138" w:lineRule="exact"/>
        <w:rPr>
          <w:rFonts w:ascii="Arial" w:cs="Arial" w:eastAsia="Arial" w:hAnsi="Arial"/>
          <w:sz w:val="14"/>
          <w:szCs w:val="14"/>
          <w:color w:val="auto"/>
        </w:rPr>
      </w:pPr>
    </w:p>
    <w:p>
      <w:pPr>
        <w:ind w:left="1240" w:hanging="327"/>
        <w:spacing w:after="0" w:line="255" w:lineRule="auto"/>
        <w:tabs>
          <w:tab w:leader="none" w:pos="124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Strengthen our leadership position in fully integrated antibody engineering and development capabilities. </w:t>
      </w:r>
      <w:r>
        <w:rPr>
          <w:rFonts w:ascii="Arial" w:cs="Arial" w:eastAsia="Arial" w:hAnsi="Arial"/>
          <w:sz w:val="14"/>
          <w:szCs w:val="14"/>
          <w:color w:val="auto"/>
        </w:rPr>
        <w:t>We have built a powerful and fully integrated set of capabilities that are critical to</w:t>
      </w:r>
      <w:r>
        <w:rPr>
          <w:rFonts w:ascii="Arial" w:cs="Arial" w:eastAsia="Arial" w:hAnsi="Arial"/>
          <w:sz w:val="14"/>
          <w:szCs w:val="14"/>
          <w:i w:val="1"/>
          <w:iCs w:val="1"/>
          <w:color w:val="auto"/>
        </w:rPr>
        <w:t xml:space="preserve"> </w:t>
      </w:r>
      <w:r>
        <w:rPr>
          <w:rFonts w:ascii="Arial" w:cs="Arial" w:eastAsia="Arial" w:hAnsi="Arial"/>
          <w:sz w:val="14"/>
          <w:szCs w:val="14"/>
          <w:color w:val="auto"/>
        </w:rPr>
        <w:t>our ability to discover, optimize and develop antibody-based therapeutic product candidates in a rapid and efficient manner. We intend to build on our technology platforms, methods and know-how that comprise our capabilities in order to expand our product pipeline. Our goal is to file one or more new investigational new drug applications, or INDs, annually for the next several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60"/>
          </w:cols>
          <w:pgMar w:left="220" w:top="386" w:right="21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Immune System and Antibodies</w:t>
      </w:r>
    </w:p>
    <w:p>
      <w:pPr>
        <w:spacing w:after="0" w:line="132" w:lineRule="exact"/>
        <w:rPr>
          <w:sz w:val="20"/>
          <w:szCs w:val="20"/>
          <w:color w:val="auto"/>
        </w:rPr>
      </w:pPr>
    </w:p>
    <w:p>
      <w:pPr>
        <w:ind w:right="160" w:firstLine="802"/>
        <w:spacing w:after="0" w:line="267" w:lineRule="auto"/>
        <w:rPr>
          <w:sz w:val="20"/>
          <w:szCs w:val="20"/>
          <w:color w:val="auto"/>
        </w:rPr>
      </w:pPr>
      <w:r>
        <w:rPr>
          <w:rFonts w:ascii="Arial" w:cs="Arial" w:eastAsia="Arial" w:hAnsi="Arial"/>
          <w:sz w:val="14"/>
          <w:szCs w:val="14"/>
          <w:color w:val="auto"/>
        </w:rPr>
        <w:t>The immune system, composed of both innate and adaptive elements, defends against invading pathogens such as viruses, parasites, and bacteria, and provides surveillance against cancers. The adaptive immune system includes:</w:t>
      </w:r>
    </w:p>
    <w:p>
      <w:pPr>
        <w:spacing w:after="0" w:line="133" w:lineRule="exact"/>
        <w:rPr>
          <w:sz w:val="20"/>
          <w:szCs w:val="20"/>
          <w:color w:val="auto"/>
        </w:rPr>
      </w:pPr>
    </w:p>
    <w:p>
      <w:pPr>
        <w:ind w:left="1240" w:hanging="327"/>
        <w:spacing w:after="0"/>
        <w:tabs>
          <w:tab w:leader="none" w:pos="12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 cells, which mature into plasma cells and produce antibodies;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Helper T cells, including those that enable, or help, the B cells to produce antibodies;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Cytotoxic T cells, which can destroy tumor cells or cells infected with viruses.</w:t>
      </w:r>
    </w:p>
    <w:p>
      <w:pPr>
        <w:spacing w:after="0" w:line="132"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T cells and B cells (and the antibodies derived from the mature B cell) of this adaptive immune system respond to small structural differences found, for example, on a cancer cell. This normally imparts exquisite specificity on these individual immune components. As a result, billions of different structural variants can be recognized by the adaptive immune system, but each individual T cell or B cell or antibody can only bind and respond to a single structure or molecule.</w:t>
      </w:r>
    </w:p>
    <w:p>
      <w:pPr>
        <w:spacing w:after="0" w:line="108"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As shown in the following illustration, the antibody is a Y-shaped molecule that has two identical variable regions at the tip of the arms of the antibody (Fab region), which bind to antigens, and a constant region (Fc), as its opposite end that binds to F</w:t>
      </w:r>
      <w:r>
        <w:rPr>
          <w:rFonts w:ascii="Arial" w:cs="Arial" w:eastAsia="Arial" w:hAnsi="Arial"/>
          <w:sz w:val="14"/>
          <w:szCs w:val="14"/>
          <w:i w:val="1"/>
          <w:iCs w:val="1"/>
          <w:color w:val="auto"/>
        </w:rPr>
        <w:t>cy</w:t>
      </w:r>
      <w:r>
        <w:rPr>
          <w:rFonts w:ascii="Arial" w:cs="Arial" w:eastAsia="Arial" w:hAnsi="Arial"/>
          <w:sz w:val="14"/>
          <w:szCs w:val="14"/>
          <w:color w:val="auto"/>
        </w:rPr>
        <w:t>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Monoclonal Antibody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109855</wp:posOffset>
            </wp:positionV>
            <wp:extent cx="2043430" cy="1525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4343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An antibody’s structure is amenable to engineering either the variable regions to improve its strength of target recognition or affinity, or the constant regions to modify its engagement and collaboration with other components of the immune system, or both. The two variable region arms naturally target the same antigen; however, they can be artificially engineered to target two different antigens, allowing the creation of a bi-specific antibody. The Fc region can bind, recruit and activate immune cells to amplify the immune response to targets bound by the variable region of the antibody molecule. The Fc region can be modified to enhance the engagement with other immune cells and increase the potency of the immune response.</w:t>
      </w:r>
    </w:p>
    <w:p>
      <w:pPr>
        <w:spacing w:after="0" w:line="79" w:lineRule="exact"/>
        <w:rPr>
          <w:sz w:val="20"/>
          <w:szCs w:val="20"/>
          <w:color w:val="auto"/>
        </w:rPr>
      </w:pPr>
    </w:p>
    <w:p>
      <w:pPr>
        <w:ind w:right="280" w:firstLine="802"/>
        <w:spacing w:after="0" w:line="267" w:lineRule="auto"/>
        <w:rPr>
          <w:sz w:val="20"/>
          <w:szCs w:val="20"/>
          <w:color w:val="auto"/>
        </w:rPr>
      </w:pPr>
      <w:r>
        <w:rPr>
          <w:rFonts w:ascii="Arial" w:cs="Arial" w:eastAsia="Arial" w:hAnsi="Arial"/>
          <w:sz w:val="14"/>
          <w:szCs w:val="14"/>
          <w:color w:val="auto"/>
        </w:rPr>
        <w:t>Therapeutic monoclonal antibodies are typically derived from natural antibodies and are obtained from immune cells of mammals that have been immunized with a desired antigen and are all clones of the unique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40"/>
          </w:cols>
          <w:pgMar w:left="220" w:top="386"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parent cell. The antibody’s ability to bind specifically to a target or antigen is also referred to as its specificity. Using this mechanism, antibodies can tag foreign substances for attack by other immune system cells or neutralize the targets directly. In treating diseases such as cancer, researchers find antigens specific to cancer cells and create antibodies that bind those antigens to use the body’s immune system to destroy these cancer cells.</w:t>
      </w:r>
    </w:p>
    <w:p>
      <w:pPr>
        <w:spacing w:after="0" w:line="108"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Monoclonal antibodies are typically produced in mice and although they are relatively easy to generate, they can have drawbacks as targeted therapeutics. The major drawback is that a mouse monoclonal antibody is recognized by the human immune system as a foreign target and therefore, the immune system attacks the antibody, rendering it useless against its intended target. Many advances have been made to genetically engineer and humanize monoclonal antibodies. In addition, fully human antibodies can be created, which also significantly reduce newly generated immune responses in patients treated with monoclonal antibodies.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Cancer</w:t>
      </w:r>
    </w:p>
    <w:p>
      <w:pPr>
        <w:spacing w:after="0" w:line="132" w:lineRule="exact"/>
        <w:rPr>
          <w:sz w:val="20"/>
          <w:szCs w:val="20"/>
          <w:color w:val="auto"/>
        </w:rPr>
      </w:pPr>
    </w:p>
    <w:p>
      <w:pPr>
        <w:ind w:right="20" w:firstLine="802"/>
        <w:spacing w:after="0" w:line="252" w:lineRule="auto"/>
        <w:rPr>
          <w:sz w:val="20"/>
          <w:szCs w:val="20"/>
          <w:color w:val="auto"/>
        </w:rPr>
      </w:pPr>
      <w:r>
        <w:rPr>
          <w:rFonts w:ascii="Arial" w:cs="Arial" w:eastAsia="Arial" w:hAnsi="Arial"/>
          <w:sz w:val="14"/>
          <w:szCs w:val="14"/>
          <w:color w:val="auto"/>
        </w:rPr>
        <w:t>Cancer is a broad group of diseases in which cells divide and grow in an uncontrolled fashion, forming malignancies that can invade other parts of the body. In normal tissues, the rates of new cell growth and cell death are tightly regulated and kept in balance. In cancerous tissues, this balance is disrupted as a result of mutations, causing unregulated cell growth that leads to tumor formation and growth. While tumors can grow slowly or rapidly, the dividing cells will nevertheless accumulate and the normal organization of the tissue will become disrupted. Cancers subsequently can spread throughout the body by processes known as invasion and metastasis. Once cancer spreads to sites beyond the primary tumor, it may be incurable. Cancer cells that arise in the lymphatic system and bone marrow are referred to as hematological malignancies. Cancer cells that arise in other tissues or organs are referred to as solid tumors. Cancer can arise in virtually any part of the body, with the most common types arising in the prostate gland, breast, lung, colon and skin.</w:t>
      </w:r>
    </w:p>
    <w:p>
      <w:pPr>
        <w:spacing w:after="0" w:line="114" w:lineRule="exact"/>
        <w:rPr>
          <w:sz w:val="20"/>
          <w:szCs w:val="20"/>
          <w:color w:val="auto"/>
        </w:rPr>
      </w:pPr>
    </w:p>
    <w:p>
      <w:pPr>
        <w:ind w:right="80" w:firstLine="802"/>
        <w:spacing w:after="0" w:line="321" w:lineRule="auto"/>
        <w:rPr>
          <w:sz w:val="20"/>
          <w:szCs w:val="20"/>
          <w:color w:val="auto"/>
        </w:rPr>
      </w:pPr>
      <w:r>
        <w:rPr>
          <w:rFonts w:ascii="Arial" w:cs="Arial" w:eastAsia="Arial" w:hAnsi="Arial"/>
          <w:sz w:val="12"/>
          <w:szCs w:val="12"/>
          <w:color w:val="auto"/>
        </w:rPr>
        <w:t>Cancer is the second leading cause of death in the United States, exceeded only by heart disease, and accounts for almost one of every four deaths. The American Cancer Society estimates that in 2013 there will be approximately 1.6 million new cases of cancer and approximately 580,000 deaths from cancer. The National Institutes of Health estimates that the direct medical cost of cancer of all types, including solid tumors, in the United States in 2010 was approximately $125 billion and according to IMS Health the amount spent in the United States on drugs to treat cancer exceeded $23 billion in 2011.</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40"/>
          </w:cols>
          <w:pgMar w:left="220" w:top="386"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Solid Tumors—Incidence and Therapies</w:t>
      </w:r>
    </w:p>
    <w:p>
      <w:pPr>
        <w:spacing w:after="0" w:line="132" w:lineRule="exact"/>
        <w:rPr>
          <w:sz w:val="20"/>
          <w:szCs w:val="20"/>
          <w:color w:val="auto"/>
        </w:rPr>
      </w:pPr>
    </w:p>
    <w:p>
      <w:pPr>
        <w:jc w:val="both"/>
        <w:ind w:right="60" w:firstLine="802"/>
        <w:spacing w:after="0" w:line="321" w:lineRule="auto"/>
        <w:rPr>
          <w:sz w:val="20"/>
          <w:szCs w:val="20"/>
          <w:color w:val="auto"/>
        </w:rPr>
      </w:pPr>
      <w:r>
        <w:rPr>
          <w:rFonts w:ascii="Arial" w:cs="Arial" w:eastAsia="Arial" w:hAnsi="Arial"/>
          <w:sz w:val="12"/>
          <w:szCs w:val="12"/>
          <w:color w:val="auto"/>
        </w:rPr>
        <w:t>The following table sets forth information about selected solid tumor types for which we are developing, or may develop, therapeutic product candidates. The estimated U.S. annual incidence and five-year relative survival rates are based on information from the American Cancer Society in 2013. Relative survival compares survival among cancer patients to that of people not diagnosed with cancer who are of the same age, race and sex. It represents the percentage of cancer patients who are alive after a designated time period relative to persons without cancer.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20" w:type="dxa"/>
            <w:vAlign w:val="bottom"/>
            <w:gridSpan w:val="3"/>
          </w:tcPr>
          <w:p>
            <w:pPr>
              <w:ind w:left="1000"/>
              <w:spacing w:after="0"/>
              <w:rPr>
                <w:sz w:val="20"/>
                <w:szCs w:val="20"/>
                <w:color w:val="auto"/>
              </w:rPr>
            </w:pPr>
            <w:r>
              <w:rPr>
                <w:rFonts w:ascii="Arial" w:cs="Arial" w:eastAsia="Arial" w:hAnsi="Arial"/>
                <w:sz w:val="14"/>
                <w:szCs w:val="14"/>
                <w:b w:val="1"/>
                <w:bCs w:val="1"/>
                <w:color w:val="auto"/>
              </w:rPr>
              <w:t>Solid Tumors</w:t>
            </w:r>
          </w:p>
        </w:tc>
      </w:tr>
      <w:tr>
        <w:trPr>
          <w:trHeight w:val="262"/>
        </w:trPr>
        <w:tc>
          <w:tcPr>
            <w:tcW w:w="6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Five-year</w:t>
            </w:r>
          </w:p>
        </w:tc>
        <w:tc>
          <w:tcPr>
            <w:tcW w:w="2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115"/>
        </w:trPr>
        <w:tc>
          <w:tcPr>
            <w:tcW w:w="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U.S.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Relative</w:t>
            </w:r>
          </w:p>
        </w:tc>
        <w:tc>
          <w:tcPr>
            <w:tcW w:w="2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0" w:type="dxa"/>
            <w:vAlign w:val="bottom"/>
          </w:tcPr>
          <w:p>
            <w:pPr>
              <w:spacing w:after="0"/>
              <w:rPr>
                <w:sz w:val="9"/>
                <w:szCs w:val="9"/>
                <w:color w:val="auto"/>
              </w:rPr>
            </w:pPr>
          </w:p>
        </w:tc>
      </w:tr>
      <w:tr>
        <w:trPr>
          <w:trHeight w:val="115"/>
        </w:trPr>
        <w:tc>
          <w:tcPr>
            <w:tcW w:w="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Annual</w:t>
            </w:r>
          </w:p>
        </w:tc>
        <w:tc>
          <w:tcPr>
            <w:tcW w:w="7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Survival</w:t>
            </w:r>
          </w:p>
        </w:tc>
        <w:tc>
          <w:tcPr>
            <w:tcW w:w="2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0" w:type="dxa"/>
            <w:vAlign w:val="bottom"/>
          </w:tcPr>
          <w:p>
            <w:pPr>
              <w:spacing w:after="0"/>
              <w:rPr>
                <w:sz w:val="9"/>
                <w:szCs w:val="9"/>
                <w:color w:val="auto"/>
              </w:rPr>
            </w:pPr>
          </w:p>
        </w:tc>
      </w:tr>
      <w:tr>
        <w:trPr>
          <w:trHeight w:val="126"/>
        </w:trPr>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Tumor Type</w:t>
            </w:r>
          </w:p>
        </w:tc>
        <w:tc>
          <w:tcPr>
            <w:tcW w:w="2160" w:type="dxa"/>
            <w:vAlign w:val="bottom"/>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Incidence</w:t>
            </w:r>
          </w:p>
        </w:tc>
        <w:tc>
          <w:tcPr>
            <w:tcW w:w="420" w:type="dxa"/>
            <w:vAlign w:val="bottom"/>
          </w:tcPr>
          <w:p>
            <w:pPr>
              <w:spacing w:after="0"/>
              <w:rPr>
                <w:sz w:val="10"/>
                <w:szCs w:val="1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2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5"/>
              </w:rPr>
              <w:t>Selected Marketed Therapies</w:t>
            </w:r>
          </w:p>
        </w:tc>
        <w:tc>
          <w:tcPr>
            <w:tcW w:w="2800" w:type="dxa"/>
            <w:vAlign w:val="bottom"/>
          </w:tcPr>
          <w:p>
            <w:pPr>
              <w:spacing w:after="0"/>
              <w:rPr>
                <w:sz w:val="10"/>
                <w:szCs w:val="10"/>
                <w:color w:val="auto"/>
              </w:rPr>
            </w:pPr>
          </w:p>
        </w:tc>
      </w:tr>
      <w:tr>
        <w:trPr>
          <w:trHeight w:val="158"/>
        </w:trPr>
        <w:tc>
          <w:tcPr>
            <w:tcW w:w="27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Prostate</w:t>
            </w:r>
          </w:p>
        </w:tc>
        <w:tc>
          <w:tcPr>
            <w:tcW w:w="8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w w:val="90"/>
              </w:rPr>
              <w:t>238,590</w:t>
            </w: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~100%</w:t>
            </w:r>
          </w:p>
        </w:tc>
        <w:tc>
          <w:tcPr>
            <w:tcW w:w="7120" w:type="dxa"/>
            <w:vAlign w:val="bottom"/>
            <w:gridSpan w:val="3"/>
            <w:shd w:val="clear" w:color="auto" w:fill="CCEEFF"/>
          </w:tcPr>
          <w:p>
            <w:pPr>
              <w:ind w:left="140"/>
              <w:spacing w:after="0" w:line="157" w:lineRule="exact"/>
              <w:rPr>
                <w:sz w:val="20"/>
                <w:szCs w:val="20"/>
                <w:color w:val="auto"/>
              </w:rPr>
            </w:pPr>
            <w:r>
              <w:rPr>
                <w:rFonts w:ascii="Arial" w:cs="Arial" w:eastAsia="Arial" w:hAnsi="Arial"/>
                <w:sz w:val="14"/>
                <w:szCs w:val="14"/>
                <w:color w:val="auto"/>
              </w:rPr>
              <w:t>sipuleucel-T (Provenge); radium 223 dichloride (Xofigo); docetaxel (Taxotere); abiraterome (Zytiga)</w:t>
            </w:r>
          </w:p>
        </w:tc>
      </w:tr>
      <w:tr>
        <w:trPr>
          <w:trHeight w:val="160"/>
        </w:trPr>
        <w:tc>
          <w:tcPr>
            <w:tcW w:w="2760" w:type="dxa"/>
            <w:vAlign w:val="bottom"/>
            <w:gridSpan w:val="2"/>
          </w:tcPr>
          <w:p>
            <w:pPr>
              <w:spacing w:after="0" w:line="159" w:lineRule="exact"/>
              <w:rPr>
                <w:sz w:val="20"/>
                <w:szCs w:val="20"/>
                <w:color w:val="auto"/>
              </w:rPr>
            </w:pPr>
            <w:r>
              <w:rPr>
                <w:rFonts w:ascii="Arial" w:cs="Arial" w:eastAsia="Arial" w:hAnsi="Arial"/>
                <w:sz w:val="14"/>
                <w:szCs w:val="14"/>
                <w:color w:val="auto"/>
              </w:rPr>
              <w:t>Breast</w:t>
            </w: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0"/>
              </w:rPr>
              <w:t>232,240</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90%</w:t>
            </w:r>
          </w:p>
        </w:tc>
        <w:tc>
          <w:tcPr>
            <w:tcW w:w="7120" w:type="dxa"/>
            <w:vAlign w:val="bottom"/>
            <w:gridSpan w:val="3"/>
          </w:tcPr>
          <w:p>
            <w:pPr>
              <w:ind w:left="140"/>
              <w:spacing w:after="0" w:line="159" w:lineRule="exact"/>
              <w:rPr>
                <w:sz w:val="20"/>
                <w:szCs w:val="20"/>
                <w:color w:val="auto"/>
              </w:rPr>
            </w:pPr>
            <w:r>
              <w:rPr>
                <w:rFonts w:ascii="Arial" w:cs="Arial" w:eastAsia="Arial" w:hAnsi="Arial"/>
                <w:sz w:val="14"/>
                <w:szCs w:val="14"/>
                <w:color w:val="auto"/>
                <w:w w:val="91"/>
              </w:rPr>
              <w:t>ado-trastuzumab emtansine (Kadcyla); trastuzumab (Herceptin); lapatinib (Tykerb); docetaxel (Taxotere); paclitaxel (Taxol,</w:t>
            </w:r>
          </w:p>
        </w:tc>
      </w:tr>
      <w:tr>
        <w:trPr>
          <w:trHeight w:val="174"/>
        </w:trPr>
        <w:tc>
          <w:tcPr>
            <w:tcW w:w="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20" w:type="dxa"/>
            <w:vAlign w:val="bottom"/>
            <w:gridSpan w:val="3"/>
          </w:tcPr>
          <w:p>
            <w:pPr>
              <w:ind w:left="140"/>
              <w:spacing w:after="0"/>
              <w:rPr>
                <w:sz w:val="20"/>
                <w:szCs w:val="20"/>
                <w:color w:val="auto"/>
              </w:rPr>
            </w:pPr>
            <w:r>
              <w:rPr>
                <w:rFonts w:ascii="Arial" w:cs="Arial" w:eastAsia="Arial" w:hAnsi="Arial"/>
                <w:sz w:val="14"/>
                <w:szCs w:val="14"/>
                <w:color w:val="auto"/>
              </w:rPr>
              <w:t>Abraxane); capecitabine (Xeloda); anastrazole (Arimidex); letrozole (Femara); exemestane (Aromasin)</w:t>
            </w:r>
          </w:p>
        </w:tc>
      </w:tr>
      <w:tr>
        <w:trPr>
          <w:trHeight w:val="168"/>
        </w:trPr>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Lung</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0"/>
              </w:rPr>
              <w:t>228,190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bevacizumab (Avastin); erlotinib (Tarceva); crizotinib (Xalkori); pemetrexed (Alimta)</w:t>
            </w:r>
          </w:p>
        </w:tc>
      </w:tr>
      <w:tr>
        <w:trPr>
          <w:trHeight w:val="167"/>
        </w:trPr>
        <w:tc>
          <w:tcPr>
            <w:tcW w:w="2760" w:type="dxa"/>
            <w:vAlign w:val="bottom"/>
            <w:gridSpan w:val="2"/>
          </w:tcPr>
          <w:p>
            <w:pPr>
              <w:spacing w:after="0"/>
              <w:rPr>
                <w:sz w:val="20"/>
                <w:szCs w:val="20"/>
                <w:color w:val="auto"/>
              </w:rPr>
            </w:pPr>
            <w:r>
              <w:rPr>
                <w:rFonts w:ascii="Arial" w:cs="Arial" w:eastAsia="Arial" w:hAnsi="Arial"/>
                <w:sz w:val="14"/>
                <w:szCs w:val="14"/>
                <w:color w:val="auto"/>
              </w:rPr>
              <w:t>Colorectal</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142,820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65%</w:t>
            </w:r>
          </w:p>
        </w:tc>
        <w:tc>
          <w:tcPr>
            <w:tcW w:w="7120" w:type="dxa"/>
            <w:vAlign w:val="bottom"/>
            <w:gridSpan w:val="3"/>
          </w:tcPr>
          <w:p>
            <w:pPr>
              <w:ind w:left="140"/>
              <w:spacing w:after="0"/>
              <w:rPr>
                <w:sz w:val="20"/>
                <w:szCs w:val="20"/>
                <w:color w:val="auto"/>
              </w:rPr>
            </w:pPr>
            <w:r>
              <w:rPr>
                <w:rFonts w:ascii="Arial" w:cs="Arial" w:eastAsia="Arial" w:hAnsi="Arial"/>
                <w:sz w:val="14"/>
                <w:szCs w:val="14"/>
                <w:color w:val="auto"/>
              </w:rPr>
              <w:t>bevacizumab (Avastin); ziv-aflibercept (Zaltrap); cetuximab (Erbitux); panitumumab (Vectibix)</w:t>
            </w:r>
          </w:p>
        </w:tc>
      </w:tr>
      <w:tr>
        <w:trPr>
          <w:trHeight w:val="167"/>
        </w:trPr>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Melanoma</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76,690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w:t>
            </w: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vemurafenib (Zelboraf); ipilimumab (Yervoy)</w:t>
            </w:r>
          </w:p>
        </w:tc>
      </w:tr>
      <w:tr>
        <w:trPr>
          <w:trHeight w:val="167"/>
        </w:trPr>
        <w:tc>
          <w:tcPr>
            <w:tcW w:w="2760" w:type="dxa"/>
            <w:vAlign w:val="bottom"/>
            <w:gridSpan w:val="2"/>
          </w:tcPr>
          <w:p>
            <w:pPr>
              <w:spacing w:after="0"/>
              <w:rPr>
                <w:sz w:val="20"/>
                <w:szCs w:val="20"/>
                <w:color w:val="auto"/>
              </w:rPr>
            </w:pPr>
            <w:r>
              <w:rPr>
                <w:rFonts w:ascii="Arial" w:cs="Arial" w:eastAsia="Arial" w:hAnsi="Arial"/>
                <w:sz w:val="14"/>
                <w:szCs w:val="14"/>
                <w:color w:val="auto"/>
              </w:rPr>
              <w:t>Bladder</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72,570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80%</w:t>
            </w:r>
          </w:p>
        </w:tc>
        <w:tc>
          <w:tcPr>
            <w:tcW w:w="7120" w:type="dxa"/>
            <w:vAlign w:val="bottom"/>
            <w:gridSpan w:val="3"/>
          </w:tcPr>
          <w:p>
            <w:pPr>
              <w:ind w:left="140"/>
              <w:spacing w:after="0"/>
              <w:rPr>
                <w:sz w:val="20"/>
                <w:szCs w:val="20"/>
                <w:color w:val="auto"/>
              </w:rPr>
            </w:pPr>
            <w:r>
              <w:rPr>
                <w:rFonts w:ascii="Arial" w:cs="Arial" w:eastAsia="Arial" w:hAnsi="Arial"/>
                <w:sz w:val="14"/>
                <w:szCs w:val="14"/>
                <w:color w:val="auto"/>
              </w:rPr>
              <w:t>doxorubicin hydrochloride (Adriamycin); cisplatin</w:t>
            </w:r>
          </w:p>
        </w:tc>
      </w:tr>
      <w:tr>
        <w:trPr>
          <w:trHeight w:val="167"/>
        </w:trPr>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Kidney</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65,150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bevacizumab (Avastin); axitinib (Inlyta); everolimus (Afinitor); temsirolimus (Torisel)</w:t>
            </w:r>
          </w:p>
        </w:tc>
      </w:tr>
      <w:tr>
        <w:trPr>
          <w:trHeight w:val="167"/>
        </w:trPr>
        <w:tc>
          <w:tcPr>
            <w:tcW w:w="2760" w:type="dxa"/>
            <w:vAlign w:val="bottom"/>
            <w:gridSpan w:val="2"/>
          </w:tcPr>
          <w:p>
            <w:pPr>
              <w:spacing w:after="0"/>
              <w:rPr>
                <w:sz w:val="20"/>
                <w:szCs w:val="20"/>
                <w:color w:val="auto"/>
              </w:rPr>
            </w:pPr>
            <w:r>
              <w:rPr>
                <w:rFonts w:ascii="Arial" w:cs="Arial" w:eastAsia="Arial" w:hAnsi="Arial"/>
                <w:sz w:val="14"/>
                <w:szCs w:val="14"/>
                <w:color w:val="auto"/>
              </w:rPr>
              <w:t>Pancreatic</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45,220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7120" w:type="dxa"/>
            <w:vAlign w:val="bottom"/>
            <w:gridSpan w:val="3"/>
          </w:tcPr>
          <w:p>
            <w:pPr>
              <w:ind w:left="140"/>
              <w:spacing w:after="0"/>
              <w:rPr>
                <w:sz w:val="20"/>
                <w:szCs w:val="20"/>
                <w:color w:val="auto"/>
              </w:rPr>
            </w:pPr>
            <w:r>
              <w:rPr>
                <w:rFonts w:ascii="Arial" w:cs="Arial" w:eastAsia="Arial" w:hAnsi="Arial"/>
                <w:sz w:val="14"/>
                <w:szCs w:val="14"/>
                <w:color w:val="auto"/>
              </w:rPr>
              <w:t>gemcitabine (Gemzar); erlotinib (Tarceva); protein-bound paclitaxel (Abraxane)</w:t>
            </w:r>
          </w:p>
        </w:tc>
      </w:tr>
      <w:tr>
        <w:trPr>
          <w:trHeight w:val="167"/>
        </w:trPr>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Ovarian</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22,240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w:t>
            </w: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paclitaxel (Taxol); topotecan (Hycamtin); etoposide (Etopophos); docetaxel (Taxotere); gemcitabine (Gemzar)</w:t>
            </w:r>
          </w:p>
        </w:tc>
      </w:tr>
      <w:tr>
        <w:trPr>
          <w:trHeight w:val="173"/>
        </w:trPr>
        <w:tc>
          <w:tcPr>
            <w:tcW w:w="2760" w:type="dxa"/>
            <w:vAlign w:val="bottom"/>
            <w:gridSpan w:val="2"/>
          </w:tcPr>
          <w:p>
            <w:pPr>
              <w:spacing w:after="0"/>
              <w:rPr>
                <w:sz w:val="20"/>
                <w:szCs w:val="20"/>
                <w:color w:val="auto"/>
              </w:rPr>
            </w:pPr>
            <w:r>
              <w:rPr>
                <w:rFonts w:ascii="Arial" w:cs="Arial" w:eastAsia="Arial" w:hAnsi="Arial"/>
                <w:sz w:val="14"/>
                <w:szCs w:val="14"/>
                <w:color w:val="auto"/>
              </w:rPr>
              <w:t>Gastroesophageal</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21,600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28%</w:t>
            </w:r>
          </w:p>
        </w:tc>
        <w:tc>
          <w:tcPr>
            <w:tcW w:w="7120" w:type="dxa"/>
            <w:vAlign w:val="bottom"/>
            <w:gridSpan w:val="3"/>
          </w:tcPr>
          <w:p>
            <w:pPr>
              <w:ind w:left="140"/>
              <w:spacing w:after="0"/>
              <w:rPr>
                <w:sz w:val="20"/>
                <w:szCs w:val="20"/>
                <w:color w:val="auto"/>
              </w:rPr>
            </w:pPr>
            <w:r>
              <w:rPr>
                <w:rFonts w:ascii="Arial" w:cs="Arial" w:eastAsia="Arial" w:hAnsi="Arial"/>
                <w:sz w:val="14"/>
                <w:szCs w:val="14"/>
                <w:color w:val="auto"/>
              </w:rPr>
              <w:t>capecitabine (Xeloda); trastuzumab (Herceptin)</w:t>
            </w:r>
          </w:p>
        </w:tc>
      </w:tr>
    </w:tbl>
    <w:p>
      <w:pPr>
        <w:spacing w:after="0" w:line="112" w:lineRule="exact"/>
        <w:rPr>
          <w:sz w:val="20"/>
          <w:szCs w:val="20"/>
          <w:color w:val="auto"/>
        </w:rPr>
      </w:pPr>
    </w:p>
    <w:p>
      <w:pPr>
        <w:ind w:right="220" w:firstLine="802"/>
        <w:spacing w:after="0" w:line="258" w:lineRule="auto"/>
        <w:rPr>
          <w:sz w:val="20"/>
          <w:szCs w:val="20"/>
          <w:color w:val="auto"/>
        </w:rPr>
      </w:pPr>
      <w:r>
        <w:rPr>
          <w:rFonts w:ascii="Arial" w:cs="Arial" w:eastAsia="Arial" w:hAnsi="Arial"/>
          <w:sz w:val="14"/>
          <w:szCs w:val="14"/>
          <w:color w:val="auto"/>
        </w:rPr>
        <w:t>In addition to the marketed therapies listed above, there are many generic chemotherapies and regimens commonly used to treat these cancers. Although the various marketed therapies and regimens provide benefits to some patients when given as monotherapies or in combination with other therapies, each has efficacy and adverse event limitations and none of them are successful in treating all patients. The level of morbidity and mortality from these cancers remains high.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386" w:right="2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Hematological Malignancies—Incidence and Therapies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sets forth information about the hematological malignancies for which we are developing, or may develop, therapeutic product candidates.</w:t>
      </w:r>
    </w:p>
    <w:p>
      <w:pPr>
        <w:spacing w:after="0" w:line="130"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Hematological Malignancies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2"/>
              </w:rPr>
              <w:t>U.S.</w:t>
            </w:r>
          </w:p>
        </w:tc>
        <w:tc>
          <w:tcPr>
            <w:tcW w:w="60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Five Year</w:t>
            </w:r>
          </w:p>
        </w:tc>
        <w:tc>
          <w:tcPr>
            <w:tcW w:w="1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15"/>
        </w:trPr>
        <w:tc>
          <w:tcPr>
            <w:tcW w:w="6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rPr>
              <w:t>Annual</w:t>
            </w:r>
          </w:p>
        </w:tc>
        <w:tc>
          <w:tcPr>
            <w:tcW w:w="600" w:type="dxa"/>
            <w:vAlign w:val="bottom"/>
          </w:tcPr>
          <w:p>
            <w:pPr>
              <w:spacing w:after="0"/>
              <w:rPr>
                <w:sz w:val="9"/>
                <w:szCs w:val="9"/>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3"/>
              </w:rPr>
              <w:t>Relative</w:t>
            </w:r>
          </w:p>
        </w:tc>
        <w:tc>
          <w:tcPr>
            <w:tcW w:w="19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126"/>
        </w:trPr>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Tumor Type</w:t>
            </w:r>
          </w:p>
        </w:tc>
        <w:tc>
          <w:tcPr>
            <w:tcW w:w="3860" w:type="dxa"/>
            <w:vAlign w:val="bottom"/>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Incidence</w:t>
            </w:r>
          </w:p>
        </w:tc>
        <w:tc>
          <w:tcPr>
            <w:tcW w:w="600" w:type="dxa"/>
            <w:vAlign w:val="bottom"/>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Survival Rate</w:t>
            </w:r>
          </w:p>
        </w:tc>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5"/>
              </w:rPr>
              <w:t>Selected Marketed Therapies</w:t>
            </w:r>
          </w:p>
        </w:tc>
        <w:tc>
          <w:tcPr>
            <w:tcW w:w="1660" w:type="dxa"/>
            <w:vAlign w:val="bottom"/>
          </w:tcPr>
          <w:p>
            <w:pPr>
              <w:spacing w:after="0"/>
              <w:rPr>
                <w:sz w:val="10"/>
                <w:szCs w:val="10"/>
                <w:color w:val="auto"/>
              </w:rPr>
            </w:pPr>
          </w:p>
        </w:tc>
      </w:tr>
      <w:tr>
        <w:trPr>
          <w:trHeight w:val="150"/>
        </w:trPr>
        <w:tc>
          <w:tcPr>
            <w:tcW w:w="4460" w:type="dxa"/>
            <w:vAlign w:val="bottom"/>
            <w:gridSpan w:val="2"/>
            <w:shd w:val="clear" w:color="auto" w:fill="CCEEFF"/>
          </w:tcPr>
          <w:p>
            <w:pPr>
              <w:spacing w:after="0" w:line="150" w:lineRule="exact"/>
              <w:rPr>
                <w:sz w:val="20"/>
                <w:szCs w:val="20"/>
                <w:color w:val="auto"/>
              </w:rPr>
            </w:pPr>
            <w:r>
              <w:rPr>
                <w:rFonts w:ascii="Arial" w:cs="Arial" w:eastAsia="Arial" w:hAnsi="Arial"/>
                <w:sz w:val="14"/>
                <w:szCs w:val="14"/>
                <w:color w:val="auto"/>
              </w:rPr>
              <w:t>Acute myeloid leukemia</w:t>
            </w:r>
          </w:p>
        </w:tc>
        <w:tc>
          <w:tcPr>
            <w:tcW w:w="460" w:type="dxa"/>
            <w:vAlign w:val="bottom"/>
            <w:shd w:val="clear" w:color="auto" w:fill="CCEEFF"/>
          </w:tcPr>
          <w:p>
            <w:pPr>
              <w:jc w:val="right"/>
              <w:spacing w:after="0" w:line="150" w:lineRule="exact"/>
              <w:rPr>
                <w:sz w:val="20"/>
                <w:szCs w:val="20"/>
                <w:color w:val="auto"/>
              </w:rPr>
            </w:pPr>
            <w:r>
              <w:rPr>
                <w:rFonts w:ascii="Arial" w:cs="Arial" w:eastAsia="Arial" w:hAnsi="Arial"/>
                <w:sz w:val="14"/>
                <w:szCs w:val="14"/>
                <w:color w:val="auto"/>
              </w:rPr>
              <w:t>14,590</w:t>
            </w:r>
          </w:p>
        </w:tc>
        <w:tc>
          <w:tcPr>
            <w:tcW w:w="1600" w:type="dxa"/>
            <w:vAlign w:val="bottom"/>
            <w:gridSpan w:val="3"/>
            <w:shd w:val="clear" w:color="auto" w:fill="CCEEFF"/>
          </w:tcPr>
          <w:p>
            <w:pPr>
              <w:jc w:val="right"/>
              <w:ind w:right="240"/>
              <w:spacing w:after="0" w:line="150" w:lineRule="exact"/>
              <w:rPr>
                <w:sz w:val="20"/>
                <w:szCs w:val="20"/>
                <w:color w:val="auto"/>
              </w:rPr>
            </w:pPr>
            <w:r>
              <w:rPr>
                <w:rFonts w:ascii="Arial" w:cs="Arial" w:eastAsia="Arial" w:hAnsi="Arial"/>
                <w:sz w:val="14"/>
                <w:szCs w:val="14"/>
                <w:color w:val="auto"/>
              </w:rPr>
              <w:t>24%</w:t>
            </w:r>
          </w:p>
        </w:tc>
        <w:tc>
          <w:tcPr>
            <w:tcW w:w="4940" w:type="dxa"/>
            <w:vAlign w:val="bottom"/>
            <w:gridSpan w:val="3"/>
            <w:shd w:val="clear" w:color="auto" w:fill="CCEEFF"/>
          </w:tcPr>
          <w:p>
            <w:pPr>
              <w:ind w:left="240"/>
              <w:spacing w:after="0" w:line="150" w:lineRule="exact"/>
              <w:rPr>
                <w:sz w:val="20"/>
                <w:szCs w:val="20"/>
                <w:color w:val="auto"/>
              </w:rPr>
            </w:pPr>
            <w:r>
              <w:rPr>
                <w:rFonts w:ascii="Arial" w:cs="Arial" w:eastAsia="Arial" w:hAnsi="Arial"/>
                <w:sz w:val="14"/>
                <w:szCs w:val="14"/>
                <w:color w:val="auto"/>
              </w:rPr>
              <w:t>daunorubicin (DaunoXome); doxorubicin hydrochloride (Adriamycin);</w:t>
            </w:r>
          </w:p>
        </w:tc>
      </w:tr>
      <w:tr>
        <w:trPr>
          <w:trHeight w:val="175"/>
        </w:trPr>
        <w:tc>
          <w:tcPr>
            <w:tcW w:w="60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cyclophosphamide; cytarabine; vincristine sulfate</w:t>
            </w:r>
          </w:p>
        </w:tc>
      </w:tr>
      <w:tr>
        <w:trPr>
          <w:trHeight w:val="160"/>
        </w:trPr>
        <w:tc>
          <w:tcPr>
            <w:tcW w:w="4460" w:type="dxa"/>
            <w:vAlign w:val="bottom"/>
            <w:gridSpan w:val="2"/>
          </w:tcPr>
          <w:p>
            <w:pPr>
              <w:spacing w:after="0" w:line="159" w:lineRule="exact"/>
              <w:rPr>
                <w:sz w:val="20"/>
                <w:szCs w:val="20"/>
                <w:color w:val="auto"/>
              </w:rPr>
            </w:pPr>
            <w:r>
              <w:rPr>
                <w:rFonts w:ascii="Arial" w:cs="Arial" w:eastAsia="Arial" w:hAnsi="Arial"/>
                <w:sz w:val="14"/>
                <w:szCs w:val="14"/>
                <w:color w:val="auto"/>
              </w:rPr>
              <w:t>Myelodysplastic syndromes</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10,673</w:t>
            </w:r>
          </w:p>
        </w:tc>
        <w:tc>
          <w:tcPr>
            <w:tcW w:w="600" w:type="dxa"/>
            <w:vAlign w:val="bottom"/>
          </w:tcPr>
          <w:p>
            <w:pPr>
              <w:spacing w:after="0"/>
              <w:rPr>
                <w:sz w:val="13"/>
                <w:szCs w:val="13"/>
                <w:color w:val="auto"/>
              </w:rPr>
            </w:pPr>
          </w:p>
        </w:tc>
        <w:tc>
          <w:tcPr>
            <w:tcW w:w="10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Highly</w:t>
            </w:r>
          </w:p>
        </w:tc>
        <w:tc>
          <w:tcPr>
            <w:tcW w:w="494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decitabine (Dacogen)</w:t>
            </w:r>
          </w:p>
        </w:tc>
      </w:tr>
      <w:tr>
        <w:trPr>
          <w:trHeight w:val="174"/>
        </w:trPr>
        <w:tc>
          <w:tcPr>
            <w:tcW w:w="6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variable</w:t>
            </w:r>
          </w:p>
        </w:tc>
        <w:tc>
          <w:tcPr>
            <w:tcW w:w="1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68"/>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Acute lymphocytic leukemia</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6,070</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68%</w:t>
            </w:r>
          </w:p>
        </w:tc>
        <w:tc>
          <w:tcPr>
            <w:tcW w:w="49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dasatinib (Sprycel)</w:t>
            </w:r>
          </w:p>
        </w:tc>
      </w:tr>
      <w:tr>
        <w:trPr>
          <w:trHeight w:val="173"/>
        </w:trPr>
        <w:tc>
          <w:tcPr>
            <w:tcW w:w="4460" w:type="dxa"/>
            <w:vAlign w:val="bottom"/>
            <w:gridSpan w:val="2"/>
          </w:tcPr>
          <w:p>
            <w:pPr>
              <w:spacing w:after="0"/>
              <w:rPr>
                <w:sz w:val="20"/>
                <w:szCs w:val="20"/>
                <w:color w:val="auto"/>
              </w:rPr>
            </w:pPr>
            <w:r>
              <w:rPr>
                <w:rFonts w:ascii="Arial" w:cs="Arial" w:eastAsia="Arial" w:hAnsi="Arial"/>
                <w:sz w:val="14"/>
                <w:szCs w:val="14"/>
                <w:color w:val="auto"/>
              </w:rPr>
              <w:t>Hairy cell leukemia</w:t>
            </w:r>
          </w:p>
        </w:tc>
        <w:tc>
          <w:tcPr>
            <w:tcW w:w="460" w:type="dxa"/>
            <w:vAlign w:val="bottom"/>
          </w:tcPr>
          <w:p>
            <w:pPr>
              <w:jc w:val="right"/>
              <w:spacing w:after="0"/>
              <w:rPr>
                <w:sz w:val="20"/>
                <w:szCs w:val="20"/>
                <w:color w:val="auto"/>
              </w:rPr>
            </w:pPr>
            <w:r>
              <w:rPr>
                <w:rFonts w:ascii="Arial" w:cs="Arial" w:eastAsia="Arial" w:hAnsi="Arial"/>
                <w:sz w:val="14"/>
                <w:szCs w:val="14"/>
                <w:color w:val="auto"/>
              </w:rPr>
              <w:t>1,199</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93%</w:t>
            </w:r>
          </w:p>
        </w:tc>
        <w:tc>
          <w:tcPr>
            <w:tcW w:w="4940" w:type="dxa"/>
            <w:vAlign w:val="bottom"/>
            <w:gridSpan w:val="3"/>
          </w:tcPr>
          <w:p>
            <w:pPr>
              <w:ind w:left="240"/>
              <w:spacing w:after="0"/>
              <w:rPr>
                <w:sz w:val="20"/>
                <w:szCs w:val="20"/>
                <w:color w:val="auto"/>
              </w:rPr>
            </w:pPr>
            <w:r>
              <w:rPr>
                <w:rFonts w:ascii="Arial" w:cs="Arial" w:eastAsia="Arial" w:hAnsi="Arial"/>
                <w:sz w:val="14"/>
                <w:szCs w:val="14"/>
                <w:color w:val="auto"/>
              </w:rPr>
              <w:t>cladribine; pentostatin; rituximab (Rituxan)</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Currently Available Cancer Treatments</w:t>
      </w:r>
    </w:p>
    <w:p>
      <w:pPr>
        <w:spacing w:after="0" w:line="132"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The most common methods of treating patients with cancer are surgery, radiation and drug therapy. A cancer patient often receives treatment with a combination of these methods. For patients with localized disease, surgery and radiation therapy are particularly effective. Systemic drug therapies are generally used by physicians in patients who have cancer that has spread beyond the primary site or cannot otherwise be treated through surgery. The goal of these therapies is to damage and kill cancer cells or to interfere with the molecular and cellular processes that control the development, growth and survival of cancer cells. In many cases, drug therapy entails the administration of several different drugs in combination. Over the past several decades, drug therapy has evolved from non-specific drugs that kill both healthy and cancerous cells, to drugs that target specific molecular pathways involved in cancer.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Cytotoxic Chemotherapies</w:t>
      </w:r>
    </w:p>
    <w:p>
      <w:pPr>
        <w:spacing w:after="0" w:line="132"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color w:val="auto"/>
        </w:rPr>
        <w:t>The earliest approach to pharmacological cancer treatment was to develop drugs, referred to as cytotoxic drugs, which kill rapidly proliferating cancer cells through non-specific mechanisms, such as disrupting cell metabolism or causing damage to cellular components required for tumor survival and rapid growth. While these drugs have been effective in the treatment of some cancers, cytotoxic drug therapies act in an indiscriminate manner, killing healthy cells along with cancerous cells. Due to their mechanism of action, many cytotoxic drugs have a narrow dose range above which the toxicity causes unacceptable or even fatal levels of damage and below which the drugs are not effective in eradicating cancer cells.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Targeted Therapeutics</w:t>
      </w:r>
    </w:p>
    <w:p>
      <w:pPr>
        <w:spacing w:after="0" w:line="132" w:lineRule="exact"/>
        <w:rPr>
          <w:sz w:val="20"/>
          <w:szCs w:val="20"/>
          <w:color w:val="auto"/>
        </w:rPr>
      </w:pPr>
    </w:p>
    <w:p>
      <w:pPr>
        <w:jc w:val="both"/>
        <w:ind w:right="60" w:firstLine="802"/>
        <w:spacing w:after="0" w:line="255" w:lineRule="auto"/>
        <w:rPr>
          <w:sz w:val="20"/>
          <w:szCs w:val="20"/>
          <w:color w:val="auto"/>
        </w:rPr>
      </w:pPr>
      <w:r>
        <w:rPr>
          <w:rFonts w:ascii="Arial" w:cs="Arial" w:eastAsia="Arial" w:hAnsi="Arial"/>
          <w:sz w:val="14"/>
          <w:szCs w:val="14"/>
          <w:color w:val="auto"/>
        </w:rPr>
        <w:t>The next approach to pharmacological cancer treatment was to develop drugs, referred to as targeted therapeutics, including monoclonal antibodies, that target specific biological molecules in the human body that play a role in rapid cell growth and the spread of cancer. Included in this category are small molecule drugs as well as large molecule drugs, also known as biologics. With heightened vigilance and new diagnostic tests, targeted therapies (including monoclonal antibodies such as Herceptin, Rituxan and Avastin as well as small molecules such as Nexavar and Tarceva), have resulted in improvements in overall survival for many cancer patients.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386" w:right="21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Next Generation Antibody-based Therapeutics for Cancer</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While targeted antibody therapeutics have been highly successful in treating various cancers, the therapeutic effects of many such therapies are often relatively transient. Acquired resistance to cancer therapies remains a significant clinical problem with patients frequently relapsing and the tumors metastasizing to distant organs. The significant need for improvement in the treatment of cancer through antibody-based therapies is driving the growing focus on next-generation antibody-based therapies. Opportunities to create next-generation antibody based therapeutics lie in several technology advances including: antibodies that target multiple antigens, Fc-optimization, and ADCs. Multi-specific antibodies and ADCs have the potential to increase efficacy for cancer treatments and reduce systemic toxicity. Fc Optimization may enable modification of the antibody to enhance the immune system’s response and augment the therapeutic potential of the antibody, and may increase its half-life, which can potentially lead to less frequent dosing (a competitive advantage for injectables) and a lower cost of goods.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Growth of the Biologics Market</w:t>
      </w:r>
    </w:p>
    <w:p>
      <w:pPr>
        <w:spacing w:after="0" w:line="132"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Over the last 20 years, recombinant biologic therapeutic drugs, including monoclonal antibodies, the largest subclass of recombinant biologics, have had a dramatic impact on cancer therapy. The improvement of engineering technologies, efficacy and safety of biologic drugs have driven significant market growth, with worldwide sales in 2011 of $157 billion according to data from the IMS Institute for Healthcare Informatics. Data from La Merie, a business intelligence firm, indicates that therapeutic antibody products represent approximately 52% of total biologic drug sales, with 2012 global sales of approximately $65 billion, an increase from approximately $22 billion in 2006. Approximately 40 antibody product candidates have been approved by the FDA and international regulatory authorities since the first approval in 1986, and the three largest selling cancer drugs are monoclonal antibodies, Rituxan, Herceptin and Avastin, which had 2012 worldwide sales of approximately $7.1 billion, $6.3 billion and $6.1 billion, respectively. Today, more than 300 monoclonal antibodies are in various stages of clinical development. According to a 2010 statistical analysis by Tufts University, antibody product candidates have shown a 2.5 times higher probability of successful clinical development as compared to small-molecule drugs.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Platforms for Creating Next-Generation Antibody-based Therapies</w:t>
      </w:r>
    </w:p>
    <w:p>
      <w:pPr>
        <w:spacing w:after="0" w:line="134" w:lineRule="exact"/>
        <w:rPr>
          <w:sz w:val="20"/>
          <w:szCs w:val="20"/>
          <w:color w:val="auto"/>
        </w:rPr>
      </w:pPr>
    </w:p>
    <w:p>
      <w:pPr>
        <w:ind w:right="360" w:firstLine="802"/>
        <w:spacing w:after="0" w:line="294" w:lineRule="auto"/>
        <w:rPr>
          <w:sz w:val="20"/>
          <w:szCs w:val="20"/>
          <w:color w:val="auto"/>
        </w:rPr>
      </w:pPr>
      <w:r>
        <w:rPr>
          <w:rFonts w:ascii="Arial" w:cs="Arial" w:eastAsia="Arial" w:hAnsi="Arial"/>
          <w:sz w:val="12"/>
          <w:szCs w:val="12"/>
          <w:color w:val="auto"/>
        </w:rPr>
        <w:t>We apply our understanding of disease biology, immune-mediated mechanisms and next generation antibody technologies to design highly targeted antibody-based product candidates. Our antibody-based platforms consist of: DART, Fc Optimization, and CSLCs. Through these platforms, we have designed antibody-based product candidates that have the potential to improve on standard treatments by having: (1) multi-specificities; (2) increased abilities to interact with the body’s immune system to fight tumors; (3) capacity to bind more avidly to antigen targets: (4) increased potency;</w:t>
      </w:r>
    </w:p>
    <w:p>
      <w:pPr>
        <w:ind w:left="5660" w:right="1000" w:hanging="5656"/>
        <w:spacing w:after="0" w:line="429" w:lineRule="auto"/>
        <w:tabs>
          <w:tab w:leader="none" w:pos="19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reduced immunogenicity; or (6) the ability to target cancer cells which are resistant to standard treatments. Moreover, these technology platforms are complementary and can be combined. 85</w:t>
      </w:r>
    </w:p>
    <w:p>
      <w:pPr>
        <w:sectPr>
          <w:pgSz w:w="11900" w:h="16838" w:orient="portrait"/>
          <w:cols w:equalWidth="0" w:num="1">
            <w:col w:w="11380"/>
          </w:cols>
          <w:pgMar w:left="220" w:top="386" w:right="29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DART Platform: Our Proprietary Approach to Engineer Multi-Specific Antibodies</w:t>
      </w:r>
    </w:p>
    <w:p>
      <w:pPr>
        <w:spacing w:after="0" w:line="132" w:lineRule="exact"/>
        <w:rPr>
          <w:sz w:val="20"/>
          <w:szCs w:val="20"/>
          <w:color w:val="auto"/>
        </w:rPr>
      </w:pPr>
    </w:p>
    <w:p>
      <w:pPr>
        <w:ind w:right="120" w:firstLine="802"/>
        <w:spacing w:after="0" w:line="267" w:lineRule="auto"/>
        <w:rPr>
          <w:sz w:val="20"/>
          <w:szCs w:val="20"/>
          <w:color w:val="auto"/>
        </w:rPr>
      </w:pPr>
      <w:r>
        <w:rPr>
          <w:rFonts w:ascii="Arial" w:cs="Arial" w:eastAsia="Arial" w:hAnsi="Arial"/>
          <w:sz w:val="14"/>
          <w:szCs w:val="14"/>
          <w:color w:val="auto"/>
        </w:rPr>
        <w:t>We use our DART platform to create derivatives of antibodies with the ability to bind to multiple targets instead of a single target found in traditional monoclonal antibodies. Our current DART product candidates are bi-specific. An example of a bi-specific molecule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89535</wp:posOffset>
            </wp:positionV>
            <wp:extent cx="2971800" cy="12071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71800" cy="120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Because cancer cells have derived ways to escape the immune system, we have created DART molecules which improve upon the human immune system, by creating alternative antibody-like structures with more potent immune properties than the parent antibody molecules from which they are derived. The two variable regions of an antibody are mono-specific and are able to target only a single type structural component of an antigen. For many years, researchers have sought to create recombinant molecules that are multi-specific and capable of targeting multiple antigens or epitopes (i.e., specific part of antigen bound to the antibody) within the same molecule. The challenges in creating such molecules have been the instability of the resulting bi-specifics and their inherent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results in a structure with enhanced manufacturability, long-term structural stability, and the ability to tailor the half-lives of the DARTs to their clinical needs. This engineered antibody-like protein has a very compact and stable structure and enables the targeting of multiple different antigens within a single recombinant molecule.</w:t>
      </w:r>
    </w:p>
    <w:p>
      <w:pPr>
        <w:spacing w:after="0" w:line="88" w:lineRule="exact"/>
        <w:rPr>
          <w:sz w:val="20"/>
          <w:szCs w:val="20"/>
          <w:color w:val="auto"/>
        </w:rPr>
      </w:pPr>
    </w:p>
    <w:p>
      <w:pPr>
        <w:ind w:right="340" w:firstLine="802"/>
        <w:spacing w:after="0" w:line="351" w:lineRule="auto"/>
        <w:rPr>
          <w:sz w:val="20"/>
          <w:szCs w:val="20"/>
          <w:color w:val="auto"/>
        </w:rPr>
      </w:pPr>
      <w:r>
        <w:rPr>
          <w:rFonts w:ascii="Arial" w:cs="Arial" w:eastAsia="Arial" w:hAnsi="Arial"/>
          <w:sz w:val="12"/>
          <w:szCs w:val="12"/>
          <w:color w:val="auto"/>
        </w:rPr>
        <w:t xml:space="preserve">The DART platform has been specifically engineered to accommodate virtually any variable region sequence with predictable expression, folding, and antigen recognition. To date, we have produced over 100 different DART molecules and have completed numerous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concept studies on most of these molecules.</w:t>
      </w:r>
    </w:p>
    <w:p>
      <w:pPr>
        <w:spacing w:after="0" w:line="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00"/>
          </w:cols>
          <w:pgMar w:left="220" w:top="387" w:right="2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We believe our DART platform may provide a significant advantage over current biological interventions in cancer and autoimmune disorders by enabling a range of modalities, including those described below.</w:t>
      </w:r>
    </w:p>
    <w:p>
      <w:pPr>
        <w:spacing w:after="0" w:line="133" w:lineRule="exact"/>
        <w:rPr>
          <w:sz w:val="20"/>
          <w:szCs w:val="20"/>
          <w:color w:val="auto"/>
        </w:rPr>
      </w:pPr>
    </w:p>
    <w:p>
      <w:pPr>
        <w:ind w:left="900" w:right="2740" w:hanging="245"/>
        <w:spacing w:after="0" w:line="298" w:lineRule="auto"/>
        <w:tabs>
          <w:tab w:leader="none" w:pos="833" w:val="left"/>
        </w:tabs>
        <w:numPr>
          <w:ilvl w:val="0"/>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Redirected T Cell Activation and Killing. </w:t>
      </w:r>
      <w:r>
        <w:rPr>
          <w:rFonts w:ascii="Arial" w:cs="Arial" w:eastAsia="Arial" w:hAnsi="Arial"/>
          <w:sz w:val="12"/>
          <w:szCs w:val="12"/>
          <w:color w:val="auto"/>
        </w:rPr>
        <w:t>In this version of the DART molecule, we are enabling the cancer-fighting properties of the adaptive</w:t>
      </w:r>
      <w:r>
        <w:rPr>
          <w:rFonts w:ascii="Arial" w:cs="Arial" w:eastAsia="Arial" w:hAnsi="Arial"/>
          <w:sz w:val="12"/>
          <w:szCs w:val="12"/>
          <w:i w:val="1"/>
          <w:iCs w:val="1"/>
          <w:color w:val="auto"/>
        </w:rPr>
        <w:t xml:space="preserve"> </w:t>
      </w:r>
      <w:r>
        <w:rPr>
          <w:rFonts w:ascii="Arial" w:cs="Arial" w:eastAsia="Arial" w:hAnsi="Arial"/>
          <w:sz w:val="12"/>
          <w:szCs w:val="12"/>
          <w:color w:val="auto"/>
        </w:rPr>
        <w:t>immune system to: (1) recognize and bind to structures expressed on a cancer cell (e.g., CD123, the first specificity in the example on the right), (2) enable the recruitment of all types of cytotoxic, or cell killing, T cells, irrespective of their ability to recognize cancer cells (e.g., CD3, a common component of the T cell antigen receptor, is the second specificity in the example on the right), and (3) trigger T cell activation, expansion, and cell killing mechanisms to destroy a cancer cell. The outcome is that any of the body’s T cells, in theory, could be recruited to destroy a cancer cell and thus, are not limited to the small numbers of specific T cells that are normally generated to kill a cancer cell. Furthermore, since any T cell could be recruited for this killing process, only small amounts of a DART molecule are required to trigger this potent immune response. Additionally, the compact structure of the DART protein makes it well suited for maintaining cell-to-cell contact, apparently contributing to the high level of target cell killing.</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77" w:lineRule="exact"/>
        <w:rPr>
          <w:rFonts w:ascii="Arial" w:cs="Arial" w:eastAsia="Arial" w:hAnsi="Arial"/>
          <w:sz w:val="12"/>
          <w:szCs w:val="12"/>
          <w:color w:val="auto"/>
        </w:rPr>
      </w:pPr>
    </w:p>
    <w:p>
      <w:pPr>
        <w:ind w:left="900" w:right="2780" w:hanging="245"/>
        <w:spacing w:after="0" w:line="299" w:lineRule="auto"/>
        <w:tabs>
          <w:tab w:leader="none" w:pos="833" w:val="left"/>
        </w:tabs>
        <w:numPr>
          <w:ilvl w:val="0"/>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Modulation of receptor signaling. </w:t>
      </w:r>
      <w:r>
        <w:rPr>
          <w:rFonts w:ascii="Arial" w:cs="Arial" w:eastAsia="Arial" w:hAnsi="Arial"/>
          <w:sz w:val="12"/>
          <w:szCs w:val="12"/>
          <w:color w:val="auto"/>
        </w:rPr>
        <w:t>In another configuration of the DART molecule, we have taken advantage of the two (or more) different</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specificities engineered in a DART structure to bind not only to particular cells involved in autoimmune processes, such as autoimmune B cells, but also to usurp the immune checkpoint signaling pathways programmed within the cells to impede the pathogenic autoimmune responses. Our MGD010 product candidate targets both CD32B, a checkpoint inhibitory molecule, and CD79B, part of the B cell antigen receptor complex, two proteins expressed on the immune system’s B cells. Using a single DART molecule, we not only target two receptors with a single molecule, but also promote the interaction of these two receptors to interrupt the autoimmune response. This is critical because interruption of the autoimmune B cell response cannot be achieved merely by using two separate antibodies. In this particular example, the activity of an immune checkpoint molecule, CD32B on B cells, is captured to curb a destructive immune response.</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48" w:lineRule="exact"/>
        <w:rPr>
          <w:rFonts w:ascii="Arial" w:cs="Arial" w:eastAsia="Arial" w:hAnsi="Arial"/>
          <w:sz w:val="12"/>
          <w:szCs w:val="12"/>
          <w:color w:val="auto"/>
        </w:rPr>
      </w:pPr>
    </w:p>
    <w:p>
      <w:pPr>
        <w:ind w:left="900" w:right="2740" w:hanging="245"/>
        <w:spacing w:after="0" w:line="305" w:lineRule="auto"/>
        <w:tabs>
          <w:tab w:leader="none" w:pos="833" w:val="left"/>
        </w:tabs>
        <w:numPr>
          <w:ilvl w:val="0"/>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Simultaneous targeting of multiple pathologic factors, such as cytokines and growth factors and their receptors. </w:t>
      </w:r>
      <w:r>
        <w:rPr>
          <w:rFonts w:ascii="Arial" w:cs="Arial" w:eastAsia="Arial" w:hAnsi="Arial"/>
          <w:sz w:val="12"/>
          <w:szCs w:val="12"/>
          <w:color w:val="auto"/>
        </w:rPr>
        <w:t>Targeting multiple soluble</w:t>
      </w:r>
      <w:r>
        <w:rPr>
          <w:rFonts w:ascii="Arial" w:cs="Arial" w:eastAsia="Arial" w:hAnsi="Arial"/>
          <w:sz w:val="12"/>
          <w:szCs w:val="12"/>
          <w:i w:val="1"/>
          <w:iCs w:val="1"/>
          <w:color w:val="auto"/>
        </w:rPr>
        <w:t xml:space="preserve"> </w:t>
      </w:r>
      <w:r>
        <w:rPr>
          <w:rFonts w:ascii="Arial" w:cs="Arial" w:eastAsia="Arial" w:hAnsi="Arial"/>
          <w:sz w:val="12"/>
          <w:szCs w:val="12"/>
          <w:color w:val="auto"/>
        </w:rPr>
        <w:t>proteins or receptors that are important to the perpetuation of an autoimmune disease or generation of a cancer may create therapeutic synergies within a single DART molecule. Examples of this DART include the targeting of different inflammatory cytokines, such as TNF-a, IL-1, and IL-6, involved in the pathogenesis of autoimmune diseases or those receptors contributing to the growth of cancers such as members of the EGFR family including EGFR1, HER2 and HER3.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5608320</wp:posOffset>
            </wp:positionH>
            <wp:positionV relativeFrom="paragraph">
              <wp:posOffset>-3516630</wp:posOffset>
            </wp:positionV>
            <wp:extent cx="929005" cy="37814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29005" cy="378142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300"/>
          </w:cols>
          <w:pgMar w:left="220" w:top="386" w:right="3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326" w:lineRule="exact"/>
        <w:rPr>
          <w:sz w:val="20"/>
          <w:szCs w:val="20"/>
          <w:color w:val="auto"/>
        </w:rPr>
      </w:pPr>
    </w:p>
    <w:p>
      <w:pPr>
        <w:ind w:left="900" w:right="2920" w:hanging="245"/>
        <w:spacing w:after="0" w:line="252" w:lineRule="auto"/>
        <w:tabs>
          <w:tab w:leader="none" w:pos="833"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Targeting multiple epitopes on a pathogen for enhanced neutralization and/or clearance. </w:t>
      </w:r>
      <w:r>
        <w:rPr>
          <w:rFonts w:ascii="Arial" w:cs="Arial" w:eastAsia="Arial" w:hAnsi="Arial"/>
          <w:sz w:val="14"/>
          <w:szCs w:val="14"/>
          <w:color w:val="auto"/>
        </w:rPr>
        <w:t>Infectious agents with slightly different genetic</w:t>
      </w:r>
      <w:r>
        <w:rPr>
          <w:rFonts w:ascii="Arial" w:cs="Arial" w:eastAsia="Arial" w:hAnsi="Arial"/>
          <w:sz w:val="14"/>
          <w:szCs w:val="14"/>
          <w:i w:val="1"/>
          <w:iCs w:val="1"/>
          <w:color w:val="auto"/>
        </w:rPr>
        <w:t xml:space="preserve"> </w:t>
      </w:r>
      <w:r>
        <w:rPr>
          <w:rFonts w:ascii="Arial" w:cs="Arial" w:eastAsia="Arial" w:hAnsi="Arial"/>
          <w:sz w:val="14"/>
          <w:szCs w:val="14"/>
          <w:color w:val="auto"/>
        </w:rPr>
        <w:t>sequences or structures may perpetuate disease. Sometimes multiple variants may infect one individual and may evade the patient’s normal immune responses. Creating DARTs that eliminate multiple infectious variants of a virus or multiple toxins produced by a bacterium could be an advantage for prevention or treatment. Examples of this include targeting the major genetic and serological forms of dengue virus, the cause of a major viral disease transmitted by mosquitoes, quasi-species of HIV, or different bacterial toxins derived from pathogenic clostridium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5608320</wp:posOffset>
            </wp:positionH>
            <wp:positionV relativeFrom="paragraph">
              <wp:posOffset>-598805</wp:posOffset>
            </wp:positionV>
            <wp:extent cx="929005" cy="1094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9005" cy="109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802"/>
        <w:spacing w:after="0" w:line="351" w:lineRule="auto"/>
        <w:rPr>
          <w:sz w:val="20"/>
          <w:szCs w:val="20"/>
          <w:color w:val="auto"/>
        </w:rPr>
      </w:pPr>
      <w:r>
        <w:rPr>
          <w:rFonts w:ascii="Arial" w:cs="Arial" w:eastAsia="Arial" w:hAnsi="Arial"/>
          <w:sz w:val="12"/>
          <w:szCs w:val="12"/>
          <w:color w:val="auto"/>
        </w:rPr>
        <w:t>In addition, we have the ability to tailor a DART molecule’s valency (number of binding sites), the strength by which the binding sites attach to its targets, and its half-life in the blood circulation after delivery to a patient. Furthermore, when an Fc domain is incorporated in a DART, changes can be included that can modulate the DART’s engagement with different immune cells.</w:t>
      </w:r>
    </w:p>
    <w:p>
      <w:pPr>
        <w:spacing w:after="0" w:line="56"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We have developed proof-of-concept data and are developing specific product candidates using this technology, including MGD006, MGD007 and MGD010. We have been able to produce DART molecules in both bacterial and mammalian expression systems.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Fc Optimization Platform: Our Proprietary Approach to Enhance Immune-Mediated Cancer Cell Killing</w:t>
      </w:r>
    </w:p>
    <w:p>
      <w:pPr>
        <w:spacing w:after="0" w:line="132" w:lineRule="exact"/>
        <w:rPr>
          <w:sz w:val="20"/>
          <w:szCs w:val="20"/>
          <w:color w:val="auto"/>
        </w:rPr>
      </w:pPr>
    </w:p>
    <w:p>
      <w:pPr>
        <w:ind w:right="560" w:firstLine="802"/>
        <w:spacing w:after="0" w:line="267" w:lineRule="auto"/>
        <w:rPr>
          <w:sz w:val="20"/>
          <w:szCs w:val="20"/>
          <w:color w:val="auto"/>
        </w:rPr>
      </w:pPr>
      <w:r>
        <w:rPr>
          <w:rFonts w:ascii="Arial" w:cs="Arial" w:eastAsia="Arial" w:hAnsi="Arial"/>
          <w:sz w:val="14"/>
          <w:szCs w:val="14"/>
          <w:color w:val="auto"/>
        </w:rPr>
        <w:t>To enhance the body’s immune ability, we developed our Fc Optimization platform which introduces certain mutations into the Fc region of an antibody and is able to modulate antibody interaction with immune effector cells. Such interaction enhances the body’s immune ability to mediate the killing of cancer cells through ADCC.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109220</wp:posOffset>
            </wp:positionV>
            <wp:extent cx="1910715" cy="1558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10715" cy="155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firstLine="802"/>
        <w:spacing w:after="0" w:line="267" w:lineRule="auto"/>
        <w:rPr>
          <w:sz w:val="20"/>
          <w:szCs w:val="20"/>
          <w:color w:val="auto"/>
        </w:rPr>
      </w:pPr>
      <w:r>
        <w:rPr>
          <w:rFonts w:ascii="Arial" w:cs="Arial" w:eastAsia="Arial" w:hAnsi="Arial"/>
          <w:sz w:val="14"/>
          <w:szCs w:val="14"/>
          <w:color w:val="auto"/>
        </w:rPr>
        <w:t>The Fc region mediates the function of certain antibodies by binding to different activating FcgRs and inhibitory FcgRs on immune effector cells found within the innate immune system. By engineering Fc regions to bind with an increased affinity to the activating FcgRs and with a reduced affinity to the inhibitory FcgRs, we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40"/>
          </w:cols>
          <w:pgMar w:left="220" w:top="386"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have been able to impart a more effective immune response, and improve effector functions, such as ADCC. This is another example in which small changes in antibody structure can confer improvements on normal immune processes.</w:t>
      </w:r>
    </w:p>
    <w:p>
      <w:pPr>
        <w:spacing w:after="0" w:line="101" w:lineRule="exact"/>
        <w:rPr>
          <w:sz w:val="20"/>
          <w:szCs w:val="20"/>
          <w:color w:val="auto"/>
        </w:rPr>
      </w:pPr>
    </w:p>
    <w:p>
      <w:pPr>
        <w:ind w:right="400" w:firstLine="802"/>
        <w:spacing w:after="0" w:line="351" w:lineRule="auto"/>
        <w:rPr>
          <w:sz w:val="20"/>
          <w:szCs w:val="20"/>
          <w:color w:val="auto"/>
        </w:rPr>
      </w:pPr>
      <w:r>
        <w:rPr>
          <w:rFonts w:ascii="Arial" w:cs="Arial" w:eastAsia="Arial" w:hAnsi="Arial"/>
          <w:sz w:val="12"/>
          <w:szCs w:val="12"/>
          <w:color w:val="auto"/>
        </w:rPr>
        <w:t xml:space="preserve">We have established a proprietary platform to engineer, screen, identify and test antibodies’ Fc regions with customizable activity. In particular, we have licenses to use transgenic mice that express human FcgRs. These mice can be used for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testing of antibodies that incorporate Fc domain variants, including those antibodies intended for cancer therapy.</w:t>
      </w:r>
    </w:p>
    <w:p>
      <w:pPr>
        <w:spacing w:after="0" w:line="56" w:lineRule="exact"/>
        <w:rPr>
          <w:sz w:val="20"/>
          <w:szCs w:val="20"/>
          <w:color w:val="auto"/>
        </w:rPr>
      </w:pPr>
    </w:p>
    <w:p>
      <w:pPr>
        <w:ind w:right="380" w:firstLine="802"/>
        <w:spacing w:after="0" w:line="267" w:lineRule="auto"/>
        <w:rPr>
          <w:sz w:val="20"/>
          <w:szCs w:val="20"/>
          <w:color w:val="auto"/>
        </w:rPr>
      </w:pPr>
      <w:r>
        <w:rPr>
          <w:rFonts w:ascii="Arial" w:cs="Arial" w:eastAsia="Arial" w:hAnsi="Arial"/>
          <w:sz w:val="14"/>
          <w:szCs w:val="14"/>
          <w:color w:val="auto"/>
        </w:rPr>
        <w:t>To date, we have successfully incorporated our Fc variants in our lead product candidates, margetuximab and MGA271. We have pre-clinical data demonstrating that these Fc variants have substantially improved the antibody’s therapeutic effects.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Cancer Stem-like Cell Platform: Our Proprietary Approach to Discover Cancer Targets</w:t>
      </w:r>
    </w:p>
    <w:p>
      <w:pPr>
        <w:spacing w:after="0" w:line="132" w:lineRule="exact"/>
        <w:rPr>
          <w:sz w:val="20"/>
          <w:szCs w:val="20"/>
          <w:color w:val="auto"/>
        </w:rPr>
      </w:pPr>
    </w:p>
    <w:p>
      <w:pPr>
        <w:ind w:right="200" w:firstLine="802"/>
        <w:spacing w:after="0" w:line="321" w:lineRule="auto"/>
        <w:rPr>
          <w:sz w:val="20"/>
          <w:szCs w:val="20"/>
          <w:color w:val="auto"/>
        </w:rPr>
      </w:pPr>
      <w:r>
        <w:rPr>
          <w:rFonts w:ascii="Arial" w:cs="Arial" w:eastAsia="Arial" w:hAnsi="Arial"/>
          <w:sz w:val="12"/>
          <w:szCs w:val="12"/>
          <w:color w:val="auto"/>
        </w:rPr>
        <w:t>Our CSLC platform provides new approaches to discover and identify cancer targets that are unresponsive to current cancer therapies. Cancer stem cells represent important potential targets in oncology drug development because they are theorized to be the basis for tumor re-growth and metastasis and are refractory to much standard chemotherapy. Therefore, the ability to specifically target and destroy CSLCs could potentially address an unmet medical need in many hard-to-treat cancers today. Using our CSLC platform, we can create antibodies that target and kill CSLCs.</w:t>
      </w:r>
    </w:p>
    <w:p>
      <w:pPr>
        <w:spacing w:after="0" w:line="73" w:lineRule="exact"/>
        <w:rPr>
          <w:sz w:val="20"/>
          <w:szCs w:val="20"/>
          <w:color w:val="auto"/>
        </w:rPr>
      </w:pPr>
    </w:p>
    <w:p>
      <w:pPr>
        <w:ind w:right="120" w:firstLine="802"/>
        <w:spacing w:after="0" w:line="321" w:lineRule="auto"/>
        <w:rPr>
          <w:sz w:val="20"/>
          <w:szCs w:val="20"/>
          <w:color w:val="auto"/>
        </w:rPr>
      </w:pPr>
      <w:r>
        <w:rPr>
          <w:rFonts w:ascii="Arial" w:cs="Arial" w:eastAsia="Arial" w:hAnsi="Arial"/>
          <w:sz w:val="12"/>
          <w:szCs w:val="12"/>
          <w:color w:val="auto"/>
        </w:rPr>
        <w:t xml:space="preserve">Building on our expertise in growing stem cells from normal tissues using proprietary media and culture conditions, we have produced CSLCs from primary human tumor tissues. These CSLCs have been generated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from a range of solid tumors and many have demonstrated tumor growth and differentiation </w:t>
      </w:r>
      <w:r>
        <w:rPr>
          <w:rFonts w:ascii="Arial" w:cs="Arial" w:eastAsia="Arial" w:hAnsi="Arial"/>
          <w:sz w:val="12"/>
          <w:szCs w:val="12"/>
          <w:i w:val="1"/>
          <w:iCs w:val="1"/>
          <w:color w:val="auto"/>
        </w:rPr>
        <w:t>in vivo</w:t>
      </w:r>
      <w:r>
        <w:rPr>
          <w:rFonts w:ascii="Arial" w:cs="Arial" w:eastAsia="Arial" w:hAnsi="Arial"/>
          <w:sz w:val="12"/>
          <w:szCs w:val="12"/>
          <w:color w:val="auto"/>
        </w:rPr>
        <w:t>. We believe that this technology holds great promise in creating the next generation of oncology therapeutics that target both differentiated tumor cells and their precursor cells which traditionally have been resistant to conventional chemotherapy and radiation therapy.</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strategy has been to generate CSLCs from a range of primary tumors, including those derived from the colon, lung and ovary. We analyze and characterize the CSLCs for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ability for self-renewal, (b) ability to form tumors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that differentiate with the expected histological characteristics, and (c) genetic and protein stem cell marker expression profiles.</w:t>
      </w:r>
    </w:p>
    <w:p>
      <w:pPr>
        <w:spacing w:after="0" w:line="149" w:lineRule="exact"/>
        <w:rPr>
          <w:sz w:val="20"/>
          <w:szCs w:val="20"/>
          <w:color w:val="auto"/>
        </w:rPr>
      </w:pPr>
    </w:p>
    <w:p>
      <w:pPr>
        <w:ind w:right="300" w:firstLine="802"/>
        <w:spacing w:after="0" w:line="267" w:lineRule="auto"/>
        <w:rPr>
          <w:sz w:val="20"/>
          <w:szCs w:val="20"/>
          <w:color w:val="auto"/>
        </w:rPr>
      </w:pPr>
      <w:r>
        <w:rPr>
          <w:rFonts w:ascii="Arial" w:cs="Arial" w:eastAsia="Arial" w:hAnsi="Arial"/>
          <w:sz w:val="14"/>
          <w:szCs w:val="14"/>
          <w:color w:val="auto"/>
        </w:rPr>
        <w:t>To date, we have created novel antibodies that target antigens on both CSLCs and bulk differentiated tumor cells, which are derived from the CSLCs. In addition to their value for identifying potential immune-based therapeutics, other opportunities include their use in small molecule compound screening and diagnostic applications.</w:t>
      </w:r>
    </w:p>
    <w:p>
      <w:pPr>
        <w:spacing w:after="0" w:line="101"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We have generated over 1,900 monoclonal antibodies that we have screened by immunohistochemistry, or IHC, for lower-binding to normal, non-malignant tissues. Many of these antibodies have been characterized for binding to primary tumors and cancer cell lines and we are developing the most promising of these antibodies into product candidates. This collection of antibodies is selective for both validated and novel cancer targets.</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have utilized our CSLC technology to generate or characterize the antibodies we use in our MGA271 and MGD007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Candidate Pipeline</w:t>
      </w:r>
    </w:p>
    <w:p>
      <w:pPr>
        <w:spacing w:after="0" w:line="134"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We currently have two oncology product candidates in clinical development. Additionally, we have several proprietary product candidates in pre-clinical development and we expect to commence Phase 1 clinical trials on two of these product candidates in 2014.</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20" w:top="386" w:right="2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Margetuximab: Fc-Optimized Antibody for HER2-expressing Solid Tumors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2" w:lineRule="exact"/>
        <w:rPr>
          <w:sz w:val="20"/>
          <w:szCs w:val="20"/>
          <w:color w:val="auto"/>
        </w:rPr>
      </w:pPr>
    </w:p>
    <w:p>
      <w:pPr>
        <w:ind w:right="160" w:firstLine="802"/>
        <w:spacing w:after="0" w:line="351" w:lineRule="auto"/>
        <w:rPr>
          <w:sz w:val="20"/>
          <w:szCs w:val="20"/>
          <w:color w:val="auto"/>
        </w:rPr>
      </w:pPr>
      <w:r>
        <w:rPr>
          <w:rFonts w:ascii="Arial" w:cs="Arial" w:eastAsia="Arial" w:hAnsi="Arial"/>
          <w:sz w:val="12"/>
          <w:szCs w:val="12"/>
          <w:color w:val="auto"/>
        </w:rPr>
        <w:t>Margetuximab, or MGAH22, is an Fc-optimized, monoclonal antibody that targets and binds to the HER2 protein on cancer cells and is intravenously administered in order to kill tumor cells or inhibit tumor cell growth. We are developing margetuximab as an improved, more potent, anti-HER2 treatment for a variety of HER2-expressing tumors such as breast, gastroesophageal and bladder cancer.</w:t>
      </w:r>
    </w:p>
    <w:p>
      <w:pPr>
        <w:spacing w:after="0" w:line="56" w:lineRule="exact"/>
        <w:rPr>
          <w:sz w:val="20"/>
          <w:szCs w:val="20"/>
          <w:color w:val="auto"/>
        </w:rPr>
      </w:pPr>
    </w:p>
    <w:p>
      <w:pPr>
        <w:ind w:right="80" w:firstLine="802"/>
        <w:spacing w:after="0" w:line="305" w:lineRule="auto"/>
        <w:rPr>
          <w:sz w:val="20"/>
          <w:szCs w:val="20"/>
          <w:color w:val="auto"/>
        </w:rPr>
      </w:pPr>
      <w:r>
        <w:rPr>
          <w:rFonts w:ascii="Arial" w:cs="Arial" w:eastAsia="Arial" w:hAnsi="Arial"/>
          <w:sz w:val="12"/>
          <w:szCs w:val="12"/>
          <w:color w:val="auto"/>
        </w:rPr>
        <w:t>An important mechanism of anti-HER2 monoclonal antibody action is the mediation of ADCC. In ADCC, the anti-HER2 antibody binds to tumor cells and then recruits immune cells, such as macrophages, through their FcgRs. FcgR-mediated mechanisms play a critical part in the effectiveness of targeted tumor antibodies including anti-HER2 antibodies. Therefore, we have optimized the important Fc region of MGAH22 and thereby improved the cell-killing properties of margetuximab, compared to current anti-HER2 therapies (including trastuzumab). Specifically, we increased binding to activating receptors and decreased binding to the inhibitory receptor on immune effector cells. As a result, we believe margetuximab has the potential to be effective in a much broader population than the approximately 25% of breast cancer patients treated with trastuzumab today and may overcome resistance in populations who no longer respond to trastuzumab.</w:t>
      </w:r>
    </w:p>
    <w:p>
      <w:pPr>
        <w:spacing w:after="0" w:line="84"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The HER2 gene and receptor have an important role in normal cell growth and differentiation. When the HER2 gene has multiple copies, which is referred to as gene amplification, it results in increased HER2 protein production. This causes cells to multiply in number and grow more rapidly than normal cells, contributing to the formation of cancer. HER2 gene amplification and protein over-expression occurs in approximately 25% of women with breast cancer. The level of HER2 protein on tumors can be detected by IHC and is scored as 0, 1+, 2+ or 3+, where 3+ indicates the highest expression of HER2 positivity. Fluorescence in situ hybridization, or FISH, testing is a method used to determine the number of HER2 gene copies that are in a tumor cell. Breast cancer patients with HER2 gene amplification and protein over-expression have a more aggressive disease, greater likelihood of recurrence, poorer prognosis, and decreased survival compared to patients with HER2-negative breast cancer. Currently, anti-HER2 therapies are only approved for treating approximately 25% of all breast cancer patients whose tumors overexpress HER2 at the 3+ level, or if 2+, when accompanied by HER2 gene amplification. As illustrated in the figure below, this population of 25% of breast cancer patients represents 60.5% of the 42% of all patients who are HER2+.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180340</wp:posOffset>
            </wp:positionV>
            <wp:extent cx="2978785" cy="1532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78785" cy="153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20" w:firstLine="802"/>
        <w:spacing w:after="0" w:line="267" w:lineRule="auto"/>
        <w:rPr>
          <w:sz w:val="20"/>
          <w:szCs w:val="20"/>
          <w:color w:val="auto"/>
        </w:rPr>
      </w:pPr>
      <w:r>
        <w:rPr>
          <w:rFonts w:ascii="Arial" w:cs="Arial" w:eastAsia="Arial" w:hAnsi="Arial"/>
          <w:sz w:val="14"/>
          <w:szCs w:val="14"/>
          <w:color w:val="auto"/>
        </w:rPr>
        <w:t>We plan to study several patient populations in which we believe margetuximab, because of its optimized structure, has the potential for particular benefit. The first populations being tested include breast and gastroesophageal cancer, but there is also potential to explore other HER2-expressing cancers such as bladder, ovarian and colon.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60"/>
          </w:cols>
          <w:pgMar w:left="220" w:top="386" w:right="2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We presented data from our Phase 1 clinical trial of margetuximab at ASCO in June 2013. We expect to complete this clinical trial by early 2014. We recently initiated enrollment in an exploratory Phase 2a clinical trial in patients with metastatic breast cancer whose tumors exhibit expression of the HER2 protein at the 2+ level by IHC and lack evidence of HER2 gene amplification by FISH. We plan to initiate a Phase 3 clinical trial in patients with HER2+ gastroesophageal cancers that have progressed after standard first and second-line therapy. We expect to begin enrollment in this clinical trial in the second half of 2014 and anticipate that such a trial should be concluded in approximately three years.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Treatments for HER2-expressing Solid Tumors</w:t>
      </w:r>
    </w:p>
    <w:p>
      <w:pPr>
        <w:spacing w:after="0" w:line="132" w:lineRule="exact"/>
        <w:rPr>
          <w:sz w:val="20"/>
          <w:szCs w:val="20"/>
          <w:color w:val="auto"/>
        </w:rPr>
      </w:pPr>
    </w:p>
    <w:p>
      <w:pPr>
        <w:ind w:right="40" w:firstLine="802"/>
        <w:spacing w:after="0" w:line="253" w:lineRule="auto"/>
        <w:rPr>
          <w:sz w:val="20"/>
          <w:szCs w:val="20"/>
          <w:color w:val="auto"/>
        </w:rPr>
      </w:pPr>
      <w:r>
        <w:rPr>
          <w:rFonts w:ascii="Arial" w:cs="Arial" w:eastAsia="Arial" w:hAnsi="Arial"/>
          <w:sz w:val="14"/>
          <w:szCs w:val="14"/>
          <w:color w:val="auto"/>
        </w:rPr>
        <w:t>The management of breast cancer is largely based on the stage, grade, hormone receptor status and type, and includes surgery, radiation and drug therapy. Cytotoxic chemotherapies are a mainstay of metastatic breast cancer treatment, irrespective of hormone and HER2 status. Patients who have no detectable cancer after surgery are often given additional drug treatment to prevent recurrence. This is known as adjuvant therapy. Some patients receive treatment before surgery to shrink the tumor. This is known as neoadjuvant therapy. While anti-HER2 therapies have initially been tested in patients with metastatic cancer, often as single agents, benefit has been shown in the much larger population of patients treated earlier in adjuvant and neoadjuvant settings. We expect that this paradigm will also be true for margetuximab, but in a larger population.</w:t>
      </w:r>
    </w:p>
    <w:p>
      <w:pPr>
        <w:spacing w:after="0" w:line="113"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2"/>
          <w:szCs w:val="12"/>
          <w:color w:val="auto"/>
        </w:rPr>
        <w:t>The management of gastroesophageal cancer is based on radical surgical resection of the tumor, which when carried out at an early stage of disease may be curative. When surgical resection of the tumor is not possible, or the tumor recurs or metastasizes, chemotherapeutic agents are utilized. The incidence of gastroesophageal cancer has been declining steadily since the 1930s, yet it remains a major cause of cancer death in the United States and a greater problem in the rest of the world. Gastroesophageal cancer is the fourth most common cancer in the world (989,000 new cases diagnosed in 2008) and the second most common cause of cancer-related death in the world. Advanced and metastatic cancers are treated with chemotherapy and radiation therapy.</w:t>
      </w:r>
    </w:p>
    <w:p>
      <w:pPr>
        <w:spacing w:after="0" w:line="79" w:lineRule="exact"/>
        <w:rPr>
          <w:sz w:val="20"/>
          <w:szCs w:val="20"/>
          <w:color w:val="auto"/>
        </w:rPr>
      </w:pPr>
    </w:p>
    <w:p>
      <w:pPr>
        <w:ind w:right="140" w:firstLine="802"/>
        <w:spacing w:after="0" w:line="321" w:lineRule="auto"/>
        <w:rPr>
          <w:sz w:val="20"/>
          <w:szCs w:val="20"/>
          <w:color w:val="auto"/>
        </w:rPr>
      </w:pPr>
      <w:r>
        <w:rPr>
          <w:rFonts w:ascii="Arial" w:cs="Arial" w:eastAsia="Arial" w:hAnsi="Arial"/>
          <w:sz w:val="12"/>
          <w:szCs w:val="12"/>
          <w:color w:val="auto"/>
        </w:rPr>
        <w:t>Several drugs directed at HER2 have been approved for the treatment of early and advanced stage breast cancer and advanced gastroesophageal cancer. Most patients treated with existing HER2 therapies, such as trastuzumab (Herceptin), pertuzumab (Perjeta), lapatinib (Tykerb), and ado-trastuzumab emtansine (Kadcyla, also referred to as T-DM1), will either fail to respond or become resistant to continued treatment. In addition, existing HER2 therapies are not effective in the treatment of patients who do not highly over-express HER2.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Potential Advantages of Margetuximab</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Margetuximab is an Fc-optimized, monoclonal antibody believed to mediate its therapeutic activity against HER2+ tumors by a combination of mechanisms including:</w:t>
      </w:r>
    </w:p>
    <w:p>
      <w:pPr>
        <w:spacing w:after="0" w:line="163" w:lineRule="exact"/>
        <w:rPr>
          <w:sz w:val="20"/>
          <w:szCs w:val="20"/>
          <w:color w:val="auto"/>
        </w:rPr>
      </w:pPr>
    </w:p>
    <w:p>
      <w:pPr>
        <w:ind w:left="1240" w:hanging="327"/>
        <w:spacing w:after="0"/>
        <w:tabs>
          <w:tab w:leader="none" w:pos="1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Modulation of the receptor signaling resulting in growth retardation or the induction of apoptosis, or cell death;</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ADCC and improved binding to immune cells to enhance destruction of HER2+ tumor cells;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Presentation of antigens by cells such as macrophages that engulf the tumor cells, digest them, and display the tumor antigens to other cells of the immune system including T cells.</w:t>
      </w:r>
    </w:p>
    <w:p>
      <w:pPr>
        <w:spacing w:after="0" w:line="155" w:lineRule="exact"/>
        <w:rPr>
          <w:sz w:val="20"/>
          <w:szCs w:val="20"/>
          <w:color w:val="auto"/>
        </w:rPr>
      </w:pPr>
    </w:p>
    <w:p>
      <w:pPr>
        <w:jc w:val="both"/>
        <w:ind w:right="20" w:firstLine="802"/>
        <w:spacing w:after="0" w:line="258" w:lineRule="auto"/>
        <w:rPr>
          <w:sz w:val="20"/>
          <w:szCs w:val="20"/>
          <w:color w:val="auto"/>
        </w:rPr>
      </w:pPr>
      <w:r>
        <w:rPr>
          <w:rFonts w:ascii="Arial" w:cs="Arial" w:eastAsia="Arial" w:hAnsi="Arial"/>
          <w:sz w:val="14"/>
          <w:szCs w:val="14"/>
          <w:color w:val="auto"/>
        </w:rPr>
        <w:t>FcgR mediated mechanisms play a critical part in the activity of several antibodies including anti-HER2 antibodies. FcgR sequences will differ among people and a single amino acid difference in an FcgR can significantly alter an antibody’s Fc binding properties. Clinical data shows improved outcomes in metastatic breast cancer patients who have a higher binding form of an activating FcgR, CD16A, in response to treatment with chemotherapy plus trastuzumab.</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60"/>
          </w:cols>
          <w:pgMar w:left="220" w:top="386" w:right="21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20" w:firstLine="802"/>
        <w:spacing w:after="0" w:line="267" w:lineRule="auto"/>
        <w:rPr>
          <w:sz w:val="20"/>
          <w:szCs w:val="20"/>
          <w:color w:val="auto"/>
        </w:rPr>
      </w:pPr>
      <w:r>
        <w:rPr>
          <w:rFonts w:ascii="Arial" w:cs="Arial" w:eastAsia="Arial" w:hAnsi="Arial"/>
          <w:sz w:val="14"/>
          <w:szCs w:val="14"/>
          <w:color w:val="auto"/>
        </w:rPr>
        <w:t>The table below shows the difference in progression-free survival between patients treated with trastuzumab who have the higher-binding form of CD16A and those who have the lower-binding form of CD16A.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88900</wp:posOffset>
            </wp:positionV>
            <wp:extent cx="3263900" cy="19970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6390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802"/>
        <w:spacing w:after="0" w:line="321" w:lineRule="auto"/>
        <w:rPr>
          <w:sz w:val="20"/>
          <w:szCs w:val="20"/>
          <w:color w:val="auto"/>
        </w:rPr>
      </w:pPr>
      <w:r>
        <w:rPr>
          <w:rFonts w:ascii="Arial" w:cs="Arial" w:eastAsia="Arial" w:hAnsi="Arial"/>
          <w:sz w:val="12"/>
          <w:szCs w:val="12"/>
          <w:color w:val="auto"/>
        </w:rPr>
        <w:t>Knowing that approximately 80% of subjects express the lower-binding FcgR, we specifically optimized the Fc domain of margetuximab to enhance binding to the lower-binding form of CD16A. We believe margetuximab will have greater activity than trastuzumab and may overcome resistance in populations of patients whose tumors do not respond, or no longer respond, to trastuzumab. In addition, the optimized Fc domain of margetuximab imparts reduced binding to the inhibitory FcgR, CD32B, a feature expected to further enhance the activating properties of margetuximab.</w:t>
      </w:r>
    </w:p>
    <w:p>
      <w:pPr>
        <w:spacing w:after="0" w:line="73" w:lineRule="exact"/>
        <w:rPr>
          <w:sz w:val="20"/>
          <w:szCs w:val="20"/>
          <w:color w:val="auto"/>
        </w:rPr>
      </w:pPr>
    </w:p>
    <w:p>
      <w:pPr>
        <w:jc w:val="both"/>
        <w:ind w:right="100" w:firstLine="802"/>
        <w:spacing w:after="0" w:line="258" w:lineRule="auto"/>
        <w:rPr>
          <w:sz w:val="20"/>
          <w:szCs w:val="20"/>
          <w:color w:val="auto"/>
        </w:rPr>
      </w:pPr>
      <w:r>
        <w:rPr>
          <w:rFonts w:ascii="Arial" w:cs="Arial" w:eastAsia="Arial" w:hAnsi="Arial"/>
          <w:sz w:val="14"/>
          <w:szCs w:val="14"/>
          <w:color w:val="auto"/>
        </w:rPr>
        <w:t xml:space="preserve">We have conducted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studies that support the superiority of margetuximab compared to trastuzumab. In these pre-clinical models, margetuximab exhibits enhanced anti-tumor activity against HER2-expressing tumor cell lines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ADCC assays and in human tumor xenograft models in human CD16A+ transgenic mice. We have also demonstrated superior effects of margetuximab over trastuzumab in </w:t>
      </w:r>
      <w:r>
        <w:rPr>
          <w:rFonts w:ascii="Arial" w:cs="Arial" w:eastAsia="Arial" w:hAnsi="Arial"/>
          <w:sz w:val="14"/>
          <w:szCs w:val="14"/>
          <w:i w:val="1"/>
          <w:iCs w:val="1"/>
          <w:color w:val="auto"/>
        </w:rPr>
        <w:t>ex vivo</w:t>
      </w:r>
      <w:r>
        <w:rPr>
          <w:rFonts w:ascii="Arial" w:cs="Arial" w:eastAsia="Arial" w:hAnsi="Arial"/>
          <w:sz w:val="14"/>
          <w:szCs w:val="14"/>
          <w:color w:val="auto"/>
        </w:rPr>
        <w:t xml:space="preserve"> studies using patient samples from the Phase 1 clinical trial.</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Development of Margetuximab</w:t>
      </w:r>
    </w:p>
    <w:p>
      <w:pPr>
        <w:spacing w:after="0" w:line="132" w:lineRule="exact"/>
        <w:rPr>
          <w:sz w:val="20"/>
          <w:szCs w:val="20"/>
          <w:color w:val="auto"/>
        </w:rPr>
      </w:pPr>
    </w:p>
    <w:p>
      <w:pPr>
        <w:ind w:right="120" w:firstLine="802"/>
        <w:spacing w:after="0" w:line="258" w:lineRule="auto"/>
        <w:rPr>
          <w:sz w:val="20"/>
          <w:szCs w:val="20"/>
          <w:color w:val="auto"/>
        </w:rPr>
      </w:pPr>
      <w:r>
        <w:rPr>
          <w:rFonts w:ascii="Arial" w:cs="Arial" w:eastAsia="Arial" w:hAnsi="Arial"/>
          <w:sz w:val="14"/>
          <w:szCs w:val="14"/>
          <w:color w:val="auto"/>
        </w:rPr>
        <w:t>Based on the pre-clinical laboratory studies conducted with margetuximab, we assumed that margetuximab would have clinical benefit in patients with tumors not currently thought to be targets for trastuzumab therapy, including those whose tumors express the HER2 protein at less than 3+ levels by IHC and lack evidence of HER2 gene amplification by FISH. We also assumed that margetuximab benefits would extend to patients bearing the lower-binding form of CD16A.</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Phase 2a Metastatic Breast Cancer Study</w:t>
      </w:r>
    </w:p>
    <w:p>
      <w:pPr>
        <w:spacing w:after="0" w:line="132"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We submitted an IND in January 2010 for margetuximab for the treatment of HER2-positive carcinomas, including breast cancer. We are currently enrolling a Phase 2a clinical trial to determine if margetuximab has sufficient activity in patients with metastatic breast cancer who are not currently considered candidates for trastuzumab therapy to further evaluate margetuximab in this patient population. We are enrolling patients with metastatic breast cancer whose tumors exhibit expression of the HER2 protein at the 2+ level by IHC and lack evidence of HER2 gene amplification by FISH. This group of patients represents an unmet medical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20" w:top="386" w:right="2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need which may be addressed by margetuximab. Margetuximab will be administered as a 6 mg/kg intravenous, or IV, solution weekly on Days 1, 8, and 15 of each 28-day cycle. If fewer than two partial or complete responses are observed in the first 21 patients evaluable for response at the first tumor re-evaluation on day 22 of cycle 2 of treatment, no additional patients will be enrolled and the trial will end. If two or more responses are observed at the first tumor re-evaluation on day 22 of cycle 2 of treatment, we will expand the clinical trial to include a total of 41 patients evaluable for response. If five or more partial or complete responses are observed in these 41 patients, then we will consider margetuximab to have adequate activity in this patient population to justify additional clinical development. We are conducting this clinical trial at six sites in the United States.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Anticipated Margetuximab Clinical Trials</w:t>
      </w:r>
    </w:p>
    <w:p>
      <w:pPr>
        <w:spacing w:after="0" w:line="132"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We plan to file a separate IND for margetuximab for the treatment of HER2-positive gastroesophageal cancer by the first quarter of 2014. We intend to commence a randomized Phase 3 clinical trial to evaluate the addition of margetuximab to standard cytotoxic chemotherapy (irinotecan or paclitaxel) in the third line treatment of patients with advanced gastroesophageal cancers which have progressed after standard frontline and second-line treatment of advanced disease in the second half of 2014. The primary analysis will compare the overall survival of patients randomized to chemotherapy plus placebo to the overall survival of patients randomized to chemotherapy plus margetuximab.</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Other Anticipated Phase 2 Development</w:t>
      </w:r>
    </w:p>
    <w:p>
      <w:pPr>
        <w:spacing w:after="0" w:line="132" w:lineRule="exact"/>
        <w:rPr>
          <w:sz w:val="20"/>
          <w:szCs w:val="20"/>
          <w:color w:val="auto"/>
        </w:rPr>
      </w:pPr>
    </w:p>
    <w:p>
      <w:pPr>
        <w:jc w:val="both"/>
        <w:ind w:firstLine="802"/>
        <w:spacing w:after="0" w:line="321" w:lineRule="auto"/>
        <w:rPr>
          <w:sz w:val="20"/>
          <w:szCs w:val="20"/>
          <w:color w:val="auto"/>
        </w:rPr>
      </w:pPr>
      <w:r>
        <w:rPr>
          <w:rFonts w:ascii="Arial" w:cs="Arial" w:eastAsia="Arial" w:hAnsi="Arial"/>
          <w:sz w:val="12"/>
          <w:szCs w:val="12"/>
          <w:color w:val="auto"/>
        </w:rPr>
        <w:t>We anticipate conducting exploratory clinical trials in patients with other HER2 expressing malignancies. The design of these clinical trials will be informed by the results of the ongoing Phase 2a clinical trial in metastatic breast cancer. If the results of that clinical trial are positive, then we will pursue a population of patients with HER2 2+ or 3+ tumors. Such a population would represent approximately one-third to one-half of patients with metastatic bladder cancer, and smaller proportions of patients with ovarian cancer, endometrial cancer, and colon cancer.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Phase 1 Clinical Study Results</w:t>
      </w:r>
    </w:p>
    <w:p>
      <w:pPr>
        <w:spacing w:after="0" w:line="132"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The Phase 1 clinical trial is an open-label, multi-dose, single-arm, dose-escalation study conducted to define the safety profile and pharmacokinetics, or PK, of margetuximab and to begin to explore the antitumor activity of margetuximab in patients with refractory HER2+ tumors. We enrolled a total of 34 patients in the dose escalation (0.1 to 6.0 mg/kg) and expansion (6.0 mg/kg) phases of the trial. This patient population was heavily pre-treated with prior therapies, including 19 patients with other prior anti-HER2 therapies. In the absence of dose limiting toxicity, an additional cohort of patients was treated at the top dose. We expect to complete this clinical trial in 2014.</w:t>
      </w:r>
    </w:p>
    <w:p>
      <w:pPr>
        <w:spacing w:after="0" w:line="110" w:lineRule="exact"/>
        <w:rPr>
          <w:sz w:val="20"/>
          <w:szCs w:val="20"/>
          <w:color w:val="auto"/>
        </w:rPr>
      </w:pPr>
    </w:p>
    <w:p>
      <w:pPr>
        <w:jc w:val="both"/>
        <w:ind w:right="40" w:firstLine="802"/>
        <w:spacing w:after="0" w:line="258" w:lineRule="auto"/>
        <w:rPr>
          <w:sz w:val="20"/>
          <w:szCs w:val="20"/>
          <w:color w:val="auto"/>
        </w:rPr>
      </w:pPr>
      <w:r>
        <w:rPr>
          <w:rFonts w:ascii="Arial" w:cs="Arial" w:eastAsia="Arial" w:hAnsi="Arial"/>
          <w:sz w:val="14"/>
          <w:szCs w:val="14"/>
          <w:color w:val="auto"/>
        </w:rPr>
        <w:t>During the dose escalation and expansion segments of the Phase 1 clinical trial of margetuximab, a dose of 6.0 mg/kg has been well-tolerated in patients with refractory HER2+ tumors who were treated weekly for four weeks. Approximately one-third of patients received additional cycles of margetuximab treatment. Using margetuximab as a single agent, tumor response was observed even in patients who had failed prior therapies including other anti-HER2 treatment. Responses to date include:</w:t>
      </w:r>
    </w:p>
    <w:p>
      <w:pPr>
        <w:spacing w:after="0" w:line="139" w:lineRule="exact"/>
        <w:rPr>
          <w:sz w:val="20"/>
          <w:szCs w:val="20"/>
          <w:color w:val="auto"/>
        </w:rPr>
      </w:pPr>
    </w:p>
    <w:p>
      <w:pPr>
        <w:ind w:left="1240" w:hanging="327"/>
        <w:spacing w:after="0"/>
        <w:tabs>
          <w:tab w:leader="none" w:pos="1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unconfirmed partial response in one patient with mucoepidermoid carcinoma of the salivary gland treated at 1.0 mg/kg;</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confirmed partial response in one patient with breast cancer treated at 3.0 mg/kg;</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confirmed partial response in one patient with breast cancer treated at 6.0 mg/kg;</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confirmed partial response in one patient with a gastroesophageal junction tumor treated at 6.0 mg/kg;</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00"/>
          </w:cols>
          <w:pgMar w:left="220" w:top="387" w:right="2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unconfirmed partial response in one patient with colorectal cancer at 6.0 mg/kg;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four patients with times to progression exceeding five months.</w:t>
      </w:r>
    </w:p>
    <w:p>
      <w:pPr>
        <w:spacing w:after="0" w:line="132"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In addition, we are exploring intermittent administration of margetuximab as a more convenient dosing regimen. In this portion of the Phase 1 clinical trial, a patient with breast cancer experienced a confirmed partial response at 10.0 mg/kg (administered every three weeks) with a time to progression currently exceeding five months.</w:t>
      </w:r>
    </w:p>
    <w:p>
      <w:pPr>
        <w:spacing w:after="0" w:line="101" w:lineRule="exact"/>
        <w:rPr>
          <w:sz w:val="20"/>
          <w:szCs w:val="20"/>
          <w:color w:val="auto"/>
        </w:rPr>
      </w:pPr>
    </w:p>
    <w:p>
      <w:pPr>
        <w:jc w:val="both"/>
        <w:ind w:right="100" w:firstLine="802"/>
        <w:spacing w:after="0" w:line="258" w:lineRule="auto"/>
        <w:rPr>
          <w:sz w:val="20"/>
          <w:szCs w:val="20"/>
          <w:color w:val="auto"/>
        </w:rPr>
      </w:pPr>
      <w:r>
        <w:rPr>
          <w:rFonts w:ascii="Arial" w:cs="Arial" w:eastAsia="Arial" w:hAnsi="Arial"/>
          <w:sz w:val="14"/>
          <w:szCs w:val="14"/>
          <w:color w:val="auto"/>
        </w:rPr>
        <w:t>Evidence of activity was seen at doses as low as 0.1 mg/kg weekly, to which a patient with metastatic breast cancer whose tumor had progressed after two prior anti-HER2 therapies (trastuzumab and ado-trastuzumab emtansine) experienced stability of disease and time to progression that exceeded nine months. The maximum percent reduction (below baseline) or increase (above baseline) in the size of target tumors at any time from patients treated with different doses of margetuximab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93345</wp:posOffset>
            </wp:positionV>
            <wp:extent cx="3894455" cy="1963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9445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100" w:firstLine="802"/>
        <w:spacing w:after="0" w:line="351" w:lineRule="auto"/>
        <w:rPr>
          <w:sz w:val="20"/>
          <w:szCs w:val="20"/>
          <w:color w:val="auto"/>
        </w:rPr>
      </w:pPr>
      <w:r>
        <w:rPr>
          <w:rFonts w:ascii="Arial" w:cs="Arial" w:eastAsia="Arial" w:hAnsi="Arial"/>
          <w:sz w:val="12"/>
          <w:szCs w:val="12"/>
          <w:color w:val="auto"/>
        </w:rPr>
        <w:t>The most frequent adverse events observed in patients participating in the dose escalation portion of this trial were infusion reactions, which we observed in approximately 27% of patients on the day of infusion. Most of these events were mild or moderate in severity. Institution of pre-medications has reduced the incidence and severity of infusion-associated adverse events.</w:t>
      </w:r>
    </w:p>
    <w:p>
      <w:pPr>
        <w:spacing w:after="0" w:line="56" w:lineRule="exact"/>
        <w:rPr>
          <w:sz w:val="20"/>
          <w:szCs w:val="20"/>
          <w:color w:val="auto"/>
        </w:rPr>
      </w:pPr>
    </w:p>
    <w:p>
      <w:pPr>
        <w:ind w:right="40" w:firstLine="802"/>
        <w:spacing w:after="0" w:line="290" w:lineRule="auto"/>
        <w:rPr>
          <w:sz w:val="20"/>
          <w:szCs w:val="20"/>
          <w:color w:val="auto"/>
        </w:rPr>
      </w:pPr>
      <w:r>
        <w:rPr>
          <w:rFonts w:ascii="Arial" w:cs="Arial" w:eastAsia="Arial" w:hAnsi="Arial"/>
          <w:sz w:val="12"/>
          <w:szCs w:val="12"/>
          <w:color w:val="auto"/>
        </w:rPr>
        <w:t xml:space="preserve">We assessed the </w:t>
      </w:r>
      <w:r>
        <w:rPr>
          <w:rFonts w:ascii="Arial" w:cs="Arial" w:eastAsia="Arial" w:hAnsi="Arial"/>
          <w:sz w:val="12"/>
          <w:szCs w:val="12"/>
          <w:i w:val="1"/>
          <w:iCs w:val="1"/>
          <w:color w:val="auto"/>
        </w:rPr>
        <w:t>ex vivo</w:t>
      </w:r>
      <w:r>
        <w:rPr>
          <w:rFonts w:ascii="Arial" w:cs="Arial" w:eastAsia="Arial" w:hAnsi="Arial"/>
          <w:sz w:val="12"/>
          <w:szCs w:val="12"/>
          <w:color w:val="auto"/>
        </w:rPr>
        <w:t xml:space="preserve"> ADCC response of peripheral blood mononuclear cells, or PBMCs, obtained from subjects in the dose escalation portion of this Phase 1 trial. Each patient sample was divided and exposed separately to margetuximab and trastuzumab. Margetuximab outperformed trastuzumab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ADCC assays, reducing the dose required to achieve equivalent cell killing and increasing total cell killing. The concentration of drug required to achieve a half maximal effect (EC</w:t>
      </w:r>
      <w:r>
        <w:rPr>
          <w:rFonts w:ascii="Arial" w:cs="Arial" w:eastAsia="Arial" w:hAnsi="Arial"/>
          <w:sz w:val="15"/>
          <w:szCs w:val="15"/>
          <w:color w:val="auto"/>
          <w:vertAlign w:val="subscript"/>
        </w:rPr>
        <w:t>50</w:t>
      </w:r>
      <w:r>
        <w:rPr>
          <w:rFonts w:ascii="Arial" w:cs="Arial" w:eastAsia="Arial" w:hAnsi="Arial"/>
          <w:sz w:val="12"/>
          <w:szCs w:val="12"/>
          <w:color w:val="auto"/>
        </w:rPr>
        <w:t xml:space="preserve">) on ADCC was much lower for margetuximab (mean 3.5 </w:t>
      </w:r>
      <w:r>
        <w:rPr>
          <w:rFonts w:ascii="Arial" w:cs="Arial" w:eastAsia="Arial" w:hAnsi="Arial"/>
          <w:sz w:val="12"/>
          <w:szCs w:val="12"/>
          <w:u w:val="single" w:color="auto"/>
          <w:color w:val="auto"/>
        </w:rPr>
        <w:t>+</w:t>
      </w:r>
      <w:r>
        <w:rPr>
          <w:rFonts w:ascii="Arial" w:cs="Arial" w:eastAsia="Arial" w:hAnsi="Arial"/>
          <w:sz w:val="12"/>
          <w:szCs w:val="12"/>
          <w:color w:val="auto"/>
        </w:rPr>
        <w:t xml:space="preserve"> 1.0 ng/ml) than trastuzumab (mean 40.7 </w:t>
      </w:r>
      <w:r>
        <w:rPr>
          <w:rFonts w:ascii="Arial" w:cs="Arial" w:eastAsia="Arial" w:hAnsi="Arial"/>
          <w:sz w:val="12"/>
          <w:szCs w:val="12"/>
          <w:u w:val="single" w:color="auto"/>
          <w:color w:val="auto"/>
        </w:rPr>
        <w:t>+</w:t>
      </w:r>
      <w:r>
        <w:rPr>
          <w:rFonts w:ascii="Arial" w:cs="Arial" w:eastAsia="Arial" w:hAnsi="Arial"/>
          <w:sz w:val="12"/>
          <w:szCs w:val="12"/>
          <w:color w:val="auto"/>
        </w:rPr>
        <w:t xml:space="preserve"> 17.1 ng/ml).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386" w:right="21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MGA271: Fc-Optimized Antibody for B7-H3-Expressing Solid Tumors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2"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color w:val="auto"/>
        </w:rPr>
        <w:t>MGA271 is a humanized, Fc enhanced, monoclonal antibody that targets B7-H3 expressing tumors and is intravenously administered in order to kill tumor cells or inhibit their growth. We are developing MGA271 to treat multiple solid tumors such as melanoma, glioblastoma, prostate cancer, and breast cancer. We believe that targeting B7-H3 using MGA271 has significant potential to treat a variety of solid tumors because it incorporates multiple complementary mechanisms of action in one molecule. These potentially include:</w:t>
      </w:r>
    </w:p>
    <w:p>
      <w:pPr>
        <w:spacing w:after="0" w:line="139" w:lineRule="exact"/>
        <w:rPr>
          <w:sz w:val="20"/>
          <w:szCs w:val="20"/>
          <w:color w:val="auto"/>
        </w:rPr>
      </w:pPr>
    </w:p>
    <w:p>
      <w:pPr>
        <w:ind w:left="1240" w:hanging="327"/>
        <w:spacing w:after="0"/>
        <w:tabs>
          <w:tab w:leader="none" w:pos="12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Enhanced ADCC through Fc Optimization;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Targeting of both CSLCs and tumor cells;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Opportunity to differentially target tumor vasculature and underlying supporting tissues; and</w:t>
      </w:r>
    </w:p>
    <w:p>
      <w:pPr>
        <w:spacing w:after="0" w:line="162" w:lineRule="exact"/>
        <w:rPr>
          <w:rFonts w:ascii="Arial" w:cs="Arial" w:eastAsia="Arial" w:hAnsi="Arial"/>
          <w:sz w:val="14"/>
          <w:szCs w:val="14"/>
          <w:color w:val="auto"/>
        </w:rPr>
      </w:pPr>
    </w:p>
    <w:p>
      <w:pPr>
        <w:ind w:left="800" w:right="4140" w:firstLine="113"/>
        <w:spacing w:after="0" w:line="508" w:lineRule="auto"/>
        <w:tabs>
          <w:tab w:leader="none" w:pos="1231" w:val="left"/>
        </w:tabs>
        <w:numPr>
          <w:ilvl w:val="0"/>
          <w:numId w:val="77"/>
        </w:numPr>
        <w:rPr>
          <w:rFonts w:ascii="Arial" w:cs="Arial" w:eastAsia="Arial" w:hAnsi="Arial"/>
          <w:sz w:val="12"/>
          <w:szCs w:val="12"/>
          <w:color w:val="auto"/>
        </w:rPr>
      </w:pPr>
      <w:r>
        <w:rPr>
          <w:rFonts w:ascii="Arial" w:cs="Arial" w:eastAsia="Arial" w:hAnsi="Arial"/>
          <w:sz w:val="12"/>
          <w:szCs w:val="12"/>
          <w:color w:val="auto"/>
        </w:rPr>
        <w:t>Potential for enhanced anti-tumor immunity by blockade of T cell inhibition (inhibiting the inhibitor). MGA271 has been engineered to have enhanced binding to CD16A. MGA271 also exhibits reduced binding to CD32B.</w:t>
      </w:r>
    </w:p>
    <w:p>
      <w:pPr>
        <w:spacing w:after="0" w:line="1"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We initiated a Phase 1 clinical trial of MGA271 in patients with B7-H3 tumors in August 2011. We have completed the dose escalation portion of this trial without exceeding a maximally tolerated dose, or MTD. We commenced an expansion phase in the third quarter of 2013, in which we are enrolling patients and treating them at the highest dose tested during the dose escalation portion of the trial. We also plan to initiate a Phase 2 clinical trial no later than early 2015.</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Role of B7 Family of Immune Regulators, Including B7-H3, in Cancer</w:t>
      </w:r>
    </w:p>
    <w:p>
      <w:pPr>
        <w:spacing w:after="0" w:line="132"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The B7 family of cell surface molecules consists of structurally related protein ligands that bind to receptors on lymphocytes and regulate immune responses. B7 homolog 3 (B7-H3) is a novel member of the B7 family of immune regulatory molecules. This family of molecules is an area of interest across the pharmaceutical industry, and is being explored by companies including Amplimmune, Inc., or Amplimmune, AstraZeneca PLC, or AstraZeneca, Bristol-Myers Squibb Co., or Bristol-Myers, GlaxoSmithKline plc, or GSK, and Merck &amp; Co., or Merck. The chart below describes our understanding of various B7 immune regulator targets and current marketed products and clinical stage product candidates addressing such targets.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386" w:right="21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B7 Immune Regulator Family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8"/>
              </w:rPr>
              <w:t>Antigen-Presenting Cell</w:t>
            </w:r>
          </w:p>
        </w:tc>
        <w:tc>
          <w:tcPr>
            <w:tcW w:w="1780" w:type="dxa"/>
            <w:vAlign w:val="bottom"/>
          </w:tcPr>
          <w:p>
            <w:pPr>
              <w:spacing w:after="0"/>
              <w:rPr>
                <w:sz w:val="10"/>
                <w:szCs w:val="10"/>
                <w:color w:val="auto"/>
              </w:rPr>
            </w:pPr>
          </w:p>
        </w:tc>
        <w:tc>
          <w:tcPr>
            <w:tcW w:w="1360" w:type="dxa"/>
            <w:vAlign w:val="bottom"/>
            <w:vMerge w:val="restart"/>
          </w:tcPr>
          <w:p>
            <w:pPr>
              <w:ind w:left="1000"/>
              <w:spacing w:after="0"/>
              <w:rPr>
                <w:sz w:val="20"/>
                <w:szCs w:val="20"/>
                <w:color w:val="auto"/>
              </w:rPr>
            </w:pPr>
            <w:r>
              <w:rPr>
                <w:rFonts w:ascii="Arial" w:cs="Arial" w:eastAsia="Arial" w:hAnsi="Arial"/>
                <w:sz w:val="14"/>
                <w:szCs w:val="14"/>
                <w:color w:val="auto"/>
                <w:w w:val="77"/>
              </w:rPr>
              <w:t>CTLA4</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5"/>
              </w:rPr>
              <w:t>T Cell</w:t>
            </w:r>
          </w:p>
        </w:tc>
        <w:tc>
          <w:tcPr>
            <w:tcW w:w="1200" w:type="dxa"/>
            <w:vAlign w:val="bottom"/>
            <w:vMerge w:val="restart"/>
          </w:tcPr>
          <w:p>
            <w:pPr>
              <w:ind w:left="720"/>
              <w:spacing w:after="0"/>
              <w:rPr>
                <w:sz w:val="20"/>
                <w:szCs w:val="20"/>
                <w:color w:val="auto"/>
              </w:rPr>
            </w:pPr>
            <w:r>
              <w:rPr>
                <w:rFonts w:ascii="Arial" w:cs="Arial" w:eastAsia="Arial" w:hAnsi="Arial"/>
                <w:sz w:val="14"/>
                <w:szCs w:val="14"/>
                <w:color w:val="auto"/>
                <w:w w:val="80"/>
              </w:rPr>
              <w:t>Inhibitory</w:t>
            </w:r>
          </w:p>
        </w:tc>
        <w:tc>
          <w:tcPr>
            <w:tcW w:w="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Function</w:t>
            </w:r>
          </w:p>
        </w:tc>
        <w:tc>
          <w:tcPr>
            <w:tcW w:w="2300" w:type="dxa"/>
            <w:vAlign w:val="bottom"/>
            <w:vMerge w:val="restart"/>
          </w:tcPr>
          <w:p>
            <w:pPr>
              <w:ind w:left="820"/>
              <w:spacing w:after="0"/>
              <w:rPr>
                <w:sz w:val="20"/>
                <w:szCs w:val="20"/>
                <w:color w:val="auto"/>
              </w:rPr>
            </w:pPr>
            <w:r>
              <w:rPr>
                <w:rFonts w:ascii="Arial" w:cs="Arial" w:eastAsia="Arial" w:hAnsi="Arial"/>
                <w:sz w:val="14"/>
                <w:szCs w:val="14"/>
                <w:color w:val="auto"/>
                <w:w w:val="95"/>
              </w:rPr>
              <w:t>Ipilimumab (marketed by</w:t>
            </w: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96"/>
              </w:rPr>
              <w:t>Product or Product Candidates</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920" w:type="dxa"/>
            <w:vAlign w:val="bottom"/>
            <w:gridSpan w:val="2"/>
          </w:tcPr>
          <w:p>
            <w:pPr>
              <w:spacing w:after="0" w:line="150" w:lineRule="exact"/>
              <w:rPr>
                <w:sz w:val="20"/>
                <w:szCs w:val="20"/>
                <w:color w:val="auto"/>
              </w:rPr>
            </w:pPr>
            <w:r>
              <w:rPr>
                <w:rFonts w:ascii="Arial" w:cs="Arial" w:eastAsia="Arial" w:hAnsi="Arial"/>
                <w:sz w:val="14"/>
                <w:szCs w:val="14"/>
                <w:color w:val="auto"/>
              </w:rPr>
              <w:t>CD80 (B7-1) or CD86 (B7-2)</w:t>
            </w:r>
          </w:p>
        </w:tc>
        <w:tc>
          <w:tcPr>
            <w:tcW w:w="13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1500" w:type="dxa"/>
            <w:vAlign w:val="bottom"/>
          </w:tcPr>
          <w:p>
            <w:pPr>
              <w:spacing w:after="0" w:line="150" w:lineRule="exact"/>
              <w:rPr>
                <w:sz w:val="20"/>
                <w:szCs w:val="20"/>
                <w:color w:val="auto"/>
              </w:rPr>
            </w:pPr>
            <w:r>
              <w:rPr>
                <w:rFonts w:ascii="Arial" w:cs="Arial" w:eastAsia="Arial" w:hAnsi="Arial"/>
                <w:sz w:val="14"/>
                <w:szCs w:val="14"/>
                <w:color w:val="auto"/>
              </w:rPr>
              <w:t>Bristol-Myers)</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rPr>
              <w:t>Anti-CTLA4 (AstraZeneca, Phase 2)</w:t>
            </w:r>
          </w:p>
        </w:tc>
        <w:tc>
          <w:tcPr>
            <w:tcW w:w="0" w:type="dxa"/>
            <w:vAlign w:val="bottom"/>
          </w:tcPr>
          <w:p>
            <w:pPr>
              <w:spacing w:after="0"/>
              <w:rPr>
                <w:sz w:val="1"/>
                <w:szCs w:val="1"/>
                <w:color w:val="auto"/>
              </w:rPr>
            </w:pPr>
          </w:p>
        </w:tc>
      </w:tr>
      <w:tr>
        <w:trPr>
          <w:trHeight w:val="164"/>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CD80 (B7-1) or CD86 (B7-2)</w:t>
            </w:r>
          </w:p>
        </w:tc>
        <w:tc>
          <w:tcPr>
            <w:tcW w:w="16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CD28</w:t>
            </w:r>
          </w:p>
        </w:tc>
        <w:tc>
          <w:tcPr>
            <w:tcW w:w="16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Activating</w:t>
            </w:r>
          </w:p>
        </w:tc>
        <w:tc>
          <w:tcPr>
            <w:tcW w:w="52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920" w:type="dxa"/>
            <w:vAlign w:val="bottom"/>
            <w:gridSpan w:val="2"/>
          </w:tcPr>
          <w:p>
            <w:pPr>
              <w:spacing w:after="0" w:line="150" w:lineRule="exact"/>
              <w:rPr>
                <w:sz w:val="20"/>
                <w:szCs w:val="20"/>
                <w:color w:val="auto"/>
              </w:rPr>
            </w:pPr>
            <w:r>
              <w:rPr>
                <w:rFonts w:ascii="Arial" w:cs="Arial" w:eastAsia="Arial" w:hAnsi="Arial"/>
                <w:sz w:val="14"/>
                <w:szCs w:val="14"/>
                <w:color w:val="auto"/>
              </w:rPr>
              <w:t>PD-L1 (B7-H1) or PD-L2 (B7-DC)</w:t>
            </w:r>
          </w:p>
        </w:tc>
        <w:tc>
          <w:tcPr>
            <w:tcW w:w="1660" w:type="dxa"/>
            <w:vAlign w:val="bottom"/>
            <w:gridSpan w:val="2"/>
          </w:tcPr>
          <w:p>
            <w:pPr>
              <w:ind w:left="1000"/>
              <w:spacing w:after="0" w:line="150" w:lineRule="exact"/>
              <w:rPr>
                <w:sz w:val="20"/>
                <w:szCs w:val="20"/>
                <w:color w:val="auto"/>
              </w:rPr>
            </w:pPr>
            <w:r>
              <w:rPr>
                <w:rFonts w:ascii="Arial" w:cs="Arial" w:eastAsia="Arial" w:hAnsi="Arial"/>
                <w:sz w:val="14"/>
                <w:szCs w:val="14"/>
                <w:color w:val="auto"/>
              </w:rPr>
              <w:t>PD1</w:t>
            </w:r>
          </w:p>
        </w:tc>
        <w:tc>
          <w:tcPr>
            <w:tcW w:w="1600" w:type="dxa"/>
            <w:vAlign w:val="bottom"/>
            <w:gridSpan w:val="2"/>
          </w:tcPr>
          <w:p>
            <w:pPr>
              <w:ind w:left="720"/>
              <w:spacing w:after="0" w:line="150" w:lineRule="exact"/>
              <w:rPr>
                <w:sz w:val="20"/>
                <w:szCs w:val="20"/>
                <w:color w:val="auto"/>
              </w:rPr>
            </w:pPr>
            <w:r>
              <w:rPr>
                <w:rFonts w:ascii="Arial" w:cs="Arial" w:eastAsia="Arial" w:hAnsi="Arial"/>
                <w:sz w:val="14"/>
                <w:szCs w:val="14"/>
                <w:color w:val="auto"/>
              </w:rPr>
              <w:t>Inhibitory</w:t>
            </w:r>
          </w:p>
        </w:tc>
        <w:tc>
          <w:tcPr>
            <w:tcW w:w="5280" w:type="dxa"/>
            <w:vAlign w:val="bottom"/>
            <w:gridSpan w:val="3"/>
          </w:tcPr>
          <w:p>
            <w:pPr>
              <w:ind w:left="820"/>
              <w:spacing w:after="0" w:line="150" w:lineRule="exact"/>
              <w:rPr>
                <w:sz w:val="20"/>
                <w:szCs w:val="20"/>
                <w:color w:val="auto"/>
              </w:rPr>
            </w:pPr>
            <w:r>
              <w:rPr>
                <w:rFonts w:ascii="Arial" w:cs="Arial" w:eastAsia="Arial" w:hAnsi="Arial"/>
                <w:sz w:val="14"/>
                <w:szCs w:val="14"/>
                <w:color w:val="auto"/>
              </w:rPr>
              <w:t>Anti-PD1 (Merck, Phase 2)</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80" w:type="dxa"/>
            <w:vAlign w:val="bottom"/>
            <w:gridSpan w:val="3"/>
          </w:tcPr>
          <w:p>
            <w:pPr>
              <w:ind w:left="820"/>
              <w:spacing w:after="0"/>
              <w:rPr>
                <w:sz w:val="20"/>
                <w:szCs w:val="20"/>
                <w:color w:val="auto"/>
              </w:rPr>
            </w:pPr>
            <w:r>
              <w:rPr>
                <w:rFonts w:ascii="Arial" w:cs="Arial" w:eastAsia="Arial" w:hAnsi="Arial"/>
                <w:sz w:val="14"/>
                <w:szCs w:val="14"/>
                <w:color w:val="auto"/>
              </w:rPr>
              <w:t>Anti-PD1 (Bristol-Myers, Phase 3)</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80" w:type="dxa"/>
            <w:vAlign w:val="bottom"/>
            <w:gridSpan w:val="3"/>
          </w:tcPr>
          <w:p>
            <w:pPr>
              <w:ind w:left="820"/>
              <w:spacing w:after="0"/>
              <w:rPr>
                <w:sz w:val="20"/>
                <w:szCs w:val="20"/>
                <w:color w:val="auto"/>
              </w:rPr>
            </w:pPr>
            <w:r>
              <w:rPr>
                <w:rFonts w:ascii="Arial" w:cs="Arial" w:eastAsia="Arial" w:hAnsi="Arial"/>
                <w:sz w:val="14"/>
                <w:szCs w:val="14"/>
                <w:color w:val="auto"/>
              </w:rPr>
              <w:t>Anti-PD-L1 (Bristol-Myers, Phase 2)</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80" w:type="dxa"/>
            <w:vAlign w:val="bottom"/>
            <w:gridSpan w:val="3"/>
          </w:tcPr>
          <w:p>
            <w:pPr>
              <w:ind w:left="820"/>
              <w:spacing w:after="0"/>
              <w:rPr>
                <w:sz w:val="20"/>
                <w:szCs w:val="20"/>
                <w:color w:val="auto"/>
              </w:rPr>
            </w:pPr>
            <w:r>
              <w:rPr>
                <w:rFonts w:ascii="Arial" w:cs="Arial" w:eastAsia="Arial" w:hAnsi="Arial"/>
                <w:sz w:val="14"/>
                <w:szCs w:val="14"/>
                <w:color w:val="auto"/>
              </w:rPr>
              <w:t>Anti-PD-L1/Fc fusion (GSK/Amplimmune, Phase 1)</w:t>
            </w:r>
          </w:p>
        </w:tc>
        <w:tc>
          <w:tcPr>
            <w:tcW w:w="0" w:type="dxa"/>
            <w:vAlign w:val="bottom"/>
          </w:tcPr>
          <w:p>
            <w:pPr>
              <w:spacing w:after="0"/>
              <w:rPr>
                <w:sz w:val="1"/>
                <w:szCs w:val="1"/>
                <w:color w:val="auto"/>
              </w:rPr>
            </w:pPr>
          </w:p>
        </w:tc>
      </w:tr>
      <w:tr>
        <w:trPr>
          <w:trHeight w:val="179"/>
        </w:trPr>
        <w:tc>
          <w:tcPr>
            <w:tcW w:w="1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rPr>
              <w:t>Anti-PD-L1 (Roche, Phase 2)</w:t>
            </w:r>
          </w:p>
        </w:tc>
        <w:tc>
          <w:tcPr>
            <w:tcW w:w="0" w:type="dxa"/>
            <w:vAlign w:val="bottom"/>
          </w:tcPr>
          <w:p>
            <w:pPr>
              <w:spacing w:after="0"/>
              <w:rPr>
                <w:sz w:val="1"/>
                <w:szCs w:val="1"/>
                <w:color w:val="auto"/>
              </w:rPr>
            </w:pPr>
          </w:p>
        </w:tc>
      </w:tr>
      <w:tr>
        <w:trPr>
          <w:trHeight w:val="164"/>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B7RP1 (B7-H2)</w:t>
            </w:r>
          </w:p>
        </w:tc>
        <w:tc>
          <w:tcPr>
            <w:tcW w:w="16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ICOS</w:t>
            </w:r>
          </w:p>
        </w:tc>
        <w:tc>
          <w:tcPr>
            <w:tcW w:w="16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Activating</w:t>
            </w:r>
          </w:p>
        </w:tc>
        <w:tc>
          <w:tcPr>
            <w:tcW w:w="52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rPr>
              <w:t>AMG 557 (Amgen/AstraZeneca, Phase 1)</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gridSpan w:val="2"/>
            <w:shd w:val="clear" w:color="auto" w:fill="CCCCCC"/>
          </w:tcPr>
          <w:p>
            <w:pPr>
              <w:spacing w:after="0" w:line="157" w:lineRule="exact"/>
              <w:rPr>
                <w:sz w:val="20"/>
                <w:szCs w:val="20"/>
                <w:color w:val="auto"/>
              </w:rPr>
            </w:pPr>
            <w:r>
              <w:rPr>
                <w:rFonts w:ascii="Arial" w:cs="Arial" w:eastAsia="Arial" w:hAnsi="Arial"/>
                <w:sz w:val="14"/>
                <w:szCs w:val="14"/>
                <w:color w:val="auto"/>
              </w:rPr>
              <w:t>B7-H3</w:t>
            </w:r>
          </w:p>
        </w:tc>
        <w:tc>
          <w:tcPr>
            <w:tcW w:w="1660" w:type="dxa"/>
            <w:vAlign w:val="bottom"/>
            <w:tcBorders>
              <w:bottom w:val="single" w:sz="8" w:color="auto"/>
            </w:tcBorders>
            <w:gridSpan w:val="2"/>
            <w:shd w:val="clear" w:color="auto" w:fill="CCCCCC"/>
          </w:tcPr>
          <w:p>
            <w:pPr>
              <w:ind w:left="1000"/>
              <w:spacing w:after="0" w:line="157" w:lineRule="exact"/>
              <w:rPr>
                <w:sz w:val="20"/>
                <w:szCs w:val="20"/>
                <w:color w:val="auto"/>
              </w:rPr>
            </w:pPr>
            <w:r>
              <w:rPr>
                <w:rFonts w:ascii="Arial" w:cs="Arial" w:eastAsia="Arial" w:hAnsi="Arial"/>
                <w:sz w:val="14"/>
                <w:szCs w:val="14"/>
                <w:color w:val="auto"/>
              </w:rPr>
              <w:t>Unknown</w:t>
            </w:r>
          </w:p>
        </w:tc>
        <w:tc>
          <w:tcPr>
            <w:tcW w:w="1600" w:type="dxa"/>
            <w:vAlign w:val="bottom"/>
            <w:tcBorders>
              <w:bottom w:val="single" w:sz="8" w:color="auto"/>
            </w:tcBorders>
            <w:gridSpan w:val="2"/>
            <w:shd w:val="clear" w:color="auto" w:fill="CCCCCC"/>
          </w:tcPr>
          <w:p>
            <w:pPr>
              <w:ind w:left="720"/>
              <w:spacing w:after="0" w:line="157" w:lineRule="exact"/>
              <w:rPr>
                <w:sz w:val="20"/>
                <w:szCs w:val="20"/>
                <w:color w:val="auto"/>
              </w:rPr>
            </w:pPr>
            <w:r>
              <w:rPr>
                <w:rFonts w:ascii="Arial" w:cs="Arial" w:eastAsia="Arial" w:hAnsi="Arial"/>
                <w:sz w:val="14"/>
                <w:szCs w:val="14"/>
                <w:color w:val="auto"/>
              </w:rPr>
              <w:t>Inhibitory</w:t>
            </w:r>
          </w:p>
        </w:tc>
        <w:tc>
          <w:tcPr>
            <w:tcW w:w="5280" w:type="dxa"/>
            <w:vAlign w:val="bottom"/>
            <w:tcBorders>
              <w:bottom w:val="single" w:sz="8" w:color="auto"/>
            </w:tcBorders>
            <w:gridSpan w:val="3"/>
            <w:shd w:val="clear" w:color="auto" w:fill="CCCCCC"/>
          </w:tcPr>
          <w:p>
            <w:pPr>
              <w:ind w:left="820"/>
              <w:spacing w:after="0" w:line="157" w:lineRule="exact"/>
              <w:rPr>
                <w:sz w:val="20"/>
                <w:szCs w:val="20"/>
                <w:color w:val="auto"/>
              </w:rPr>
            </w:pPr>
            <w:r>
              <w:rPr>
                <w:rFonts w:ascii="Arial" w:cs="Arial" w:eastAsia="Arial" w:hAnsi="Arial"/>
                <w:sz w:val="14"/>
                <w:szCs w:val="14"/>
                <w:color w:val="auto"/>
              </w:rPr>
              <w:t>MGA271 (MacroGenics, Phase 1)</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B7-H4</w:t>
            </w:r>
          </w:p>
        </w:tc>
        <w:tc>
          <w:tcPr>
            <w:tcW w:w="1660" w:type="dxa"/>
            <w:vAlign w:val="bottom"/>
            <w:tcBorders>
              <w:bottom w:val="single" w:sz="8" w:color="auto"/>
            </w:tcBorders>
            <w:gridSpan w:val="2"/>
          </w:tcPr>
          <w:p>
            <w:pPr>
              <w:ind w:left="1000"/>
              <w:spacing w:after="0" w:line="157" w:lineRule="exact"/>
              <w:rPr>
                <w:sz w:val="20"/>
                <w:szCs w:val="20"/>
                <w:color w:val="auto"/>
              </w:rPr>
            </w:pPr>
            <w:r>
              <w:rPr>
                <w:rFonts w:ascii="Arial" w:cs="Arial" w:eastAsia="Arial" w:hAnsi="Arial"/>
                <w:sz w:val="14"/>
                <w:szCs w:val="14"/>
                <w:color w:val="auto"/>
              </w:rPr>
              <w:t>Unknown</w:t>
            </w:r>
          </w:p>
        </w:tc>
        <w:tc>
          <w:tcPr>
            <w:tcW w:w="1600" w:type="dxa"/>
            <w:vAlign w:val="bottom"/>
            <w:tcBorders>
              <w:bottom w:val="single" w:sz="8" w:color="auto"/>
            </w:tcBorders>
            <w:gridSpan w:val="2"/>
          </w:tcPr>
          <w:p>
            <w:pPr>
              <w:ind w:left="720"/>
              <w:spacing w:after="0" w:line="157" w:lineRule="exact"/>
              <w:rPr>
                <w:sz w:val="20"/>
                <w:szCs w:val="20"/>
                <w:color w:val="auto"/>
              </w:rPr>
            </w:pPr>
            <w:r>
              <w:rPr>
                <w:rFonts w:ascii="Arial" w:cs="Arial" w:eastAsia="Arial" w:hAnsi="Arial"/>
                <w:sz w:val="14"/>
                <w:szCs w:val="14"/>
                <w:color w:val="auto"/>
              </w:rPr>
              <w:t>Inhibitory</w:t>
            </w:r>
          </w:p>
        </w:tc>
        <w:tc>
          <w:tcPr>
            <w:tcW w:w="5280" w:type="dxa"/>
            <w:vAlign w:val="bottom"/>
            <w:tcBorders>
              <w:bottom w:val="single" w:sz="8" w:color="auto"/>
            </w:tcBorders>
            <w:gridSpan w:val="3"/>
          </w:tcPr>
          <w:p>
            <w:pPr>
              <w:ind w:left="8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B7-H5 (VISTA)</w:t>
            </w:r>
          </w:p>
        </w:tc>
        <w:tc>
          <w:tcPr>
            <w:tcW w:w="1660" w:type="dxa"/>
            <w:vAlign w:val="bottom"/>
            <w:tcBorders>
              <w:bottom w:val="single" w:sz="8" w:color="auto"/>
            </w:tcBorders>
            <w:gridSpan w:val="2"/>
          </w:tcPr>
          <w:p>
            <w:pPr>
              <w:ind w:left="1000"/>
              <w:spacing w:after="0" w:line="157" w:lineRule="exact"/>
              <w:rPr>
                <w:sz w:val="20"/>
                <w:szCs w:val="20"/>
                <w:color w:val="auto"/>
              </w:rPr>
            </w:pPr>
            <w:r>
              <w:rPr>
                <w:rFonts w:ascii="Arial" w:cs="Arial" w:eastAsia="Arial" w:hAnsi="Arial"/>
                <w:sz w:val="14"/>
                <w:szCs w:val="14"/>
                <w:color w:val="auto"/>
              </w:rPr>
              <w:t>Unknown</w:t>
            </w:r>
          </w:p>
        </w:tc>
        <w:tc>
          <w:tcPr>
            <w:tcW w:w="1600" w:type="dxa"/>
            <w:vAlign w:val="bottom"/>
            <w:tcBorders>
              <w:bottom w:val="single" w:sz="8" w:color="auto"/>
            </w:tcBorders>
            <w:gridSpan w:val="2"/>
          </w:tcPr>
          <w:p>
            <w:pPr>
              <w:ind w:left="720"/>
              <w:spacing w:after="0" w:line="157" w:lineRule="exact"/>
              <w:rPr>
                <w:sz w:val="20"/>
                <w:szCs w:val="20"/>
                <w:color w:val="auto"/>
              </w:rPr>
            </w:pPr>
            <w:r>
              <w:rPr>
                <w:rFonts w:ascii="Arial" w:cs="Arial" w:eastAsia="Arial" w:hAnsi="Arial"/>
                <w:sz w:val="14"/>
                <w:szCs w:val="14"/>
                <w:color w:val="auto"/>
              </w:rPr>
              <w:t>Inhibitory</w:t>
            </w:r>
          </w:p>
        </w:tc>
        <w:tc>
          <w:tcPr>
            <w:tcW w:w="5280" w:type="dxa"/>
            <w:vAlign w:val="bottom"/>
            <w:tcBorders>
              <w:bottom w:val="single" w:sz="8" w:color="auto"/>
            </w:tcBorders>
            <w:gridSpan w:val="3"/>
          </w:tcPr>
          <w:p>
            <w:pPr>
              <w:ind w:left="8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B7-H6</w:t>
            </w:r>
          </w:p>
        </w:tc>
        <w:tc>
          <w:tcPr>
            <w:tcW w:w="1660" w:type="dxa"/>
            <w:vAlign w:val="bottom"/>
            <w:tcBorders>
              <w:bottom w:val="single" w:sz="8" w:color="auto"/>
            </w:tcBorders>
            <w:gridSpan w:val="2"/>
          </w:tcPr>
          <w:p>
            <w:pPr>
              <w:ind w:left="1000"/>
              <w:spacing w:after="0" w:line="157" w:lineRule="exact"/>
              <w:rPr>
                <w:sz w:val="20"/>
                <w:szCs w:val="20"/>
                <w:color w:val="auto"/>
              </w:rPr>
            </w:pPr>
            <w:r>
              <w:rPr>
                <w:rFonts w:ascii="Arial" w:cs="Arial" w:eastAsia="Arial" w:hAnsi="Arial"/>
                <w:sz w:val="14"/>
                <w:szCs w:val="14"/>
                <w:color w:val="auto"/>
              </w:rPr>
              <w:t>NKp30</w:t>
            </w:r>
          </w:p>
        </w:tc>
        <w:tc>
          <w:tcPr>
            <w:tcW w:w="1600" w:type="dxa"/>
            <w:vAlign w:val="bottom"/>
            <w:tcBorders>
              <w:bottom w:val="single" w:sz="8" w:color="auto"/>
            </w:tcBorders>
            <w:gridSpan w:val="2"/>
          </w:tcPr>
          <w:p>
            <w:pPr>
              <w:ind w:left="720"/>
              <w:spacing w:after="0" w:line="157" w:lineRule="exact"/>
              <w:rPr>
                <w:sz w:val="20"/>
                <w:szCs w:val="20"/>
                <w:color w:val="auto"/>
              </w:rPr>
            </w:pPr>
            <w:r>
              <w:rPr>
                <w:rFonts w:ascii="Arial" w:cs="Arial" w:eastAsia="Arial" w:hAnsi="Arial"/>
                <w:sz w:val="14"/>
                <w:szCs w:val="14"/>
                <w:color w:val="auto"/>
              </w:rPr>
              <w:t>Activating</w:t>
            </w:r>
          </w:p>
        </w:tc>
        <w:tc>
          <w:tcPr>
            <w:tcW w:w="5280" w:type="dxa"/>
            <w:vAlign w:val="bottom"/>
            <w:tcBorders>
              <w:bottom w:val="single" w:sz="8" w:color="auto"/>
            </w:tcBorders>
            <w:gridSpan w:val="3"/>
          </w:tcPr>
          <w:p>
            <w:pPr>
              <w:ind w:left="8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400" w:firstLine="802"/>
        <w:spacing w:after="0" w:line="351" w:lineRule="auto"/>
        <w:rPr>
          <w:sz w:val="20"/>
          <w:szCs w:val="20"/>
          <w:color w:val="auto"/>
        </w:rPr>
      </w:pPr>
      <w:r>
        <w:rPr>
          <w:rFonts w:ascii="Arial" w:cs="Arial" w:eastAsia="Arial" w:hAnsi="Arial"/>
          <w:sz w:val="12"/>
          <w:szCs w:val="12"/>
          <w:color w:val="auto"/>
        </w:rPr>
        <w:t>In our own analysis of fixed tumor microarrays representing more than 700 samples across various tumor types including glioblastoma, thyroid, gastroesophageal, breast, pancreas, prostate, melanoma and ovarian cancers, we saw B7-H3 expression in approximately 70 – 99% of tumor samples, with high expression (2+ or greater by IHC) in most of these tumor types.</w:t>
      </w:r>
    </w:p>
    <w:p>
      <w:pPr>
        <w:spacing w:after="0" w:line="56"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B7-H3 inhibits T cell activation and cytokine production. Other examples of inhibitors of T cell activation include the immune check-point regulators PD1 and CTLA4. Anti-PD1 and anti-CTLA4 (e.g., ipilimumab) antibodies have shown therapeutic effects in patients with melanoma, renal cell carcinoma, and non-small-cell lung cancer and are being tested in individuals with several other types of cancers.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Development of MGA271</w:t>
      </w:r>
    </w:p>
    <w:p>
      <w:pPr>
        <w:spacing w:after="0" w:line="132" w:lineRule="exact"/>
        <w:rPr>
          <w:sz w:val="20"/>
          <w:szCs w:val="20"/>
          <w:color w:val="auto"/>
        </w:rPr>
      </w:pPr>
    </w:p>
    <w:p>
      <w:pPr>
        <w:ind w:right="200" w:firstLine="802"/>
        <w:spacing w:after="0" w:line="351" w:lineRule="auto"/>
        <w:rPr>
          <w:sz w:val="20"/>
          <w:szCs w:val="20"/>
          <w:color w:val="auto"/>
        </w:rPr>
      </w:pPr>
      <w:r>
        <w:rPr>
          <w:rFonts w:ascii="Arial" w:cs="Arial" w:eastAsia="Arial" w:hAnsi="Arial"/>
          <w:sz w:val="12"/>
          <w:szCs w:val="12"/>
          <w:color w:val="auto"/>
        </w:rPr>
        <w:t>We have evaluated the ability of MGA271 to mediate ADCC activity across multiple cancer types expressing varying levels of B7-H3 as determined by flow cytometry. The cancer types tested included melanoma, lung cancer, prostate cancer, breast cancer, bladder cancer, and renal cancer cell lines. MGA271 mediated ADCC activity against all tumor lines that express B7-H3 at detectable levels.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386" w:right="21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MGA271 exhibited anti-tumor activity in mouse models when administered approximately one week after tumor cell implantation (as shown below), or after tumors were allowed to become fully established (approximately three weeks after implantation when tumors were approximately 300 mm</w:t>
      </w:r>
      <w:r>
        <w:rPr>
          <w:rFonts w:ascii="Arial" w:cs="Arial" w:eastAsia="Arial" w:hAnsi="Arial"/>
          <w:sz w:val="8"/>
          <w:szCs w:val="8"/>
          <w:color w:val="auto"/>
        </w:rPr>
        <w:t>3</w:t>
      </w:r>
      <w:r>
        <w:rPr>
          <w:rFonts w:ascii="Arial" w:cs="Arial" w:eastAsia="Arial" w:hAnsi="Arial"/>
          <w:sz w:val="14"/>
          <w:szCs w:val="14"/>
          <w:color w:val="auto"/>
        </w:rPr>
        <w:t xml:space="preserve"> in volume).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Anti-Tumor Efficacy of MGA271</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a Pre-clinical Model of Renal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104775</wp:posOffset>
            </wp:positionV>
            <wp:extent cx="2971800" cy="2328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71800" cy="232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351" w:lineRule="auto"/>
        <w:rPr>
          <w:sz w:val="20"/>
          <w:szCs w:val="20"/>
          <w:color w:val="auto"/>
        </w:rPr>
      </w:pPr>
      <w:r>
        <w:rPr>
          <w:rFonts w:ascii="Arial" w:cs="Arial" w:eastAsia="Arial" w:hAnsi="Arial"/>
          <w:sz w:val="12"/>
          <w:szCs w:val="12"/>
          <w:i w:val="1"/>
          <w:iCs w:val="1"/>
          <w:color w:val="auto"/>
        </w:rPr>
        <w:t>Cells from a renal cell carcinoma tumor line were implanted subcutaneously in immunodeficient mice that expressed the lower-binding form of human CD16A. MGA271 was administered intravenously weekly at the indicated dose levels as shown by arrows above. All dosages of MGA271, including 0.1 mg/kg, inhibited tumor growth when compared to both control groups, vehicle or lgG.</w:t>
      </w:r>
    </w:p>
    <w:p>
      <w:pPr>
        <w:spacing w:after="0" w:line="56" w:lineRule="exact"/>
        <w:rPr>
          <w:sz w:val="20"/>
          <w:szCs w:val="20"/>
          <w:color w:val="auto"/>
        </w:rPr>
      </w:pPr>
    </w:p>
    <w:p>
      <w:pPr>
        <w:ind w:right="260" w:firstLine="802"/>
        <w:spacing w:after="0" w:line="267" w:lineRule="auto"/>
        <w:rPr>
          <w:sz w:val="20"/>
          <w:szCs w:val="20"/>
          <w:color w:val="auto"/>
        </w:rPr>
      </w:pPr>
      <w:r>
        <w:rPr>
          <w:rFonts w:ascii="Arial" w:cs="Arial" w:eastAsia="Arial" w:hAnsi="Arial"/>
          <w:sz w:val="14"/>
          <w:szCs w:val="14"/>
          <w:color w:val="auto"/>
        </w:rPr>
        <w:t>A repeat dose Good Laboratory Practice, or GLP, toxicology study was conducted in cynomolgus monkeys to determine the potential toxicity of MGA271. MGA271 was well tolerated when administered by IV infusion at four weekly doses of up to150 mg/kg. The no observed adverse effect level was considered to be 150 mg/kg.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Development of MGA271</w:t>
      </w:r>
    </w:p>
    <w:p>
      <w:pPr>
        <w:spacing w:after="0" w:line="132" w:lineRule="exact"/>
        <w:rPr>
          <w:sz w:val="20"/>
          <w:szCs w:val="20"/>
          <w:color w:val="auto"/>
        </w:rPr>
      </w:pPr>
    </w:p>
    <w:p>
      <w:pPr>
        <w:ind w:right="40" w:firstLine="802"/>
        <w:spacing w:after="0" w:line="267" w:lineRule="auto"/>
        <w:rPr>
          <w:sz w:val="20"/>
          <w:szCs w:val="20"/>
          <w:color w:val="auto"/>
        </w:rPr>
      </w:pPr>
      <w:r>
        <w:rPr>
          <w:rFonts w:ascii="Arial" w:cs="Arial" w:eastAsia="Arial" w:hAnsi="Arial"/>
          <w:sz w:val="14"/>
          <w:szCs w:val="14"/>
          <w:color w:val="auto"/>
        </w:rPr>
        <w:t>We have initiated a Phase 1 clinical trial that we expect to complete in 2014. We plan to initiate a Phase 2 clinical trial no later than early 2015. We submitted an IND in March 2011 for MGA271 for the treatment of patients with refractory B7-H3-expressing tumors.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Phase 1 Clinical Trial</w:t>
      </w:r>
    </w:p>
    <w:p>
      <w:pPr>
        <w:spacing w:after="0" w:line="132"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The Phase 1 trial is an open-label, multi-dose, single-arm, multi-center, dose-escalation clinical trial. This trial includes patients with B7-H3-expressing tumors, such as prostate cancer, pancreatic cancer, melanoma and ovarian cancer, and tumors whose vasculature exhibits B7-H3 expression, such as glioblastoma, renal cell carcinoma and ovarian cancer. The clinical trial began with a dose escalation segment in which patients were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00"/>
          </w:cols>
          <w:pgMar w:left="220" w:top="387" w:right="2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treated with increasing weekly doses of MGA271 from 0.01 mg/kg up to 15 mg/kg. We have not seen any dose limiting toxicity, and we initiated an expansion phase in the third quarter of 2013 at a dose of 15 mg/kg. During the expansion phase, we are recruiting an additional 15 patients to each of three cohorts that represent a distinct patient population determined by histology: 1) patients with melanoma, 2) patients with prostate cancer and 3) patients with any B7-H3 positive tumor other than melanoma or prostate cancer with the limitation of a maximum of five patients with any single histologic type such as colorectal adenocarcinoma or histologic subgroup such as sarcoma. In addition, Servier has indicated that it intends to evaluate MGA271 in up to 90 additional cancer patients representing additional types of cancers beginning in the fourth quarter of 2013.</w:t>
      </w:r>
    </w:p>
    <w:p>
      <w:pPr>
        <w:spacing w:after="0" w:line="113" w:lineRule="exact"/>
        <w:rPr>
          <w:sz w:val="20"/>
          <w:szCs w:val="20"/>
          <w:color w:val="auto"/>
        </w:rPr>
      </w:pPr>
    </w:p>
    <w:p>
      <w:pPr>
        <w:ind w:right="20" w:firstLine="802"/>
        <w:spacing w:after="0" w:line="267" w:lineRule="auto"/>
        <w:rPr>
          <w:sz w:val="20"/>
          <w:szCs w:val="20"/>
          <w:color w:val="auto"/>
        </w:rPr>
      </w:pPr>
      <w:r>
        <w:rPr>
          <w:rFonts w:ascii="Arial" w:cs="Arial" w:eastAsia="Arial" w:hAnsi="Arial"/>
          <w:sz w:val="14"/>
          <w:szCs w:val="14"/>
          <w:color w:val="auto"/>
        </w:rPr>
        <w:t>We have enrolled a total of 26 patients in the trial through the dose escalation portion, with 15 different types of tumors. Ten patients received additional cycles of MGA271 treatment and all have had stable disease at the first tumor re-assessment. The most frequent adverse events in the trial were mild or moderate infusion reactions.</w:t>
      </w:r>
    </w:p>
    <w:p>
      <w:pPr>
        <w:spacing w:after="0" w:line="101" w:lineRule="exact"/>
        <w:rPr>
          <w:sz w:val="20"/>
          <w:szCs w:val="20"/>
          <w:color w:val="auto"/>
        </w:rPr>
      </w:pPr>
    </w:p>
    <w:p>
      <w:pPr>
        <w:ind w:right="80" w:firstLine="802"/>
        <w:spacing w:after="0" w:line="253" w:lineRule="auto"/>
        <w:rPr>
          <w:sz w:val="20"/>
          <w:szCs w:val="20"/>
          <w:color w:val="auto"/>
        </w:rPr>
      </w:pPr>
      <w:r>
        <w:rPr>
          <w:rFonts w:ascii="Arial" w:cs="Arial" w:eastAsia="Arial" w:hAnsi="Arial"/>
          <w:sz w:val="14"/>
          <w:szCs w:val="14"/>
          <w:color w:val="auto"/>
        </w:rPr>
        <w:t>Because anti-cancer monoclonal antibodies are target specific, the presence of the target on tumor cells is usually required for the desired biological effect of the antibody. An immunohistochemistry based companion diagnostic for MGA271 would detect the presence of B7-H3 on the cellular membrane of tumor cells. A positive result detecting B7-H3 on the cellular surface is currently required for trial eligibility and we expect it will be required for identification of appropriate candidates for MGA271 treatment should the product candidate be approved. We are working with two third party vendors for the development of the companion diagnostic, and we plan to contract with a vendor for future commercialization based on the results. We plan to have a companion diagnostic ready for incorporation into potential Phase 3 trials and are working with a collaborator to develop 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MGD006: DART-Based Molecule for Acute Myeloid Leukemia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2"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MGD006 is a humanized DART molecule that recognizes both CD123 and CD3. We are developing MGD006 for the treatment of hematologic cancers. The primary mechanism of action of MGD006 is its ability to redirect T cells which express CD3 to kill CD123 expressing cells, such as leukemic cells. We plan to submit the IND for MGD006 in early 2014. In addition, we plan to initiate a Phase 1 clinical trial of MGD006 in patients with relapsed or refractory acute myeloid leukemia, or AML, or in patients with untreated AML who are not candidates for standard induction chemotherapy in the first half of 2014.</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Role of CD123 in Acute Myeloid Leukemia</w:t>
      </w:r>
    </w:p>
    <w:p>
      <w:pPr>
        <w:spacing w:after="0" w:line="132" w:lineRule="exact"/>
        <w:rPr>
          <w:sz w:val="20"/>
          <w:szCs w:val="20"/>
          <w:color w:val="auto"/>
        </w:rPr>
      </w:pPr>
    </w:p>
    <w:p>
      <w:pPr>
        <w:ind w:right="20" w:firstLine="802"/>
        <w:spacing w:after="0" w:line="253" w:lineRule="auto"/>
        <w:rPr>
          <w:sz w:val="20"/>
          <w:szCs w:val="20"/>
          <w:color w:val="auto"/>
        </w:rPr>
      </w:pPr>
      <w:r>
        <w:rPr>
          <w:rFonts w:ascii="Arial" w:cs="Arial" w:eastAsia="Arial" w:hAnsi="Arial"/>
          <w:sz w:val="14"/>
          <w:szCs w:val="14"/>
          <w:color w:val="auto"/>
        </w:rPr>
        <w:t>CD123 has been reported to be overexpressed on malignant cells in a wide range of hematologic malignancies including AML and myelodysplastic syndrome, or MDS. Overexpression of CD123 is associated with a poorer prognosis in AML. AML and MDS are thought to arise in and be perpetuated by a small population of leukemic stem cells, or LSCs, which generally resist conventional chemotherapeutic agents. LSCs are characterized by high levels of CD123 expression, which is not present in the corresponding normal hematopoietic stem cell population in normal human bone marrow. CD123 is also expressed by plasmacytoid dendritic cells, or pDCs, basophils, endothelial cells and, to a lesser extent, monocytes and eosinophils. The anti-CD123 component of MGD006 is based on a humanized version of 7G3, a mouse monoclonal antibody directed against CD123.</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Potential Advantages of MGD006</w:t>
      </w:r>
    </w:p>
    <w:p>
      <w:pPr>
        <w:spacing w:after="0" w:line="132"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color w:val="auto"/>
        </w:rPr>
        <w:t>As a targeted therapy for CD123 expressing cells, we believe that MGD006 will have fewer side effects than conventional chemotherapeutic agents which broadly target rapidly dividing cells including cancer cells, normal hematopoietic stem cells and certain immune cells such as activated lymphocytes.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20" w:top="386" w:right="2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Moreover, because CD123 is expressed on the LSCs that perpetuate this disease, MGD006 will be targeting the source of the disease, and potentially deliver more durable remissions. This would represent an advance in AML therapy, because the LSCs that sustain this disease are generally resistant to the chemotherapy which is the standard approach to disease treatment. The resistance of LSCs to chemotherapy may be due to the fact that they are a rare, relatively dormant, cell type within the leukemic cell population and, therefore, are less susceptible to the primary mechanism of action of chemotherapeutic agents.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Development of MGD006</w:t>
      </w:r>
    </w:p>
    <w:p>
      <w:pPr>
        <w:spacing w:after="0" w:line="132" w:lineRule="exact"/>
        <w:rPr>
          <w:sz w:val="20"/>
          <w:szCs w:val="20"/>
          <w:color w:val="auto"/>
        </w:rPr>
      </w:pPr>
    </w:p>
    <w:p>
      <w:pPr>
        <w:ind w:right="60" w:firstLine="802"/>
        <w:spacing w:after="0" w:line="258" w:lineRule="auto"/>
        <w:rPr>
          <w:sz w:val="20"/>
          <w:szCs w:val="20"/>
          <w:color w:val="auto"/>
        </w:rPr>
      </w:pPr>
      <w:r>
        <w:rPr>
          <w:rFonts w:ascii="Arial" w:cs="Arial" w:eastAsia="Arial" w:hAnsi="Arial"/>
          <w:sz w:val="14"/>
          <w:szCs w:val="14"/>
          <w:color w:val="auto"/>
        </w:rPr>
        <w:t xml:space="preserve">We have demonstrated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experiments that MGD006 is able to mediate T cell killing of CD123-expressing cells.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model of T cell-mediated killing of AML cells, addition of MGD006 led to destruction of AML cells derived from leukemia patients. Three leukemia cell lines expressing CD123 were exposed to MGD006 or a control DART protein in the presence of T cells. Dose-dependent increases in cell killing were observed following treatment with MGD006.</w:t>
      </w:r>
    </w:p>
    <w:p>
      <w:pPr>
        <w:spacing w:after="0" w:line="108" w:lineRule="exact"/>
        <w:rPr>
          <w:sz w:val="20"/>
          <w:szCs w:val="20"/>
          <w:color w:val="auto"/>
        </w:rPr>
      </w:pPr>
    </w:p>
    <w:p>
      <w:pPr>
        <w:ind w:right="120" w:firstLine="802"/>
        <w:spacing w:after="0" w:line="267" w:lineRule="auto"/>
        <w:rPr>
          <w:sz w:val="20"/>
          <w:szCs w:val="20"/>
          <w:color w:val="auto"/>
        </w:rPr>
      </w:pPr>
      <w:r>
        <w:rPr>
          <w:rFonts w:ascii="Arial" w:cs="Arial" w:eastAsia="Arial" w:hAnsi="Arial"/>
          <w:sz w:val="14"/>
          <w:szCs w:val="14"/>
          <w:color w:val="auto"/>
        </w:rPr>
        <w:t>In the chart below, primary AML PBMC samples were incubated with a phosphate buffered saline, or PBS control, a DART protein control or MGD006. Treatment with MGD006 resulted in a dose-dependent decrease in leukemic blast cell number counts.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AML Blasts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10160</wp:posOffset>
            </wp:positionV>
            <wp:extent cx="2892425" cy="2109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24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20" w:firstLine="802"/>
        <w:spacing w:after="0" w:line="267" w:lineRule="auto"/>
        <w:rPr>
          <w:sz w:val="20"/>
          <w:szCs w:val="20"/>
          <w:color w:val="auto"/>
        </w:rPr>
      </w:pPr>
      <w:r>
        <w:rPr>
          <w:rFonts w:ascii="Arial" w:cs="Arial" w:eastAsia="Arial" w:hAnsi="Arial"/>
          <w:sz w:val="14"/>
          <w:szCs w:val="14"/>
          <w:color w:val="auto"/>
        </w:rPr>
        <w:t>We performed pilot toxicology studies in cynomolgus monkeys. Complete depletion of CD123-expressing pDCs, an indication of activity in healthy animals, occurred at doses as low as 10 ng/kg/day. Importantly, this effect was reversible as pDCs were observed in peripheral blood a few weeks following cessation of dosing.</w:t>
      </w:r>
    </w:p>
    <w:p>
      <w:pPr>
        <w:spacing w:after="0" w:line="101" w:lineRule="exact"/>
        <w:rPr>
          <w:sz w:val="20"/>
          <w:szCs w:val="20"/>
          <w:color w:val="auto"/>
        </w:rPr>
      </w:pPr>
    </w:p>
    <w:p>
      <w:pPr>
        <w:ind w:right="100" w:firstLine="802"/>
        <w:spacing w:after="0" w:line="267" w:lineRule="auto"/>
        <w:rPr>
          <w:sz w:val="20"/>
          <w:szCs w:val="20"/>
          <w:color w:val="auto"/>
        </w:rPr>
      </w:pPr>
      <w:r>
        <w:rPr>
          <w:rFonts w:ascii="Arial" w:cs="Arial" w:eastAsia="Arial" w:hAnsi="Arial"/>
          <w:sz w:val="14"/>
          <w:szCs w:val="14"/>
          <w:color w:val="auto"/>
        </w:rPr>
        <w:t>No significant infusion reactions were observed at the lowest starting doses studied, including the pharmacologically active dose levels (10-30 ng/kg/day). Administration of MGD006 at higher doses was associated with acute infusion reactions, which typically decreased or disappeared with subsequent dosing.</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360"/>
          </w:cols>
          <w:pgMar w:left="220" w:top="386" w:right="31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MGD007: DART-Based Molecule for Gastrointestinal Cancers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2" w:lineRule="exact"/>
        <w:rPr>
          <w:sz w:val="20"/>
          <w:szCs w:val="20"/>
          <w:color w:val="auto"/>
        </w:rPr>
      </w:pPr>
    </w:p>
    <w:p>
      <w:pPr>
        <w:jc w:val="both"/>
        <w:ind w:firstLine="802"/>
        <w:spacing w:after="0" w:line="267" w:lineRule="auto"/>
        <w:rPr>
          <w:sz w:val="20"/>
          <w:szCs w:val="20"/>
          <w:color w:val="auto"/>
        </w:rPr>
      </w:pPr>
      <w:r>
        <w:rPr>
          <w:rFonts w:ascii="Arial" w:cs="Arial" w:eastAsia="Arial" w:hAnsi="Arial"/>
          <w:sz w:val="14"/>
          <w:szCs w:val="14"/>
          <w:color w:val="auto"/>
        </w:rPr>
        <w:t>MGD007 is a DART protein in which the first specificity is for the glycoprotein gpA33 and the second specificity is for CD3. MGD007 also contains an Fc domain which provides for an extended serum half-life compared to basic DARTs. gpA33 was identified through immunizations using our proprietary CSLC lines.</w:t>
      </w:r>
    </w:p>
    <w:p>
      <w:pPr>
        <w:spacing w:after="0" w:line="101" w:lineRule="exact"/>
        <w:rPr>
          <w:sz w:val="20"/>
          <w:szCs w:val="20"/>
          <w:color w:val="auto"/>
        </w:rPr>
      </w:pPr>
    </w:p>
    <w:p>
      <w:pPr>
        <w:jc w:val="both"/>
        <w:ind w:right="20" w:firstLine="802"/>
        <w:spacing w:after="0" w:line="255" w:lineRule="auto"/>
        <w:rPr>
          <w:sz w:val="20"/>
          <w:szCs w:val="20"/>
          <w:color w:val="auto"/>
        </w:rPr>
      </w:pPr>
      <w:r>
        <w:rPr>
          <w:rFonts w:ascii="Arial" w:cs="Arial" w:eastAsia="Arial" w:hAnsi="Arial"/>
          <w:sz w:val="14"/>
          <w:szCs w:val="14"/>
          <w:color w:val="auto"/>
        </w:rPr>
        <w:t>We are developing MGD007 as a potential therapeutic agent for the treatment of colorectal cancer. Other tumors of the gastrointestinal tract, such as pancreatic and gastroesophageal cancers, may also be potential indications for development. In a survey of normal tissues examined, the gpA33 antigen was expressed almost exclusively in the intestinal epithelium. It was present in more than 95% of human colon cancers, and in approximately 50% of gastroesophageal and pancreatic cancers. Studies by others with a radiolabeled monoclonal antibody against gpA33 demonstrated preferential binding to tumors over normal colonic mucosa.</w:t>
      </w:r>
    </w:p>
    <w:p>
      <w:pPr>
        <w:spacing w:after="0" w:line="110" w:lineRule="exact"/>
        <w:rPr>
          <w:sz w:val="20"/>
          <w:szCs w:val="20"/>
          <w:color w:val="auto"/>
        </w:rPr>
      </w:pPr>
    </w:p>
    <w:p>
      <w:pPr>
        <w:ind w:right="60" w:firstLine="802"/>
        <w:spacing w:after="0" w:line="258" w:lineRule="auto"/>
        <w:rPr>
          <w:sz w:val="20"/>
          <w:szCs w:val="20"/>
          <w:color w:val="auto"/>
        </w:rPr>
      </w:pPr>
      <w:r>
        <w:rPr>
          <w:rFonts w:ascii="Arial" w:cs="Arial" w:eastAsia="Arial" w:hAnsi="Arial"/>
          <w:sz w:val="14"/>
          <w:szCs w:val="14"/>
          <w:color w:val="auto"/>
        </w:rPr>
        <w:t xml:space="preserve">We have conducted pre-clinical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proof-of-concept studies with MGD007 or a basic DART form of MGD007 without the Fc domain. In addition, we are currently conducting several small, non-GLP toxicology studies in cynomolgus monkeys. These non-GLP toxicology studies will inform the design of the IND-enabling GLP toxicology study, which we plan to initiate by the end of 2013. We are planning to submit an IND in 2014 and commence a Phase 1 clinical trial for MGD007 in the second half of 2014.</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Development of MGD007</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The results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experiments shown below demonstrate that a gpA33 x CD3 DART is able to mediate T cell killing of gpA33-expressing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108585</wp:posOffset>
            </wp:positionV>
            <wp:extent cx="2255520" cy="19507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55520"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i w:val="1"/>
          <w:iCs w:val="1"/>
          <w:color w:val="auto"/>
        </w:rPr>
        <w:t>Cells from a colorectal cancer line and activated human T cells were implanted subcutaneously in immunodeficient mice. A gpA33 x CD3 DART was administered intravenously daily for four days at the time of tumor implantation. Inhibition of tumor growth was observed at all dose levels tested when compared to animals treated with a control.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60"/>
          </w:cols>
          <w:pgMar w:left="220" w:top="386" w:right="21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MGD010: DART-Based Molecule for Autoimmune Diseases</w:t>
      </w:r>
    </w:p>
    <w:p>
      <w:pPr>
        <w:spacing w:after="0" w:line="134" w:lineRule="exact"/>
        <w:rPr>
          <w:sz w:val="20"/>
          <w:szCs w:val="20"/>
          <w:color w:val="auto"/>
        </w:rPr>
      </w:pPr>
    </w:p>
    <w:p>
      <w:pPr>
        <w:ind w:right="20" w:firstLine="802"/>
        <w:spacing w:after="0" w:line="305" w:lineRule="auto"/>
        <w:rPr>
          <w:sz w:val="20"/>
          <w:szCs w:val="20"/>
          <w:color w:val="auto"/>
        </w:rPr>
      </w:pPr>
      <w:r>
        <w:rPr>
          <w:rFonts w:ascii="Arial" w:cs="Arial" w:eastAsia="Arial" w:hAnsi="Arial"/>
          <w:sz w:val="12"/>
          <w:szCs w:val="12"/>
          <w:color w:val="auto"/>
        </w:rPr>
        <w:t xml:space="preserve">Autoimmune diseases including rheumatoid arthritis, or RA, Crohn’s disease, systemic lupus erythematosis, or SLE, and multiple sclerosis, or MS, collectively affect more than 20 million people in the United States. Autoimmune disease involves self-tissue destruction by T cells and antibodies due to lack of self-tolerance. Anti-inflammatory therapies, such as TNF (tumor necrosis factor) inhibitors, have been able to improve diseases like RA; however, it has become increasingly known that, in addition to T cells, B cells play an important role in many common autoimmune and allergic disorders by initiating and amplifying the pathological disease processes. Current B cell targeted therapies either cause depletion of B cells, thus limiting their applicability due to the potential for infections (e.g., rituximab, or </w:t>
      </w:r>
      <w:r>
        <w:rPr>
          <w:rFonts w:ascii="Arial" w:cs="Arial" w:eastAsia="Arial" w:hAnsi="Arial"/>
          <w:sz w:val="12"/>
          <w:szCs w:val="12"/>
          <w:i w:val="1"/>
          <w:iCs w:val="1"/>
          <w:color w:val="auto"/>
        </w:rPr>
        <w:t>Rituxan</w:t>
      </w:r>
      <w:r>
        <w:rPr>
          <w:rFonts w:ascii="Arial" w:cs="Arial" w:eastAsia="Arial" w:hAnsi="Arial"/>
          <w:sz w:val="12"/>
          <w:szCs w:val="12"/>
          <w:color w:val="auto"/>
        </w:rPr>
        <w:t xml:space="preserve">), or exhibit a delayed onset of action and limited efficacy across patient populations (e.g., belimumab, or </w:t>
      </w:r>
      <w:r>
        <w:rPr>
          <w:rFonts w:ascii="Arial" w:cs="Arial" w:eastAsia="Arial" w:hAnsi="Arial"/>
          <w:sz w:val="12"/>
          <w:szCs w:val="12"/>
          <w:i w:val="1"/>
          <w:iCs w:val="1"/>
          <w:color w:val="auto"/>
        </w:rPr>
        <w:t>Benlysta</w:t>
      </w:r>
      <w:r>
        <w:rPr>
          <w:rFonts w:ascii="Arial" w:cs="Arial" w:eastAsia="Arial" w:hAnsi="Arial"/>
          <w:sz w:val="12"/>
          <w:szCs w:val="12"/>
          <w:color w:val="auto"/>
        </w:rPr>
        <w:t>).</w:t>
      </w:r>
    </w:p>
    <w:p>
      <w:pPr>
        <w:spacing w:after="0" w:line="84"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To address limitations of existing B cell targeted therapies, MacroGenics has developed a novel CD32B x CD79B DART, called MGD010. In pre-clinical studies, this DART modulates the function of human B cells without B cell depletion. In normal conditions, B cells utilize CD32B as one of the key negative regulators to ensure that tolerance to self is maintained and autoimmune disease does not occur. MGD010 exploits this mechanism and triggers this inhibitory “immune checkpoint” loop. We believe this molecule preferentially blocks those B cells that are activated to produce the pathogenic antibodies that promote the autoimmune process. Studies in SLE patient B cells and humanized mouse models have demonstrated that MGD010 can block B cell activation in the absence of B cell depletion. To advance this program to the clinic, we recently performed studies in non-human primates with MGD010 demonstrating a favorable safety profile and pharmacological effects on targeted B cells.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the chart below, treatment with MGD010 prolongs survival compared to a PBS control or a single dose of rituximab in a mouse model of graft versus host disease.</w:t>
      </w:r>
    </w:p>
    <w:p>
      <w:pPr>
        <w:spacing w:after="0" w:line="130"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MGD010 in a Chronic Graft versus Host Disease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(Transplantation)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104775</wp:posOffset>
            </wp:positionV>
            <wp:extent cx="2786380" cy="1525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8638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i w:val="1"/>
          <w:iCs w:val="1"/>
          <w:color w:val="auto"/>
        </w:rPr>
        <w:t>Immunodeficient mice administered human PBMCs by injection were treated intravenously either with MGD010 at 5.0 or 10.0 mg/kg or PBS control every four days (9 total doses) or with rituximab at 5.0 mg/kg for one dose.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00"/>
          </w:cols>
          <w:pgMar w:left="220" w:top="386" w:right="27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Teplizumab: Fc-Modified Antibody for Type 1 Diabetes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2" w:lineRule="exact"/>
        <w:rPr>
          <w:sz w:val="20"/>
          <w:szCs w:val="20"/>
          <w:color w:val="auto"/>
        </w:rPr>
      </w:pPr>
    </w:p>
    <w:p>
      <w:pPr>
        <w:ind w:right="80" w:firstLine="802"/>
        <w:spacing w:after="0" w:line="255" w:lineRule="auto"/>
        <w:rPr>
          <w:sz w:val="20"/>
          <w:szCs w:val="20"/>
          <w:color w:val="auto"/>
        </w:rPr>
      </w:pPr>
      <w:r>
        <w:rPr>
          <w:rFonts w:ascii="Arial" w:cs="Arial" w:eastAsia="Arial" w:hAnsi="Arial"/>
          <w:sz w:val="14"/>
          <w:szCs w:val="14"/>
          <w:color w:val="auto"/>
        </w:rPr>
        <w:t>Teplizumab is a humanized, anti-CD3 monoclonal antibody being developed for the treatment of Type 1 Diabetes, or T1D. Teplizumab has been engineered to alter the function of the T cells that mediate the destruction of the insulin-producing beta cells of the islets of the pancreas. Teplizumab potentially represents an advance in the treatment of T1D by addressing the underlying disorder, rather than merely using insulin replacement therapy. In 2007, we entered into a collaboration with Eli Lilly. During the clinical development of teplizumab, Eli Lilly provided financial, manufacturing, and commercial support to us while we conducted our Phase 3 clinical trials.</w:t>
      </w:r>
    </w:p>
    <w:p>
      <w:pPr>
        <w:spacing w:after="0" w:line="110"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 xml:space="preserve">In June 2011, we published the results of Protégé, a Phase 3 clinical study of teplizumab in T1D, in </w:t>
      </w:r>
      <w:r>
        <w:rPr>
          <w:rFonts w:ascii="Arial" w:cs="Arial" w:eastAsia="Arial" w:hAnsi="Arial"/>
          <w:sz w:val="12"/>
          <w:szCs w:val="12"/>
          <w:i w:val="1"/>
          <w:iCs w:val="1"/>
          <w:color w:val="auto"/>
        </w:rPr>
        <w:t>The Lancet</w:t>
      </w:r>
      <w:r>
        <w:rPr>
          <w:rFonts w:ascii="Arial" w:cs="Arial" w:eastAsia="Arial" w:hAnsi="Arial"/>
          <w:sz w:val="12"/>
          <w:szCs w:val="12"/>
          <w:color w:val="auto"/>
        </w:rPr>
        <w:t xml:space="preserve"> and follow-up data in </w:t>
      </w:r>
      <w:r>
        <w:rPr>
          <w:rFonts w:ascii="Arial" w:cs="Arial" w:eastAsia="Arial" w:hAnsi="Arial"/>
          <w:sz w:val="12"/>
          <w:szCs w:val="12"/>
          <w:i w:val="1"/>
          <w:iCs w:val="1"/>
          <w:color w:val="auto"/>
        </w:rPr>
        <w:t>Diabetes</w:t>
      </w:r>
      <w:r>
        <w:rPr>
          <w:rFonts w:ascii="Arial" w:cs="Arial" w:eastAsia="Arial" w:hAnsi="Arial"/>
          <w:sz w:val="12"/>
          <w:szCs w:val="12"/>
          <w:color w:val="auto"/>
        </w:rPr>
        <w:t xml:space="preserve"> in 2013. The primary clinical endpoint of this trial, a composite of glycated hemoglobin, or HbA1c, and insulin usage, was not met. HbA1c is a form of hemoglobin that reflects average plasma glucose concentration over prolonged periods of time. When T1D is poorly controlled, the glucose and consequently, HbA1c levels rise. Insulin use was measured as units used per day. Subjects were required to have a low HbA1c level (&lt;6.5%) and low daily insulin usage (&lt;0.5 units per day). Similar numbers of patients in the 14 day teplizumab regimen and placebo (insulin only) achieved this endpoint. Although this trial did not meet its primary clinical endpoint, an exploratory, post-hoc analysis suggests that teplizumab, when used in a full dose regimen, may preserve insulin production by beta cells in the pancreas, as measured by C-peptide, and increase the percentage of patients requiring very low doses of insulin compared to those on placebo. Preservation of insulin production as measured by C-peptide, relative to standard of care, is now recognized as an acceptable primary endpoint by the FDA. The findings suggest that future studies of immunotherapeutic intervention with teplizumab might have increased success in prevention of a decline in beta cell function (measured by C-peptide) and preservation of glycemic control at reduced doses of insulin, particularly in children, if intervention occurs soon after diagnosis.</w:t>
      </w:r>
    </w:p>
    <w:p>
      <w:pPr>
        <w:spacing w:after="0" w:line="87" w:lineRule="exact"/>
        <w:rPr>
          <w:sz w:val="20"/>
          <w:szCs w:val="20"/>
          <w:color w:val="auto"/>
        </w:rPr>
      </w:pPr>
    </w:p>
    <w:p>
      <w:pPr>
        <w:ind w:right="200" w:firstLine="802"/>
        <w:spacing w:after="0" w:line="321" w:lineRule="auto"/>
        <w:rPr>
          <w:sz w:val="20"/>
          <w:szCs w:val="20"/>
          <w:color w:val="auto"/>
        </w:rPr>
      </w:pPr>
      <w:r>
        <w:rPr>
          <w:rFonts w:ascii="Arial" w:cs="Arial" w:eastAsia="Arial" w:hAnsi="Arial"/>
          <w:sz w:val="12"/>
          <w:szCs w:val="12"/>
          <w:color w:val="auto"/>
        </w:rPr>
        <w:t>Teplizumab is currently being evaluated in a Phase 2 clinical trial, called At Risk, for the prevention or delay of onset of T1D in patients determined to be at very high risk for developing the disease. This clinical trial is being sponsored by the National Institute of Diabetes and Digestive and Kidney Diseases, or NIDDK. In 2011, Eli Lilly terminated its collaboration with us to develop teplizumab and pursuant to the terms of the agreement, we reacquired the commercial rights to teplizumab. We are actively seeking a collaborator for further development of teplizumab.</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Collaborations</w:t>
      </w:r>
    </w:p>
    <w:p>
      <w:pPr>
        <w:spacing w:after="0" w:line="134" w:lineRule="exact"/>
        <w:rPr>
          <w:sz w:val="20"/>
          <w:szCs w:val="20"/>
          <w:color w:val="auto"/>
        </w:rPr>
      </w:pPr>
    </w:p>
    <w:p>
      <w:pPr>
        <w:ind w:right="160" w:firstLine="802"/>
        <w:spacing w:after="0" w:line="321" w:lineRule="auto"/>
        <w:rPr>
          <w:sz w:val="20"/>
          <w:szCs w:val="20"/>
          <w:color w:val="auto"/>
        </w:rPr>
      </w:pPr>
      <w:r>
        <w:rPr>
          <w:rFonts w:ascii="Arial" w:cs="Arial" w:eastAsia="Arial" w:hAnsi="Arial"/>
          <w:sz w:val="12"/>
          <w:szCs w:val="12"/>
          <w:color w:val="auto"/>
        </w:rPr>
        <w:t>We have entered into several strategic collaborations for our therapeutic programs. These therapeutic collaborations have provided us with approximately $106 million in non-equity funding during the three year period ended June 30, 2013. Under these agreements we are entitled to receive substantial payments including over $100 million of potential additional option exercise fees and milestone payments that we believe are likely to be received by the end of 2015, assuming all of our collaboration programs advance as currently contemplated. Key terms of these collaborations are summarized below.</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Servier MGA271 Agreement</w:t>
      </w:r>
    </w:p>
    <w:p>
      <w:pPr>
        <w:spacing w:after="0" w:line="132"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i w:val="1"/>
          <w:iCs w:val="1"/>
          <w:color w:val="auto"/>
        </w:rPr>
        <w:t>Overview</w:t>
      </w:r>
      <w:r>
        <w:rPr>
          <w:rFonts w:ascii="Arial" w:cs="Arial" w:eastAsia="Arial" w:hAnsi="Arial"/>
          <w:sz w:val="14"/>
          <w:szCs w:val="14"/>
          <w:color w:val="auto"/>
        </w:rPr>
        <w:t>. In November 2011, we entered into a collaboration agreement with Servier under which we granted Servier an option to obtain an exclusive license to develop and commercialize the Fc</w:t>
      </w:r>
      <w:r>
        <w:rPr>
          <w:rFonts w:ascii="Arial" w:cs="Arial" w:eastAsia="Arial" w:hAnsi="Arial"/>
          <w:sz w:val="14"/>
          <w:szCs w:val="14"/>
          <w:i w:val="1"/>
          <w:iCs w:val="1"/>
          <w:color w:val="auto"/>
        </w:rPr>
        <w:t xml:space="preserve"> </w:t>
      </w:r>
      <w:r>
        <w:rPr>
          <w:rFonts w:ascii="Arial" w:cs="Arial" w:eastAsia="Arial" w:hAnsi="Arial"/>
          <w:sz w:val="14"/>
          <w:szCs w:val="14"/>
          <w:color w:val="auto"/>
        </w:rPr>
        <w:t>engineered antibody we designated as MGA271 and certain other Fc engineered antibodies that also bind the B7-H3 receptor, collectively referred to as the MGA271 licensed products, in all countries other than the United States, Canada, Mexico, Japan, South Korea and India. We have received a $20 million option grant fee and a $10 million milestone payment upon dosing the first patient in the expansion cohort of our Phase I clinical trial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60"/>
          </w:cols>
          <w:pgMar w:left="220" w:top="386" w:right="2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MGA271, and may be eligible to receive up to approximately $415 million in license grant fees, and clinical, development, regulatory and sales milestone payments if Servier exercises the option, obtains regulatory approval for and successfully commercializes an MGA271 licensed product. In addition to these milestones, we and Servier will share Phase 2 and Phase 3 development costs. Under the agreement we are also eligible to receive royalties on the net sales of MGA271 licensed products at percentages ranging from the low double digits to the mid-teens, subject to reductions in specified circumstances. Under specific circumstances, Servier may defer payment of certain milestone payments.</w:t>
      </w:r>
    </w:p>
    <w:p>
      <w:pPr>
        <w:spacing w:after="0" w:line="110" w:lineRule="exact"/>
        <w:rPr>
          <w:sz w:val="20"/>
          <w:szCs w:val="20"/>
          <w:color w:val="auto"/>
        </w:rPr>
      </w:pPr>
    </w:p>
    <w:p>
      <w:pPr>
        <w:ind w:right="60" w:firstLine="802"/>
        <w:spacing w:after="0" w:line="253" w:lineRule="auto"/>
        <w:rPr>
          <w:sz w:val="20"/>
          <w:szCs w:val="20"/>
          <w:color w:val="auto"/>
        </w:rPr>
      </w:pPr>
      <w:r>
        <w:rPr>
          <w:rFonts w:ascii="Arial" w:cs="Arial" w:eastAsia="Arial" w:hAnsi="Arial"/>
          <w:sz w:val="14"/>
          <w:szCs w:val="14"/>
          <w:i w:val="1"/>
          <w:iCs w:val="1"/>
          <w:color w:val="auto"/>
        </w:rPr>
        <w:t>Research Plan</w:t>
      </w:r>
      <w:r>
        <w:rPr>
          <w:rFonts w:ascii="Arial" w:cs="Arial" w:eastAsia="Arial" w:hAnsi="Arial"/>
          <w:sz w:val="14"/>
          <w:szCs w:val="14"/>
          <w:color w:val="auto"/>
        </w:rPr>
        <w:t>. Under the agreement, we are responsible for conducting research according to an agreed upon research plan during a specified research term. The activities under the research plan</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the generation of data by us that the parties have agreed will be included in a data package, or MGA271 data package. We will continue conducting the current Phase 1 trial of MGA271 under the research plan. Under the agreement, Servier may conduct separate development and clinical activities under the research plan, subject to our approval. The term of the research plan begins on the effective date of the agreement and ends on the earlier of November 24, 2015 or the expiration of Servier’s option under the agreement. In general, during the research term, each party is responsible for the internal and external costs it incurs to conduct its activities under the research plan.</w:t>
      </w:r>
    </w:p>
    <w:p>
      <w:pPr>
        <w:spacing w:after="0" w:line="113" w:lineRule="exact"/>
        <w:rPr>
          <w:sz w:val="20"/>
          <w:szCs w:val="20"/>
          <w:color w:val="auto"/>
        </w:rPr>
      </w:pPr>
    </w:p>
    <w:p>
      <w:pPr>
        <w:ind w:right="160" w:firstLine="802"/>
        <w:spacing w:after="0" w:line="255" w:lineRule="auto"/>
        <w:rPr>
          <w:sz w:val="20"/>
          <w:szCs w:val="20"/>
          <w:color w:val="auto"/>
        </w:rPr>
      </w:pPr>
      <w:r>
        <w:rPr>
          <w:rFonts w:ascii="Arial" w:cs="Arial" w:eastAsia="Arial" w:hAnsi="Arial"/>
          <w:sz w:val="14"/>
          <w:szCs w:val="14"/>
          <w:i w:val="1"/>
          <w:iCs w:val="1"/>
          <w:color w:val="auto"/>
        </w:rPr>
        <w:t>Manufacturing</w:t>
      </w:r>
      <w:r>
        <w:rPr>
          <w:rFonts w:ascii="Arial" w:cs="Arial" w:eastAsia="Arial" w:hAnsi="Arial"/>
          <w:sz w:val="14"/>
          <w:szCs w:val="14"/>
          <w:color w:val="auto"/>
        </w:rPr>
        <w:t>. Under the agreement we are obligated to supply cGMP produced MGA271 licensed products to supply Servier’s clinical development needs for its Phase 1 and first two Phase 2</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trials according to a clinical supply agreement negotiated between the parties. Servier is obligated to pay for such supply of MGA271 licensed product under the clinical supply agreement at our fully burdened manufacturing cost. Prior to exercising its option, we can supply clinical material for Servier’s additional needs at our discretion. If Servier exercises its option, upon its request, we are obligated to enter into negotiations to execute a commercial supply agreement for MGA271 licensed product.</w:t>
      </w:r>
    </w:p>
    <w:p>
      <w:pPr>
        <w:spacing w:after="0" w:line="110"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i w:val="1"/>
          <w:iCs w:val="1"/>
          <w:color w:val="auto"/>
        </w:rPr>
        <w:t>Option</w:t>
      </w:r>
      <w:r>
        <w:rPr>
          <w:rFonts w:ascii="Arial" w:cs="Arial" w:eastAsia="Arial" w:hAnsi="Arial"/>
          <w:sz w:val="12"/>
          <w:szCs w:val="12"/>
          <w:color w:val="auto"/>
        </w:rPr>
        <w:t>. Generally, Servier may exercise its option at any time after the effective date of the agreement until ninety days after Servier’s receipt of the MGA271 data package which shall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results from completed expansion cohorts from the Phase 1 clinical trial. In the event Servier exercises the option, Servier must pay a license grant fee, which we estimate to be $30 million, based on the number of different indications represented within the patient population in a planned expansion cohort in our Phase 1 clinical trial of MGA271. If Servier elects not to exercise the option, it will lose all rights to develop and commercialize MGA271 licensed products and we will be entitled to develop and commercialize MGA271 licensed products throughout the world exclusively or with a third party or parties.</w:t>
      </w:r>
    </w:p>
    <w:p>
      <w:pPr>
        <w:spacing w:after="0" w:line="79" w:lineRule="exact"/>
        <w:rPr>
          <w:sz w:val="20"/>
          <w:szCs w:val="20"/>
          <w:color w:val="auto"/>
        </w:rPr>
      </w:pPr>
    </w:p>
    <w:p>
      <w:pPr>
        <w:ind w:right="80" w:firstLine="802"/>
        <w:spacing w:after="0" w:line="267" w:lineRule="auto"/>
        <w:rPr>
          <w:sz w:val="20"/>
          <w:szCs w:val="20"/>
          <w:color w:val="auto"/>
        </w:rPr>
      </w:pPr>
      <w:r>
        <w:rPr>
          <w:rFonts w:ascii="Arial" w:cs="Arial" w:eastAsia="Arial" w:hAnsi="Arial"/>
          <w:sz w:val="14"/>
          <w:szCs w:val="14"/>
          <w:i w:val="1"/>
          <w:iCs w:val="1"/>
          <w:color w:val="auto"/>
        </w:rPr>
        <w:t>License/Exclusivity</w:t>
      </w:r>
      <w:r>
        <w:rPr>
          <w:rFonts w:ascii="Arial" w:cs="Arial" w:eastAsia="Arial" w:hAnsi="Arial"/>
          <w:sz w:val="14"/>
          <w:szCs w:val="14"/>
          <w:color w:val="auto"/>
        </w:rPr>
        <w:t>. If Servier exercises the option it will receive an exclusive license to develop and commercialize MGA271 licensed products in all countries of the world other than the United</w:t>
      </w:r>
      <w:r>
        <w:rPr>
          <w:rFonts w:ascii="Arial" w:cs="Arial" w:eastAsia="Arial" w:hAnsi="Arial"/>
          <w:sz w:val="14"/>
          <w:szCs w:val="14"/>
          <w:i w:val="1"/>
          <w:iCs w:val="1"/>
          <w:color w:val="auto"/>
        </w:rPr>
        <w:t xml:space="preserve"> </w:t>
      </w:r>
      <w:r>
        <w:rPr>
          <w:rFonts w:ascii="Arial" w:cs="Arial" w:eastAsia="Arial" w:hAnsi="Arial"/>
          <w:sz w:val="14"/>
          <w:szCs w:val="14"/>
          <w:color w:val="auto"/>
        </w:rPr>
        <w:t>States, Canada, Mexico, Japan, South Korea and India.</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addition to Servier’s exclusive right to develop and commercialize MGA271 licensed products under the agreement, there are additional obligations regarding exclusivity and noncompetition.</w:t>
      </w:r>
    </w:p>
    <w:p>
      <w:pPr>
        <w:spacing w:after="0" w:line="155" w:lineRule="exact"/>
        <w:rPr>
          <w:sz w:val="20"/>
          <w:szCs w:val="20"/>
          <w:color w:val="auto"/>
        </w:rPr>
      </w:pPr>
    </w:p>
    <w:p>
      <w:pPr>
        <w:ind w:right="120" w:firstLine="802"/>
        <w:spacing w:after="0" w:line="258" w:lineRule="auto"/>
        <w:rPr>
          <w:sz w:val="20"/>
          <w:szCs w:val="20"/>
          <w:color w:val="auto"/>
        </w:rPr>
      </w:pPr>
      <w:r>
        <w:rPr>
          <w:rFonts w:ascii="Arial" w:cs="Arial" w:eastAsia="Arial" w:hAnsi="Arial"/>
          <w:sz w:val="14"/>
          <w:szCs w:val="14"/>
          <w:color w:val="auto"/>
        </w:rPr>
        <w:t>In addition to these provisions, in the event that we seek to grant rights to a third party to develop and/or commercialize certain DARTs that bind the B7-H3 receptor outside the United States, Servier has a right of first negotiation to obtain such rights. If Servier declines to enter negotiations or the parties fail to execute an agreement granting Servier such rights within a specified time period, subject to specified exceptions, we will have the right to enter negotiations with a third party for the same rights.</w:t>
      </w:r>
    </w:p>
    <w:p>
      <w:pPr>
        <w:spacing w:after="0" w:line="108" w:lineRule="exact"/>
        <w:rPr>
          <w:sz w:val="20"/>
          <w:szCs w:val="20"/>
          <w:color w:val="auto"/>
        </w:rPr>
      </w:pPr>
    </w:p>
    <w:p>
      <w:pPr>
        <w:ind w:right="300" w:firstLine="802"/>
        <w:spacing w:after="0" w:line="258" w:lineRule="auto"/>
        <w:rPr>
          <w:sz w:val="20"/>
          <w:szCs w:val="20"/>
          <w:color w:val="auto"/>
        </w:rPr>
      </w:pPr>
      <w:r>
        <w:rPr>
          <w:rFonts w:ascii="Arial" w:cs="Arial" w:eastAsia="Arial" w:hAnsi="Arial"/>
          <w:sz w:val="14"/>
          <w:szCs w:val="14"/>
          <w:i w:val="1"/>
          <w:iCs w:val="1"/>
          <w:color w:val="auto"/>
        </w:rPr>
        <w:t>Term and Termination</w:t>
      </w:r>
      <w:r>
        <w:rPr>
          <w:rFonts w:ascii="Arial" w:cs="Arial" w:eastAsia="Arial" w:hAnsi="Arial"/>
          <w:sz w:val="14"/>
          <w:szCs w:val="14"/>
          <w:color w:val="auto"/>
        </w:rPr>
        <w:t>. If Servier does not exercise its’ option, the agreement terminates upon the expiration of the option. If Servier exercises the option, the agreement will terminate in its</w:t>
      </w:r>
      <w:r>
        <w:rPr>
          <w:rFonts w:ascii="Arial" w:cs="Arial" w:eastAsia="Arial" w:hAnsi="Arial"/>
          <w:sz w:val="14"/>
          <w:szCs w:val="14"/>
          <w:i w:val="1"/>
          <w:iCs w:val="1"/>
          <w:color w:val="auto"/>
        </w:rPr>
        <w:t xml:space="preserve"> </w:t>
      </w:r>
      <w:r>
        <w:rPr>
          <w:rFonts w:ascii="Arial" w:cs="Arial" w:eastAsia="Arial" w:hAnsi="Arial"/>
          <w:sz w:val="14"/>
          <w:szCs w:val="14"/>
          <w:color w:val="auto"/>
        </w:rPr>
        <w:t>entirety upon the later of the expiration of the last-expiring patent related to an MGA271 licensed product, the regulatory based exclusivity period or 12 years after the first commercial sale of any MGA271 licensed product. The agreement contains customary termination rights.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60"/>
          </w:cols>
          <w:pgMar w:left="220" w:top="386" w:right="2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Servier DART Agreement</w:t>
      </w:r>
    </w:p>
    <w:p>
      <w:pPr>
        <w:spacing w:after="0" w:line="132"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i w:val="1"/>
          <w:iCs w:val="1"/>
          <w:color w:val="auto"/>
        </w:rPr>
        <w:t>Overview</w:t>
      </w:r>
      <w:r>
        <w:rPr>
          <w:rFonts w:ascii="Arial" w:cs="Arial" w:eastAsia="Arial" w:hAnsi="Arial"/>
          <w:sz w:val="12"/>
          <w:szCs w:val="12"/>
          <w:color w:val="auto"/>
        </w:rPr>
        <w:t>. In September 2012, we entered into a second agreement with Servier and granted it options to obtain three separate exclusive licenses to develop and commercialize DART-based</w:t>
      </w:r>
      <w:r>
        <w:rPr>
          <w:rFonts w:ascii="Arial" w:cs="Arial" w:eastAsia="Arial" w:hAnsi="Arial"/>
          <w:sz w:val="12"/>
          <w:szCs w:val="12"/>
          <w:i w:val="1"/>
          <w:iCs w:val="1"/>
          <w:color w:val="auto"/>
        </w:rPr>
        <w:t xml:space="preserve"> </w:t>
      </w:r>
      <w:r>
        <w:rPr>
          <w:rFonts w:ascii="Arial" w:cs="Arial" w:eastAsia="Arial" w:hAnsi="Arial"/>
          <w:sz w:val="12"/>
          <w:szCs w:val="12"/>
          <w:color w:val="auto"/>
        </w:rPr>
        <w:t>molecules, consisting of those designated by us as MGD006 and MGD007, as well as a third DART molecule, collectively referred to as the DART-licensed products, in all countries other than the United States, Canada, Mexico, Japan, South Korea and India. Under the terms of the agreement, we received a $20 million option grant fee. In addition, we will be eligible to receive up to approximately $1 billion in additional license grant fees, and clinical, development, regulatory and sales milestone payments if Servier exercises all of the options and successfully develops, obtains regulatory approval for and commercializes a product under each license, including $5 million upon IND acceptance for each of MGD006, MGD007 and a third DART molecule. In addition to these milestones, we and Servier will share Phase 2 and Phase 3 development costs. Under the agreement we are also eligible to receive royalties on the net sales of DART licensed products at percentages ranging from the low double digits to the mid-teens, subject to reductions in specified circumstances.</w:t>
      </w:r>
    </w:p>
    <w:p>
      <w:pPr>
        <w:spacing w:after="0" w:line="88" w:lineRule="exact"/>
        <w:rPr>
          <w:sz w:val="20"/>
          <w:szCs w:val="20"/>
          <w:color w:val="auto"/>
        </w:rPr>
      </w:pPr>
    </w:p>
    <w:p>
      <w:pPr>
        <w:ind w:right="40" w:firstLine="802"/>
        <w:spacing w:after="0" w:line="253" w:lineRule="auto"/>
        <w:rPr>
          <w:sz w:val="20"/>
          <w:szCs w:val="20"/>
          <w:color w:val="auto"/>
        </w:rPr>
      </w:pPr>
      <w:r>
        <w:rPr>
          <w:rFonts w:ascii="Arial" w:cs="Arial" w:eastAsia="Arial" w:hAnsi="Arial"/>
          <w:sz w:val="14"/>
          <w:szCs w:val="14"/>
          <w:i w:val="1"/>
          <w:iCs w:val="1"/>
          <w:color w:val="auto"/>
        </w:rPr>
        <w:t>Research Programs</w:t>
      </w:r>
      <w:r>
        <w:rPr>
          <w:rFonts w:ascii="Arial" w:cs="Arial" w:eastAsia="Arial" w:hAnsi="Arial"/>
          <w:sz w:val="14"/>
          <w:szCs w:val="14"/>
          <w:color w:val="auto"/>
        </w:rPr>
        <w:t>. Under the agreement, we are responsible for conducting research according to an agreed upon research plan for each option target during the specified research term. Each</w:t>
      </w:r>
      <w:r>
        <w:rPr>
          <w:rFonts w:ascii="Arial" w:cs="Arial" w:eastAsia="Arial" w:hAnsi="Arial"/>
          <w:sz w:val="14"/>
          <w:szCs w:val="14"/>
          <w:i w:val="1"/>
          <w:iCs w:val="1"/>
          <w:color w:val="auto"/>
        </w:rPr>
        <w:t xml:space="preserve"> </w:t>
      </w:r>
      <w:r>
        <w:rPr>
          <w:rFonts w:ascii="Arial" w:cs="Arial" w:eastAsia="Arial" w:hAnsi="Arial"/>
          <w:sz w:val="14"/>
          <w:szCs w:val="14"/>
          <w:color w:val="auto"/>
        </w:rPr>
        <w:t>research plan and its activities are considered a research program. The activities under each research plan include the generation of data by us that the parties have agreed that will be included in a data package, or the Servier DART data package. With our consent, Servier may conduct separate development and clinical activities under a research plan. The research term for each research program begins on the effective date of the agreement and ends on the earlier of September 19, 2016 or the expiration of the applicable option. In general, during each research term, each party is responsible for the internal and external costs it incurs to conduct its activities under that research plan.</w:t>
      </w:r>
    </w:p>
    <w:p>
      <w:pPr>
        <w:spacing w:after="0" w:line="113" w:lineRule="exact"/>
        <w:rPr>
          <w:sz w:val="20"/>
          <w:szCs w:val="20"/>
          <w:color w:val="auto"/>
        </w:rPr>
      </w:pPr>
    </w:p>
    <w:p>
      <w:pPr>
        <w:ind w:right="120" w:firstLine="802"/>
        <w:spacing w:after="0" w:line="311" w:lineRule="auto"/>
        <w:rPr>
          <w:sz w:val="20"/>
          <w:szCs w:val="20"/>
          <w:color w:val="auto"/>
        </w:rPr>
      </w:pPr>
      <w:r>
        <w:rPr>
          <w:rFonts w:ascii="Arial" w:cs="Arial" w:eastAsia="Arial" w:hAnsi="Arial"/>
          <w:sz w:val="12"/>
          <w:szCs w:val="12"/>
          <w:i w:val="1"/>
          <w:iCs w:val="1"/>
          <w:color w:val="auto"/>
        </w:rPr>
        <w:t>Manufacturing</w:t>
      </w:r>
      <w:r>
        <w:rPr>
          <w:rFonts w:ascii="Arial" w:cs="Arial" w:eastAsia="Arial" w:hAnsi="Arial"/>
          <w:sz w:val="12"/>
          <w:szCs w:val="12"/>
          <w:color w:val="auto"/>
        </w:rPr>
        <w:t>. Under the agreement we are obligated to negotiate a clinical supply agreement with Servier regarding the supply of cGMP produced material to supply Servier’s clinical</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needs for its Phase 1 and first two Phase 2 clinical trials for each DART licensed product. Servier pays for such supply of each DART licensed product under each clinical supply agreement at our fully burdened manufacturing cost. Prior to exercising one of its options, we can supply clinical material for Servier’s additional needs at our discretion. If Servier exercises an option, then upon Servier’s request, we are obligated to enter negotiations to execute a commercial supply agreement for DART licensed products subject to that option.</w:t>
      </w:r>
    </w:p>
    <w:p>
      <w:pPr>
        <w:spacing w:after="0" w:line="79"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i w:val="1"/>
          <w:iCs w:val="1"/>
          <w:color w:val="auto"/>
        </w:rPr>
        <w:t>Option</w:t>
      </w:r>
      <w:r>
        <w:rPr>
          <w:rFonts w:ascii="Arial" w:cs="Arial" w:eastAsia="Arial" w:hAnsi="Arial"/>
          <w:sz w:val="12"/>
          <w:szCs w:val="12"/>
          <w:color w:val="auto"/>
        </w:rPr>
        <w:t>. Under the terms of the agreement, each option may be exercised by Servier within ninety days after Servier’s receipt of the applicable Servier DART data package. In the event Servier</w:t>
      </w:r>
      <w:r>
        <w:rPr>
          <w:rFonts w:ascii="Arial" w:cs="Arial" w:eastAsia="Arial" w:hAnsi="Arial"/>
          <w:sz w:val="12"/>
          <w:szCs w:val="12"/>
          <w:i w:val="1"/>
          <w:iCs w:val="1"/>
          <w:color w:val="auto"/>
        </w:rPr>
        <w:t xml:space="preserve"> </w:t>
      </w:r>
      <w:r>
        <w:rPr>
          <w:rFonts w:ascii="Arial" w:cs="Arial" w:eastAsia="Arial" w:hAnsi="Arial"/>
          <w:sz w:val="12"/>
          <w:szCs w:val="12"/>
          <w:color w:val="auto"/>
        </w:rPr>
        <w:t>exercises an option, Servier must pay a specified license grant fee for exercising that option. The respective license grant fees are $15 million for the MGD006 option, which becomes exercisable upon completion of our GLP toxicology study, and additional amounts related to MGD007, and a remaining DART molecule, which become exercisable after a significant portion of the Phase 1 trials for each of these programs is completed. If Servier elects not to exercise an option, it will lose all rights to develop and commercialize DARTs that bind such option target and we will be entitled to develop and commercialize DARTs that bind the former option target throughout the world exclusively or with a third party or parties, subject to Servier’s right of first negotiation, as described below.</w:t>
      </w:r>
    </w:p>
    <w:p>
      <w:pPr>
        <w:spacing w:after="0" w:line="84" w:lineRule="exact"/>
        <w:rPr>
          <w:sz w:val="20"/>
          <w:szCs w:val="20"/>
          <w:color w:val="auto"/>
        </w:rPr>
      </w:pPr>
    </w:p>
    <w:p>
      <w:pPr>
        <w:ind w:right="380" w:firstLine="802"/>
        <w:spacing w:after="0" w:line="351" w:lineRule="auto"/>
        <w:rPr>
          <w:sz w:val="20"/>
          <w:szCs w:val="20"/>
          <w:color w:val="auto"/>
        </w:rPr>
      </w:pPr>
      <w:r>
        <w:rPr>
          <w:rFonts w:ascii="Arial" w:cs="Arial" w:eastAsia="Arial" w:hAnsi="Arial"/>
          <w:sz w:val="12"/>
          <w:szCs w:val="12"/>
          <w:i w:val="1"/>
          <w:iCs w:val="1"/>
          <w:color w:val="auto"/>
        </w:rPr>
        <w:t xml:space="preserve">Licenses/Exclusivity. </w:t>
      </w:r>
      <w:r>
        <w:rPr>
          <w:rFonts w:ascii="Arial" w:cs="Arial" w:eastAsia="Arial" w:hAnsi="Arial"/>
          <w:sz w:val="12"/>
          <w:szCs w:val="12"/>
          <w:color w:val="auto"/>
        </w:rPr>
        <w:t>If Servier exercises an option it will receive an exclusive license to develop and commercialize DARTs that bind to the option target for that option, and pharmaceutical</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that comprise or contain such DARTs, in all countries of the world other than the United States, Canada, Mexico, Japan, South Korea and India.</w:t>
      </w:r>
    </w:p>
    <w:p>
      <w:pPr>
        <w:spacing w:after="0" w:line="5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addition to Servier’s exclusive right to develop and commercialize DARTs under each license, under the agreement there are additional obligations regarding exclusivity and noncompetition.</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addition to these provisions, in the event that we seek to enter into a transaction under which we would grant rights to a third party to develop and/or commercialize certain product candidates in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Servier’s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60"/>
          </w:cols>
          <w:pgMar w:left="220" w:top="386" w:right="21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0"/>
        <w:spacing w:after="0" w:line="351" w:lineRule="auto"/>
        <w:rPr>
          <w:sz w:val="20"/>
          <w:szCs w:val="20"/>
          <w:color w:val="auto"/>
        </w:rPr>
      </w:pPr>
      <w:r>
        <w:rPr>
          <w:rFonts w:ascii="Arial" w:cs="Arial" w:eastAsia="Arial" w:hAnsi="Arial"/>
          <w:sz w:val="12"/>
          <w:szCs w:val="12"/>
          <w:color w:val="auto"/>
        </w:rPr>
        <w:t>territory that bind an option target in exchange for certain consideration, Servier has a right of first negotiation to obtain such rights. If Servier declines to enter negotiations or the parties fail to execute an agreement granting Servier such rights within a specified time period, we will have the right, subject to specified exceptions, to enter negotiations with a third party for the same rights.</w:t>
      </w:r>
    </w:p>
    <w:p>
      <w:pPr>
        <w:spacing w:after="0" w:line="56"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i w:val="1"/>
          <w:iCs w:val="1"/>
          <w:color w:val="auto"/>
        </w:rPr>
        <w:t xml:space="preserve">Term and Termination. </w:t>
      </w:r>
      <w:r>
        <w:rPr>
          <w:rFonts w:ascii="Arial" w:cs="Arial" w:eastAsia="Arial" w:hAnsi="Arial"/>
          <w:sz w:val="14"/>
          <w:szCs w:val="14"/>
          <w:color w:val="auto"/>
        </w:rPr>
        <w:t>If Servier does not exercise any option, the agreement terminates upon the expiration of the last to expire option. If Servier exercises an option, the agreement will terminate</w:t>
      </w:r>
      <w:r>
        <w:rPr>
          <w:rFonts w:ascii="Arial" w:cs="Arial" w:eastAsia="Arial" w:hAnsi="Arial"/>
          <w:sz w:val="14"/>
          <w:szCs w:val="14"/>
          <w:i w:val="1"/>
          <w:iCs w:val="1"/>
          <w:color w:val="auto"/>
        </w:rPr>
        <w:t xml:space="preserve"> </w:t>
      </w:r>
      <w:r>
        <w:rPr>
          <w:rFonts w:ascii="Arial" w:cs="Arial" w:eastAsia="Arial" w:hAnsi="Arial"/>
          <w:sz w:val="14"/>
          <w:szCs w:val="14"/>
          <w:color w:val="auto"/>
        </w:rPr>
        <w:t>in its entirety with respect to such DART licensed product upon the later of the expiration of the last-expiring patent related to a DART licensed product, the regulatory based exclusivity period or 12 years after the first commercial sale of a DART licensed product. The agreement contains customary termination rights.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Gilead</w:t>
      </w:r>
    </w:p>
    <w:p>
      <w:pPr>
        <w:spacing w:after="0" w:line="130"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i w:val="1"/>
          <w:iCs w:val="1"/>
          <w:color w:val="auto"/>
        </w:rPr>
        <w:t>Overview</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In January 2013, we entered into an agreement with Gilead to grant Gilead (i) an exclusive worldwide license to research, develop, manufacture and commercialize DARTs that bind to</w:t>
      </w:r>
      <w:r>
        <w:rPr>
          <w:rFonts w:ascii="Arial" w:cs="Arial" w:eastAsia="Arial" w:hAnsi="Arial"/>
          <w:sz w:val="12"/>
          <w:szCs w:val="12"/>
          <w:i w:val="1"/>
          <w:iCs w:val="1"/>
          <w:color w:val="auto"/>
        </w:rPr>
        <w:t xml:space="preserve"> </w:t>
      </w:r>
      <w:r>
        <w:rPr>
          <w:rFonts w:ascii="Arial" w:cs="Arial" w:eastAsia="Arial" w:hAnsi="Arial"/>
          <w:sz w:val="12"/>
          <w:szCs w:val="12"/>
          <w:color w:val="auto"/>
        </w:rPr>
        <w:t>a first pair of specified targets; (ii) an exclusive option for an exclusive license to research, develop, manufacture and commercialize DARTs that bind to a second pair of specified targets in North America, the European Union, Norway, Iceland, Turkey, Australia and New Zealand; and (iii) separate exclusive options for worldwide exclusive licenses to research, develop, manufacture and commercialize DARTs that bind to third and fourth pairs of targets to be subsequently identified by Gilead and accepted by us within a specified time period after the effective date of the agreement, which we collectively refer to as the Gilead licensed products. We received an initial $7.5 million license grant fee for granting Gilead a license to the first target pair, and are eligible to receive up to an additional $22.5 million in grant fees on the remaining three pairs of targets. We are further eligible to receive up to an additional $85 million in pre-clinical milestones across the four DART programs and up to approximately $1 billion in additional clinical, regulatory and sales milestones payments if Gilead exercises all four of the options and achieves all of the requisite milestones under each option and license. Under the agreement, we are also eligible to receive tiered royalties on the net sales of Gilead licensed products at percentages ranging from the high-single digits to the low double digit, but less than teen royalties subject to reductions in specified circumstances.</w:t>
      </w:r>
    </w:p>
    <w:p>
      <w:pPr>
        <w:spacing w:after="0" w:line="256" w:lineRule="exact"/>
        <w:rPr>
          <w:sz w:val="20"/>
          <w:szCs w:val="20"/>
          <w:color w:val="auto"/>
        </w:rPr>
      </w:pPr>
    </w:p>
    <w:p>
      <w:pPr>
        <w:ind w:right="80" w:firstLine="802"/>
        <w:spacing w:after="0" w:line="253" w:lineRule="auto"/>
        <w:rPr>
          <w:sz w:val="20"/>
          <w:szCs w:val="20"/>
          <w:color w:val="auto"/>
        </w:rPr>
      </w:pPr>
      <w:r>
        <w:rPr>
          <w:rFonts w:ascii="Arial" w:cs="Arial" w:eastAsia="Arial" w:hAnsi="Arial"/>
          <w:sz w:val="14"/>
          <w:szCs w:val="14"/>
          <w:i w:val="1"/>
          <w:iCs w:val="1"/>
          <w:color w:val="auto"/>
        </w:rPr>
        <w:t xml:space="preserve">Research Programs. </w:t>
      </w:r>
      <w:r>
        <w:rPr>
          <w:rFonts w:ascii="Arial" w:cs="Arial" w:eastAsia="Arial" w:hAnsi="Arial"/>
          <w:sz w:val="14"/>
          <w:szCs w:val="14"/>
          <w:color w:val="auto"/>
        </w:rPr>
        <w:t>During specified research terms, we are responsible for conducting research according to an agreed upon research plan for each pair of targets for which Gilead exercises its</w:t>
      </w:r>
      <w:r>
        <w:rPr>
          <w:rFonts w:ascii="Arial" w:cs="Arial" w:eastAsia="Arial" w:hAnsi="Arial"/>
          <w:sz w:val="14"/>
          <w:szCs w:val="14"/>
          <w:i w:val="1"/>
          <w:iCs w:val="1"/>
          <w:color w:val="auto"/>
        </w:rPr>
        <w:t xml:space="preserve"> </w:t>
      </w:r>
      <w:r>
        <w:rPr>
          <w:rFonts w:ascii="Arial" w:cs="Arial" w:eastAsia="Arial" w:hAnsi="Arial"/>
          <w:sz w:val="14"/>
          <w:szCs w:val="14"/>
          <w:color w:val="auto"/>
        </w:rPr>
        <w:t>option. Each research plan and its activities are considered a research program. Upon approval by the joint research committee, Gilead may conduct separate development and clinical activities under a research plan. The term of the research plan for the first target pair has already begun. The research terms of the research plans for the second, third and fourth target pairs can begin only after Gilead’s exercise of the options for such target pairs. Gilead has fixed time periods to exercise its options for the second, third and fourth target pairs and we may decline to accept Gilead’s selections of the third and fourth target pairs under specified circumstances.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During each research term, Gilead will reimburse us for all internal and external costs we incur to conduct our assigned activities under that research plan, subject to specified limitations.</w:t>
      </w:r>
    </w:p>
    <w:p>
      <w:pPr>
        <w:spacing w:after="0" w:line="155"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i w:val="1"/>
          <w:iCs w:val="1"/>
          <w:color w:val="auto"/>
        </w:rPr>
        <w:t xml:space="preserve">Licenses. </w:t>
      </w:r>
      <w:r>
        <w:rPr>
          <w:rFonts w:ascii="Arial" w:cs="Arial" w:eastAsia="Arial" w:hAnsi="Arial"/>
          <w:sz w:val="12"/>
          <w:szCs w:val="12"/>
          <w:color w:val="auto"/>
        </w:rPr>
        <w:t>Under the agreement, we granted Gilead an exclusive worldwide license to research, develop, manufacture and commercialize DARTs that bind to the first pair of specified targets. Upon</w:t>
      </w:r>
      <w:r>
        <w:rPr>
          <w:rFonts w:ascii="Arial" w:cs="Arial" w:eastAsia="Arial" w:hAnsi="Arial"/>
          <w:sz w:val="12"/>
          <w:szCs w:val="12"/>
          <w:i w:val="1"/>
          <w:iCs w:val="1"/>
          <w:color w:val="auto"/>
        </w:rPr>
        <w:t xml:space="preserve"> </w:t>
      </w:r>
      <w:r>
        <w:rPr>
          <w:rFonts w:ascii="Arial" w:cs="Arial" w:eastAsia="Arial" w:hAnsi="Arial"/>
          <w:sz w:val="12"/>
          <w:szCs w:val="12"/>
          <w:color w:val="auto"/>
        </w:rPr>
        <w:t>initiation of the research term for the second target pair, we will grant Gilead an exclusive license to research, develop, manufacture and commercialize DARTs that bind to that pair of specified targets in North America, the European Union, Norway, Iceland, Turkey, Australia and New Zealand. Upon initiation of each of the research terms for the third and fourth target pairs we will grant Gilead a worldwide exclusive license to research, develop, manufacture and commercialize DARTs that bind to the corresponding target pair.</w:t>
      </w:r>
    </w:p>
    <w:p>
      <w:pPr>
        <w:spacing w:after="0" w:line="79" w:lineRule="exact"/>
        <w:rPr>
          <w:sz w:val="20"/>
          <w:szCs w:val="20"/>
          <w:color w:val="auto"/>
        </w:rPr>
      </w:pPr>
    </w:p>
    <w:p>
      <w:pPr>
        <w:ind w:right="360" w:firstLine="802"/>
        <w:spacing w:after="0" w:line="267" w:lineRule="auto"/>
        <w:rPr>
          <w:sz w:val="20"/>
          <w:szCs w:val="20"/>
          <w:color w:val="auto"/>
        </w:rPr>
      </w:pPr>
      <w:r>
        <w:rPr>
          <w:rFonts w:ascii="Arial" w:cs="Arial" w:eastAsia="Arial" w:hAnsi="Arial"/>
          <w:sz w:val="14"/>
          <w:szCs w:val="14"/>
          <w:color w:val="auto"/>
        </w:rPr>
        <w:t>In the event that we seek to license our rights to develop DARTs that bind to the second target pair in countries not included in the license for the second target pair, Gilead has a right of first negotiation to obtain such rights.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60"/>
          </w:cols>
          <w:pgMar w:left="220" w:top="386" w:right="2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180" w:firstLine="802"/>
        <w:spacing w:after="0" w:line="258" w:lineRule="auto"/>
        <w:rPr>
          <w:sz w:val="20"/>
          <w:szCs w:val="20"/>
          <w:color w:val="auto"/>
        </w:rPr>
      </w:pPr>
      <w:r>
        <w:rPr>
          <w:rFonts w:ascii="Arial" w:cs="Arial" w:eastAsia="Arial" w:hAnsi="Arial"/>
          <w:sz w:val="14"/>
          <w:szCs w:val="14"/>
          <w:i w:val="1"/>
          <w:iCs w:val="1"/>
          <w:color w:val="auto"/>
        </w:rPr>
        <w:t>Pre-clinical Milestone</w:t>
      </w:r>
      <w:r>
        <w:rPr>
          <w:rFonts w:ascii="Arial" w:cs="Arial" w:eastAsia="Arial" w:hAnsi="Arial"/>
          <w:sz w:val="14"/>
          <w:szCs w:val="14"/>
          <w:color w:val="auto"/>
        </w:rPr>
        <w:t>. Notice by Gilead to pay the pre-clinical milestone for each target pair category must be provided to us within specified time periods. Upon providing notice to pay a pre-clinical milestone for a target pair category, Gilead will become responsible for all research, development and commercialization activities with respect to licensed products within such target pair category in Gilead’s territory for such target pair license.</w:t>
      </w:r>
    </w:p>
    <w:p>
      <w:pPr>
        <w:spacing w:after="0" w:line="108"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i w:val="1"/>
          <w:iCs w:val="1"/>
          <w:color w:val="auto"/>
        </w:rPr>
        <w:t>Exclusivity</w:t>
      </w:r>
      <w:r>
        <w:rPr>
          <w:rFonts w:ascii="Arial" w:cs="Arial" w:eastAsia="Arial" w:hAnsi="Arial"/>
          <w:sz w:val="14"/>
          <w:szCs w:val="14"/>
          <w:color w:val="auto"/>
        </w:rPr>
        <w:t>. Subject to specified exceptions, during the term of the agreement, other than with respect to the research and development activities pursuant to the agreement, we may not, directly or</w:t>
      </w:r>
      <w:r>
        <w:rPr>
          <w:rFonts w:ascii="Arial" w:cs="Arial" w:eastAsia="Arial" w:hAnsi="Arial"/>
          <w:sz w:val="14"/>
          <w:szCs w:val="14"/>
          <w:i w:val="1"/>
          <w:iCs w:val="1"/>
          <w:color w:val="auto"/>
        </w:rPr>
        <w:t xml:space="preserve"> </w:t>
      </w:r>
      <w:r>
        <w:rPr>
          <w:rFonts w:ascii="Arial" w:cs="Arial" w:eastAsia="Arial" w:hAnsi="Arial"/>
          <w:sz w:val="14"/>
          <w:szCs w:val="14"/>
          <w:color w:val="auto"/>
        </w:rPr>
        <w:t>indirectly, research, develop, manufacture or commercialize a product that binds to both targets from any target pair category covered by the agreement in a country where Gilead has been granted a license for such target pair.</w:t>
      </w:r>
    </w:p>
    <w:p>
      <w:pPr>
        <w:spacing w:after="0" w:line="108" w:lineRule="exact"/>
        <w:rPr>
          <w:sz w:val="20"/>
          <w:szCs w:val="20"/>
          <w:color w:val="auto"/>
        </w:rPr>
      </w:pPr>
    </w:p>
    <w:p>
      <w:pPr>
        <w:jc w:val="both"/>
        <w:ind w:right="100" w:firstLine="802"/>
        <w:spacing w:after="0" w:line="258" w:lineRule="auto"/>
        <w:rPr>
          <w:sz w:val="20"/>
          <w:szCs w:val="20"/>
          <w:color w:val="auto"/>
        </w:rPr>
      </w:pPr>
      <w:r>
        <w:rPr>
          <w:rFonts w:ascii="Arial" w:cs="Arial" w:eastAsia="Arial" w:hAnsi="Arial"/>
          <w:sz w:val="14"/>
          <w:szCs w:val="14"/>
          <w:i w:val="1"/>
          <w:iCs w:val="1"/>
          <w:color w:val="auto"/>
        </w:rPr>
        <w:t xml:space="preserve">Term and Termination. </w:t>
      </w:r>
      <w:r>
        <w:rPr>
          <w:rFonts w:ascii="Arial" w:cs="Arial" w:eastAsia="Arial" w:hAnsi="Arial"/>
          <w:sz w:val="14"/>
          <w:szCs w:val="14"/>
          <w:color w:val="auto"/>
        </w:rPr>
        <w:t>The agreement will terminate in its entirety upon the later of the expiration of the last-expiring patent related to a Gilead licensed product, the regulatory based exclusivity</w:t>
      </w:r>
      <w:r>
        <w:rPr>
          <w:rFonts w:ascii="Arial" w:cs="Arial" w:eastAsia="Arial" w:hAnsi="Arial"/>
          <w:sz w:val="14"/>
          <w:szCs w:val="14"/>
          <w:i w:val="1"/>
          <w:iCs w:val="1"/>
          <w:color w:val="auto"/>
        </w:rPr>
        <w:t xml:space="preserve"> </w:t>
      </w:r>
      <w:r>
        <w:rPr>
          <w:rFonts w:ascii="Arial" w:cs="Arial" w:eastAsia="Arial" w:hAnsi="Arial"/>
          <w:sz w:val="14"/>
          <w:szCs w:val="14"/>
          <w:color w:val="auto"/>
        </w:rPr>
        <w:t>period or 12 years after the first commercial sale of a Gilead licensed product. Gilead has the right to terminate the agreement at any time with respect to one or more selected target pairs or in its entirety, upon prior written notice to us. The agreement contains customary termination rights.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Boehringer</w:t>
      </w:r>
    </w:p>
    <w:p>
      <w:pPr>
        <w:spacing w:after="0" w:line="132" w:lineRule="exact"/>
        <w:rPr>
          <w:sz w:val="20"/>
          <w:szCs w:val="20"/>
          <w:color w:val="auto"/>
        </w:rPr>
      </w:pPr>
    </w:p>
    <w:p>
      <w:pPr>
        <w:jc w:val="both"/>
        <w:ind w:right="120" w:firstLine="802"/>
        <w:spacing w:after="0" w:line="258" w:lineRule="auto"/>
        <w:rPr>
          <w:sz w:val="20"/>
          <w:szCs w:val="20"/>
          <w:color w:val="auto"/>
        </w:rPr>
      </w:pPr>
      <w:r>
        <w:rPr>
          <w:rFonts w:ascii="Arial" w:cs="Arial" w:eastAsia="Arial" w:hAnsi="Arial"/>
          <w:sz w:val="14"/>
          <w:szCs w:val="14"/>
          <w:i w:val="1"/>
          <w:iCs w:val="1"/>
          <w:color w:val="auto"/>
        </w:rPr>
        <w:t xml:space="preserve">Overview. </w:t>
      </w:r>
      <w:r>
        <w:rPr>
          <w:rFonts w:ascii="Arial" w:cs="Arial" w:eastAsia="Arial" w:hAnsi="Arial"/>
          <w:sz w:val="14"/>
          <w:szCs w:val="14"/>
          <w:color w:val="auto"/>
        </w:rPr>
        <w:t>In October 2010 we entered into a collaboration and license agreement with Boehringer to discover, develop and commercialize up to ten DART-based molecules which span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therapeutic areas. Under the terms of the agreement, we granted Boehringer an exclusive, worldwide, royalty-bearing, license under our intellectual property to research, develop, and market DARTs generated under the agreement, or the Boehringer licensed products, throughout the world.</w:t>
      </w:r>
    </w:p>
    <w:p>
      <w:pPr>
        <w:spacing w:after="0" w:line="108"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Under the agreement, we received an upfront payment of $15 million. We subsequently received two annual maintenance payments and anticipate receiving a third annual maintenance payment in the fourth quarter of 2013. We have the potential to earn development, regulatory and sales milestone payments that can reach up to approximately $210 million for each of the DART programs under this agreement in the case of full commercial success of multiple DART products. Boehringer also provides funding for our internal and external research costs and is required to pay us mid-single digit royalties, on a licensed product-by-licensed product basis, on worldwide net sales, subject to reductions in specified circumstances. We have the option to co-promote certain DART products in the United States and may elect to co-fund Phase 3 clinical development in exchange for an increased royalty rate on net sales.</w:t>
      </w:r>
    </w:p>
    <w:p>
      <w:pPr>
        <w:spacing w:after="0" w:line="84" w:lineRule="exact"/>
        <w:rPr>
          <w:sz w:val="20"/>
          <w:szCs w:val="20"/>
          <w:color w:val="auto"/>
        </w:rPr>
      </w:pPr>
    </w:p>
    <w:p>
      <w:pPr>
        <w:ind w:right="60" w:firstLine="802"/>
        <w:spacing w:after="0" w:line="305" w:lineRule="auto"/>
        <w:rPr>
          <w:sz w:val="20"/>
          <w:szCs w:val="20"/>
          <w:color w:val="auto"/>
        </w:rPr>
      </w:pPr>
      <w:r>
        <w:rPr>
          <w:rFonts w:ascii="Arial" w:cs="Arial" w:eastAsia="Arial" w:hAnsi="Arial"/>
          <w:sz w:val="12"/>
          <w:szCs w:val="12"/>
          <w:i w:val="1"/>
          <w:iCs w:val="1"/>
          <w:color w:val="auto"/>
        </w:rPr>
        <w:t xml:space="preserve">Research. </w:t>
      </w:r>
      <w:r>
        <w:rPr>
          <w:rFonts w:ascii="Arial" w:cs="Arial" w:eastAsia="Arial" w:hAnsi="Arial"/>
          <w:sz w:val="12"/>
          <w:szCs w:val="12"/>
          <w:color w:val="auto"/>
        </w:rPr>
        <w:t>Under the agreement, Boehringer is entitled to select up to ten pairs of targets for which we would generate DARTs that bind to such targets. Several of the targets were identified in the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Subsequent target pairs are selected according to a process which permits us to decline to accept such target pairs under specified circumstances. During the research term of the agreement, we are responsible for generating pre-clinical DART candidates that bind the accepted target pairs and generating data according to specified criteria which will be presented to Boehringer as a data package. If Boehringer accepts a pre-clinical DART candidate it will be responsible for subsequent development and commercialization of such pre-clinical DART candidate. We have the right to co-fund a portion of the Phase 3 clinical development in exchange for an increased royalty rate. We also have the right to co-promote up to two DART products that are developed under the agreement.</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 xml:space="preserve">Equity Purchase. </w:t>
      </w:r>
      <w:r>
        <w:rPr>
          <w:rFonts w:ascii="Arial" w:cs="Arial" w:eastAsia="Arial" w:hAnsi="Arial"/>
          <w:sz w:val="14"/>
          <w:szCs w:val="14"/>
          <w:color w:val="auto"/>
        </w:rPr>
        <w:t>Boehringer purchased $10 million of our Series D-2 preferred stock in January 2011.</w:t>
      </w:r>
    </w:p>
    <w:p>
      <w:pPr>
        <w:spacing w:after="0" w:line="132" w:lineRule="exact"/>
        <w:rPr>
          <w:sz w:val="20"/>
          <w:szCs w:val="20"/>
          <w:color w:val="auto"/>
        </w:rPr>
      </w:pPr>
    </w:p>
    <w:p>
      <w:pPr>
        <w:ind w:right="200" w:firstLine="802"/>
        <w:spacing w:after="0" w:line="311" w:lineRule="auto"/>
        <w:rPr>
          <w:sz w:val="20"/>
          <w:szCs w:val="20"/>
          <w:color w:val="auto"/>
        </w:rPr>
      </w:pPr>
      <w:r>
        <w:rPr>
          <w:rFonts w:ascii="Arial" w:cs="Arial" w:eastAsia="Arial" w:hAnsi="Arial"/>
          <w:sz w:val="12"/>
          <w:szCs w:val="12"/>
          <w:i w:val="1"/>
          <w:iCs w:val="1"/>
          <w:color w:val="auto"/>
        </w:rPr>
        <w:t>Exclusivity</w:t>
      </w:r>
      <w:r>
        <w:rPr>
          <w:rFonts w:ascii="Arial" w:cs="Arial" w:eastAsia="Arial" w:hAnsi="Arial"/>
          <w:sz w:val="12"/>
          <w:szCs w:val="12"/>
          <w:color w:val="auto"/>
        </w:rPr>
        <w:t>. Subject to specified exceptions, during the term of the agreement, other than with respect to Boehringer licensed products, we agreed not to research, develop or commercialize any</w:t>
      </w:r>
      <w:r>
        <w:rPr>
          <w:rFonts w:ascii="Arial" w:cs="Arial" w:eastAsia="Arial" w:hAnsi="Arial"/>
          <w:sz w:val="12"/>
          <w:szCs w:val="12"/>
          <w:i w:val="1"/>
          <w:iCs w:val="1"/>
          <w:color w:val="auto"/>
        </w:rPr>
        <w:t xml:space="preserve"> </w:t>
      </w:r>
      <w:r>
        <w:rPr>
          <w:rFonts w:ascii="Arial" w:cs="Arial" w:eastAsia="Arial" w:hAnsi="Arial"/>
          <w:sz w:val="12"/>
          <w:szCs w:val="12"/>
          <w:color w:val="auto"/>
        </w:rPr>
        <w:t>product using our DART platform that is directed to a target covered under the agreement. Subject to specified exceptions, we further agreed not to grant any third party rights to research, develop or commercialize any product using our DART platform that is directed to a specified number of specific targets identified in the agreement, until a specified time period or the date on which neither of the identified targets has been selected as a target subject to development and commercialization under the agreement.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40"/>
          </w:cols>
          <w:pgMar w:left="220" w:top="386"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i w:val="1"/>
          <w:iCs w:val="1"/>
          <w:color w:val="auto"/>
        </w:rPr>
        <w:t xml:space="preserve">Term and Termination. </w:t>
      </w:r>
      <w:r>
        <w:rPr>
          <w:rFonts w:ascii="Arial" w:cs="Arial" w:eastAsia="Arial" w:hAnsi="Arial"/>
          <w:sz w:val="14"/>
          <w:szCs w:val="14"/>
          <w:color w:val="auto"/>
        </w:rPr>
        <w:t>The agreement will terminate in its entirety upon the later of the expiration of the last-expiring patent related to a Boehringer licensed product, or 12 years after the first</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sale of a Boehringer licensed product. Boehringer has the right to terminate the agreement at any time with respect to one or more selected target pairs or in its entirety, upon prior written notice to us. However, it must maintain research efforts during a specified time period of the agreement. The agreement may also be terminated by either Boehringer or us in the event of an uncured material breach by the other party.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Pfizer</w:t>
      </w:r>
    </w:p>
    <w:p>
      <w:pPr>
        <w:spacing w:after="0" w:line="132"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i w:val="1"/>
          <w:iCs w:val="1"/>
          <w:color w:val="auto"/>
        </w:rPr>
        <w:t xml:space="preserve">Overview. </w:t>
      </w:r>
      <w:r>
        <w:rPr>
          <w:rFonts w:ascii="Arial" w:cs="Arial" w:eastAsia="Arial" w:hAnsi="Arial"/>
          <w:sz w:val="12"/>
          <w:szCs w:val="12"/>
          <w:color w:val="auto"/>
        </w:rPr>
        <w:t>In October 2010, we entered into a research collaboration and license agreement with Pfizer. Under the agreement, we granted Pfizer a non-exclusive worldwide, royalty-bearing license</w:t>
      </w:r>
      <w:r>
        <w:rPr>
          <w:rFonts w:ascii="Arial" w:cs="Arial" w:eastAsia="Arial" w:hAnsi="Arial"/>
          <w:sz w:val="12"/>
          <w:szCs w:val="12"/>
          <w:i w:val="1"/>
          <w:iCs w:val="1"/>
          <w:color w:val="auto"/>
        </w:rPr>
        <w:t xml:space="preserve"> </w:t>
      </w:r>
      <w:r>
        <w:rPr>
          <w:rFonts w:ascii="Arial" w:cs="Arial" w:eastAsia="Arial" w:hAnsi="Arial"/>
          <w:sz w:val="12"/>
          <w:szCs w:val="12"/>
          <w:color w:val="auto"/>
        </w:rPr>
        <w:t>and received upfront and milestone payments and funding for our internal and external research costs under the agreement. Under the terms of the agreement, we received a non-refundable, non-creditable $5 million upfront fee. In addition, we are eligible to receive up to approximately $210 million per Pfizer DART molecule, as defined in the agreement, in technical, development and sales milestone payments if specified net sales thresholds are reached. We are also entitled to receive royalties from Pfizer at percentages ranging from the mid-single digits to the low-teens on net sales of any Pfizer DART. Under this collaboration, one DART program is currently being pursued and we will complete our research obligations under this program in October 2013.</w:t>
      </w:r>
    </w:p>
    <w:p>
      <w:pPr>
        <w:spacing w:after="0" w:line="84" w:lineRule="exact"/>
        <w:rPr>
          <w:sz w:val="20"/>
          <w:szCs w:val="20"/>
          <w:color w:val="auto"/>
        </w:rPr>
      </w:pPr>
    </w:p>
    <w:p>
      <w:pPr>
        <w:jc w:val="both"/>
        <w:ind w:right="240" w:firstLine="802"/>
        <w:spacing w:after="0" w:line="321" w:lineRule="auto"/>
        <w:rPr>
          <w:sz w:val="20"/>
          <w:szCs w:val="20"/>
          <w:color w:val="auto"/>
        </w:rPr>
      </w:pPr>
      <w:r>
        <w:rPr>
          <w:rFonts w:ascii="Arial" w:cs="Arial" w:eastAsia="Arial" w:hAnsi="Arial"/>
          <w:sz w:val="12"/>
          <w:szCs w:val="12"/>
          <w:i w:val="1"/>
          <w:iCs w:val="1"/>
          <w:color w:val="auto"/>
        </w:rPr>
        <w:t xml:space="preserve">Research. </w:t>
      </w:r>
      <w:r>
        <w:rPr>
          <w:rFonts w:ascii="Arial" w:cs="Arial" w:eastAsia="Arial" w:hAnsi="Arial"/>
          <w:sz w:val="12"/>
          <w:szCs w:val="12"/>
          <w:color w:val="auto"/>
        </w:rPr>
        <w:t>Under the agreement, we are obligated to construct Pfizer DARTs that bind to a first and second target identified in the agreement that are each expressed on cancer cells. During the</w:t>
      </w:r>
      <w:r>
        <w:rPr>
          <w:rFonts w:ascii="Arial" w:cs="Arial" w:eastAsia="Arial" w:hAnsi="Arial"/>
          <w:sz w:val="12"/>
          <w:szCs w:val="12"/>
          <w:i w:val="1"/>
          <w:iCs w:val="1"/>
          <w:color w:val="auto"/>
        </w:rPr>
        <w:t xml:space="preserve"> </w:t>
      </w:r>
      <w:r>
        <w:rPr>
          <w:rFonts w:ascii="Arial" w:cs="Arial" w:eastAsia="Arial" w:hAnsi="Arial"/>
          <w:sz w:val="12"/>
          <w:szCs w:val="12"/>
          <w:color w:val="auto"/>
        </w:rPr>
        <w:t>research term of the agreement, which expires on October 13, 2013, we conduct pre-clinical development of the Pfizer DARTs in collaboration with Pfizer according to an agreed upon research plan. Under certain circumstances, Pfizer has the right to substitute the second target during specified periods. Pfizer has exercised those rights at various times during the specified periods which have now expired.</w:t>
      </w:r>
    </w:p>
    <w:p>
      <w:pPr>
        <w:spacing w:after="0" w:line="73" w:lineRule="exact"/>
        <w:rPr>
          <w:sz w:val="20"/>
          <w:szCs w:val="20"/>
          <w:color w:val="auto"/>
        </w:rPr>
      </w:pPr>
    </w:p>
    <w:p>
      <w:pPr>
        <w:ind w:right="80" w:firstLine="802"/>
        <w:spacing w:after="0" w:line="351" w:lineRule="auto"/>
        <w:rPr>
          <w:sz w:val="20"/>
          <w:szCs w:val="20"/>
          <w:color w:val="auto"/>
        </w:rPr>
      </w:pPr>
      <w:r>
        <w:rPr>
          <w:rFonts w:ascii="Arial" w:cs="Arial" w:eastAsia="Arial" w:hAnsi="Arial"/>
          <w:sz w:val="12"/>
          <w:szCs w:val="12"/>
          <w:i w:val="1"/>
          <w:iCs w:val="1"/>
          <w:color w:val="auto"/>
        </w:rPr>
        <w:t xml:space="preserve">Product Development. </w:t>
      </w:r>
      <w:r>
        <w:rPr>
          <w:rFonts w:ascii="Arial" w:cs="Arial" w:eastAsia="Arial" w:hAnsi="Arial"/>
          <w:sz w:val="12"/>
          <w:szCs w:val="12"/>
          <w:color w:val="auto"/>
        </w:rPr>
        <w:t>Upon expiration of the research term in October 2013, Pfizer will use commercially reasonable efforts to develop and obtain regulatory approval for each Pfizer DART in</w:t>
      </w:r>
      <w:r>
        <w:rPr>
          <w:rFonts w:ascii="Arial" w:cs="Arial" w:eastAsia="Arial" w:hAnsi="Arial"/>
          <w:sz w:val="12"/>
          <w:szCs w:val="12"/>
          <w:i w:val="1"/>
          <w:iCs w:val="1"/>
          <w:color w:val="auto"/>
        </w:rPr>
        <w:t xml:space="preserve"> </w:t>
      </w:r>
      <w:r>
        <w:rPr>
          <w:rFonts w:ascii="Arial" w:cs="Arial" w:eastAsia="Arial" w:hAnsi="Arial"/>
          <w:sz w:val="12"/>
          <w:szCs w:val="12"/>
          <w:color w:val="auto"/>
        </w:rPr>
        <w:t>both the United States and other specified countries. In addition, Pfizer will use commercially reasonable efforts to commercialize a Pfizer DART in each country where Pfizer has received regulatory approval.</w:t>
      </w:r>
    </w:p>
    <w:p>
      <w:pPr>
        <w:spacing w:after="0" w:line="56"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 xml:space="preserve">Commercialization. </w:t>
      </w:r>
      <w:r>
        <w:rPr>
          <w:rFonts w:ascii="Arial" w:cs="Arial" w:eastAsia="Arial" w:hAnsi="Arial"/>
          <w:sz w:val="14"/>
          <w:szCs w:val="14"/>
          <w:color w:val="auto"/>
        </w:rPr>
        <w:t>Under the Agreement, Pfizer has sole responsibility and authority for commercialization of Pfizer DARTs at its sole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 xml:space="preserve">Manufacturing. </w:t>
      </w:r>
      <w:r>
        <w:rPr>
          <w:rFonts w:ascii="Arial" w:cs="Arial" w:eastAsia="Arial" w:hAnsi="Arial"/>
          <w:sz w:val="14"/>
          <w:szCs w:val="14"/>
          <w:color w:val="auto"/>
        </w:rPr>
        <w:t>Pfizer has the exclusive right to manufacture Pfizer DARTs.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i w:val="1"/>
          <w:iCs w:val="1"/>
          <w:color w:val="auto"/>
        </w:rPr>
        <w:t xml:space="preserve">License. </w:t>
      </w:r>
      <w:r>
        <w:rPr>
          <w:rFonts w:ascii="Arial" w:cs="Arial" w:eastAsia="Arial" w:hAnsi="Arial"/>
          <w:sz w:val="12"/>
          <w:szCs w:val="12"/>
          <w:color w:val="auto"/>
        </w:rPr>
        <w:t>Under the Agreement we granted Pfizer an exclusive, worldwide license to use, develop, manufacture, and commercialize Pfizer DARTs. The license includes the right to sublicense.</w:t>
      </w:r>
    </w:p>
    <w:p>
      <w:pPr>
        <w:spacing w:after="0" w:line="155" w:lineRule="exact"/>
        <w:rPr>
          <w:sz w:val="20"/>
          <w:szCs w:val="20"/>
          <w:color w:val="auto"/>
        </w:rPr>
      </w:pPr>
    </w:p>
    <w:p>
      <w:pPr>
        <w:ind w:right="280" w:firstLine="802"/>
        <w:spacing w:after="0" w:line="258" w:lineRule="auto"/>
        <w:rPr>
          <w:sz w:val="20"/>
          <w:szCs w:val="20"/>
          <w:color w:val="auto"/>
        </w:rPr>
      </w:pPr>
      <w:r>
        <w:rPr>
          <w:rFonts w:ascii="Arial" w:cs="Arial" w:eastAsia="Arial" w:hAnsi="Arial"/>
          <w:sz w:val="14"/>
          <w:szCs w:val="14"/>
          <w:i w:val="1"/>
          <w:iCs w:val="1"/>
          <w:color w:val="auto"/>
        </w:rPr>
        <w:t>Exclusivity</w:t>
      </w:r>
      <w:r>
        <w:rPr>
          <w:rFonts w:ascii="Arial" w:cs="Arial" w:eastAsia="Arial" w:hAnsi="Arial"/>
          <w:sz w:val="14"/>
          <w:szCs w:val="14"/>
          <w:color w:val="auto"/>
        </w:rPr>
        <w:t>. Subject to specified exceptions, until October 3, 2015, we agreed not to research, develop, commercialize, manufacture, or grant any third party rights to research, develop,</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commercialize, or manufacture, (i) a Pfizer DART that binds to a cancer target for which a Pfizer DART is under development in the agreement; or (ii) product candidates based on an antibody that we have supplied to serve as the basis for generating a Pfizer DART that is in development under the agreement.</w:t>
      </w:r>
    </w:p>
    <w:p>
      <w:pPr>
        <w:spacing w:after="0" w:line="108" w:lineRule="exact"/>
        <w:rPr>
          <w:sz w:val="20"/>
          <w:szCs w:val="20"/>
          <w:color w:val="auto"/>
        </w:rPr>
      </w:pPr>
    </w:p>
    <w:p>
      <w:pPr>
        <w:jc w:val="both"/>
        <w:ind w:right="140" w:firstLine="802"/>
        <w:spacing w:after="0" w:line="258" w:lineRule="auto"/>
        <w:rPr>
          <w:sz w:val="20"/>
          <w:szCs w:val="20"/>
          <w:color w:val="auto"/>
        </w:rPr>
      </w:pPr>
      <w:r>
        <w:rPr>
          <w:rFonts w:ascii="Arial" w:cs="Arial" w:eastAsia="Arial" w:hAnsi="Arial"/>
          <w:sz w:val="14"/>
          <w:szCs w:val="14"/>
          <w:i w:val="1"/>
          <w:iCs w:val="1"/>
          <w:color w:val="auto"/>
        </w:rPr>
        <w:t xml:space="preserve">Term and Termination. </w:t>
      </w:r>
      <w:r>
        <w:rPr>
          <w:rFonts w:ascii="Arial" w:cs="Arial" w:eastAsia="Arial" w:hAnsi="Arial"/>
          <w:sz w:val="14"/>
          <w:szCs w:val="14"/>
          <w:color w:val="auto"/>
        </w:rPr>
        <w:t>The agreement will terminate in its entirety upon the later of the expiration of the last-expiring patent related to a Pfizer DART licensed product, or 12 years after the first</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sale of a Pfizer DART licensed product. We or Pfizer may terminate the agreement in the event of an uncured material breach by the other party. After a specified period, Pfizer may terminate the agreement for convenience upon prior written notice to us.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40"/>
          </w:cols>
          <w:pgMar w:left="220" w:top="386"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Green Cross</w:t>
      </w:r>
    </w:p>
    <w:p>
      <w:pPr>
        <w:spacing w:after="0" w:line="132"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i w:val="1"/>
          <w:iCs w:val="1"/>
          <w:color w:val="auto"/>
        </w:rPr>
        <w:t xml:space="preserve">Overview. </w:t>
      </w:r>
      <w:r>
        <w:rPr>
          <w:rFonts w:ascii="Arial" w:cs="Arial" w:eastAsia="Arial" w:hAnsi="Arial"/>
          <w:sz w:val="12"/>
          <w:szCs w:val="12"/>
          <w:color w:val="auto"/>
        </w:rPr>
        <w:t>In June 2010, we entered into a Collaboration Agreement with Green Cross Corp., or Green Cross, to grant Green Cross an exclusive license to conduct specified Phase 1 and Phase 2</w:t>
      </w:r>
      <w:r>
        <w:rPr>
          <w:rFonts w:ascii="Arial" w:cs="Arial" w:eastAsia="Arial" w:hAnsi="Arial"/>
          <w:sz w:val="12"/>
          <w:szCs w:val="12"/>
          <w:i w:val="1"/>
          <w:iCs w:val="1"/>
          <w:color w:val="auto"/>
        </w:rPr>
        <w:t xml:space="preserve"> </w:t>
      </w:r>
      <w:r>
        <w:rPr>
          <w:rFonts w:ascii="Arial" w:cs="Arial" w:eastAsia="Arial" w:hAnsi="Arial"/>
          <w:sz w:val="12"/>
          <w:szCs w:val="12"/>
          <w:color w:val="auto"/>
        </w:rPr>
        <w:t>trials and commercialize margetuximab in South Korea. Under the terms of the agreement, we received a non-refundable $1.0 million upfront fee and are eligible to receive clinical, development and commercial milestone payments up to $4.5 million if Green Cross commercializes margetuximab. We are also entitled to receive royalties ranging from the low-single digits to the low-twenties on net sales of margetuximab by Green Cross in South Korea. In addition, Green Cross purchased $2.0 million of our Series D-2 Preferred Stock in January 2011.</w:t>
      </w:r>
    </w:p>
    <w:p>
      <w:pPr>
        <w:spacing w:after="0" w:line="79" w:lineRule="exact"/>
        <w:rPr>
          <w:sz w:val="20"/>
          <w:szCs w:val="20"/>
          <w:color w:val="auto"/>
        </w:rPr>
      </w:pPr>
    </w:p>
    <w:p>
      <w:pPr>
        <w:ind w:right="200" w:firstLine="802"/>
        <w:spacing w:after="0" w:line="321" w:lineRule="auto"/>
        <w:rPr>
          <w:sz w:val="20"/>
          <w:szCs w:val="20"/>
          <w:color w:val="auto"/>
        </w:rPr>
      </w:pPr>
      <w:r>
        <w:rPr>
          <w:rFonts w:ascii="Arial" w:cs="Arial" w:eastAsia="Arial" w:hAnsi="Arial"/>
          <w:sz w:val="12"/>
          <w:szCs w:val="12"/>
          <w:i w:val="1"/>
          <w:iCs w:val="1"/>
          <w:color w:val="auto"/>
        </w:rPr>
        <w:t xml:space="preserve">Clinical Development. </w:t>
      </w:r>
      <w:r>
        <w:rPr>
          <w:rFonts w:ascii="Arial" w:cs="Arial" w:eastAsia="Arial" w:hAnsi="Arial"/>
          <w:sz w:val="12"/>
          <w:szCs w:val="12"/>
          <w:color w:val="auto"/>
        </w:rPr>
        <w:t>Initial development of margetuximab under the agreement is being conducted according to a Phase 1 development plan that has been agreed upon by the parties. We hold</w:t>
      </w:r>
      <w:r>
        <w:rPr>
          <w:rFonts w:ascii="Arial" w:cs="Arial" w:eastAsia="Arial" w:hAnsi="Arial"/>
          <w:sz w:val="12"/>
          <w:szCs w:val="12"/>
          <w:i w:val="1"/>
          <w:iCs w:val="1"/>
          <w:color w:val="auto"/>
        </w:rPr>
        <w:t xml:space="preserve"> </w:t>
      </w:r>
      <w:r>
        <w:rPr>
          <w:rFonts w:ascii="Arial" w:cs="Arial" w:eastAsia="Arial" w:hAnsi="Arial"/>
          <w:sz w:val="12"/>
          <w:szCs w:val="12"/>
          <w:color w:val="auto"/>
        </w:rPr>
        <w:t>the clinical trial application for the ongoing Phase 1 clinical trial conducted in South Korea. Based upon an amendment to the agreement, Green Cross is responsible for all of its costs to conduct the Phase 1 development plan up to a specified amount and, we are responsible for all of our own costs to conduct the Phase 1 development plan.</w:t>
      </w:r>
    </w:p>
    <w:p>
      <w:pPr>
        <w:spacing w:after="0" w:line="73" w:lineRule="exact"/>
        <w:rPr>
          <w:sz w:val="20"/>
          <w:szCs w:val="20"/>
          <w:color w:val="auto"/>
        </w:rPr>
      </w:pPr>
    </w:p>
    <w:p>
      <w:pPr>
        <w:ind w:right="220" w:firstLine="802"/>
        <w:spacing w:after="0" w:line="255" w:lineRule="auto"/>
        <w:rPr>
          <w:sz w:val="20"/>
          <w:szCs w:val="20"/>
          <w:color w:val="auto"/>
        </w:rPr>
      </w:pPr>
      <w:r>
        <w:rPr>
          <w:rFonts w:ascii="Arial" w:cs="Arial" w:eastAsia="Arial" w:hAnsi="Arial"/>
          <w:sz w:val="14"/>
          <w:szCs w:val="14"/>
          <w:color w:val="auto"/>
        </w:rPr>
        <w:t>Development of margetuximab under the agreement after completion of the Phase 1 clinical trial will be conducted according to a Phase 2 development plan. In that regard, Green Cross is obligated to use best efforts to initiate a Phase 2 clinical trial with margetuximab in South Korea within a specified period of time after the completion of the Phase 1 trial. The costs of conducting the Phase 2 trial will be the responsibility of Green Cross. After completion of the Phase 1 trial, Green Cross has the responsibility for submitting clinical trial applications to the Korea Food and Drug Administration, or KFDA.</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2"/>
          <w:szCs w:val="12"/>
          <w:color w:val="auto"/>
        </w:rPr>
        <w:t>Green Cross shall have the option to participate in any additional studies to the extent such studies are required by the KFDA to obtain approval of margetuximab in South Korea.</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 xml:space="preserve">Commercialization. </w:t>
      </w:r>
      <w:r>
        <w:rPr>
          <w:rFonts w:ascii="Arial" w:cs="Arial" w:eastAsia="Arial" w:hAnsi="Arial"/>
          <w:sz w:val="14"/>
          <w:szCs w:val="14"/>
          <w:color w:val="auto"/>
        </w:rPr>
        <w:t>Under the Agreement Green Cross has sole responsibility and authority for commercialization of margetuximab in South Korea at its sole expense.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 xml:space="preserve">Manufacturing. </w:t>
      </w:r>
      <w:r>
        <w:rPr>
          <w:rFonts w:ascii="Arial" w:cs="Arial" w:eastAsia="Arial" w:hAnsi="Arial"/>
          <w:sz w:val="14"/>
          <w:szCs w:val="14"/>
          <w:color w:val="auto"/>
        </w:rPr>
        <w:t>We are responsible for supply of margetuximab that is used for clinical development by Green Cross in South Korea.</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i w:val="1"/>
          <w:iCs w:val="1"/>
          <w:color w:val="auto"/>
        </w:rPr>
        <w:t xml:space="preserve">License. </w:t>
      </w:r>
      <w:r>
        <w:rPr>
          <w:rFonts w:ascii="Arial" w:cs="Arial" w:eastAsia="Arial" w:hAnsi="Arial"/>
          <w:sz w:val="12"/>
          <w:szCs w:val="12"/>
          <w:color w:val="auto"/>
        </w:rPr>
        <w:t>Under the Agreement we granted Green Cross an exclusive license to conduct specified Phase 1 and Phase 2 trials and commercialize margetuximab in South Korea.</w:t>
      </w:r>
    </w:p>
    <w:p>
      <w:pPr>
        <w:spacing w:after="0" w:line="155" w:lineRule="exact"/>
        <w:rPr>
          <w:sz w:val="20"/>
          <w:szCs w:val="20"/>
          <w:color w:val="auto"/>
        </w:rPr>
      </w:pPr>
    </w:p>
    <w:p>
      <w:pPr>
        <w:ind w:right="240" w:firstLine="802"/>
        <w:spacing w:after="0" w:line="258" w:lineRule="auto"/>
        <w:rPr>
          <w:sz w:val="20"/>
          <w:szCs w:val="20"/>
          <w:color w:val="auto"/>
        </w:rPr>
      </w:pPr>
      <w:r>
        <w:rPr>
          <w:rFonts w:ascii="Arial" w:cs="Arial" w:eastAsia="Arial" w:hAnsi="Arial"/>
          <w:sz w:val="14"/>
          <w:szCs w:val="14"/>
          <w:i w:val="1"/>
          <w:iCs w:val="1"/>
          <w:color w:val="auto"/>
        </w:rPr>
        <w:t xml:space="preserve">Consideration. </w:t>
      </w:r>
      <w:r>
        <w:rPr>
          <w:rFonts w:ascii="Arial" w:cs="Arial" w:eastAsia="Arial" w:hAnsi="Arial"/>
          <w:sz w:val="14"/>
          <w:szCs w:val="14"/>
          <w:color w:val="auto"/>
        </w:rPr>
        <w:t>Under the Agreement, we received a non-refundable $1.0 million upfront fee and are eligible to receive clinical, development and commercial milestone payments up to $4.5</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if Green Cross commercializes margetuximab. In addition, we are entitled to receive royalties which are determined by a formula that allocates the cost of commercial supply and third party royalties against net sales.</w:t>
      </w:r>
    </w:p>
    <w:p>
      <w:pPr>
        <w:spacing w:after="0" w:line="108" w:lineRule="exact"/>
        <w:rPr>
          <w:sz w:val="20"/>
          <w:szCs w:val="20"/>
          <w:color w:val="auto"/>
        </w:rPr>
      </w:pPr>
    </w:p>
    <w:p>
      <w:pPr>
        <w:ind w:right="40" w:firstLine="802"/>
        <w:spacing w:after="0" w:line="255" w:lineRule="auto"/>
        <w:rPr>
          <w:sz w:val="20"/>
          <w:szCs w:val="20"/>
          <w:color w:val="auto"/>
        </w:rPr>
      </w:pPr>
      <w:r>
        <w:rPr>
          <w:rFonts w:ascii="Arial" w:cs="Arial" w:eastAsia="Arial" w:hAnsi="Arial"/>
          <w:sz w:val="14"/>
          <w:szCs w:val="14"/>
          <w:i w:val="1"/>
          <w:iCs w:val="1"/>
          <w:color w:val="auto"/>
        </w:rPr>
        <w:t>Term and Termination</w:t>
      </w:r>
      <w:r>
        <w:rPr>
          <w:rFonts w:ascii="Arial" w:cs="Arial" w:eastAsia="Arial" w:hAnsi="Arial"/>
          <w:sz w:val="14"/>
          <w:szCs w:val="14"/>
          <w:color w:val="auto"/>
        </w:rPr>
        <w:t>. The agreement will terminate in its entirety upon the later of the expiration of the last-expiring patent related to margetuximab, or 12 years after the first commercial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margetuximab in South Korea. The agreement may also be terminated by either Green Cross or us in the event of an uncured material breach by the other party. The agreement may be terminated by us immediately in the event Green Cross participates or actively assists in a legal challenge to one of the patents exclusively licensed to Green Cross under the agreement. Either party may terminate the agreement in the event of a change in control of the other party upon 30 days prior written notice to the other party.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60"/>
          </w:cols>
          <w:pgMar w:left="220" w:top="386" w:right="21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34" w:lineRule="exact"/>
        <w:rPr>
          <w:sz w:val="20"/>
          <w:szCs w:val="20"/>
          <w:color w:val="auto"/>
        </w:rPr>
      </w:pPr>
    </w:p>
    <w:p>
      <w:pPr>
        <w:ind w:right="420" w:firstLine="802"/>
        <w:spacing w:after="0" w:line="255" w:lineRule="auto"/>
        <w:rPr>
          <w:sz w:val="20"/>
          <w:szCs w:val="20"/>
          <w:color w:val="auto"/>
        </w:rPr>
      </w:pPr>
      <w:r>
        <w:rPr>
          <w:rFonts w:ascii="Arial" w:cs="Arial" w:eastAsia="Arial" w:hAnsi="Arial"/>
          <w:sz w:val="14"/>
          <w:szCs w:val="14"/>
          <w:color w:val="auto"/>
        </w:rPr>
        <w:t>We strive to protect the proprietary technologies that we believe are important to our business, including seeking and maintaining patent protection intended to protect, for example, the composition of matter of our product candidates, their methods of use, the technology platforms used to generate them, related technologies and/or other aspects of the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10" w:lineRule="exact"/>
        <w:rPr>
          <w:sz w:val="20"/>
          <w:szCs w:val="20"/>
          <w:color w:val="auto"/>
        </w:rPr>
      </w:pPr>
    </w:p>
    <w:p>
      <w:pPr>
        <w:ind w:right="40" w:firstLine="802"/>
        <w:spacing w:after="0" w:line="321" w:lineRule="auto"/>
        <w:rPr>
          <w:sz w:val="20"/>
          <w:szCs w:val="20"/>
          <w:color w:val="auto"/>
        </w:rPr>
      </w:pPr>
      <w:r>
        <w:rPr>
          <w:rFonts w:ascii="Arial" w:cs="Arial" w:eastAsia="Arial" w:hAnsi="Arial"/>
          <w:sz w:val="12"/>
          <w:szCs w:val="12"/>
          <w:color w:val="auto"/>
        </w:rPr>
        <w:t>We plan to continue to expand our intellectual property estate by filing patent applications directed to dosage forms, methods of treatment and additional compositions created or identified from our technology platforms and ongoing development of our product candidates. Specifically, we seek patent protection in the United States and internationally for novel compositions of matter directed to aspects of the molecules, basic structures and processes for manufacturing these molecules and the use of these molecules in a variety of therapies.</w:t>
      </w:r>
    </w:p>
    <w:p>
      <w:pPr>
        <w:spacing w:after="0" w:line="73"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or USPTO, filings for any applications by third parties that may infringe on our patents. To date, we have not identified any potential infringement of our patents by third parties.</w:t>
      </w:r>
    </w:p>
    <w:p>
      <w:pPr>
        <w:spacing w:after="0" w:line="84"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A third party may hold intellectual property, including patent rights that are important or necessary to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For example, certain patents held by third parties cover Fc engineering methods and mutations in Fc regions to enhance the binding of Fc regions to Fc receptors on immune cells. Although believe that these patents are invalid, if they cover margetuximab or MGA271 and we are unable to invalidate them, or if licenses for them are not available on commercially reasonable terms, our business could be harmed, perhaps materially.</w:t>
      </w:r>
    </w:p>
    <w:p>
      <w:pPr>
        <w:spacing w:after="0" w:line="84"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narrowed, circumvented or invalidated by third parties.</w:t>
      </w:r>
    </w:p>
    <w:p>
      <w:pPr>
        <w:spacing w:after="0" w:line="79" w:lineRule="exact"/>
        <w:rPr>
          <w:sz w:val="20"/>
          <w:szCs w:val="20"/>
          <w:color w:val="auto"/>
        </w:rPr>
      </w:pPr>
    </w:p>
    <w:p>
      <w:pPr>
        <w:ind w:right="100" w:firstLine="802"/>
        <w:spacing w:after="0" w:line="311" w:lineRule="auto"/>
        <w:rPr>
          <w:sz w:val="20"/>
          <w:szCs w:val="20"/>
          <w:color w:val="auto"/>
        </w:rPr>
      </w:pPr>
      <w:r>
        <w:rPr>
          <w:rFonts w:ascii="Arial" w:cs="Arial" w:eastAsia="Arial" w:hAnsi="Arial"/>
          <w:sz w:val="12"/>
          <w:szCs w:val="12"/>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We are participating in post-grant challenge proceedings, such as oppositions, that challenge the patentability of third party patents and may have to participate in such proceedings again in the future. Such proceedings could result in substantial cost, even if the eventual outcome is favorable to us.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40"/>
          </w:cols>
          <w:pgMar w:left="220" w:top="386"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patent portfolios for our most advanced programs are summarized below.</w:t>
      </w:r>
    </w:p>
    <w:p>
      <w:pPr>
        <w:spacing w:after="0" w:line="132"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i w:val="1"/>
          <w:iCs w:val="1"/>
          <w:color w:val="auto"/>
        </w:rPr>
        <w:t>Margetuximab</w:t>
      </w:r>
      <w:r>
        <w:rPr>
          <w:rFonts w:ascii="Arial" w:cs="Arial" w:eastAsia="Arial" w:hAnsi="Arial"/>
          <w:sz w:val="12"/>
          <w:szCs w:val="12"/>
          <w:color w:val="auto"/>
        </w:rPr>
        <w:t>. We own our margetuximab patent portfolio, which includes one issued patent and one pending U.S. patent application. Our issued patent relates to the composition of or methods</w:t>
      </w:r>
      <w:r>
        <w:rPr>
          <w:rFonts w:ascii="Arial" w:cs="Arial" w:eastAsia="Arial" w:hAnsi="Arial"/>
          <w:sz w:val="12"/>
          <w:szCs w:val="12"/>
          <w:i w:val="1"/>
          <w:iCs w:val="1"/>
          <w:color w:val="auto"/>
        </w:rPr>
        <w:t xml:space="preserve"> </w:t>
      </w:r>
      <w:r>
        <w:rPr>
          <w:rFonts w:ascii="Arial" w:cs="Arial" w:eastAsia="Arial" w:hAnsi="Arial"/>
          <w:sz w:val="12"/>
          <w:szCs w:val="12"/>
          <w:color w:val="auto"/>
        </w:rPr>
        <w:t>of making or using margetuximab and covers Fc engineered HER2 binding antibodies. This patent will expire in 2025. Related Patent Cooperation Treaty, or PCT, and national patent applications filed in a number of other countries are pending. Any patents resulting from these patent applications, if issued, will expire in 2025. Our current pending U.S. application relates to the composition of margetuximab. If issued, this patent will expire in 2029. We filed related PCT and national patent applications in a number of other countries. Any patents resulting from these patent applications, if issued, also will expire 2029.</w:t>
      </w:r>
    </w:p>
    <w:p>
      <w:pPr>
        <w:spacing w:after="0" w:line="79"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Certain issued patents and pending U.S. patent applications for our Fc Optimization platform portfolio provide additional intellectual property protection for margetuximab. We own three issued patents in this portfolio, two that relate to compositions of matter and one that covers methods of use. In addition, we have four current pending U.S. patent applications relating to compositions of matter, methods of using, and methods of making. The issued patents and any patents resulting from the pending patent applications, if issued, will expire between 2024 and 2030. PCT and national patent applications filed in a number of other countries are pending. Any patents resulting from these applications, if issued, will expire on the same dates as our corresponding U.S. patents.</w:t>
      </w:r>
    </w:p>
    <w:p>
      <w:pPr>
        <w:spacing w:after="0" w:line="79" w:lineRule="exact"/>
        <w:rPr>
          <w:sz w:val="20"/>
          <w:szCs w:val="20"/>
          <w:color w:val="auto"/>
        </w:rPr>
      </w:pPr>
    </w:p>
    <w:p>
      <w:pPr>
        <w:ind w:right="80" w:firstLine="802"/>
        <w:spacing w:after="0" w:line="255" w:lineRule="auto"/>
        <w:rPr>
          <w:sz w:val="20"/>
          <w:szCs w:val="20"/>
          <w:color w:val="auto"/>
        </w:rPr>
      </w:pPr>
      <w:r>
        <w:rPr>
          <w:rFonts w:ascii="Arial" w:cs="Arial" w:eastAsia="Arial" w:hAnsi="Arial"/>
          <w:sz w:val="14"/>
          <w:szCs w:val="14"/>
          <w:i w:val="1"/>
          <w:iCs w:val="1"/>
          <w:color w:val="auto"/>
        </w:rPr>
        <w:t xml:space="preserve">MGA271. </w:t>
      </w:r>
      <w:r>
        <w:rPr>
          <w:rFonts w:ascii="Arial" w:cs="Arial" w:eastAsia="Arial" w:hAnsi="Arial"/>
          <w:sz w:val="14"/>
          <w:szCs w:val="14"/>
          <w:color w:val="auto"/>
        </w:rPr>
        <w:t>We own our MGA271 patent portfolio. This portfolio includes two pending U.S. patent applications. One of these pending patent applications claims MGA271 variable domains that</w:t>
      </w:r>
      <w:r>
        <w:rPr>
          <w:rFonts w:ascii="Arial" w:cs="Arial" w:eastAsia="Arial" w:hAnsi="Arial"/>
          <w:sz w:val="14"/>
          <w:szCs w:val="14"/>
          <w:i w:val="1"/>
          <w:iCs w:val="1"/>
          <w:color w:val="auto"/>
        </w:rPr>
        <w:t xml:space="preserve"> </w:t>
      </w:r>
      <w:r>
        <w:rPr>
          <w:rFonts w:ascii="Arial" w:cs="Arial" w:eastAsia="Arial" w:hAnsi="Arial"/>
          <w:sz w:val="14"/>
          <w:szCs w:val="14"/>
          <w:color w:val="auto"/>
        </w:rPr>
        <w:t>bind to the B7-H3 receptor. Both pending patent applications cover the composition of or methods of making or using MGA271. In addition, related PCT and related national patent applications are pending in several other countries. The U.S. pending patent applications and national patent applications, if issued, will expire in 2031. MGA271 is also covered by the same patents and patent applications from our Fc Optimization platform portfolio that cover margetuximab.</w:t>
      </w:r>
    </w:p>
    <w:p>
      <w:pPr>
        <w:spacing w:after="0" w:line="110" w:lineRule="exact"/>
        <w:rPr>
          <w:sz w:val="20"/>
          <w:szCs w:val="20"/>
          <w:color w:val="auto"/>
        </w:rPr>
      </w:pPr>
    </w:p>
    <w:p>
      <w:pPr>
        <w:ind w:right="380" w:firstLine="802"/>
        <w:spacing w:after="0" w:line="351" w:lineRule="auto"/>
        <w:rPr>
          <w:sz w:val="20"/>
          <w:szCs w:val="20"/>
          <w:color w:val="auto"/>
        </w:rPr>
      </w:pPr>
      <w:r>
        <w:rPr>
          <w:rFonts w:ascii="Arial" w:cs="Arial" w:eastAsia="Arial" w:hAnsi="Arial"/>
          <w:sz w:val="12"/>
          <w:szCs w:val="12"/>
          <w:i w:val="1"/>
          <w:iCs w:val="1"/>
          <w:color w:val="auto"/>
        </w:rPr>
        <w:t xml:space="preserve">MGD006. </w:t>
      </w:r>
      <w:r>
        <w:rPr>
          <w:rFonts w:ascii="Arial" w:cs="Arial" w:eastAsia="Arial" w:hAnsi="Arial"/>
          <w:sz w:val="12"/>
          <w:szCs w:val="12"/>
          <w:color w:val="auto"/>
        </w:rPr>
        <w:t>We own our MGD006 patent portfolio. This portfolio includes one U.S. pending provisional patent application that claims general composition of or methods of making or using</w:t>
      </w:r>
      <w:r>
        <w:rPr>
          <w:rFonts w:ascii="Arial" w:cs="Arial" w:eastAsia="Arial" w:hAnsi="Arial"/>
          <w:sz w:val="12"/>
          <w:szCs w:val="12"/>
          <w:i w:val="1"/>
          <w:iCs w:val="1"/>
          <w:color w:val="auto"/>
        </w:rPr>
        <w:t xml:space="preserve"> </w:t>
      </w:r>
      <w:r>
        <w:rPr>
          <w:rFonts w:ascii="Arial" w:cs="Arial" w:eastAsia="Arial" w:hAnsi="Arial"/>
          <w:sz w:val="12"/>
          <w:szCs w:val="12"/>
          <w:color w:val="auto"/>
        </w:rPr>
        <w:t>MGD006. Any patents resulting from this application, if issued, will expire in 2034. We expect to file PCT and national patent applications in other countries in the future.</w:t>
      </w:r>
    </w:p>
    <w:p>
      <w:pPr>
        <w:spacing w:after="0" w:line="56"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Three pending U.S. patent applications for our DART platform portfolio claiming compositions of matter, methods of using, methods of making also cover MGD006. These patents, if issued, will expire between 2026 and 2031. In addition, related PCT and national patent applications filed in a number of other countries are pending. Any patents resulting from these patent applications, if issued, will expire on the same dates as our corresponding U.S. patents.</w:t>
      </w:r>
    </w:p>
    <w:p>
      <w:pPr>
        <w:spacing w:after="0" w:line="108" w:lineRule="exact"/>
        <w:rPr>
          <w:sz w:val="20"/>
          <w:szCs w:val="20"/>
          <w:color w:val="auto"/>
        </w:rPr>
      </w:pPr>
    </w:p>
    <w:p>
      <w:pPr>
        <w:ind w:right="280" w:firstLine="802"/>
        <w:spacing w:after="0" w:line="321" w:lineRule="auto"/>
        <w:rPr>
          <w:sz w:val="20"/>
          <w:szCs w:val="20"/>
          <w:color w:val="auto"/>
        </w:rPr>
      </w:pPr>
      <w:r>
        <w:rPr>
          <w:rFonts w:ascii="Arial" w:cs="Arial" w:eastAsia="Arial" w:hAnsi="Arial"/>
          <w:sz w:val="12"/>
          <w:szCs w:val="12"/>
          <w:i w:val="1"/>
          <w:iCs w:val="1"/>
          <w:color w:val="auto"/>
        </w:rPr>
        <w:t>MGD010</w:t>
      </w:r>
      <w:r>
        <w:rPr>
          <w:rFonts w:ascii="Arial" w:cs="Arial" w:eastAsia="Arial" w:hAnsi="Arial"/>
          <w:sz w:val="12"/>
          <w:szCs w:val="12"/>
          <w:color w:val="auto"/>
        </w:rPr>
        <w:t>. We own our MGD010 patent portfolio. This portfolio includes four pending U.S. patent applications. Each patent application claims compositions of matter, methods of using, and</w:t>
      </w:r>
      <w:r>
        <w:rPr>
          <w:rFonts w:ascii="Arial" w:cs="Arial" w:eastAsia="Arial" w:hAnsi="Arial"/>
          <w:sz w:val="12"/>
          <w:szCs w:val="12"/>
          <w:i w:val="1"/>
          <w:iCs w:val="1"/>
          <w:color w:val="auto"/>
        </w:rPr>
        <w:t xml:space="preserve"> </w:t>
      </w:r>
      <w:r>
        <w:rPr>
          <w:rFonts w:ascii="Arial" w:cs="Arial" w:eastAsia="Arial" w:hAnsi="Arial"/>
          <w:sz w:val="12"/>
          <w:szCs w:val="12"/>
          <w:color w:val="auto"/>
        </w:rPr>
        <w:t>methods of making. If issued, any patents resulting from these applications will expire between 2022 and 2034. In addition, related PCT and national patent applications in a number of other countries are pending. Any patents resulting from these patent applications, if issued, will expire on the same dates as our corresponding U.S. patents.</w:t>
      </w:r>
    </w:p>
    <w:p>
      <w:pPr>
        <w:spacing w:after="0" w:line="73" w:lineRule="exact"/>
        <w:rPr>
          <w:sz w:val="20"/>
          <w:szCs w:val="20"/>
          <w:color w:val="auto"/>
        </w:rPr>
      </w:pPr>
    </w:p>
    <w:p>
      <w:pPr>
        <w:jc w:val="both"/>
        <w:ind w:right="80" w:firstLine="802"/>
        <w:spacing w:after="0" w:line="258" w:lineRule="auto"/>
        <w:rPr>
          <w:sz w:val="20"/>
          <w:szCs w:val="20"/>
          <w:color w:val="auto"/>
        </w:rPr>
      </w:pPr>
      <w:r>
        <w:rPr>
          <w:rFonts w:ascii="Arial" w:cs="Arial" w:eastAsia="Arial" w:hAnsi="Arial"/>
          <w:sz w:val="14"/>
          <w:szCs w:val="14"/>
          <w:color w:val="auto"/>
        </w:rPr>
        <w:t>Three pending U.S. patent applications for our DART platform portfolio claiming compositions of matter, methods of using, methods of making also cover MGD010. Any patents resulting from these U.S. patent applications will expire between 2026 and 2031. In addition, related PCT and national patent applications in a number of other countries are pending. Any patents resulting from these patent applications, if issued, will expire on the same dates as our corresponding U.S. patents.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00"/>
          </w:cols>
          <w:pgMar w:left="220" w:top="387" w:right="2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60" w:firstLine="802"/>
        <w:spacing w:after="0" w:line="253" w:lineRule="auto"/>
        <w:rPr>
          <w:sz w:val="20"/>
          <w:szCs w:val="20"/>
          <w:color w:val="auto"/>
        </w:rPr>
      </w:pPr>
      <w:r>
        <w:rPr>
          <w:rFonts w:ascii="Arial" w:cs="Arial" w:eastAsia="Arial" w:hAnsi="Arial"/>
          <w:sz w:val="14"/>
          <w:szCs w:val="14"/>
          <w:i w:val="1"/>
          <w:iCs w:val="1"/>
          <w:color w:val="auto"/>
        </w:rPr>
        <w:t xml:space="preserve">DART Platform. </w:t>
      </w:r>
      <w:r>
        <w:rPr>
          <w:rFonts w:ascii="Arial" w:cs="Arial" w:eastAsia="Arial" w:hAnsi="Arial"/>
          <w:sz w:val="14"/>
          <w:szCs w:val="14"/>
          <w:color w:val="auto"/>
        </w:rPr>
        <w:t>We own our DART platform patent portfolio. This portfolio includes seven pending U.S. patent applications, each of which claims compositions of matter, methods of using, and</w:t>
      </w:r>
      <w:r>
        <w:rPr>
          <w:rFonts w:ascii="Arial" w:cs="Arial" w:eastAsia="Arial" w:hAnsi="Arial"/>
          <w:sz w:val="14"/>
          <w:szCs w:val="14"/>
          <w:i w:val="1"/>
          <w:iCs w:val="1"/>
          <w:color w:val="auto"/>
        </w:rPr>
        <w:t xml:space="preserve"> </w:t>
      </w:r>
      <w:r>
        <w:rPr>
          <w:rFonts w:ascii="Arial" w:cs="Arial" w:eastAsia="Arial" w:hAnsi="Arial"/>
          <w:sz w:val="14"/>
          <w:szCs w:val="14"/>
          <w:color w:val="auto"/>
        </w:rPr>
        <w:t>methods of making. Patents resulting from six of these U.S. patent applications, if issued, will expire between 2026 and 2031. The remaining application, which relates to certain mutations incorporated into our DARTs, if issued, will expire in 2032. In addition, related PCT and national patent applications in a number of other countries are pending. Any patents resulting from these patent applications, if issued, will expire on the same dates as our corresponding U.S. patents. A PCT application in our DART Platform patent portfolio also relates to a particular binding component of our DARTs. Related national applications will be filed in the future.</w:t>
      </w:r>
    </w:p>
    <w:p>
      <w:pPr>
        <w:spacing w:after="0" w:line="113"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i w:val="1"/>
          <w:iCs w:val="1"/>
          <w:color w:val="auto"/>
        </w:rPr>
        <w:t xml:space="preserve">Fc Optimization Platform. </w:t>
      </w:r>
      <w:r>
        <w:rPr>
          <w:rFonts w:ascii="Arial" w:cs="Arial" w:eastAsia="Arial" w:hAnsi="Arial"/>
          <w:sz w:val="14"/>
          <w:szCs w:val="14"/>
          <w:color w:val="auto"/>
        </w:rPr>
        <w:t>We own our Fc Optimization platform patent portfolio. This portfolio includes three issued U.S. patents that cover the compositions of antibody Fc regions with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mutations that affect their binding to Fc receptors. These patents expire in 2024. Related national patents have issued in a number of other countries or are pending. The issued patents and any patents resulting from the pending patent applications, if issued, will expire in 2024.</w:t>
      </w:r>
    </w:p>
    <w:p>
      <w:pPr>
        <w:spacing w:after="0" w:line="108" w:lineRule="exact"/>
        <w:rPr>
          <w:sz w:val="20"/>
          <w:szCs w:val="20"/>
          <w:color w:val="auto"/>
        </w:rPr>
      </w:pPr>
    </w:p>
    <w:p>
      <w:pPr>
        <w:ind w:right="40" w:firstLine="802"/>
        <w:spacing w:after="0" w:line="351" w:lineRule="auto"/>
        <w:rPr>
          <w:sz w:val="20"/>
          <w:szCs w:val="20"/>
          <w:color w:val="auto"/>
        </w:rPr>
      </w:pPr>
      <w:r>
        <w:rPr>
          <w:rFonts w:ascii="Arial" w:cs="Arial" w:eastAsia="Arial" w:hAnsi="Arial"/>
          <w:sz w:val="12"/>
          <w:szCs w:val="12"/>
          <w:i w:val="1"/>
          <w:iCs w:val="1"/>
          <w:color w:val="auto"/>
        </w:rPr>
        <w:t xml:space="preserve">Cancer Stem-like Cell Platform. </w:t>
      </w:r>
      <w:r>
        <w:rPr>
          <w:rFonts w:ascii="Arial" w:cs="Arial" w:eastAsia="Arial" w:hAnsi="Arial"/>
          <w:sz w:val="12"/>
          <w:szCs w:val="12"/>
          <w:color w:val="auto"/>
        </w:rPr>
        <w:t>We own our cancer stem-like cell platform patent portfolio. This portfolio consists of one issued U.S. patent that will expire in 2028. Related national patents have</w:t>
      </w:r>
      <w:r>
        <w:rPr>
          <w:rFonts w:ascii="Arial" w:cs="Arial" w:eastAsia="Arial" w:hAnsi="Arial"/>
          <w:sz w:val="12"/>
          <w:szCs w:val="12"/>
          <w:i w:val="1"/>
          <w:iCs w:val="1"/>
          <w:color w:val="auto"/>
        </w:rPr>
        <w:t xml:space="preserve"> </w:t>
      </w:r>
      <w:r>
        <w:rPr>
          <w:rFonts w:ascii="Arial" w:cs="Arial" w:eastAsia="Arial" w:hAnsi="Arial"/>
          <w:sz w:val="12"/>
          <w:szCs w:val="12"/>
          <w:color w:val="auto"/>
        </w:rPr>
        <w:t>issued in a number of other countries and will expire on the same date. In addition to patent protection, we will also rely on the use of trade secrets to protect our cancer stem-like cell platform.</w:t>
      </w:r>
    </w:p>
    <w:p>
      <w:pPr>
        <w:spacing w:after="0" w:line="56" w:lineRule="exact"/>
        <w:rPr>
          <w:sz w:val="20"/>
          <w:szCs w:val="20"/>
          <w:color w:val="auto"/>
        </w:rPr>
      </w:pPr>
    </w:p>
    <w:p>
      <w:pPr>
        <w:ind w:right="420" w:firstLine="802"/>
        <w:spacing w:after="0" w:line="267"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However, the term of the U.S. patents may be extended due to delays encountered during prosecution which are caused by the USPTO or by delays incurred due to compliance with FDA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regulations.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FDA Regulatory Review Process</w:t>
      </w:r>
    </w:p>
    <w:p>
      <w:pPr>
        <w:spacing w:after="0" w:line="132" w:lineRule="exact"/>
        <w:rPr>
          <w:sz w:val="20"/>
          <w:szCs w:val="20"/>
          <w:color w:val="auto"/>
        </w:rPr>
      </w:pPr>
    </w:p>
    <w:p>
      <w:pPr>
        <w:ind w:right="20" w:firstLine="802"/>
        <w:spacing w:after="0" w:line="252" w:lineRule="auto"/>
        <w:rPr>
          <w:sz w:val="20"/>
          <w:szCs w:val="20"/>
          <w:color w:val="auto"/>
        </w:rPr>
      </w:pPr>
      <w:r>
        <w:rPr>
          <w:rFonts w:ascii="Arial" w:cs="Arial" w:eastAsia="Arial" w:hAnsi="Arial"/>
          <w:sz w:val="14"/>
          <w:szCs w:val="14"/>
          <w:color w:val="auto"/>
        </w:rPr>
        <w:t>The Hatch-Waxman Act permits a patent term extension for FDA-approved drugs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pharmaceutical product candidates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Secrets</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60"/>
          </w:cols>
          <w:pgMar w:left="220" w:top="386" w:right="21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60"/>
        <w:spacing w:after="0" w:line="321" w:lineRule="auto"/>
        <w:rPr>
          <w:sz w:val="20"/>
          <w:szCs w:val="20"/>
          <w:color w:val="auto"/>
        </w:rPr>
      </w:pPr>
      <w:r>
        <w:rPr>
          <w:rFonts w:ascii="Arial" w:cs="Arial" w:eastAsia="Arial" w:hAnsi="Arial"/>
          <w:sz w:val="12"/>
          <w:szCs w:val="12"/>
          <w:color w:val="auto"/>
        </w:rPr>
        <w:t>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w:t>
      </w:r>
    </w:p>
    <w:p>
      <w:pPr>
        <w:spacing w:after="0" w:line="73" w:lineRule="exact"/>
        <w:rPr>
          <w:sz w:val="20"/>
          <w:szCs w:val="20"/>
          <w:color w:val="auto"/>
        </w:rPr>
      </w:pPr>
    </w:p>
    <w:p>
      <w:pPr>
        <w:ind w:right="80" w:firstLine="802"/>
        <w:spacing w:after="0" w:line="302" w:lineRule="auto"/>
        <w:rPr>
          <w:sz w:val="20"/>
          <w:szCs w:val="20"/>
          <w:color w:val="auto"/>
        </w:rPr>
      </w:pPr>
      <w:r>
        <w:rPr>
          <w:rFonts w:ascii="Arial" w:cs="Arial" w:eastAsia="Arial" w:hAnsi="Arial"/>
          <w:sz w:val="12"/>
          <w:szCs w:val="12"/>
          <w:color w:val="auto"/>
        </w:rPr>
        <w:t>Also included in our trade secrets are hybridomas which express antibodies that bind to proteins which are or may be expressed on cancerous cells, including cancer stem cells. The antibodies produced by each hybridoma are unique and may have properties that are absent in antibodies expressed by other hybridomas. These properties could confer advantages and capabilities to product candidates developed with antibodies that exhibit such properties. We closely control and monitor access to the hybridomas and the antibodies they produce. Before receiving such materials, our collaborators, prospective collaborators and all other parties are required to execute material transfer agreement or other agreement which contractually limit their permitted uses and dissemination of such materials. In many cases our agreements with other parties granting access to and use of our biological materials require them to assign or grant us licenses to inventions they invent as a result or their use of the materials or grant us an option to negotiate a license to use such inventions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In-Licensed Intellectual Property</w:t>
      </w:r>
    </w:p>
    <w:p>
      <w:pPr>
        <w:spacing w:after="0" w:line="132"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We have entered into patent and know-how license agreements which grant us the right to use a certain technology related to biological manufacturing to manufacture margetuximab and MGA271. We anticipate using this technology for future product candidates. This licensor has a business dedicated to licensing this technology and we anticipate that licenses to use the technology for our future products will be available. The licenses typically include an obligation to pay an upfront payment, yearly maintenance payment and sales royalties.</w:t>
      </w:r>
    </w:p>
    <w:p>
      <w:pPr>
        <w:spacing w:after="0" w:line="73" w:lineRule="exact"/>
        <w:rPr>
          <w:sz w:val="20"/>
          <w:szCs w:val="20"/>
          <w:color w:val="auto"/>
        </w:rPr>
      </w:pPr>
    </w:p>
    <w:p>
      <w:pPr>
        <w:jc w:val="both"/>
        <w:ind w:right="280" w:firstLine="802"/>
        <w:spacing w:after="0" w:line="258" w:lineRule="auto"/>
        <w:rPr>
          <w:sz w:val="20"/>
          <w:szCs w:val="20"/>
          <w:color w:val="auto"/>
        </w:rPr>
      </w:pPr>
      <w:r>
        <w:rPr>
          <w:rFonts w:ascii="Arial" w:cs="Arial" w:eastAsia="Arial" w:hAnsi="Arial"/>
          <w:sz w:val="14"/>
          <w:szCs w:val="14"/>
          <w:color w:val="auto"/>
        </w:rPr>
        <w:t>We have entered into a research evaluation agreement for a technology related to biological manufacturing that we anticipate using to manufacture certain DART products. This licensor has a business dedicated to licensing this technology and we anticipate that licenses will be available to use it to manufacture quantities of the DART products for clinical and commercial uses. The licenses may include an obligation to pay an upfront payment, yearly maintenance payments, milestones and sales royalties.</w:t>
      </w:r>
    </w:p>
    <w:p>
      <w:pPr>
        <w:spacing w:after="0" w:line="108"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In establishing our Fc Optimization platform, we entered into patent license agreements which grant us the right to use technologies to generate mutant Fc regions. The licenses include obligations to pay a yearly maintenance payment, development milestones and sales royalties on products we develop and commercialize that include mutant Fc regions generated using the patented technologies.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34"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We currently have a manufacturing facility located in Rockville, Maryland. This facility has been used to manufacture all of the current clinical supply for margetuximab and MGA271 to date. We currently have capacity to produce Phase 2 material for our antibody product candidates and all clinical and commercial material for our DART therapeutics. For our Phase 3 clinical trials for our antibody product candidates and for commercial sale quantities of such candidates, we anticipate that we will need to obtain additional manufacturing capacity through contract manufacturers to be able to supply the quantities required. We intend to screen multiple manufacturers to provide the drug substance for commercial purposes for some of our product candidates prior to the filing of a BLA. We currently rely on and will continue to rely on contract fill-finish service providers to fulfill our fill-finish needs for our current and future product candidates.</w:t>
      </w:r>
    </w:p>
    <w:p>
      <w:pPr>
        <w:spacing w:after="0" w:line="84" w:lineRule="exact"/>
        <w:rPr>
          <w:sz w:val="20"/>
          <w:szCs w:val="20"/>
          <w:color w:val="auto"/>
        </w:rPr>
      </w:pPr>
    </w:p>
    <w:p>
      <w:pPr>
        <w:ind w:right="460" w:firstLine="802"/>
        <w:spacing w:after="0" w:line="267" w:lineRule="auto"/>
        <w:rPr>
          <w:sz w:val="20"/>
          <w:szCs w:val="20"/>
          <w:color w:val="auto"/>
        </w:rPr>
      </w:pPr>
      <w:r>
        <w:rPr>
          <w:rFonts w:ascii="Arial" w:cs="Arial" w:eastAsia="Arial" w:hAnsi="Arial"/>
          <w:sz w:val="14"/>
          <w:szCs w:val="14"/>
          <w:color w:val="auto"/>
        </w:rPr>
        <w:t>All of our product candidates are biologics and are manufactured in disposable bioreactors in CHO cells in accordance with current Good Manufacturing Practices, or cGMP. We expect to continue to develop product candidates that can be produced at our manufacturing facility and at contract manufacturing facilities.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40"/>
          </w:cols>
          <w:pgMar w:left="220" w:top="386" w:right="2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color w:val="auto"/>
        </w:rPr>
        <w:t>We generate cell lines internally that serve as the source for our biologic drug substance. These cell lines are then sent to a vendor where they are expanded and banked, and are available upon our request to use in developing drug substance. All other manufacturing materials used in the production of drug substance are readily available in the ordinary course of business from a number of standard biotechnology vendors.</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generally expect to rely on third parties for the development and manufacturing of our companion diagnostics.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Commercialization</w:t>
      </w:r>
    </w:p>
    <w:p>
      <w:pPr>
        <w:spacing w:after="0" w:line="134" w:lineRule="exact"/>
        <w:rPr>
          <w:sz w:val="20"/>
          <w:szCs w:val="20"/>
          <w:color w:val="auto"/>
        </w:rPr>
      </w:pPr>
    </w:p>
    <w:p>
      <w:pPr>
        <w:ind w:right="120" w:firstLine="802"/>
        <w:spacing w:after="0" w:line="321" w:lineRule="auto"/>
        <w:rPr>
          <w:sz w:val="20"/>
          <w:szCs w:val="20"/>
          <w:color w:val="auto"/>
        </w:rPr>
      </w:pPr>
      <w:r>
        <w:rPr>
          <w:rFonts w:ascii="Arial" w:cs="Arial" w:eastAsia="Arial" w:hAnsi="Arial"/>
          <w:sz w:val="12"/>
          <w:szCs w:val="12"/>
          <w:color w:val="auto"/>
        </w:rPr>
        <w:t>We have not yet established a sales, marketing or product distribution infrastructure because our lead product candidates are still in clinical development. We generally seek to retain commercial rights in the United States for our clinical product candidates for which we hope to receive marketing approvals and have done so to date in our collaborations other than our Boehringer, Gilead and Pfizer collaborations. We believe that it will be possible for us to access the United States oncology market through a targeted specialty sales force.</w:t>
      </w:r>
    </w:p>
    <w:p>
      <w:pPr>
        <w:spacing w:after="0" w:line="73"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oncology product candidates are being developed. Outside the United States, we expect to enter into distribution and other marketing arrangements with third parties for any of our product candidates that obtain marketing approval.</w:t>
      </w:r>
    </w:p>
    <w:p>
      <w:pPr>
        <w:spacing w:after="0" w:line="73" w:lineRule="exact"/>
        <w:rPr>
          <w:sz w:val="20"/>
          <w:szCs w:val="20"/>
          <w:color w:val="auto"/>
        </w:rPr>
      </w:pPr>
    </w:p>
    <w:p>
      <w:pPr>
        <w:jc w:val="both"/>
        <w:ind w:right="280" w:firstLine="802"/>
        <w:spacing w:after="0" w:line="258" w:lineRule="auto"/>
        <w:rPr>
          <w:sz w:val="20"/>
          <w:szCs w:val="20"/>
          <w:color w:val="auto"/>
        </w:rPr>
      </w:pPr>
      <w:r>
        <w:rPr>
          <w:rFonts w:ascii="Arial" w:cs="Arial" w:eastAsia="Arial" w:hAnsi="Arial"/>
          <w:sz w:val="14"/>
          <w:szCs w:val="14"/>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thought leaders in relevant fields of medicine.</w:t>
      </w:r>
    </w:p>
    <w:p>
      <w:pPr>
        <w:spacing w:after="0" w:line="108"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We expect that our collaborators for any companion diagnostics we may develop in the future for use with our product candidates will hold the commercial rights to these diagnostic products. We expect to coordinate closely with our diagnostic collaborators in connection with the marketing and sale of our related product candidates.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34"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10" w:lineRule="exact"/>
        <w:rPr>
          <w:sz w:val="20"/>
          <w:szCs w:val="20"/>
          <w:color w:val="auto"/>
        </w:rPr>
      </w:pPr>
    </w:p>
    <w:p>
      <w:pPr>
        <w:ind w:right="20" w:firstLine="802"/>
        <w:spacing w:after="0" w:line="305" w:lineRule="auto"/>
        <w:rPr>
          <w:sz w:val="20"/>
          <w:szCs w:val="20"/>
          <w:color w:val="auto"/>
        </w:rPr>
      </w:pPr>
      <w:r>
        <w:rPr>
          <w:rFonts w:ascii="Arial" w:cs="Arial" w:eastAsia="Arial" w:hAnsi="Arial"/>
          <w:sz w:val="12"/>
          <w:szCs w:val="12"/>
          <w:color w:val="auto"/>
        </w:rPr>
        <w:t>There are a large number of companies developing or marketing treatments for cancer and autoimmune disorders,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Amgen is now in late-stage clinical development of cancer product candidates which work by targeting antigens both on immune effector cell populations and those expressed on certain cancer cells. In addition, other companies are developing new treatments for cancer and autoimmune diseases that enhance the Fc regions of antibodies to create more potent antibodies, including Roche and Xencor, Inc.</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40"/>
          </w:cols>
          <w:pgMar w:left="220" w:top="386"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40" w:firstLine="802"/>
        <w:spacing w:after="0" w:line="311" w:lineRule="auto"/>
        <w:rPr>
          <w:sz w:val="20"/>
          <w:szCs w:val="20"/>
          <w:color w:val="auto"/>
        </w:rPr>
      </w:pPr>
      <w:r>
        <w:rPr>
          <w:rFonts w:ascii="Arial" w:cs="Arial" w:eastAsia="Arial" w:hAnsi="Arial"/>
          <w:sz w:val="12"/>
          <w:szCs w:val="12"/>
          <w:color w:val="auto"/>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79" w:lineRule="exact"/>
        <w:rPr>
          <w:sz w:val="20"/>
          <w:szCs w:val="20"/>
          <w:color w:val="auto"/>
        </w:rPr>
      </w:pPr>
    </w:p>
    <w:p>
      <w:pPr>
        <w:ind w:right="300" w:firstLine="802"/>
        <w:spacing w:after="0" w:line="351" w:lineRule="auto"/>
        <w:rPr>
          <w:sz w:val="20"/>
          <w:szCs w:val="20"/>
          <w:color w:val="auto"/>
        </w:rPr>
      </w:pPr>
      <w:r>
        <w:rPr>
          <w:rFonts w:ascii="Arial" w:cs="Arial" w:eastAsia="Arial" w:hAnsi="Arial"/>
          <w:sz w:val="12"/>
          <w:szCs w:val="12"/>
          <w:color w:val="auto"/>
        </w:rPr>
        <w:t>The key competitive factors affecting the success of all of our therapeutic product candidates, if approved, are likely to be their efficacy, safety, dosing convenience, price, the effectiveness of companion diagnostics in guiding the use of related therapeutics, the level of generic competition and the availability of reimbursement from government and other third party payors.</w:t>
      </w:r>
    </w:p>
    <w:p>
      <w:pPr>
        <w:spacing w:after="0" w:line="56"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Our commercial opportunity could be reduced or eliminated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Biosimilar products are expected to become available over the coming years. For example, certain HER2 biosimilar products may be approved prior to margetuximab. Even if our product candidates achieve marketing approval, they may be priced at a significant premium over competitive biosimilar products if any have been approved by then.</w:t>
      </w:r>
    </w:p>
    <w:p>
      <w:pPr>
        <w:spacing w:after="0" w:line="84" w:lineRule="exact"/>
        <w:rPr>
          <w:sz w:val="20"/>
          <w:szCs w:val="20"/>
          <w:color w:val="auto"/>
        </w:rPr>
      </w:pPr>
    </w:p>
    <w:p>
      <w:pPr>
        <w:ind w:right="100" w:firstLine="802"/>
        <w:spacing w:after="0" w:line="311" w:lineRule="auto"/>
        <w:rPr>
          <w:sz w:val="20"/>
          <w:szCs w:val="20"/>
          <w:color w:val="auto"/>
        </w:rPr>
      </w:pPr>
      <w:r>
        <w:rPr>
          <w:rFonts w:ascii="Arial" w:cs="Arial" w:eastAsia="Arial" w:hAnsi="Arial"/>
          <w:sz w:val="12"/>
          <w:szCs w:val="12"/>
          <w:color w:val="auto"/>
        </w:rPr>
        <w:t>The most common methods of treating patients with cancer are surgery, radiation and drug therapy. There are a variety of available drug therapies marketed for cancer. In many cases, these drugs are administered in combination to enhance efficacy. While our product candidates may compete with many existing drug and other therapies, to the extent they are ultimately used in combination with or as an adjunct to these therapies, our product candidates will not be competitive with them. Some of the currently approved drug therapies are branded and subject to patent protection, and others are available on a generic basis. Many of these approved drugs are well established therapies and are widely accepted by physicians, patients and third party payors.</w:t>
      </w:r>
    </w:p>
    <w:p>
      <w:pPr>
        <w:spacing w:after="0" w:line="79" w:lineRule="exact"/>
        <w:rPr>
          <w:sz w:val="20"/>
          <w:szCs w:val="20"/>
          <w:color w:val="auto"/>
        </w:rPr>
      </w:pPr>
    </w:p>
    <w:p>
      <w:pPr>
        <w:jc w:val="both"/>
        <w:ind w:right="140" w:firstLine="802"/>
        <w:spacing w:after="0" w:line="258" w:lineRule="auto"/>
        <w:rPr>
          <w:sz w:val="20"/>
          <w:szCs w:val="20"/>
          <w:color w:val="auto"/>
        </w:rPr>
      </w:pPr>
      <w:r>
        <w:rPr>
          <w:rFonts w:ascii="Arial" w:cs="Arial" w:eastAsia="Arial" w:hAnsi="Arial"/>
          <w:sz w:val="14"/>
          <w:szCs w:val="14"/>
          <w:color w:val="auto"/>
        </w:rPr>
        <w:t>In addition to currently marketed therapies, there are also a number of products in late stage clinical development to treat cancer. These product candidates in development may provide efficacy, safety, dosing convenience and other benefits that are not provided by currently marketed therapies. As a result, they may provide significant competition for any of our product candidates for which we obtain marketing approval.</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If our lead product candidates are approved for the indications for which we are currently undertaking clinical trials, they will compete with the therapies and currently marketed drugs discussed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126" w:lineRule="exact"/>
        <w:rPr>
          <w:sz w:val="20"/>
          <w:szCs w:val="20"/>
          <w:color w:val="auto"/>
        </w:rPr>
      </w:pPr>
    </w:p>
    <w:p>
      <w:pPr>
        <w:ind w:right="180" w:firstLine="802"/>
        <w:spacing w:after="0" w:line="321" w:lineRule="auto"/>
        <w:rPr>
          <w:sz w:val="20"/>
          <w:szCs w:val="20"/>
          <w:color w:val="auto"/>
        </w:rPr>
      </w:pPr>
      <w:r>
        <w:rPr>
          <w:rFonts w:ascii="Arial" w:cs="Arial" w:eastAsia="Arial" w:hAnsi="Arial"/>
          <w:sz w:val="12"/>
          <w:szCs w:val="12"/>
          <w:i w:val="1"/>
          <w:iCs w:val="1"/>
          <w:color w:val="auto"/>
        </w:rPr>
        <w:t>Margetuximab</w:t>
      </w:r>
      <w:r>
        <w:rPr>
          <w:rFonts w:ascii="Arial" w:cs="Arial" w:eastAsia="Arial" w:hAnsi="Arial"/>
          <w:sz w:val="12"/>
          <w:szCs w:val="12"/>
          <w:color w:val="auto"/>
        </w:rPr>
        <w:t>. Irrespective of HER2 status, metastatic breast cancers are often treated with cytotoxic chemotherapies such as anthracyclines and taxanes, as well as capecitabine. Advanced and</w:t>
      </w:r>
      <w:r>
        <w:rPr>
          <w:rFonts w:ascii="Arial" w:cs="Arial" w:eastAsia="Arial" w:hAnsi="Arial"/>
          <w:sz w:val="12"/>
          <w:szCs w:val="12"/>
          <w:i w:val="1"/>
          <w:iCs w:val="1"/>
          <w:color w:val="auto"/>
        </w:rPr>
        <w:t xml:space="preserve"> </w:t>
      </w:r>
      <w:r>
        <w:rPr>
          <w:rFonts w:ascii="Arial" w:cs="Arial" w:eastAsia="Arial" w:hAnsi="Arial"/>
          <w:sz w:val="12"/>
          <w:szCs w:val="12"/>
          <w:color w:val="auto"/>
        </w:rPr>
        <w:t>metastatic cancers are treated with chemotherapy and radiation therapy. In addition, there are several approved therapies specifically indicated for the treatment of early and advanced stage breast cancer and advanced gastroesophageal cancer that are HER2+, including Herceptin, Kadcyla, Tykerb and Perjeta, and each of those drugs targets HER2+ tumors.</w:t>
      </w:r>
    </w:p>
    <w:p>
      <w:pPr>
        <w:spacing w:after="0" w:line="73" w:lineRule="exact"/>
        <w:rPr>
          <w:sz w:val="20"/>
          <w:szCs w:val="20"/>
          <w:color w:val="auto"/>
        </w:rPr>
      </w:pPr>
    </w:p>
    <w:p>
      <w:pPr>
        <w:jc w:val="both"/>
        <w:ind w:right="80" w:firstLine="802"/>
        <w:spacing w:after="0" w:line="321" w:lineRule="auto"/>
        <w:rPr>
          <w:sz w:val="20"/>
          <w:szCs w:val="20"/>
          <w:color w:val="auto"/>
        </w:rPr>
      </w:pPr>
      <w:r>
        <w:rPr>
          <w:rFonts w:ascii="Arial" w:cs="Arial" w:eastAsia="Arial" w:hAnsi="Arial"/>
          <w:sz w:val="12"/>
          <w:szCs w:val="12"/>
          <w:i w:val="1"/>
          <w:iCs w:val="1"/>
          <w:color w:val="auto"/>
        </w:rPr>
        <w:t>MGA271</w:t>
      </w:r>
      <w:r>
        <w:rPr>
          <w:rFonts w:ascii="Arial" w:cs="Arial" w:eastAsia="Arial" w:hAnsi="Arial"/>
          <w:sz w:val="12"/>
          <w:szCs w:val="12"/>
          <w:color w:val="auto"/>
        </w:rPr>
        <w:t>. The most common treatments for solid tumors are various chemotherapeutic agents, radiation therapy and certain targeted therapies including monoclonal antibodies such as Herceptin,</w:t>
      </w:r>
      <w:r>
        <w:rPr>
          <w:rFonts w:ascii="Arial" w:cs="Arial" w:eastAsia="Arial" w:hAnsi="Arial"/>
          <w:sz w:val="12"/>
          <w:szCs w:val="12"/>
          <w:i w:val="1"/>
          <w:iCs w:val="1"/>
          <w:color w:val="auto"/>
        </w:rPr>
        <w:t xml:space="preserve"> </w:t>
      </w:r>
      <w:r>
        <w:rPr>
          <w:rFonts w:ascii="Arial" w:cs="Arial" w:eastAsia="Arial" w:hAnsi="Arial"/>
          <w:sz w:val="12"/>
          <w:szCs w:val="12"/>
          <w:color w:val="auto"/>
        </w:rPr>
        <w:t>Avastin, Erbitux and Vectibix, as well as small molecule agents, including, Tarceva, Sunitinib and Sorafenib. No therapies are approved specifically for the treatment of tumors associated with the expression of B7-H3. Yervoy, which targets CTLA4, an inhibitory molecule on T cells, is currently indicated for the treatment of melanoma and marketed by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60"/>
          </w:cols>
          <w:pgMar w:left="220" w:top="386" w:right="21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Bristol-Myers. In addition, there are several antibodies in development that target other members of the B7 family or their associated checkpoint receptors. These include anti-PD1 molecules by Merck and Bristol-Myers, and anti-PD-L1 molecules by Bristol-Myers and Roche and a PD-L1 Fc fusion protein by GSK and Amplimmune.</w:t>
      </w:r>
    </w:p>
    <w:p>
      <w:pPr>
        <w:spacing w:after="0" w:line="101"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i w:val="1"/>
          <w:iCs w:val="1"/>
          <w:color w:val="auto"/>
        </w:rPr>
        <w:t>MGD006</w:t>
      </w:r>
      <w:r>
        <w:rPr>
          <w:rFonts w:ascii="Arial" w:cs="Arial" w:eastAsia="Arial" w:hAnsi="Arial"/>
          <w:sz w:val="14"/>
          <w:szCs w:val="14"/>
          <w:color w:val="auto"/>
        </w:rPr>
        <w:t>. The most common treatments for AML are various chemotherapeutic agents, radiation and stem cell transplants. No therapies are approved specifically for the treatment of AML</w:t>
      </w:r>
      <w:r>
        <w:rPr>
          <w:rFonts w:ascii="Arial" w:cs="Arial" w:eastAsia="Arial" w:hAnsi="Arial"/>
          <w:sz w:val="14"/>
          <w:szCs w:val="14"/>
          <w:i w:val="1"/>
          <w:iCs w:val="1"/>
          <w:color w:val="auto"/>
        </w:rPr>
        <w:t xml:space="preserve"> </w:t>
      </w:r>
      <w:r>
        <w:rPr>
          <w:rFonts w:ascii="Arial" w:cs="Arial" w:eastAsia="Arial" w:hAnsi="Arial"/>
          <w:sz w:val="14"/>
          <w:szCs w:val="14"/>
          <w:color w:val="auto"/>
        </w:rPr>
        <w:t>associated with the expression of CD123. We are aware of a monoclonal antibody currently being developed by CSL Limited which targets CD123. In addition, StemLine Therapeutics, Inc. has treated patients in a clinical trial with a recombinant protein composed of IL-3 linked to a truncated diphtheria toxin payload.</w:t>
      </w:r>
    </w:p>
    <w:p>
      <w:pPr>
        <w:spacing w:after="0" w:line="108" w:lineRule="exact"/>
        <w:rPr>
          <w:sz w:val="20"/>
          <w:szCs w:val="20"/>
          <w:color w:val="auto"/>
        </w:rPr>
      </w:pPr>
    </w:p>
    <w:p>
      <w:pPr>
        <w:ind w:right="460" w:firstLine="802"/>
        <w:spacing w:after="0" w:line="351" w:lineRule="auto"/>
        <w:rPr>
          <w:sz w:val="20"/>
          <w:szCs w:val="20"/>
          <w:color w:val="auto"/>
        </w:rPr>
      </w:pPr>
      <w:r>
        <w:rPr>
          <w:rFonts w:ascii="Arial" w:cs="Arial" w:eastAsia="Arial" w:hAnsi="Arial"/>
          <w:sz w:val="12"/>
          <w:szCs w:val="12"/>
          <w:i w:val="1"/>
          <w:iCs w:val="1"/>
          <w:color w:val="auto"/>
        </w:rPr>
        <w:t>MGD007</w:t>
      </w:r>
      <w:r>
        <w:rPr>
          <w:rFonts w:ascii="Arial" w:cs="Arial" w:eastAsia="Arial" w:hAnsi="Arial"/>
          <w:sz w:val="12"/>
          <w:szCs w:val="12"/>
          <w:color w:val="auto"/>
        </w:rPr>
        <w:t>. The most common treatments for gastroesophageal tumors are various chemotherapeutic agents, radiation therapy, monoclonal antibodies including Herceptin, Avastin, Erbitux,</w:t>
      </w:r>
      <w:r>
        <w:rPr>
          <w:rFonts w:ascii="Arial" w:cs="Arial" w:eastAsia="Arial" w:hAnsi="Arial"/>
          <w:sz w:val="12"/>
          <w:szCs w:val="12"/>
          <w:i w:val="1"/>
          <w:iCs w:val="1"/>
          <w:color w:val="auto"/>
        </w:rPr>
        <w:t xml:space="preserve"> </w:t>
      </w:r>
      <w:r>
        <w:rPr>
          <w:rFonts w:ascii="Arial" w:cs="Arial" w:eastAsia="Arial" w:hAnsi="Arial"/>
          <w:sz w:val="12"/>
          <w:szCs w:val="12"/>
          <w:color w:val="auto"/>
        </w:rPr>
        <w:t>Vectibix, as well as small molecule agents. No therapies are approved specifically for the treatment of tumors associated with the expression of gpA33.</w:t>
      </w:r>
    </w:p>
    <w:p>
      <w:pPr>
        <w:spacing w:after="0" w:line="56" w:lineRule="exact"/>
        <w:rPr>
          <w:sz w:val="20"/>
          <w:szCs w:val="20"/>
          <w:color w:val="auto"/>
        </w:rPr>
      </w:pPr>
    </w:p>
    <w:p>
      <w:pPr>
        <w:ind w:right="60" w:firstLine="802"/>
        <w:spacing w:after="0" w:line="255" w:lineRule="auto"/>
        <w:rPr>
          <w:sz w:val="20"/>
          <w:szCs w:val="20"/>
          <w:color w:val="auto"/>
        </w:rPr>
      </w:pPr>
      <w:r>
        <w:rPr>
          <w:rFonts w:ascii="Arial" w:cs="Arial" w:eastAsia="Arial" w:hAnsi="Arial"/>
          <w:sz w:val="14"/>
          <w:szCs w:val="14"/>
          <w:i w:val="1"/>
          <w:iCs w:val="1"/>
          <w:color w:val="auto"/>
        </w:rPr>
        <w:t>MGD010</w:t>
      </w:r>
      <w:r>
        <w:rPr>
          <w:rFonts w:ascii="Arial" w:cs="Arial" w:eastAsia="Arial" w:hAnsi="Arial"/>
          <w:sz w:val="14"/>
          <w:szCs w:val="14"/>
          <w:color w:val="auto"/>
        </w:rPr>
        <w:t>. Current B cell targeted therapies for autoimmune diseases include Rituxan and Arzerra for the treatment of rheumatoid arthritis and Benlysta for the treatment of SLE. In addition,</w:t>
      </w:r>
      <w:r>
        <w:rPr>
          <w:rFonts w:ascii="Arial" w:cs="Arial" w:eastAsia="Arial" w:hAnsi="Arial"/>
          <w:sz w:val="14"/>
          <w:szCs w:val="14"/>
          <w:i w:val="1"/>
          <w:iCs w:val="1"/>
          <w:color w:val="auto"/>
        </w:rPr>
        <w:t xml:space="preserve"> </w:t>
      </w:r>
      <w:r>
        <w:rPr>
          <w:rFonts w:ascii="Arial" w:cs="Arial" w:eastAsia="Arial" w:hAnsi="Arial"/>
          <w:sz w:val="14"/>
          <w:szCs w:val="14"/>
          <w:color w:val="auto"/>
        </w:rPr>
        <w:t>several other therapies are available to reduce inflammation, including nonsteroidal anti-inflammatory drugs such as Advil and Aleve; corticosteroids such as prednisone; disease-modifying antirheumatic drugs such as methotrexate and hydroxychloroquine; immunosuppressants such as cyclosporine; and other drugs which target a variety of processes involved with inflammation such as Actemra, Kineret, Enbrel, Remicade, Humira, Simponi, Cimzia, Orencia and Xeljanz.</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 and Product Approval</w:t>
      </w:r>
    </w:p>
    <w:p>
      <w:pPr>
        <w:spacing w:after="0" w:line="134" w:lineRule="exact"/>
        <w:rPr>
          <w:sz w:val="20"/>
          <w:szCs w:val="20"/>
          <w:color w:val="auto"/>
        </w:rPr>
      </w:pPr>
    </w:p>
    <w:p>
      <w:pPr>
        <w:ind w:right="80" w:firstLine="802"/>
        <w:spacing w:after="0" w:line="321" w:lineRule="auto"/>
        <w:rPr>
          <w:sz w:val="20"/>
          <w:szCs w:val="20"/>
          <w:color w:val="auto"/>
        </w:rPr>
      </w:pPr>
      <w:r>
        <w:rPr>
          <w:rFonts w:ascii="Arial" w:cs="Arial" w:eastAsia="Arial" w:hAnsi="Arial"/>
          <w:sz w:val="12"/>
          <w:szCs w:val="12"/>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FDA Approval Process</w:t>
      </w:r>
    </w:p>
    <w:p>
      <w:pPr>
        <w:spacing w:after="0" w:line="132"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All of our current product candidates are subject to regulation in the United States by the FDA as biological products, or biologics. The Food and Drug Administration (FDA) subjects biologics to extensive pre- and post-market regulation. The Public Health Service Act (PHSA),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spacing w:after="0" w:line="84" w:lineRule="exact"/>
        <w:rPr>
          <w:sz w:val="20"/>
          <w:szCs w:val="20"/>
          <w:color w:val="auto"/>
        </w:rPr>
      </w:pPr>
    </w:p>
    <w:p>
      <w:pPr>
        <w:ind w:right="100" w:firstLine="802"/>
        <w:spacing w:after="0" w:line="258" w:lineRule="auto"/>
        <w:rPr>
          <w:sz w:val="20"/>
          <w:szCs w:val="20"/>
          <w:color w:val="auto"/>
        </w:rPr>
      </w:pPr>
      <w:r>
        <w:rPr>
          <w:rFonts w:ascii="Arial" w:cs="Arial" w:eastAsia="Arial" w:hAnsi="Arial"/>
          <w:sz w:val="14"/>
          <w:szCs w:val="14"/>
          <w:color w:val="auto"/>
        </w:rPr>
        <w:t>The PHSA emphasizes the importance of manufacturing control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40"/>
          </w:cols>
          <w:pgMar w:left="220" w:top="386"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The process required by the FDA before a new biologic may be marketed in the United States is long, expensive, and inherently uncertain. Biologics development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biologic for each indication for which FDA approval is sought. Developing the data to satisfy FDA pre-market approval requirements typically takes many years and the actual time required may vary substantially based upon the type, complexity, and novelty of the product or disease.</w:t>
      </w:r>
    </w:p>
    <w:p>
      <w:pPr>
        <w:spacing w:after="0" w:line="79"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w:t>
      </w:r>
    </w:p>
    <w:p>
      <w:pPr>
        <w:spacing w:after="0" w:line="110"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An IND must become effective before United States clinical trials may begin. A 30-day waiting period after the submission of each IND is required prior to the commencement of clinical testing in humans. If the FDA has neither commented on nor questioned the IND within this 30-day period, the clinical trial proposed in the IND may begin.</w:t>
      </w:r>
    </w:p>
    <w:p>
      <w:pPr>
        <w:spacing w:after="0" w:line="101"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Clinical trials involve the administration of the investigational new drug or biologic to healthy volunteers or patients with the condition under investigation, all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9" w:lineRule="exact"/>
        <w:rPr>
          <w:sz w:val="20"/>
          <w:szCs w:val="20"/>
          <w:color w:val="auto"/>
        </w:rPr>
      </w:pPr>
    </w:p>
    <w:p>
      <w:pPr>
        <w:ind w:right="120" w:firstLine="802"/>
        <w:spacing w:after="0" w:line="253" w:lineRule="auto"/>
        <w:rPr>
          <w:sz w:val="20"/>
          <w:szCs w:val="20"/>
          <w:color w:val="auto"/>
        </w:rPr>
      </w:pPr>
      <w:r>
        <w:rPr>
          <w:rFonts w:ascii="Arial" w:cs="Arial" w:eastAsia="Arial" w:hAnsi="Arial"/>
          <w:sz w:val="14"/>
          <w:szCs w:val="14"/>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 The study sponsor may also suspend a clinical trial at any time on various grounds, including a determination that the subjects or patients are being exposed to an unacceptable health risk.</w:t>
      </w:r>
    </w:p>
    <w:p>
      <w:pPr>
        <w:spacing w:after="0" w:line="113"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Clinical trials to support BLAs for marketing approval are typically conducted in three sequential phases, but the phases may overlap or be combined. In Phase 1, the biologics initially introduced into healthy human subjects or patients, and the biologic is tested to assess pharmacokinetics, pharmacological actions, side effects associated with increasing doses, and, if possible, early evidence on effectiveness. In the case of some products for severe or life-threatening diseases, such as cancer treatments, initial human testing may be conducted in the intended patient population. Phase 2 usually involves trials in a limited patient population to determine the effectiveness of the biologic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These Phase 3 clinical trials are intended to establish data sufficient to demonstrate substantial evidence of the efficacy and safety of the product to permit FDA to evaluate the overall benefit-risk relationship of the biologic and to provide adequate information for the labeling of the biologic. Trials conducted outside of</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00"/>
          </w:cols>
          <w:pgMar w:left="220" w:top="386" w:right="27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US under similar, GCP-compliant conditions in accordance with local applicable laws may also be acceptable to FDA in support of product licensing.</w:t>
      </w:r>
    </w:p>
    <w:p>
      <w:pPr>
        <w:spacing w:after="0" w:line="132" w:lineRule="exact"/>
        <w:rPr>
          <w:sz w:val="20"/>
          <w:szCs w:val="20"/>
          <w:color w:val="auto"/>
        </w:rPr>
      </w:pPr>
    </w:p>
    <w:p>
      <w:pPr>
        <w:ind w:right="580" w:firstLine="802"/>
        <w:spacing w:after="0" w:line="267" w:lineRule="auto"/>
        <w:rPr>
          <w:sz w:val="20"/>
          <w:szCs w:val="20"/>
          <w:color w:val="auto"/>
        </w:rPr>
      </w:pPr>
      <w:r>
        <w:rPr>
          <w:rFonts w:ascii="Arial" w:cs="Arial" w:eastAsia="Arial" w:hAnsi="Arial"/>
          <w:sz w:val="14"/>
          <w:szCs w:val="14"/>
          <w:color w:val="auto"/>
        </w:rPr>
        <w:t>Sponsors of clinical trials for investigational drugs must publicly disclose certain clinical trial information, including detailed trial design and trial results in FDA public databases. These requirements are subject to specific timelines and apply to most controlled clinical trials of FDA-regulated products.</w:t>
      </w:r>
    </w:p>
    <w:p>
      <w:pPr>
        <w:spacing w:after="0" w:line="101" w:lineRule="exact"/>
        <w:rPr>
          <w:sz w:val="20"/>
          <w:szCs w:val="20"/>
          <w:color w:val="auto"/>
        </w:rPr>
      </w:pPr>
    </w:p>
    <w:p>
      <w:pPr>
        <w:ind w:right="100" w:firstLine="802"/>
        <w:spacing w:after="0" w:line="253" w:lineRule="auto"/>
        <w:rPr>
          <w:sz w:val="20"/>
          <w:szCs w:val="20"/>
          <w:color w:val="auto"/>
        </w:rPr>
      </w:pPr>
      <w:r>
        <w:rPr>
          <w:rFonts w:ascii="Arial" w:cs="Arial" w:eastAsia="Arial" w:hAnsi="Arial"/>
          <w:sz w:val="14"/>
          <w:szCs w:val="14"/>
          <w:color w:val="auto"/>
        </w:rPr>
        <w:t>After completion of the required clinical testing, a BLA is prepared and submitted to the FDA. FDA review and approval of the BLA is required before marketing of the product may begin in the United States. The BLA must include the results of all pre-clinical, clinical, and other testing and a compilation of data relating to the product’s pharmacology, chemistry, manufacture, and controls and must demonstrate the safety and efficacy of the product based on these results. The BLA must also contain extensive manufacturing information. The cost of preparing and submitting a BLA is substantial. Under federal law, the submission of most BLAs is additionally subject to a substantial application user fee, as well as annual product and establishment user fees, which may total several million dollars and are typically increased annually.</w:t>
      </w:r>
    </w:p>
    <w:p>
      <w:pPr>
        <w:spacing w:after="0" w:line="113" w:lineRule="exact"/>
        <w:rPr>
          <w:sz w:val="20"/>
          <w:szCs w:val="20"/>
          <w:color w:val="auto"/>
        </w:rPr>
      </w:pPr>
    </w:p>
    <w:p>
      <w:pPr>
        <w:ind w:right="140" w:firstLine="802"/>
        <w:spacing w:after="0" w:line="299" w:lineRule="auto"/>
        <w:rPr>
          <w:sz w:val="20"/>
          <w:szCs w:val="20"/>
          <w:color w:val="auto"/>
        </w:rPr>
      </w:pPr>
      <w:r>
        <w:rPr>
          <w:rFonts w:ascii="Arial" w:cs="Arial" w:eastAsia="Arial" w:hAnsi="Arial"/>
          <w:sz w:val="12"/>
          <w:szCs w:val="12"/>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biologics are reviewed within ten months from the date the application is accepted for filing. Although FDA often meets its user fee performance goals, the FDA can extend these timelines if necessary, and FDA review may not occur on a timely basis at all.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The FDA will not approve the product unless it verifies that compliance with current good manufacturing practice, or GMP—a quality system regulating manufacturing—is satisfactory and the BLA contains data that provide substantial evidence that the biologic is safe and effective in the indication studied.</w:t>
      </w:r>
    </w:p>
    <w:p>
      <w:pPr>
        <w:spacing w:after="0" w:line="87"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2"/>
          <w:szCs w:val="12"/>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The FDA approval is never guaranteed, and the FDA may refuse to approve a BLA if applicable regulatory criteria are not satisfied.</w:t>
      </w:r>
    </w:p>
    <w:p>
      <w:pPr>
        <w:spacing w:after="0" w:line="79" w:lineRule="exact"/>
        <w:rPr>
          <w:sz w:val="20"/>
          <w:szCs w:val="20"/>
          <w:color w:val="auto"/>
        </w:rPr>
      </w:pPr>
    </w:p>
    <w:p>
      <w:pPr>
        <w:ind w:right="20" w:firstLine="802"/>
        <w:spacing w:after="0" w:line="300" w:lineRule="auto"/>
        <w:rPr>
          <w:sz w:val="20"/>
          <w:szCs w:val="20"/>
          <w:color w:val="auto"/>
        </w:rPr>
      </w:pPr>
      <w:r>
        <w:rPr>
          <w:rFonts w:ascii="Arial" w:cs="Arial" w:eastAsia="Arial" w:hAnsi="Arial"/>
          <w:sz w:val="12"/>
          <w:szCs w:val="12"/>
          <w:color w:val="auto"/>
        </w:rPr>
        <w:t>Under the PHSA, the FDA may approve a BLA if it determines that the product is safe, pure and potent and the facility where the product will be manufactured meets standards designed to ensure that it continues to be safe, pure, and potent. 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60"/>
          </w:cols>
          <w:pgMar w:left="220" w:top="387" w:right="21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standards is not maintained or problems are identified following initial marketing.</w:t>
      </w:r>
    </w:p>
    <w:p>
      <w:pPr>
        <w:spacing w:after="0" w:line="108" w:lineRule="exact"/>
        <w:rPr>
          <w:sz w:val="20"/>
          <w:szCs w:val="20"/>
          <w:color w:val="auto"/>
        </w:rPr>
      </w:pPr>
    </w:p>
    <w:p>
      <w:pPr>
        <w:ind w:right="20" w:firstLine="802"/>
        <w:spacing w:after="0" w:line="252" w:lineRule="auto"/>
        <w:rPr>
          <w:sz w:val="20"/>
          <w:szCs w:val="20"/>
          <w:color w:val="auto"/>
        </w:rPr>
      </w:pPr>
      <w:r>
        <w:rPr>
          <w:rFonts w:ascii="Arial" w:cs="Arial" w:eastAsia="Arial" w:hAnsi="Arial"/>
          <w:sz w:val="14"/>
          <w:szCs w:val="14"/>
          <w:color w:val="auto"/>
        </w:rPr>
        <w:t>After a BLA is approved, the product may also be subject to official lot release. As part of the manufacturing process, the manufacturer is required to perform certain tests on each lot of the product before it is released for distribution. If the product is subject to official lot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Because biologically sourced raw materials are subject to unique contamination risks, their use may be restricted in some countries.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Fast Track</w:t>
      </w:r>
    </w:p>
    <w:p>
      <w:pPr>
        <w:spacing w:after="0" w:line="132"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The Fast Track program, a provision of the FDA Modernization Act of 1997, is designed to facilitate interactions between a sponsoring company and the FDA before and during submission of a BLA for an investigational agent that, alone or in combination with one or more other drugs, is intended to treat a serious or life-threatening disease or condition, and which demonstrates the potential to address an unmet medical need for that disease or condition. Under the Fast Track program, the FDA may consider reviewing portions of a marketing application before the sponsor submits the complete application if FDA determines, after a preliminary evaluation of the clinical data, that a fast track product may be effective. A Fast Track designation provides the opportunity for more frequent interactions with the FDA, and a fast track product could be eligible for priority review if supported by clinical data at the time of submission of the BLA.</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Biosimilars</w:t>
      </w:r>
    </w:p>
    <w:p>
      <w:pPr>
        <w:spacing w:after="0" w:line="132"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The Patient Protection and Affordable Care Act (Affordable Care Act) signed into law on March 23, 2010, included a subtitle called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For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 by which such products are manufactured, pose significant hurdles to implementation, which are still being worked out by the FDA. To date, no biosimilar or interchangeable biologic has been licensed under the BPCIA framework, although such approvals have occurred in Europe, and it is anticipated that FDA will approve a biosimilar in the relatively near future.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20" w:top="386" w:right="2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A reference biologic is granted 12 years of exclusivity from the time of first licensure of the reference product. A biosimilar application may be filed four (4) years after the approval of the reference biologic. Although the patents for the reference biologic may be challenged by the biosimilar applicant during that time period pursuant to the BPCIA statutory patent challenge framework, no biosimilar or interchangeable product will be licensed by FDA until the end of the exclusivity period. The first biologic product submitted under the abbreviated approval pathway that is determined to be interchangeable with the reference product has exclusivity against other biologics submitting under the abbreviated approval pathway for the lesser of (i) one year after first commercial marketing, (ii) 18 months after the initial application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At this juncture, it is unclear whether products deemed “interchangeable” by FDA, in fact, will be readily substituted by pharmacies, which are governed by state pharmacy law.</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and Promotion</w:t>
      </w:r>
    </w:p>
    <w:p>
      <w:pPr>
        <w:spacing w:after="0" w:line="132" w:lineRule="exact"/>
        <w:rPr>
          <w:sz w:val="20"/>
          <w:szCs w:val="20"/>
          <w:color w:val="auto"/>
        </w:rPr>
      </w:pPr>
    </w:p>
    <w:p>
      <w:pPr>
        <w:ind w:right="160" w:firstLine="802"/>
        <w:spacing w:after="0" w:line="311" w:lineRule="auto"/>
        <w:rPr>
          <w:sz w:val="20"/>
          <w:szCs w:val="20"/>
          <w:color w:val="auto"/>
        </w:rPr>
      </w:pPr>
      <w:r>
        <w:rPr>
          <w:rFonts w:ascii="Arial" w:cs="Arial" w:eastAsia="Arial" w:hAnsi="Arial"/>
          <w:sz w:val="12"/>
          <w:szCs w:val="12"/>
          <w:color w:val="auto"/>
        </w:rPr>
        <w:t>Once a BLA is approved, a product will be subject to continuing post-approval regulatory requirements. For instance, FDA closely regulates the post-approval marketing and promotion of biologics, including standards and regulations for direct-to-consumer advertising, off-label promotion, industry-sponsored scientific and educational activities and promotional activities involving the internet. Failure to comply with these regulations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79" w:lineRule="exact"/>
        <w:rPr>
          <w:sz w:val="20"/>
          <w:szCs w:val="20"/>
          <w:color w:val="auto"/>
        </w:rPr>
      </w:pPr>
    </w:p>
    <w:p>
      <w:pPr>
        <w:ind w:right="80" w:firstLine="802"/>
        <w:spacing w:after="0" w:line="255" w:lineRule="auto"/>
        <w:rPr>
          <w:sz w:val="20"/>
          <w:szCs w:val="20"/>
          <w:color w:val="auto"/>
        </w:rPr>
      </w:pPr>
      <w:r>
        <w:rPr>
          <w:rFonts w:ascii="Arial" w:cs="Arial" w:eastAsia="Arial" w:hAnsi="Arial"/>
          <w:sz w:val="14"/>
          <w:szCs w:val="14"/>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Event Reporting and GMP Compliance</w:t>
      </w:r>
    </w:p>
    <w:p>
      <w:pPr>
        <w:spacing w:after="0" w:line="132" w:lineRule="exact"/>
        <w:rPr>
          <w:sz w:val="20"/>
          <w:szCs w:val="20"/>
          <w:color w:val="auto"/>
        </w:rPr>
      </w:pPr>
    </w:p>
    <w:p>
      <w:pPr>
        <w:ind w:right="60" w:firstLine="802"/>
        <w:spacing w:after="0" w:line="300" w:lineRule="auto"/>
        <w:rPr>
          <w:sz w:val="20"/>
          <w:szCs w:val="20"/>
          <w:color w:val="auto"/>
        </w:rPr>
      </w:pPr>
      <w:r>
        <w:rPr>
          <w:rFonts w:ascii="Arial" w:cs="Arial" w:eastAsia="Arial" w:hAnsi="Arial"/>
          <w:sz w:val="12"/>
          <w:szCs w:val="12"/>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manufacture, packaging, labeling, storage and distribution procedures must continue to conform to current cGMPs after approval. Biologics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request product recalls, or impose marketing restrictions through labeling changes or product removals if a company fails to comply with regulatory standards, if it encounters problems following initial marketing, or if previously unrecognized problems are subsequently discovered.</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Companion Diagnostics</w:t>
      </w:r>
    </w:p>
    <w:p>
      <w:pPr>
        <w:spacing w:after="0" w:line="132" w:lineRule="exact"/>
        <w:rPr>
          <w:sz w:val="20"/>
          <w:szCs w:val="20"/>
          <w:color w:val="auto"/>
        </w:rPr>
      </w:pPr>
    </w:p>
    <w:p>
      <w:pPr>
        <w:ind w:right="100" w:firstLine="802"/>
        <w:spacing w:after="0" w:line="258" w:lineRule="auto"/>
        <w:rPr>
          <w:sz w:val="20"/>
          <w:szCs w:val="20"/>
          <w:color w:val="auto"/>
        </w:rPr>
      </w:pPr>
      <w:r>
        <w:rPr>
          <w:rFonts w:ascii="Arial" w:cs="Arial" w:eastAsia="Arial" w:hAnsi="Arial"/>
          <w:sz w:val="14"/>
          <w:szCs w:val="14"/>
          <w:color w:val="auto"/>
        </w:rPr>
        <w:t>The FDA regulates the sale or distribution, in interstate commerce, of medical devices, including IVDs. IVDs are a type of medical device that are intended to detect diseases, conditions, or infections, or the presence of certain genetic or other biomarkers. If safe and effective use of a therapeutic depends on an IVD, the FDA generally will require approval of the companion diagnostic, at the same time that the FDA approves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40"/>
          </w:cols>
          <w:pgMar w:left="220" w:top="386" w:right="2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
        <w:spacing w:after="0" w:line="351" w:lineRule="auto"/>
        <w:rPr>
          <w:sz w:val="20"/>
          <w:szCs w:val="20"/>
          <w:color w:val="auto"/>
        </w:rPr>
      </w:pPr>
      <w:r>
        <w:rPr>
          <w:rFonts w:ascii="Arial" w:cs="Arial" w:eastAsia="Arial" w:hAnsi="Arial"/>
          <w:sz w:val="12"/>
          <w:szCs w:val="12"/>
          <w:color w:val="auto"/>
        </w:rPr>
        <w:t xml:space="preserve">therapeutic. The FDA previously has required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companion diagnostics intended to identify the patients most likely to respond to a treatment to obtain approval of a premarket approval application (PMA) simultaneously with approval of the biologic. A required companion diagnostic has the potential to delay approval of the biologic and create barriers to patient access.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w:t>
      </w:r>
    </w:p>
    <w:p>
      <w:pPr>
        <w:spacing w:after="0" w:line="132"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Under the Orphan Drug Act, the FDA may grant orphan drug designation to biologics intended to treat a rare disease or condition—generally a disease or condition that affects fewer than 200,000 individuals in the United States. Orphan drug designation 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88" w:lineRule="exact"/>
        <w:rPr>
          <w:sz w:val="20"/>
          <w:szCs w:val="20"/>
          <w:color w:val="auto"/>
        </w:rPr>
      </w:pPr>
    </w:p>
    <w:p>
      <w:pPr>
        <w:ind w:right="100" w:firstLine="802"/>
        <w:spacing w:after="0" w:line="267" w:lineRule="auto"/>
        <w:rPr>
          <w:sz w:val="20"/>
          <w:szCs w:val="20"/>
          <w:color w:val="auto"/>
        </w:rPr>
      </w:pPr>
      <w:r>
        <w:rPr>
          <w:rFonts w:ascii="Arial" w:cs="Arial" w:eastAsia="Arial" w:hAnsi="Arial"/>
          <w:sz w:val="14"/>
          <w:szCs w:val="14"/>
          <w:color w:val="auto"/>
        </w:rPr>
        <w:t>We anticipate seeking orphan drug designation for margetuximab, MGA271, MGD006 and MGD007. Such designation would be sought in those populations that are being, or will be, studied to treat a disease or condition that affects fewer than 200,000 individuals in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Healthcare Laws and Compliance Requirements</w:t>
      </w:r>
    </w:p>
    <w:p>
      <w:pPr>
        <w:spacing w:after="0" w:line="132" w:lineRule="exact"/>
        <w:rPr>
          <w:sz w:val="20"/>
          <w:szCs w:val="20"/>
          <w:color w:val="auto"/>
        </w:rPr>
      </w:pPr>
    </w:p>
    <w:p>
      <w:pPr>
        <w:ind w:right="220" w:firstLine="802"/>
        <w:spacing w:after="0" w:line="258" w:lineRule="auto"/>
        <w:rPr>
          <w:sz w:val="20"/>
          <w:szCs w:val="20"/>
          <w:color w:val="auto"/>
        </w:rPr>
      </w:pPr>
      <w:r>
        <w:rPr>
          <w:rFonts w:ascii="Arial" w:cs="Arial" w:eastAsia="Arial" w:hAnsi="Arial"/>
          <w:sz w:val="14"/>
          <w:szCs w:val="14"/>
          <w:color w:val="auto"/>
        </w:rPr>
        <w:t>In the United States, our activities are potentially subject to regulation by federal, state, and local authorities in addition to the FDA, including the Centers for Medicare and Medicaid Services, other divisions of the U.S. Department of Health and Human Services (e.g., the Office of Inspector General), the U.S. Department of Justice and individual U.S. Attorney offices within the Department of Justice, and state and local governments.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Regulation</w:t>
      </w:r>
    </w:p>
    <w:p>
      <w:pPr>
        <w:spacing w:after="0" w:line="132"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color w:val="auto"/>
        </w:rPr>
        <w:t>In addition to regulations in the United States, a variety of foreign regulations govern clinical trials, commercial sales, and distribution of product candidates. The approval process varies from country to country and the time to approval may be longer or shorter than that required for FDA approval.</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Pharmaceutical Coverage, Pricing, and Reimbursement</w:t>
      </w:r>
    </w:p>
    <w:p>
      <w:pPr>
        <w:spacing w:after="0" w:line="132" w:lineRule="exact"/>
        <w:rPr>
          <w:sz w:val="20"/>
          <w:szCs w:val="20"/>
          <w:color w:val="auto"/>
        </w:rPr>
      </w:pPr>
    </w:p>
    <w:p>
      <w:pPr>
        <w:ind w:right="80" w:firstLine="802"/>
        <w:spacing w:after="0" w:line="311" w:lineRule="auto"/>
        <w:rPr>
          <w:sz w:val="20"/>
          <w:szCs w:val="20"/>
          <w:color w:val="auto"/>
        </w:rPr>
      </w:pPr>
      <w:r>
        <w:rPr>
          <w:rFonts w:ascii="Arial" w:cs="Arial" w:eastAsia="Arial" w:hAnsi="Arial"/>
          <w:sz w:val="12"/>
          <w:szCs w:val="12"/>
          <w:color w:val="auto"/>
        </w:rPr>
        <w:t>In the United States and other countries, sales of any products for which we receive regulatory approval for commercial sale will depend in part on the availability of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40"/>
          </w:cols>
          <w:pgMar w:left="220" w:top="386"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34" w:lineRule="exact"/>
        <w:rPr>
          <w:sz w:val="20"/>
          <w:szCs w:val="20"/>
          <w:color w:val="auto"/>
        </w:rPr>
      </w:pPr>
    </w:p>
    <w:p>
      <w:pPr>
        <w:jc w:val="both"/>
        <w:ind w:firstLine="802"/>
        <w:spacing w:after="0" w:line="321" w:lineRule="auto"/>
        <w:rPr>
          <w:sz w:val="20"/>
          <w:szCs w:val="20"/>
          <w:color w:val="auto"/>
        </w:rPr>
      </w:pPr>
      <w:r>
        <w:rPr>
          <w:rFonts w:ascii="Arial" w:cs="Arial" w:eastAsia="Arial" w:hAnsi="Arial"/>
          <w:sz w:val="12"/>
          <w:szCs w:val="12"/>
          <w:color w:val="auto"/>
        </w:rPr>
        <w:t>Our headquarters are located in Rockville, Maryland, where we occupy office and laboratory space under a lease that expires on March 31, 2018. Our manufacturing facility is also located in Rockville under a lease with the same landlord that expires on December 31, 2014. We have an option under each lease to continue the respective lease for five years under the same terms. We also sublease office and laboratory space in South San Francisco under a lease that expires on December 31, 2018. We are seeking to sublease a substantial portion of this space.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As of June 30, 2013, we had 156 full-time employees, 124 of whom were primarily engaged in research and development activities and 32 of whom had an M.D. or Ph.D. degree.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are not currently a party to any material legal proceedings.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160"/>
          </w:cols>
          <w:pgMar w:left="220" w:top="387" w:right="51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280" w:type="dxa"/>
            <w:vAlign w:val="bottom"/>
            <w:gridSpan w:val="4"/>
          </w:tcPr>
          <w:p>
            <w:pPr>
              <w:ind w:left="40"/>
              <w:spacing w:after="0"/>
              <w:rPr>
                <w:sz w:val="20"/>
                <w:szCs w:val="20"/>
                <w:color w:val="auto"/>
              </w:rPr>
            </w:pPr>
            <w:r>
              <w:rPr>
                <w:rFonts w:ascii="Arial" w:cs="Arial" w:eastAsia="Arial" w:hAnsi="Arial"/>
                <w:sz w:val="14"/>
                <w:szCs w:val="14"/>
                <w:b w:val="1"/>
                <w:bCs w:val="1"/>
                <w:color w:val="auto"/>
              </w:rPr>
              <w:t>MANAGEMENT</w:t>
            </w:r>
          </w:p>
        </w:tc>
      </w:tr>
      <w:tr>
        <w:trPr>
          <w:trHeight w:val="293"/>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93"/>
        </w:trPr>
        <w:tc>
          <w:tcPr>
            <w:tcW w:w="280" w:type="dxa"/>
            <w:vAlign w:val="bottom"/>
          </w:tcPr>
          <w:p>
            <w:pPr>
              <w:spacing w:after="0"/>
              <w:rPr>
                <w:sz w:val="24"/>
                <w:szCs w:val="24"/>
                <w:color w:val="auto"/>
              </w:rPr>
            </w:pPr>
          </w:p>
        </w:tc>
        <w:tc>
          <w:tcPr>
            <w:tcW w:w="11180" w:type="dxa"/>
            <w:vAlign w:val="bottom"/>
            <w:gridSpan w:val="5"/>
          </w:tcPr>
          <w:p>
            <w:pPr>
              <w:ind w:left="520"/>
              <w:spacing w:after="0"/>
              <w:rPr>
                <w:sz w:val="20"/>
                <w:szCs w:val="20"/>
                <w:color w:val="auto"/>
              </w:rPr>
            </w:pPr>
            <w:r>
              <w:rPr>
                <w:rFonts w:ascii="Arial" w:cs="Arial" w:eastAsia="Arial" w:hAnsi="Arial"/>
                <w:sz w:val="14"/>
                <w:szCs w:val="14"/>
                <w:color w:val="auto"/>
              </w:rPr>
              <w:t>The following table provides information with respect to our directors and executive officers as of August 31, 2013.</w:t>
            </w:r>
          </w:p>
        </w:tc>
      </w:tr>
      <w:tr>
        <w:trPr>
          <w:trHeight w:val="273"/>
        </w:trPr>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Name</w:t>
            </w:r>
          </w:p>
        </w:tc>
        <w:tc>
          <w:tcPr>
            <w:tcW w:w="4900" w:type="dxa"/>
            <w:vAlign w:val="bottom"/>
          </w:tcPr>
          <w:p>
            <w:pPr>
              <w:spacing w:after="0"/>
              <w:rPr>
                <w:sz w:val="23"/>
                <w:szCs w:val="23"/>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Age</w:t>
            </w:r>
          </w:p>
        </w:tc>
        <w:tc>
          <w:tcPr>
            <w:tcW w:w="2940" w:type="dxa"/>
            <w:vAlign w:val="bottom"/>
          </w:tcPr>
          <w:p>
            <w:pPr>
              <w:spacing w:after="0"/>
              <w:rPr>
                <w:sz w:val="23"/>
                <w:szCs w:val="23"/>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8"/>
              </w:rPr>
              <w:t>Position(s)</w:t>
            </w:r>
          </w:p>
        </w:tc>
        <w:tc>
          <w:tcPr>
            <w:tcW w:w="2680" w:type="dxa"/>
            <w:vAlign w:val="bottom"/>
          </w:tcPr>
          <w:p>
            <w:pPr>
              <w:spacing w:after="0"/>
              <w:rPr>
                <w:sz w:val="23"/>
                <w:szCs w:val="23"/>
                <w:color w:val="auto"/>
              </w:rPr>
            </w:pPr>
          </w:p>
        </w:tc>
      </w:tr>
      <w:tr>
        <w:trPr>
          <w:trHeight w:val="158"/>
        </w:trPr>
        <w:tc>
          <w:tcPr>
            <w:tcW w:w="51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i w:val="1"/>
                <w:iCs w:val="1"/>
                <w:color w:val="auto"/>
              </w:rPr>
              <w:t>Executive Officers</w:t>
            </w:r>
          </w:p>
        </w:tc>
        <w:tc>
          <w:tcPr>
            <w:tcW w:w="18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Scott Koenig, M.D., Ph.D.</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60</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President and CEO and Director</w:t>
            </w: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Karrels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46</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Vice President, Chief Financial Officer and Secretary</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Ezio Bonvini, M.D.</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59</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Senior Vice President, Research</w:t>
            </w: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Kathryn Stein, Ph.D.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68</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Senior Vice President, Product Development and Regulatory Affairs</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Jon Wigginton, M.D.</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51</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Senior Vice President, Clinical Development</w:t>
            </w: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Stanford Stewart, M.D.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62</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Vice President, Clinical Oncology Research</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Eric Risser</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40</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Vice President, Development</w:t>
            </w: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Lynn Cilinski</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55</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Vice President, Controller and Treasurer</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Directors</w:t>
            </w:r>
          </w:p>
        </w:tc>
        <w:tc>
          <w:tcPr>
            <w:tcW w:w="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Paulo Costa</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63</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Director</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Kenneth Galbraith</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50</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Director</w:t>
            </w: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Edward Hurwitz</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49</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Director</w:t>
            </w:r>
          </w:p>
        </w:tc>
      </w:tr>
      <w:tr>
        <w:trPr>
          <w:trHeight w:val="167"/>
        </w:trPr>
        <w:tc>
          <w:tcPr>
            <w:tcW w:w="5180" w:type="dxa"/>
            <w:vAlign w:val="bottom"/>
            <w:gridSpan w:val="2"/>
          </w:tcPr>
          <w:p>
            <w:pPr>
              <w:spacing w:after="0"/>
              <w:rPr>
                <w:sz w:val="20"/>
                <w:szCs w:val="20"/>
                <w:color w:val="auto"/>
              </w:rPr>
            </w:pPr>
            <w:r>
              <w:rPr>
                <w:rFonts w:ascii="Arial" w:cs="Arial" w:eastAsia="Arial" w:hAnsi="Arial"/>
                <w:sz w:val="14"/>
                <w:szCs w:val="14"/>
                <w:color w:val="auto"/>
              </w:rPr>
              <w:t>Eran Nadav, Ph.D</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43</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Director</w:t>
            </w:r>
          </w:p>
        </w:tc>
      </w:tr>
      <w:tr>
        <w:trPr>
          <w:trHeight w:val="167"/>
        </w:trPr>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Arnold Oronsky, Ph.D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73</w:t>
            </w:r>
          </w:p>
        </w:tc>
        <w:tc>
          <w:tcPr>
            <w:tcW w:w="6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Director</w:t>
            </w:r>
          </w:p>
        </w:tc>
      </w:tr>
      <w:tr>
        <w:trPr>
          <w:trHeight w:val="173"/>
        </w:trPr>
        <w:tc>
          <w:tcPr>
            <w:tcW w:w="5180" w:type="dxa"/>
            <w:vAlign w:val="bottom"/>
            <w:gridSpan w:val="2"/>
          </w:tcPr>
          <w:p>
            <w:pPr>
              <w:spacing w:after="0"/>
              <w:rPr>
                <w:sz w:val="20"/>
                <w:szCs w:val="20"/>
                <w:color w:val="auto"/>
              </w:rPr>
            </w:pPr>
            <w:r>
              <w:rPr>
                <w:rFonts w:ascii="Arial" w:cs="Arial" w:eastAsia="Arial" w:hAnsi="Arial"/>
                <w:sz w:val="14"/>
                <w:szCs w:val="14"/>
                <w:color w:val="auto"/>
              </w:rPr>
              <w:t>Michael Steinmetz, Ph.D.</w:t>
            </w:r>
          </w:p>
        </w:tc>
        <w:tc>
          <w:tcPr>
            <w:tcW w:w="180" w:type="dxa"/>
            <w:vAlign w:val="bottom"/>
          </w:tcPr>
          <w:p>
            <w:pPr>
              <w:ind w:left="20"/>
              <w:spacing w:after="0"/>
              <w:rPr>
                <w:sz w:val="20"/>
                <w:szCs w:val="20"/>
                <w:color w:val="auto"/>
              </w:rPr>
            </w:pPr>
            <w:r>
              <w:rPr>
                <w:rFonts w:ascii="Arial" w:cs="Arial" w:eastAsia="Arial" w:hAnsi="Arial"/>
                <w:sz w:val="14"/>
                <w:szCs w:val="14"/>
                <w:color w:val="auto"/>
                <w:w w:val="89"/>
              </w:rPr>
              <w:t>66</w:t>
            </w:r>
          </w:p>
        </w:tc>
        <w:tc>
          <w:tcPr>
            <w:tcW w:w="6100" w:type="dxa"/>
            <w:vAlign w:val="bottom"/>
            <w:gridSpan w:val="3"/>
          </w:tcPr>
          <w:p>
            <w:pPr>
              <w:ind w:left="260"/>
              <w:spacing w:after="0"/>
              <w:rPr>
                <w:sz w:val="20"/>
                <w:szCs w:val="20"/>
                <w:color w:val="auto"/>
              </w:rPr>
            </w:pPr>
            <w:r>
              <w:rPr>
                <w:rFonts w:ascii="Arial" w:cs="Arial" w:eastAsia="Arial" w:hAnsi="Arial"/>
                <w:sz w:val="14"/>
                <w:szCs w:val="14"/>
                <w:color w:val="auto"/>
              </w:rPr>
              <w:t>Director</w:t>
            </w:r>
          </w:p>
        </w:tc>
      </w:tr>
    </w:tbl>
    <w:p>
      <w:pPr>
        <w:spacing w:after="0" w:line="112" w:lineRule="exact"/>
        <w:rPr>
          <w:sz w:val="20"/>
          <w:szCs w:val="20"/>
          <w:color w:val="auto"/>
        </w:rPr>
      </w:pPr>
    </w:p>
    <w:p>
      <w:pPr>
        <w:ind w:right="100" w:firstLine="802"/>
        <w:spacing w:after="0" w:line="302" w:lineRule="auto"/>
        <w:rPr>
          <w:sz w:val="20"/>
          <w:szCs w:val="20"/>
          <w:color w:val="auto"/>
        </w:rPr>
      </w:pPr>
      <w:r>
        <w:rPr>
          <w:rFonts w:ascii="Arial" w:cs="Arial" w:eastAsia="Arial" w:hAnsi="Arial"/>
          <w:sz w:val="12"/>
          <w:szCs w:val="12"/>
          <w:color w:val="auto"/>
        </w:rPr>
        <w:t>Dr. Koenig has been our President and Chief Executive Officer and a director since September 2001 and was one of our co-founders. Prior to joining us, Dr. Koenig served as Senior Vice President of Research at MedImmune Inc., where he participated in the selection and maturation of their product pipeline. From 1984 to 1990, he worked in the Laboratory of Immunoregulation at the National Institute of Allergy and Infectious Diseases at the National Institutes of Health, where he investigated the immune response to retroviruses and studied the pathogenesis of AIDS. Dr. Koenig currently serves as Chairman of the Board of Directors of Applied Genetic Technologies Corporation and of the Children’s Research Institute of Children’s National Medical Center, and serves as a Board member of the Biotechnology Industry Organization (BIO) and Children’s National Medical Center. Dr. Koenig received his A.B. and Ph.D. from Cornell University and his M.D. from the University of Texas Health Science Center in Houston. We believe that Dr. Koenig’s detailed knowledge of our company and his over 29 years in research and the biotechnology industry provide a valuable contribution to our board of directors.</w:t>
      </w:r>
    </w:p>
    <w:p>
      <w:pPr>
        <w:spacing w:after="0" w:line="86" w:lineRule="exact"/>
        <w:rPr>
          <w:sz w:val="20"/>
          <w:szCs w:val="20"/>
          <w:color w:val="auto"/>
        </w:rPr>
      </w:pPr>
    </w:p>
    <w:p>
      <w:pPr>
        <w:jc w:val="both"/>
        <w:ind w:right="40" w:firstLine="802"/>
        <w:spacing w:after="0" w:line="255" w:lineRule="auto"/>
        <w:rPr>
          <w:sz w:val="20"/>
          <w:szCs w:val="20"/>
          <w:color w:val="auto"/>
        </w:rPr>
      </w:pPr>
      <w:r>
        <w:rPr>
          <w:rFonts w:ascii="Arial" w:cs="Arial" w:eastAsia="Arial" w:hAnsi="Arial"/>
          <w:sz w:val="14"/>
          <w:szCs w:val="14"/>
          <w:color w:val="auto"/>
        </w:rPr>
        <w:t>Mr. Karrels joined us as Vice President and Chief Financial Officer in May 2008 and has over 20 years of experience in finance, including approximately 15 years working for, or on behalf of, life sciences companies. Prior to joining us, he was at Jazz Pharmaceuticals, Inc., most recently serving as Executive Director of Finance, where he was responsible for the company’s financial planning and analysis and investor relations activities. Prior to joining Jazz Pharmaceuticals, Mr. Karrels spent 11 years in the Investment Banking Group at Merrill Lynch, most recently serving as a Director in the Global Healthcare Group. Mr. Karrels holds an M.B.A. from Stanford University and a B.B.A. from the University of Notre Dame.</w:t>
      </w:r>
    </w:p>
    <w:p>
      <w:pPr>
        <w:spacing w:after="0" w:line="110" w:lineRule="exact"/>
        <w:rPr>
          <w:sz w:val="20"/>
          <w:szCs w:val="20"/>
          <w:color w:val="auto"/>
        </w:rPr>
      </w:pPr>
    </w:p>
    <w:p>
      <w:pPr>
        <w:ind w:right="60" w:firstLine="802"/>
        <w:spacing w:after="0" w:line="311" w:lineRule="auto"/>
        <w:rPr>
          <w:sz w:val="20"/>
          <w:szCs w:val="20"/>
          <w:color w:val="auto"/>
        </w:rPr>
      </w:pPr>
      <w:r>
        <w:rPr>
          <w:rFonts w:ascii="Arial" w:cs="Arial" w:eastAsia="Arial" w:hAnsi="Arial"/>
          <w:sz w:val="12"/>
          <w:szCs w:val="12"/>
          <w:color w:val="auto"/>
        </w:rPr>
        <w:t>Dr. Bonvini, Senior Vice President, Research, joined us in June 2003. From 1985 to 2003, Dr. Bonvini was with the FDA in the Center for Biologics Evaluation and Research, or CBER, which is responsible for regulating therapeutic monoclonal antibodies and other proteins, ultimately serving as Acting Deputy Director, Division of Monoclonal Antibodies and Chief, Laboratory of Immunobiology. From 1982 to 1984, Dr. Bonvini was a Visiting Fellow at the National Cancer Institute at the National Institutes of Health. Dr. Bonvini received a Diploma in Science from the Scientific Lyceum in Genoa, Italy, and his M.D. and Specialty Certification in Clinical Hematology from the University of Genoa, School of Medicine.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60"/>
          </w:cols>
          <w:pgMar w:left="220" w:top="386" w:right="21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20" w:firstLine="802"/>
        <w:spacing w:after="0" w:line="253" w:lineRule="auto"/>
        <w:rPr>
          <w:sz w:val="20"/>
          <w:szCs w:val="20"/>
          <w:color w:val="auto"/>
        </w:rPr>
      </w:pPr>
      <w:r>
        <w:rPr>
          <w:rFonts w:ascii="Arial" w:cs="Arial" w:eastAsia="Arial" w:hAnsi="Arial"/>
          <w:sz w:val="14"/>
          <w:szCs w:val="14"/>
          <w:color w:val="auto"/>
        </w:rPr>
        <w:t>Dr. Stein joined us as Vice President, Product Development and Regulatory Affairs in May 2002 and has served as a Senior Vice President since 2006. From 1980 to 2002, Dr. Stein was at the FDA, including serving as Director, Division of Monoclonal Antibodies in the Office of Therapeutics Research and Review at CBER from 1992 to 2002. While at the FDA, Dr. Stein worked on all regulatory aspects of therapeutic proteins and monoclonal antibodies and was a leader in policy development at FDA for these products. Many currently marketed monoclonal antibodies were approved under her leadership. Dr. Stein received her Ph.D. in Microbiology and Immunology from the Albert Einstein College of Medicine of Yeshiva University and her B.A. in Chemistry from Bard College. Dr. Stein commits half of her time to us.</w:t>
      </w:r>
    </w:p>
    <w:p>
      <w:pPr>
        <w:spacing w:after="0" w:line="113" w:lineRule="exact"/>
        <w:rPr>
          <w:sz w:val="20"/>
          <w:szCs w:val="20"/>
          <w:color w:val="auto"/>
        </w:rPr>
      </w:pPr>
    </w:p>
    <w:p>
      <w:pPr>
        <w:ind w:right="200" w:firstLine="802"/>
        <w:spacing w:after="0" w:line="305" w:lineRule="auto"/>
        <w:rPr>
          <w:sz w:val="20"/>
          <w:szCs w:val="20"/>
          <w:color w:val="auto"/>
        </w:rPr>
      </w:pPr>
      <w:r>
        <w:rPr>
          <w:rFonts w:ascii="Arial" w:cs="Arial" w:eastAsia="Arial" w:hAnsi="Arial"/>
          <w:sz w:val="12"/>
          <w:szCs w:val="12"/>
          <w:color w:val="auto"/>
        </w:rPr>
        <w:t>Dr. Wigginton joined us as Senior Vice President, Clinical Research in August 2013. Dr. Wigginton was previously the Therapeutic Area Head, Immuno-Oncology, Early Clinical Research and Executive Director, Discovery Medicine-Clinical Oncology at Bristol-Myers from October 2008 to August 2013. While there, he led the early clinical development of the Bristol-Myers’ Immuno-Oncology portfolio including anti-PD-1 and anti-PD-L1. Prior to joining Bristol-Myers, Dr. Wigginton was the Director of Clinical Oncology at Merck Research Laboratories from May 2006 to October 2008, where he led early- and late-stage clinical development teams for small molecules and biologics. During his academic career, Dr. Wigginton held several positions at the National Cancer Institute Center for Cancer Research (NCI-CCR), including Head of Investigational Biologics Section, Pediatric Oncology Branch. Dr. Wigginton received his M.D. and B.S. in Biology from the University of Michigan.</w:t>
      </w:r>
    </w:p>
    <w:p>
      <w:pPr>
        <w:spacing w:after="0" w:line="84"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Dr. Stewart joined us as Vice President, Clinical Oncology Research in July 2008. From 2005 to 2008, Dr. Stewart served as Vice President, Clinical Research at Raven Biotechnologies, Inc., which we acquired in July 2008. From 2001 to 2005, Dr. Stewart was with Corixa Corporation, most recently as Vice President, Clinical Research. Dr. Stewart was with ALZA Corporation in 2001 and from 1998 to 2001, he was with Genentech, where he was Clinical Scientist on the Herceptin project and guided post-marketing clinical development, including the adjuvant breast cancer program. Dr. Stewart trained in Medical Oncology at Stanford University, and served as a member of the faculty of the School of Medicine at Vanderbilt University for more than twelve years. Dr. Stewart received his M.D. from Baylor College of Medicine and his B.A. degree from Rice University.</w:t>
      </w:r>
    </w:p>
    <w:p>
      <w:pPr>
        <w:spacing w:after="0" w:line="113" w:lineRule="exact"/>
        <w:rPr>
          <w:sz w:val="20"/>
          <w:szCs w:val="20"/>
          <w:color w:val="auto"/>
        </w:rPr>
      </w:pPr>
    </w:p>
    <w:p>
      <w:pPr>
        <w:jc w:val="both"/>
        <w:ind w:right="40" w:firstLine="802"/>
        <w:spacing w:after="0" w:line="255" w:lineRule="auto"/>
        <w:rPr>
          <w:sz w:val="20"/>
          <w:szCs w:val="20"/>
          <w:color w:val="auto"/>
        </w:rPr>
      </w:pPr>
      <w:r>
        <w:rPr>
          <w:rFonts w:ascii="Arial" w:cs="Arial" w:eastAsia="Arial" w:hAnsi="Arial"/>
          <w:sz w:val="14"/>
          <w:szCs w:val="14"/>
          <w:color w:val="auto"/>
        </w:rPr>
        <w:t>Mr. Risser joined us as Vice President, Business Development in May 2009. Prior to joining us, Mr. Risser held the position of Senior Director, Business Development in the pharmaceutical group at Johnson &amp; Johnson, where he worked from 2003 to 2009. Before Johnson &amp; Johnson, Mr. Risser started and built a consulting practice that provided counsel to emerging life science companies in the United States and Europe. Earlier in his career, Mr. Risser held venture capital and investment banking positions with BA Venture Partners and Lehman Brothers Holdings Inc., respectively. Mr. Risser holds an M.B.A. from Stanford University and a B.A. from Yale University.</w:t>
      </w:r>
    </w:p>
    <w:p>
      <w:pPr>
        <w:spacing w:after="0" w:line="110"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color w:val="auto"/>
        </w:rPr>
        <w:t>Ms. Cilinski, Vice President, Controller and Treasurer, joined us in October 2003. Prior to joining us, Ms. Cilinski spent a year as a consultant to various companies providing services to the government. Prior to that, she spent more than 20 years with Covanta Energy Inc. (formerly Ogden Corporation) where she held the position of Corporate Controller for four subsidiary companies that provided services to the federal government. Ms. Cilinski holds a B.S. from Strayer University.</w:t>
      </w:r>
    </w:p>
    <w:p>
      <w:pPr>
        <w:spacing w:after="0" w:line="108" w:lineRule="exact"/>
        <w:rPr>
          <w:sz w:val="20"/>
          <w:szCs w:val="20"/>
          <w:color w:val="auto"/>
        </w:rPr>
      </w:pPr>
    </w:p>
    <w:p>
      <w:pPr>
        <w:ind w:right="60" w:firstLine="802"/>
        <w:spacing w:after="0" w:line="311" w:lineRule="auto"/>
        <w:rPr>
          <w:sz w:val="20"/>
          <w:szCs w:val="20"/>
          <w:color w:val="auto"/>
        </w:rPr>
      </w:pPr>
      <w:r>
        <w:rPr>
          <w:rFonts w:ascii="Arial" w:cs="Arial" w:eastAsia="Arial" w:hAnsi="Arial"/>
          <w:sz w:val="12"/>
          <w:szCs w:val="12"/>
          <w:color w:val="auto"/>
        </w:rPr>
        <w:t>Mr. Costa has served as a director since June 2009. Mr. Costa served as President and Chief Executive Officer of Novartis U.S. Corporation, a pharmaceutical and consumer health company, from October 2005 to August 2008. From August 2009 to August 2012, Mr. Costa served as chairman of the board of directors of Amylin Pharmaceuticals Inc., a publicly held company, and currently serves as a director of two privately-held companies. Based on Mr. Costa’s diverse experience in the pharmaceutical industry, ranging from successful product development, launch and commercialization and his extensive senior management experience within the industry, the board of directors believes Mr. Costa has the appropriate set of skills to serve as a member of the board of directors.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60"/>
          </w:cols>
          <w:pgMar w:left="220" w:top="386" w:right="21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 w:firstLine="802"/>
        <w:spacing w:after="0" w:line="253" w:lineRule="auto"/>
        <w:rPr>
          <w:sz w:val="20"/>
          <w:szCs w:val="20"/>
          <w:color w:val="auto"/>
        </w:rPr>
      </w:pPr>
      <w:r>
        <w:rPr>
          <w:rFonts w:ascii="Arial" w:cs="Arial" w:eastAsia="Arial" w:hAnsi="Arial"/>
          <w:sz w:val="14"/>
          <w:szCs w:val="14"/>
          <w:color w:val="auto"/>
        </w:rPr>
        <w:t>Mr. Galbraith has served as a director since July 2008. Mr. Galbraith joined Ventures West in 2007 and leads the firm’s biotech practice. Mr. Galbraith has over 25 years of experience acting as an executive, director, investor and advisor to companies in the biotechnology, medical device, pharmaceutical and healthcare sectors. Mr. Galbraith has served as a director of Celator Pharmaceuticals, Inc., a publicly held company, since July 2007, and has also served as a director of Tekmira Pharmaceuticals Corp., a publicly held company, since January 2010. In addition, Mr. Galbraith serves as a director of several privately-held companies. Based on Mr. Galbraith’s depth of experience in the biotechnology industry, ranging from executive officer to director roles, the board of directors believes Mr. Galbraith has the appropriate set of skills to serve as a member of the board of directors.</w:t>
      </w:r>
    </w:p>
    <w:p>
      <w:pPr>
        <w:spacing w:after="0" w:line="113" w:lineRule="exact"/>
        <w:rPr>
          <w:sz w:val="20"/>
          <w:szCs w:val="20"/>
          <w:color w:val="auto"/>
        </w:rPr>
      </w:pPr>
    </w:p>
    <w:p>
      <w:pPr>
        <w:ind w:right="120" w:firstLine="802"/>
        <w:spacing w:after="0" w:line="255" w:lineRule="auto"/>
        <w:rPr>
          <w:sz w:val="20"/>
          <w:szCs w:val="20"/>
          <w:color w:val="auto"/>
        </w:rPr>
      </w:pPr>
      <w:r>
        <w:rPr>
          <w:rFonts w:ascii="Arial" w:cs="Arial" w:eastAsia="Arial" w:hAnsi="Arial"/>
          <w:sz w:val="14"/>
          <w:szCs w:val="14"/>
          <w:color w:val="auto"/>
        </w:rPr>
        <w:t>Mr. Hurwitz has served as a director since October 2004. Mr. Hurwitz has served as a Director of Alta Partners, a venture capital firm, since June 2002. Mr. Hurwitz also serves as a director of Sunesis Pharmaceuticals, Inc., a publicly held company, as well as several privately-held companies. The board of directors has concluded that Mr. Hurwitz should serve on the board of directors due to his financial and scientific expertise, as well as his deep understanding of the biotechnology industry, which the board of directors believes makes him an important resource for the board of directors as it assesses both financial and strategic decisions.</w:t>
      </w:r>
    </w:p>
    <w:p>
      <w:pPr>
        <w:spacing w:after="0" w:line="110"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Dr. Nadav has served as a director since June 2013. Dr. Nadav is a Managing Director at TPG Biotech, the life science venture investment arm of TPG, a global private investment firm. Dr. Nadav joined TPG Biotech in 2007 with a focus on global pharmaceuticals and biotechnology investments. Prior to TPG, Dr. Nadav served as Business Development Director at Eisai Pharmaceuticals in New Jersey for four years, where he evaluated and negotiated notable licensing and acquisition deals. Prior to this, Dr. Nadav worked for Johnson &amp; Johnson Development Corporation, the venture capital subsidiary of Johnson &amp; Johnson, and for Neurim Pharmaceuticals. Based on Dr. Nadav’s business experience and scientific expertise, the board of directors believes that Dr. Nadav has the appropriate set of skills to serve as a member of our board of directors.</w:t>
      </w:r>
    </w:p>
    <w:p>
      <w:pPr>
        <w:spacing w:after="0" w:line="113" w:lineRule="exact"/>
        <w:rPr>
          <w:sz w:val="20"/>
          <w:szCs w:val="20"/>
          <w:color w:val="auto"/>
        </w:rPr>
      </w:pPr>
    </w:p>
    <w:p>
      <w:pPr>
        <w:ind w:right="120" w:firstLine="802"/>
        <w:spacing w:after="0" w:line="321" w:lineRule="auto"/>
        <w:rPr>
          <w:sz w:val="20"/>
          <w:szCs w:val="20"/>
          <w:color w:val="auto"/>
        </w:rPr>
      </w:pPr>
      <w:r>
        <w:rPr>
          <w:rFonts w:ascii="Arial" w:cs="Arial" w:eastAsia="Arial" w:hAnsi="Arial"/>
          <w:sz w:val="12"/>
          <w:szCs w:val="12"/>
          <w:color w:val="auto"/>
        </w:rPr>
        <w:t>Dr. Oronsky has served as a director since 2000. Dr. Oronsky has been a general partner with InterWest Partners, a venture capital firm, since 1994, focusing primarily on life science companies. Dr. Oronsky serves as a director of Tesaro, Inc., a publicly held company, as well as several privately held life science companies. The board of directors believes that Dr. Oronsky’s experience in the life sciences industry as a venture capitalist and his service on the boards of directors of other public and private life sciences companies provides him with the qualifications and skills to serve as a director.</w:t>
      </w:r>
    </w:p>
    <w:p>
      <w:pPr>
        <w:spacing w:after="0" w:line="73" w:lineRule="exact"/>
        <w:rPr>
          <w:sz w:val="20"/>
          <w:szCs w:val="20"/>
          <w:color w:val="auto"/>
        </w:rPr>
      </w:pPr>
    </w:p>
    <w:p>
      <w:pPr>
        <w:ind w:right="180" w:firstLine="802"/>
        <w:spacing w:after="0" w:line="321" w:lineRule="auto"/>
        <w:rPr>
          <w:sz w:val="20"/>
          <w:szCs w:val="20"/>
          <w:color w:val="auto"/>
        </w:rPr>
      </w:pPr>
      <w:r>
        <w:rPr>
          <w:rFonts w:ascii="Arial" w:cs="Arial" w:eastAsia="Arial" w:hAnsi="Arial"/>
          <w:sz w:val="12"/>
          <w:szCs w:val="12"/>
          <w:color w:val="auto"/>
        </w:rPr>
        <w:t>Dr. Steinmetz has served as a director since 2000. Dr. Steinmetz has been Managing Director of Clarus Ventures since the firm’s inception in 2005. He has over 24 years of direct industry and investment experience within the healthcare sector. Dr. Steinmetz serves on the board of directors of several privately-held companies. Based on Dr. Steinmetz’s direct industry and investment experience, the board of directors believes that Dr. Steinmetz has the appropriate set of skills to serve as a member of the board of directors.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 and Election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Composition</w:t>
      </w:r>
    </w:p>
    <w:p>
      <w:pPr>
        <w:spacing w:after="0" w:line="132" w:lineRule="exact"/>
        <w:rPr>
          <w:sz w:val="20"/>
          <w:szCs w:val="20"/>
          <w:color w:val="auto"/>
        </w:rPr>
      </w:pPr>
    </w:p>
    <w:p>
      <w:pPr>
        <w:jc w:val="both"/>
        <w:ind w:right="60" w:firstLine="802"/>
        <w:spacing w:after="0" w:line="258" w:lineRule="auto"/>
        <w:rPr>
          <w:sz w:val="20"/>
          <w:szCs w:val="20"/>
          <w:color w:val="auto"/>
        </w:rPr>
      </w:pPr>
      <w:r>
        <w:rPr>
          <w:rFonts w:ascii="Arial" w:cs="Arial" w:eastAsia="Arial" w:hAnsi="Arial"/>
          <w:sz w:val="14"/>
          <w:szCs w:val="14"/>
          <w:color w:val="auto"/>
        </w:rPr>
        <w:t>Our board of directors currently consists of seven members, all of whom were elected as directors pursuant to a stockholders agreement that we have entered into with the holders of our preferred stock. The stockholders agreement will terminate upon the closing of this offering and there will be no further contractual obligations regarding the election of our directors. Our directors hold office until their successors have been elected and qualified or until the earlier of their resignation or removal.</w:t>
      </w:r>
    </w:p>
    <w:p>
      <w:pPr>
        <w:spacing w:after="0" w:line="108" w:lineRule="exact"/>
        <w:rPr>
          <w:sz w:val="20"/>
          <w:szCs w:val="20"/>
          <w:color w:val="auto"/>
        </w:rPr>
      </w:pPr>
    </w:p>
    <w:p>
      <w:pPr>
        <w:ind w:right="160" w:firstLine="802"/>
        <w:spacing w:after="0" w:line="267" w:lineRule="auto"/>
        <w:rPr>
          <w:sz w:val="20"/>
          <w:szCs w:val="20"/>
          <w:color w:val="auto"/>
        </w:rPr>
      </w:pPr>
      <w:r>
        <w:rPr>
          <w:rFonts w:ascii="Arial" w:cs="Arial" w:eastAsia="Arial" w:hAnsi="Arial"/>
          <w:sz w:val="14"/>
          <w:szCs w:val="14"/>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also provide that our directors may be removed only for cause by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40"/>
          </w:cols>
          <w:pgMar w:left="220" w:top="386"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01" w:lineRule="exact"/>
        <w:rPr>
          <w:sz w:val="20"/>
          <w:szCs w:val="20"/>
          <w:color w:val="auto"/>
        </w:rPr>
      </w:pPr>
    </w:p>
    <w:p>
      <w:pPr>
        <w:ind w:right="240" w:firstLine="802"/>
        <w:spacing w:after="0" w:line="351" w:lineRule="auto"/>
        <w:rPr>
          <w:sz w:val="20"/>
          <w:szCs w:val="20"/>
          <w:color w:val="auto"/>
        </w:rPr>
      </w:pPr>
      <w:r>
        <w:rPr>
          <w:rFonts w:ascii="Arial" w:cs="Arial" w:eastAsia="Arial" w:hAnsi="Arial"/>
          <w:sz w:val="12"/>
          <w:szCs w:val="12"/>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87" w:lineRule="exact"/>
        <w:rPr>
          <w:sz w:val="20"/>
          <w:szCs w:val="20"/>
          <w:color w:val="auto"/>
        </w:rPr>
      </w:pPr>
    </w:p>
    <w:p>
      <w:pPr>
        <w:ind w:left="1240" w:hanging="327"/>
        <w:spacing w:after="0"/>
        <w:tabs>
          <w:tab w:leader="none" w:pos="12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Class I, whose term will expire at the annual meeting of stockholders to be held in 2014;</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Class II, whose term will expire at the annual meeting of stockholders to be held in 2015;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Class III, whose term will expire at the annual meeting of stockholders to be held in 2016.</w:t>
      </w:r>
    </w:p>
    <w:p>
      <w:pPr>
        <w:spacing w:after="0" w:line="132" w:lineRule="exact"/>
        <w:rPr>
          <w:sz w:val="20"/>
          <w:szCs w:val="20"/>
          <w:color w:val="auto"/>
        </w:rPr>
      </w:pPr>
    </w:p>
    <w:p>
      <w:pPr>
        <w:ind w:left="800"/>
        <w:spacing w:after="0"/>
        <w:tabs>
          <w:tab w:leader="none" w:pos="3180" w:val="left"/>
          <w:tab w:leader="none" w:pos="3920" w:val="left"/>
          <w:tab w:leader="none" w:pos="4840" w:val="left"/>
          <w:tab w:leader="none" w:pos="7360" w:val="left"/>
          <w:tab w:leader="none" w:pos="8280" w:val="left"/>
          <w:tab w:leader="none" w:pos="11080" w:val="left"/>
        </w:tabs>
        <w:rPr>
          <w:sz w:val="20"/>
          <w:szCs w:val="20"/>
          <w:color w:val="auto"/>
        </w:rPr>
      </w:pPr>
      <w:r>
        <w:rPr>
          <w:rFonts w:ascii="Arial" w:cs="Arial" w:eastAsia="Arial" w:hAnsi="Arial"/>
          <w:sz w:val="14"/>
          <w:szCs w:val="14"/>
          <w:color w:val="auto"/>
        </w:rPr>
        <w:t>Class I shall consist of Messrs.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 Class II shall consist of Messrs.</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 and Class III shall consist of Messrs.</w:t>
      </w:r>
      <w:r>
        <w:rPr>
          <w:sz w:val="20"/>
          <w:szCs w:val="20"/>
          <w:color w:val="auto"/>
        </w:rPr>
        <w:tab/>
      </w:r>
      <w:r>
        <w:rPr>
          <w:rFonts w:ascii="Arial" w:cs="Arial" w:eastAsia="Arial" w:hAnsi="Arial"/>
          <w:sz w:val="11"/>
          <w:szCs w:val="11"/>
          <w:color w:val="auto"/>
        </w:rPr>
        <w:t>and</w:t>
      </w:r>
    </w:p>
    <w:p>
      <w:pPr>
        <w:spacing w:after="0" w:line="12" w:lineRule="exact"/>
        <w:rPr>
          <w:sz w:val="20"/>
          <w:szCs w:val="20"/>
          <w:color w:val="auto"/>
        </w:rPr>
      </w:pPr>
    </w:p>
    <w:p>
      <w:pPr>
        <w:ind w:right="40" w:firstLine="683"/>
        <w:spacing w:after="0" w:line="307" w:lineRule="auto"/>
        <w:tabs>
          <w:tab w:leader="none" w:pos="747" w:val="left"/>
        </w:tabs>
        <w:numPr>
          <w:ilvl w:val="0"/>
          <w:numId w:val="79"/>
        </w:numPr>
        <w:rPr>
          <w:rFonts w:ascii="Arial" w:cs="Arial" w:eastAsia="Arial" w:hAnsi="Arial"/>
          <w:sz w:val="12"/>
          <w:szCs w:val="12"/>
          <w:color w:val="auto"/>
        </w:rPr>
      </w:pPr>
      <w:r>
        <w:rPr>
          <w:rFonts w:ascii="Arial" w:cs="Arial" w:eastAsia="Arial" w:hAnsi="Arial"/>
          <w:sz w:val="12"/>
          <w:szCs w:val="12"/>
          <w:color w:val="auto"/>
        </w:rPr>
        <w:t>At each annual meeting of stockholders after the initial classification, the successors to directors whose terms will then expire serve from the time of election and qualification until the third annual meeting following election and until their successors are duly elected and qualified. A resolution of the board of directors or affirmative vote of at least 66 2/3% of our outstanding voting stock may change the authorized number of directors. Any additional directorships resulting from an increase in the number of directors will be distributed among the three classes so that, as nearly as possible, each class will consist of one third of the directors. This classification of the board of directors may have the effect of delaying or preventing changes in control or management of our company.</w:t>
      </w:r>
    </w:p>
    <w:p>
      <w:pPr>
        <w:spacing w:after="0" w:line="82" w:lineRule="exact"/>
        <w:rPr>
          <w:sz w:val="20"/>
          <w:szCs w:val="20"/>
          <w:color w:val="auto"/>
        </w:rPr>
      </w:pPr>
    </w:p>
    <w:p>
      <w:pPr>
        <w:ind w:right="180" w:firstLine="802"/>
        <w:spacing w:after="0" w:line="258" w:lineRule="auto"/>
        <w:rPr>
          <w:sz w:val="20"/>
          <w:szCs w:val="20"/>
          <w:color w:val="auto"/>
        </w:rPr>
      </w:pPr>
      <w:r>
        <w:rPr>
          <w:rFonts w:ascii="Arial" w:cs="Arial" w:eastAsia="Arial" w:hAnsi="Arial"/>
          <w:sz w:val="14"/>
          <w:szCs w:val="14"/>
          <w:color w:val="auto"/>
        </w:rPr>
        <w:t>We have no formal policy regarding board diversity. Our priority in selection of board members is identification of members who will further the interests of our stockholders through his or her established record of professional accomplishment, the ability to contribute positively to the collaborative culture among board members, knowledge of our business and understanding of the competitive landscape.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 of the Members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Independence</w:t>
      </w:r>
    </w:p>
    <w:p>
      <w:pPr>
        <w:spacing w:after="0" w:line="132" w:lineRule="exact"/>
        <w:rPr>
          <w:sz w:val="20"/>
          <w:szCs w:val="20"/>
          <w:color w:val="auto"/>
        </w:rPr>
      </w:pPr>
    </w:p>
    <w:p>
      <w:pPr>
        <w:ind w:right="140" w:firstLine="802"/>
        <w:spacing w:after="0" w:line="258" w:lineRule="auto"/>
        <w:rPr>
          <w:sz w:val="20"/>
          <w:szCs w:val="20"/>
          <w:color w:val="auto"/>
        </w:rPr>
      </w:pPr>
      <w:r>
        <w:rPr>
          <w:rFonts w:ascii="Arial" w:cs="Arial" w:eastAsia="Arial" w:hAnsi="Arial"/>
          <w:sz w:val="14"/>
          <w:szCs w:val="14"/>
          <w:color w:val="auto"/>
        </w:rPr>
        <w:t>Applicable NASDAQ rules require a majority of a listed company’s board of directors to be comprised of independent directors within one year of listing.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08" w:lineRule="exact"/>
        <w:rPr>
          <w:sz w:val="20"/>
          <w:szCs w:val="20"/>
          <w:color w:val="auto"/>
        </w:rPr>
      </w:pPr>
    </w:p>
    <w:p>
      <w:pPr>
        <w:jc w:val="both"/>
        <w:ind w:right="60" w:firstLine="802"/>
        <w:spacing w:after="0" w:line="255" w:lineRule="auto"/>
        <w:rPr>
          <w:sz w:val="20"/>
          <w:szCs w:val="20"/>
          <w:color w:val="auto"/>
        </w:rPr>
      </w:pPr>
      <w:r>
        <w:rPr>
          <w:rFonts w:ascii="Arial" w:cs="Arial" w:eastAsia="Arial" w:hAnsi="Arial"/>
          <w:sz w:val="14"/>
          <w:szCs w:val="14"/>
          <w:color w:val="auto"/>
        </w:rPr>
        <w:t>Consistent with these considerations, the board of directors has affirmatively determined that all of the members of our board of directors, except for Dr. Koenig, are independent directors within the meaning of the applicable NASDAQ listing requirements. In making its determination of independence, the board of directors considered the relationships of our directors, other than Mr. Costa, with certain of our principal stockholders. Our board of directors does not believe that these stockholder relationships interfere with these directors’ exercise of independent judgment in carrying out their responsibilities as directors.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board of directors has an audit committee, a compensation committee and a nominating and corporate governance committee.</w:t>
      </w:r>
    </w:p>
    <w:p>
      <w:pPr>
        <w:spacing w:after="0" w:line="1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40"/>
          </w:cols>
          <w:pgMar w:left="220" w:top="386"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Compensation Committee</w:t>
      </w:r>
    </w:p>
    <w:p>
      <w:pPr>
        <w:sectPr>
          <w:pgSz w:w="11900" w:h="16838" w:orient="portrait"/>
          <w:cols w:equalWidth="0" w:num="1">
            <w:col w:w="11420"/>
          </w:cols>
          <w:pgMar w:left="220" w:top="386" w:right="259" w:bottom="1440" w:gutter="0" w:footer="0" w:header="0"/>
        </w:sectPr>
      </w:pPr>
    </w:p>
    <w:p>
      <w:pPr>
        <w:spacing w:after="0" w:line="166" w:lineRule="exact"/>
        <w:rPr>
          <w:sz w:val="20"/>
          <w:szCs w:val="20"/>
          <w:color w:val="auto"/>
        </w:rPr>
      </w:pPr>
    </w:p>
    <w:p>
      <w:pPr>
        <w:ind w:left="800"/>
        <w:spacing w:after="0"/>
        <w:tabs>
          <w:tab w:leader="none" w:pos="4700" w:val="left"/>
        </w:tabs>
        <w:rPr>
          <w:sz w:val="20"/>
          <w:szCs w:val="20"/>
          <w:color w:val="auto"/>
        </w:rPr>
      </w:pPr>
      <w:r>
        <w:rPr>
          <w:rFonts w:ascii="Arial" w:cs="Arial" w:eastAsia="Arial" w:hAnsi="Arial"/>
          <w:sz w:val="14"/>
          <w:szCs w:val="14"/>
          <w:color w:val="auto"/>
        </w:rPr>
        <w:t>Our compensation committee currently consists of Messrs.</w:t>
      </w:r>
      <w:r>
        <w:rPr>
          <w:sz w:val="20"/>
          <w:szCs w:val="20"/>
          <w:color w:val="auto"/>
        </w:rPr>
        <w:tab/>
      </w:r>
      <w:r>
        <w:rPr>
          <w:rFonts w:ascii="Arial" w:cs="Arial" w:eastAsia="Arial" w:hAnsi="Arial"/>
          <w:sz w:val="7"/>
          <w:szCs w:val="7"/>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 All members of the compensation committee are independent directors, as defined in the</w:t>
      </w:r>
    </w:p>
    <w:p>
      <w:pPr>
        <w:spacing w:after="0" w:line="35" w:lineRule="exact"/>
        <w:rPr>
          <w:sz w:val="20"/>
          <w:szCs w:val="20"/>
          <w:color w:val="auto"/>
        </w:rPr>
      </w:pPr>
    </w:p>
    <w:p>
      <w:pPr>
        <w:sectPr>
          <w:pgSz w:w="11900" w:h="16838" w:orient="portrait"/>
          <w:cols w:equalWidth="0" w:num="3">
            <w:col w:w="4740" w:space="720"/>
            <w:col w:w="200" w:space="720"/>
            <w:col w:w="5040"/>
          </w:cols>
          <w:pgMar w:left="220" w:top="386" w:right="259" w:bottom="1440" w:gutter="0" w:footer="0" w:header="0"/>
          <w:type w:val="continuous"/>
        </w:sectPr>
      </w:pPr>
    </w:p>
    <w:p>
      <w:pPr>
        <w:spacing w:after="0"/>
        <w:rPr>
          <w:sz w:val="20"/>
          <w:szCs w:val="20"/>
          <w:color w:val="auto"/>
        </w:rPr>
      </w:pPr>
      <w:r>
        <w:rPr>
          <w:rFonts w:ascii="Arial" w:cs="Arial" w:eastAsia="Arial" w:hAnsi="Arial"/>
          <w:sz w:val="12"/>
          <w:szCs w:val="12"/>
          <w:color w:val="auto"/>
        </w:rPr>
        <w:t>NASDAQ Global Market qualification standards. The functions of this committee include:</w:t>
      </w:r>
    </w:p>
    <w:p>
      <w:pPr>
        <w:sectPr>
          <w:pgSz w:w="11900" w:h="16838" w:orient="portrait"/>
          <w:cols w:equalWidth="0" w:num="1">
            <w:col w:w="11420"/>
          </w:cols>
          <w:pgMar w:left="220" w:top="386" w:right="259" w:bottom="1440" w:gutter="0" w:footer="0" w:header="0"/>
          <w:type w:val="continuous"/>
        </w:sectPr>
      </w:pPr>
    </w:p>
    <w:p>
      <w:pPr>
        <w:spacing w:after="0" w:line="180" w:lineRule="exact"/>
        <w:rPr>
          <w:sz w:val="20"/>
          <w:szCs w:val="20"/>
          <w:color w:val="auto"/>
        </w:rPr>
      </w:pPr>
    </w:p>
    <w:p>
      <w:pPr>
        <w:ind w:left="1240" w:right="480" w:hanging="327"/>
        <w:spacing w:after="0" w:line="267" w:lineRule="auto"/>
        <w:tabs>
          <w:tab w:leader="none" w:pos="1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reviewing and, as it deems appropriate, recommending to our board of directors, policies, practices and procedures relating to the compensation of our directors, officers and other managerial employees and the establishment and administration of our employee benefit plans;</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exercising authority under our employee benefit plans;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reviewing and approving executive officer and director indemnification and insurance matters;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advising and consulting with our officers regarding managerial personnel and development.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132" w:lineRule="exact"/>
        <w:rPr>
          <w:sz w:val="20"/>
          <w:szCs w:val="20"/>
          <w:color w:val="auto"/>
        </w:rPr>
      </w:pPr>
    </w:p>
    <w:p>
      <w:pPr>
        <w:jc w:val="both"/>
        <w:ind w:right="180" w:firstLine="802"/>
        <w:spacing w:after="0" w:line="267" w:lineRule="auto"/>
        <w:rPr>
          <w:sz w:val="20"/>
          <w:szCs w:val="20"/>
          <w:color w:val="auto"/>
        </w:rPr>
      </w:pPr>
      <w:r>
        <w:rPr>
          <w:rFonts w:ascii="Arial" w:cs="Arial" w:eastAsia="Arial" w:hAnsi="Arial"/>
          <w:sz w:val="14"/>
          <w:szCs w:val="14"/>
          <w:color w:val="auto"/>
        </w:rPr>
        <w:t>Our audit committee consists of Messrs. , and . All members of the audit committee are independent directors, as defined in the NASDAQ Global Market qualification standards. Mr. qualifies as an “audit committee financial expert” as that term is defined in the rules and regulations established by the SEC. The functions of this committee include:</w:t>
      </w:r>
    </w:p>
    <w:p>
      <w:pPr>
        <w:spacing w:after="0" w:line="133" w:lineRule="exact"/>
        <w:rPr>
          <w:sz w:val="20"/>
          <w:szCs w:val="20"/>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meeting with our management periodically to consider the adequacy of our internal controls and the objectivity of our financial reporting;</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meeting with our independent auditors and with internal financial personnel regarding these matters;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pre-approving audit and non-audit services to be rendered by our independent auditors;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recommending to our board of directors the engagement of our independent auditors and oversight of the work of our independent auditors;</w:t>
      </w:r>
    </w:p>
    <w:p>
      <w:pPr>
        <w:spacing w:after="0" w:line="162" w:lineRule="exact"/>
        <w:rPr>
          <w:rFonts w:ascii="Arial" w:cs="Arial" w:eastAsia="Arial" w:hAnsi="Arial"/>
          <w:sz w:val="14"/>
          <w:szCs w:val="14"/>
          <w:color w:val="auto"/>
        </w:rPr>
      </w:pPr>
    </w:p>
    <w:p>
      <w:pPr>
        <w:ind w:left="1240" w:hanging="327"/>
        <w:spacing w:after="0" w:line="267" w:lineRule="auto"/>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reviewing our financial statements and periodic reports and discussing the statements and reports with our management, including any significant adjustments, management judgments and estimates, new accounting policies and disagreements with management;</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establishing procedures for the receipt, retention and treatment of complaints received by us regarding accounting, internal accounting controls and auditing matters;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reviewing our financing plans and reporting recommendations to our full board of directors for approval and to authorize action;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administering and discussing with management and our independent auditors our Code of Ethics.</w:t>
      </w:r>
    </w:p>
    <w:p>
      <w:pPr>
        <w:spacing w:after="0" w:line="132" w:lineRule="exact"/>
        <w:rPr>
          <w:sz w:val="20"/>
          <w:szCs w:val="20"/>
          <w:color w:val="auto"/>
        </w:rPr>
      </w:pPr>
    </w:p>
    <w:p>
      <w:pPr>
        <w:ind w:right="1900" w:firstLine="802"/>
        <w:spacing w:after="0" w:line="436" w:lineRule="auto"/>
        <w:rPr>
          <w:sz w:val="20"/>
          <w:szCs w:val="20"/>
          <w:color w:val="auto"/>
        </w:rPr>
      </w:pPr>
      <w:r>
        <w:rPr>
          <w:rFonts w:ascii="Arial" w:cs="Arial" w:eastAsia="Arial" w:hAnsi="Arial"/>
          <w:sz w:val="14"/>
          <w:szCs w:val="14"/>
          <w:color w:val="auto"/>
        </w:rPr>
        <w:t xml:space="preserve">Both our independent auditors and internal financial personnel regularly meet privately with the audit committee and have unrestricted access to this committee. </w:t>
      </w:r>
      <w:r>
        <w:rPr>
          <w:rFonts w:ascii="Arial" w:cs="Arial" w:eastAsia="Arial" w:hAnsi="Arial"/>
          <w:sz w:val="14"/>
          <w:szCs w:val="14"/>
          <w:b w:val="1"/>
          <w:bCs w:val="1"/>
          <w:i w:val="1"/>
          <w:iCs w:val="1"/>
          <w:color w:val="auto"/>
        </w:rPr>
        <w:t>Nominating and Corporate Governance Committee</w:t>
      </w:r>
    </w:p>
    <w:p>
      <w:pPr>
        <w:ind w:firstLine="802"/>
        <w:spacing w:after="0" w:line="267" w:lineRule="auto"/>
        <w:rPr>
          <w:sz w:val="20"/>
          <w:szCs w:val="20"/>
          <w:color w:val="auto"/>
        </w:rPr>
      </w:pPr>
      <w:r>
        <w:rPr>
          <w:rFonts w:ascii="Arial" w:cs="Arial" w:eastAsia="Arial" w:hAnsi="Arial"/>
          <w:sz w:val="14"/>
          <w:szCs w:val="14"/>
          <w:color w:val="auto"/>
        </w:rPr>
        <w:t>Our nominating and corporate governance committee is comprised of Messrs. , and . All members of the nominating and corporate governance committee are independent directors, as defined in the NASDAQ Global Market qualification standards. The functions of this committee include:</w:t>
      </w:r>
    </w:p>
    <w:p>
      <w:pPr>
        <w:spacing w:after="0" w:line="133" w:lineRule="exact"/>
        <w:rPr>
          <w:sz w:val="20"/>
          <w:szCs w:val="20"/>
          <w:color w:val="auto"/>
        </w:rPr>
      </w:pPr>
    </w:p>
    <w:p>
      <w:pPr>
        <w:ind w:left="1240" w:hanging="327"/>
        <w:spacing w:after="0"/>
        <w:tabs>
          <w:tab w:leader="none" w:pos="12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identifying qualified candidates to become members of our board of directors;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20"/>
          </w:cols>
          <w:pgMar w:left="220" w:top="386" w:right="259" w:bottom="1440" w:gutter="0" w:footer="0" w:header="0"/>
          <w:type w:val="continuous"/>
        </w:sectPr>
      </w:pPr>
    </w:p>
    <w:bookmarkStart w:id="129" w:name="page130"/>
    <w:bookmarkEnd w:id="1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selecting nominees for election of directors at the next annual meeting of stockholders (or special meeting of stockholders at which directors are to be elected);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selecting candidates to fill vacancies of our board of directors;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developing and recommending to our board of directors our corporate governance guidelines;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overseeing the evaluation of our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Conduct and Ethics</w:t>
      </w:r>
    </w:p>
    <w:p>
      <w:pPr>
        <w:spacing w:after="0" w:line="134" w:lineRule="exact"/>
        <w:rPr>
          <w:sz w:val="20"/>
          <w:szCs w:val="20"/>
          <w:color w:val="auto"/>
        </w:rPr>
      </w:pPr>
    </w:p>
    <w:p>
      <w:pPr>
        <w:ind w:right="240" w:firstLine="802"/>
        <w:spacing w:after="0" w:line="321" w:lineRule="auto"/>
        <w:rPr>
          <w:sz w:val="20"/>
          <w:szCs w:val="20"/>
          <w:color w:val="auto"/>
        </w:rPr>
      </w:pPr>
      <w:r>
        <w:rPr>
          <w:rFonts w:ascii="Arial" w:cs="Arial" w:eastAsia="Arial" w:hAnsi="Arial"/>
          <w:sz w:val="12"/>
          <w:szCs w:val="12"/>
          <w:color w:val="auto"/>
        </w:rPr>
        <w:t>Our board of directors has adopted a code of conduct and ethics that establishes the standards of ethical conduct applicable to all directors, officers and employees of our company. The code addresses, among other things, conflicts of interest, compliance with disclosure controls and procedures and internal control over financial reporting, corporate opportunities and confidentiality requirements. The audit committee is responsible for applying and interpreting our code of conduct and ethics in situations where questions are presented to it.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34" w:lineRule="exact"/>
        <w:rPr>
          <w:sz w:val="20"/>
          <w:szCs w:val="20"/>
          <w:color w:val="auto"/>
        </w:rPr>
      </w:pPr>
    </w:p>
    <w:p>
      <w:pPr>
        <w:ind w:right="240" w:firstLine="802"/>
        <w:spacing w:after="0" w:line="351" w:lineRule="auto"/>
        <w:rPr>
          <w:sz w:val="20"/>
          <w:szCs w:val="20"/>
          <w:color w:val="auto"/>
        </w:rPr>
      </w:pPr>
      <w:r>
        <w:rPr>
          <w:rFonts w:ascii="Arial" w:cs="Arial" w:eastAsia="Arial" w:hAnsi="Arial"/>
          <w:sz w:val="12"/>
          <w:szCs w:val="12"/>
          <w:color w:val="auto"/>
        </w:rPr>
        <w:t>None of the members of our compensation committee at any time has been one of our officers or employees. None of our executive officers currently serves, or in the past year has served, as a member of the board of directors or compensation committee of any entity that has one or more executive officers on our board of directors or compensation committee.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named executive officers for the year ended December 31, 2012 include our principal executive officer and two other officers:</w:t>
      </w:r>
    </w:p>
    <w:p>
      <w:pPr>
        <w:spacing w:after="0" w:line="163" w:lineRule="exact"/>
        <w:rPr>
          <w:sz w:val="20"/>
          <w:szCs w:val="20"/>
          <w:color w:val="auto"/>
        </w:rPr>
      </w:pPr>
    </w:p>
    <w:p>
      <w:pPr>
        <w:ind w:left="1240" w:hanging="327"/>
        <w:spacing w:after="0"/>
        <w:tabs>
          <w:tab w:leader="none" w:pos="1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Scott Koenig, M.D., Ph.D., President and Chief Executive Officer;</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Anastasia Daifotis, M.D., Senior Vice President, Clinical Development;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Ezio Bonvini, M.D., Senior Vice President, Research.</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2012 Summary Compensation Table</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presents the compensation awarded to, earned by or paid to each of our named executive officers for the year ended December 31,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8"/>
              </w:rPr>
              <w:t>Nonequity</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15"/>
        </w:trPr>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Option</w:t>
            </w:r>
          </w:p>
        </w:tc>
        <w:tc>
          <w:tcPr>
            <w:tcW w:w="148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5"/>
              </w:rPr>
              <w:t>Incentive Plan</w:t>
            </w:r>
          </w:p>
        </w:tc>
        <w:tc>
          <w:tcPr>
            <w:tcW w:w="1600" w:type="dxa"/>
            <w:vAlign w:val="bottom"/>
            <w:gridSpan w:val="2"/>
          </w:tcPr>
          <w:p>
            <w:pPr>
              <w:jc w:val="right"/>
              <w:ind w:right="940"/>
              <w:spacing w:after="0"/>
              <w:rPr>
                <w:sz w:val="20"/>
                <w:szCs w:val="20"/>
                <w:color w:val="auto"/>
              </w:rPr>
            </w:pPr>
            <w:r>
              <w:rPr>
                <w:rFonts w:ascii="Arial" w:cs="Arial" w:eastAsia="Arial" w:hAnsi="Arial"/>
                <w:sz w:val="10"/>
                <w:szCs w:val="10"/>
                <w:b w:val="1"/>
                <w:bCs w:val="1"/>
                <w:color w:val="auto"/>
              </w:rPr>
              <w:t>All Other</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26"/>
        </w:trPr>
        <w:tc>
          <w:tcPr>
            <w:tcW w:w="900" w:type="dxa"/>
            <w:vAlign w:val="bottom"/>
          </w:tcPr>
          <w:p>
            <w:pPr>
              <w:spacing w:after="0"/>
              <w:rPr>
                <w:sz w:val="20"/>
                <w:szCs w:val="20"/>
                <w:color w:val="auto"/>
              </w:rPr>
            </w:pPr>
            <w:r>
              <w:rPr>
                <w:rFonts w:ascii="Arial" w:cs="Arial" w:eastAsia="Arial" w:hAnsi="Arial"/>
                <w:sz w:val="10"/>
                <w:szCs w:val="10"/>
                <w:b w:val="1"/>
                <w:bCs w:val="1"/>
                <w:color w:val="auto"/>
                <w:w w:val="97"/>
              </w:rPr>
              <w:t>Name and Position</w:t>
            </w:r>
          </w:p>
        </w:tc>
        <w:tc>
          <w:tcPr>
            <w:tcW w:w="3860" w:type="dxa"/>
            <w:vAlign w:val="bottom"/>
            <w:gridSpan w:val="2"/>
          </w:tcPr>
          <w:p>
            <w:pPr>
              <w:spacing w:after="0"/>
              <w:rPr>
                <w:sz w:val="10"/>
                <w:szCs w:val="10"/>
                <w:color w:val="auto"/>
              </w:rPr>
            </w:pPr>
          </w:p>
        </w:tc>
        <w:tc>
          <w:tcPr>
            <w:tcW w:w="8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2"/>
              </w:rPr>
              <w:t>Year</w:t>
            </w:r>
          </w:p>
        </w:tc>
        <w:tc>
          <w:tcPr>
            <w:tcW w:w="10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3"/>
              </w:rPr>
              <w:t>Salary $</w:t>
            </w: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w w:val="95"/>
              </w:rPr>
              <w:t xml:space="preserve">Awards </w:t>
            </w:r>
            <w:r>
              <w:rPr>
                <w:rFonts w:ascii="Arial" w:cs="Arial" w:eastAsia="Arial" w:hAnsi="Arial"/>
                <w:sz w:val="10"/>
                <w:szCs w:val="10"/>
                <w:b w:val="1"/>
                <w:bCs w:val="1"/>
                <w:u w:val="single" w:color="auto"/>
                <w:color w:val="auto"/>
                <w:w w:val="95"/>
              </w:rPr>
              <w:t>$</w:t>
            </w:r>
            <w:r>
              <w:rPr>
                <w:rFonts w:ascii="Arial" w:cs="Arial" w:eastAsia="Arial" w:hAnsi="Arial"/>
                <w:sz w:val="10"/>
                <w:szCs w:val="10"/>
                <w:b w:val="1"/>
                <w:bCs w:val="1"/>
                <w:color w:val="auto"/>
                <w:w w:val="95"/>
              </w:rPr>
              <w:t>(1)</w:t>
            </w:r>
          </w:p>
        </w:tc>
        <w:tc>
          <w:tcPr>
            <w:tcW w:w="148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2"/>
              </w:rPr>
              <w:t>Compensation(2)</w:t>
            </w:r>
          </w:p>
        </w:tc>
        <w:tc>
          <w:tcPr>
            <w:tcW w:w="16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w w:val="93"/>
              </w:rPr>
              <w:t xml:space="preserve">Compensation </w:t>
            </w:r>
            <w:r>
              <w:rPr>
                <w:rFonts w:ascii="Arial" w:cs="Arial" w:eastAsia="Arial" w:hAnsi="Arial"/>
                <w:sz w:val="10"/>
                <w:szCs w:val="10"/>
                <w:b w:val="1"/>
                <w:bCs w:val="1"/>
                <w:u w:val="single" w:color="auto"/>
                <w:color w:val="auto"/>
                <w:w w:val="93"/>
              </w:rPr>
              <w:t>$</w:t>
            </w:r>
            <w:r>
              <w:rPr>
                <w:rFonts w:ascii="Arial" w:cs="Arial" w:eastAsia="Arial" w:hAnsi="Arial"/>
                <w:sz w:val="10"/>
                <w:szCs w:val="10"/>
                <w:b w:val="1"/>
                <w:bCs w:val="1"/>
                <w:color w:val="auto"/>
                <w:w w:val="93"/>
              </w:rPr>
              <w:t>(3)</w:t>
            </w:r>
          </w:p>
        </w:tc>
        <w:tc>
          <w:tcPr>
            <w:tcW w:w="5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2"/>
              </w:rPr>
              <w:t>Total $</w:t>
            </w:r>
          </w:p>
        </w:tc>
      </w:tr>
      <w:tr>
        <w:trPr>
          <w:trHeight w:val="20"/>
        </w:trPr>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0"/>
        </w:trPr>
        <w:tc>
          <w:tcPr>
            <w:tcW w:w="4760" w:type="dxa"/>
            <w:vAlign w:val="bottom"/>
            <w:gridSpan w:val="3"/>
            <w:shd w:val="clear" w:color="auto" w:fill="CCEEFF"/>
          </w:tcPr>
          <w:p>
            <w:pPr>
              <w:spacing w:after="0" w:line="150" w:lineRule="exact"/>
              <w:rPr>
                <w:sz w:val="20"/>
                <w:szCs w:val="20"/>
                <w:color w:val="auto"/>
              </w:rPr>
            </w:pPr>
            <w:r>
              <w:rPr>
                <w:rFonts w:ascii="Arial" w:cs="Arial" w:eastAsia="Arial" w:hAnsi="Arial"/>
                <w:sz w:val="14"/>
                <w:szCs w:val="14"/>
                <w:color w:val="auto"/>
              </w:rPr>
              <w:t>Scott Koenig, M.D., Ph.D</w:t>
            </w:r>
          </w:p>
        </w:tc>
        <w:tc>
          <w:tcPr>
            <w:tcW w:w="840" w:type="dxa"/>
            <w:vAlign w:val="bottom"/>
            <w:gridSpan w:val="2"/>
            <w:shd w:val="clear" w:color="auto" w:fill="CCEEFF"/>
          </w:tcPr>
          <w:p>
            <w:pPr>
              <w:jc w:val="right"/>
              <w:ind w:right="520"/>
              <w:spacing w:after="0" w:line="150" w:lineRule="exact"/>
              <w:rPr>
                <w:sz w:val="20"/>
                <w:szCs w:val="20"/>
                <w:color w:val="auto"/>
              </w:rPr>
            </w:pPr>
            <w:r>
              <w:rPr>
                <w:rFonts w:ascii="Arial" w:cs="Arial" w:eastAsia="Arial" w:hAnsi="Arial"/>
                <w:sz w:val="14"/>
                <w:szCs w:val="14"/>
                <w:color w:val="auto"/>
                <w:w w:val="96"/>
              </w:rPr>
              <w:t>2012</w:t>
            </w:r>
          </w:p>
        </w:tc>
        <w:tc>
          <w:tcPr>
            <w:tcW w:w="1000" w:type="dxa"/>
            <w:vAlign w:val="bottom"/>
            <w:gridSpan w:val="2"/>
            <w:shd w:val="clear" w:color="auto" w:fill="CCEEFF"/>
          </w:tcPr>
          <w:p>
            <w:pPr>
              <w:jc w:val="right"/>
              <w:ind w:right="500"/>
              <w:spacing w:after="0" w:line="150" w:lineRule="exact"/>
              <w:rPr>
                <w:sz w:val="20"/>
                <w:szCs w:val="20"/>
                <w:color w:val="auto"/>
              </w:rPr>
            </w:pPr>
            <w:r>
              <w:rPr>
                <w:rFonts w:ascii="Arial" w:cs="Arial" w:eastAsia="Arial" w:hAnsi="Arial"/>
                <w:sz w:val="14"/>
                <w:szCs w:val="14"/>
                <w:color w:val="auto"/>
                <w:w w:val="94"/>
              </w:rPr>
              <w:t>441,648</w:t>
            </w:r>
          </w:p>
        </w:tc>
        <w:tc>
          <w:tcPr>
            <w:tcW w:w="1200" w:type="dxa"/>
            <w:vAlign w:val="bottom"/>
            <w:gridSpan w:val="2"/>
            <w:shd w:val="clear" w:color="auto" w:fill="CCEEFF"/>
          </w:tcPr>
          <w:p>
            <w:pPr>
              <w:jc w:val="right"/>
              <w:ind w:right="540"/>
              <w:spacing w:after="0" w:line="150" w:lineRule="exact"/>
              <w:rPr>
                <w:sz w:val="20"/>
                <w:szCs w:val="20"/>
                <w:color w:val="auto"/>
              </w:rPr>
            </w:pPr>
            <w:r>
              <w:rPr>
                <w:rFonts w:ascii="Arial" w:cs="Arial" w:eastAsia="Arial" w:hAnsi="Arial"/>
                <w:sz w:val="14"/>
                <w:szCs w:val="14"/>
                <w:color w:val="auto"/>
              </w:rPr>
              <w:t>200,000</w:t>
            </w:r>
          </w:p>
        </w:tc>
        <w:tc>
          <w:tcPr>
            <w:tcW w:w="1480" w:type="dxa"/>
            <w:vAlign w:val="bottom"/>
            <w:gridSpan w:val="2"/>
            <w:shd w:val="clear" w:color="auto" w:fill="CCEEFF"/>
          </w:tcPr>
          <w:p>
            <w:pPr>
              <w:jc w:val="right"/>
              <w:ind w:right="560"/>
              <w:spacing w:after="0" w:line="150" w:lineRule="exact"/>
              <w:rPr>
                <w:sz w:val="20"/>
                <w:szCs w:val="20"/>
                <w:color w:val="auto"/>
              </w:rPr>
            </w:pPr>
            <w:r>
              <w:rPr>
                <w:rFonts w:ascii="Arial" w:cs="Arial" w:eastAsia="Arial" w:hAnsi="Arial"/>
                <w:sz w:val="14"/>
                <w:szCs w:val="14"/>
                <w:color w:val="auto"/>
              </w:rPr>
              <w:t>220,000</w:t>
            </w:r>
          </w:p>
        </w:tc>
        <w:tc>
          <w:tcPr>
            <w:tcW w:w="1600" w:type="dxa"/>
            <w:vAlign w:val="bottom"/>
            <w:gridSpan w:val="2"/>
            <w:shd w:val="clear" w:color="auto" w:fill="CCEEFF"/>
          </w:tcPr>
          <w:p>
            <w:pPr>
              <w:jc w:val="right"/>
              <w:ind w:right="580"/>
              <w:spacing w:after="0" w:line="150" w:lineRule="exact"/>
              <w:rPr>
                <w:sz w:val="20"/>
                <w:szCs w:val="20"/>
                <w:color w:val="auto"/>
              </w:rPr>
            </w:pPr>
            <w:r>
              <w:rPr>
                <w:rFonts w:ascii="Arial" w:cs="Arial" w:eastAsia="Arial" w:hAnsi="Arial"/>
                <w:sz w:val="14"/>
                <w:szCs w:val="14"/>
                <w:color w:val="auto"/>
              </w:rPr>
              <w:t>3,675</w:t>
            </w:r>
          </w:p>
        </w:tc>
        <w:tc>
          <w:tcPr>
            <w:tcW w:w="580" w:type="dxa"/>
            <w:vAlign w:val="bottom"/>
            <w:gridSpan w:val="2"/>
            <w:shd w:val="clear" w:color="auto" w:fill="CCEEFF"/>
          </w:tcPr>
          <w:p>
            <w:pPr>
              <w:jc w:val="right"/>
              <w:ind w:right="100"/>
              <w:spacing w:after="0" w:line="150" w:lineRule="exact"/>
              <w:rPr>
                <w:sz w:val="20"/>
                <w:szCs w:val="20"/>
                <w:color w:val="auto"/>
              </w:rPr>
            </w:pPr>
            <w:r>
              <w:rPr>
                <w:rFonts w:ascii="Arial" w:cs="Arial" w:eastAsia="Arial" w:hAnsi="Arial"/>
                <w:sz w:val="14"/>
                <w:szCs w:val="14"/>
                <w:color w:val="auto"/>
                <w:w w:val="90"/>
              </w:rPr>
              <w:t>865,323</w:t>
            </w:r>
          </w:p>
        </w:tc>
      </w:tr>
      <w:tr>
        <w:trPr>
          <w:trHeight w:val="185"/>
        </w:trPr>
        <w:tc>
          <w:tcPr>
            <w:tcW w:w="47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President and Chief Executive Officer</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60"/>
        </w:trPr>
        <w:tc>
          <w:tcPr>
            <w:tcW w:w="4760" w:type="dxa"/>
            <w:vAlign w:val="bottom"/>
            <w:gridSpan w:val="3"/>
          </w:tcPr>
          <w:p>
            <w:pPr>
              <w:spacing w:after="0" w:line="159" w:lineRule="exact"/>
              <w:rPr>
                <w:sz w:val="20"/>
                <w:szCs w:val="20"/>
                <w:color w:val="auto"/>
              </w:rPr>
            </w:pPr>
            <w:r>
              <w:rPr>
                <w:rFonts w:ascii="Arial" w:cs="Arial" w:eastAsia="Arial" w:hAnsi="Arial"/>
                <w:sz w:val="14"/>
                <w:szCs w:val="14"/>
                <w:color w:val="auto"/>
              </w:rPr>
              <w:t>Anastasia Daifotis, M.D.</w:t>
            </w:r>
          </w:p>
        </w:tc>
        <w:tc>
          <w:tcPr>
            <w:tcW w:w="84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w w:val="96"/>
              </w:rPr>
              <w:t>2012</w:t>
            </w:r>
          </w:p>
        </w:tc>
        <w:tc>
          <w:tcPr>
            <w:tcW w:w="10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94"/>
              </w:rPr>
              <w:t>357,690</w:t>
            </w:r>
          </w:p>
        </w:tc>
        <w:tc>
          <w:tcPr>
            <w:tcW w:w="12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24,000</w:t>
            </w:r>
          </w:p>
        </w:tc>
        <w:tc>
          <w:tcPr>
            <w:tcW w:w="14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94,000</w:t>
            </w:r>
          </w:p>
        </w:tc>
        <w:tc>
          <w:tcPr>
            <w:tcW w:w="16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43,038</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0"/>
              </w:rPr>
              <w:t>518,728</w:t>
            </w:r>
          </w:p>
        </w:tc>
      </w:tr>
      <w:tr>
        <w:trPr>
          <w:trHeight w:val="179"/>
        </w:trPr>
        <w:tc>
          <w:tcPr>
            <w:tcW w:w="4760" w:type="dxa"/>
            <w:vAlign w:val="bottom"/>
            <w:gridSpan w:val="3"/>
          </w:tcPr>
          <w:p>
            <w:pPr>
              <w:ind w:left="140"/>
              <w:spacing w:after="0"/>
              <w:rPr>
                <w:sz w:val="20"/>
                <w:szCs w:val="20"/>
                <w:color w:val="auto"/>
              </w:rPr>
            </w:pPr>
            <w:r>
              <w:rPr>
                <w:rFonts w:ascii="Arial" w:cs="Arial" w:eastAsia="Arial" w:hAnsi="Arial"/>
                <w:sz w:val="14"/>
                <w:szCs w:val="14"/>
                <w:color w:val="auto"/>
              </w:rPr>
              <w:t>Senior Vice President, Clinical Development(4)</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6"/>
        </w:trPr>
        <w:tc>
          <w:tcPr>
            <w:tcW w:w="4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Ezio Bonvini, M.D.</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w w:val="96"/>
              </w:rPr>
              <w:t>2012</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94"/>
              </w:rPr>
              <w:t>298,143</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40,000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100,000</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3,675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441,818</w:t>
            </w:r>
          </w:p>
        </w:tc>
      </w:tr>
      <w:tr>
        <w:trPr>
          <w:trHeight w:val="185"/>
        </w:trPr>
        <w:tc>
          <w:tcPr>
            <w:tcW w:w="47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Senior Vice President, Research</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84"/>
        </w:trPr>
        <w:tc>
          <w:tcPr>
            <w:tcW w:w="9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13" w:lineRule="exact"/>
        <w:rPr>
          <w:sz w:val="20"/>
          <w:szCs w:val="20"/>
          <w:color w:val="auto"/>
        </w:rPr>
      </w:pPr>
    </w:p>
    <w:p>
      <w:pPr>
        <w:ind w:left="460" w:right="200" w:hanging="456"/>
        <w:spacing w:after="0" w:line="267" w:lineRule="auto"/>
        <w:tabs>
          <w:tab w:leader="none" w:pos="4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The amounts reflect the grant date fair value for awards granted during 2012. The grant date fair value was computed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60"/>
          </w:cols>
          <w:pgMar w:left="220" w:top="386" w:right="21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320" w:hanging="456"/>
        <w:spacing w:after="0" w:line="253" w:lineRule="auto"/>
        <w:tabs>
          <w:tab w:leader="none" w:pos="4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reflect the performance bonuses paid in 2013 for performance during 2012, as discussed further below under “Narrative to Summary Compensation Table—Nonequity Incentive Plan Compensation.”</w:t>
      </w:r>
    </w:p>
    <w:p>
      <w:pPr>
        <w:ind w:left="460" w:right="580" w:hanging="456"/>
        <w:spacing w:after="0" w:line="249" w:lineRule="auto"/>
        <w:tabs>
          <w:tab w:leader="none" w:pos="4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reflect $3,675 in 401(k) matching for each of Dr. Koenig, Dr. Daifotis and Dr. Bonvini, and $39,363 in reimbursement for travel-related expenses and lodging in connection with Dr. Daifotis’ commuting from her personal residence in New Jersey to our headquarters in Maryland.</w:t>
      </w:r>
    </w:p>
    <w:p>
      <w:pPr>
        <w:ind w:left="460" w:hanging="456"/>
        <w:spacing w:after="0"/>
        <w:tabs>
          <w:tab w:leader="none" w:pos="4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Daifotis will leave the Company in September 2013. After her departure, she will serve as a consultant to us.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to Summary Compensation Table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Salary</w:t>
      </w:r>
    </w:p>
    <w:p>
      <w:pPr>
        <w:spacing w:after="0" w:line="132"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We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10"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Our board of directors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executive officer. Our board of directors, without members of management present, discusses the compensation committee’s recommendations and ultimately approves the compensation of our executive officers. To date, our compensation committee has not engaged a compensation consultant or adopted a peer group of companies for purposes of determining executive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Nonequity Incentive Plan Compensation</w:t>
      </w:r>
    </w:p>
    <w:p>
      <w:pPr>
        <w:spacing w:after="0" w:line="132" w:lineRule="exact"/>
        <w:rPr>
          <w:sz w:val="20"/>
          <w:szCs w:val="20"/>
          <w:color w:val="auto"/>
        </w:rPr>
      </w:pPr>
    </w:p>
    <w:p>
      <w:pPr>
        <w:ind w:right="200" w:firstLine="802"/>
        <w:spacing w:after="0" w:line="253" w:lineRule="auto"/>
        <w:rPr>
          <w:sz w:val="20"/>
          <w:szCs w:val="20"/>
          <w:color w:val="auto"/>
        </w:rPr>
      </w:pPr>
      <w:r>
        <w:rPr>
          <w:rFonts w:ascii="Arial" w:cs="Arial" w:eastAsia="Arial" w:hAnsi="Arial"/>
          <w:sz w:val="14"/>
          <w:szCs w:val="14"/>
          <w:color w:val="auto"/>
        </w:rPr>
        <w:t>Our bonus plan motivates and rewards our executives for achievements relative to our goals and expectations for each fiscal year. Each named executive officer has a target bonus opportunity, defined as a percentage of his or her annual salary. Following the end of each year, our board of directors determines bonuses. Material considerations in determining bonuses include achievement of an executive’s corporate objectives for the year; the executive’s handling of unplanned events and opportunities; and the chief executive officer’s input with respect to the performance of the company, our executives and our financial performance relative to our plan. Based on these factors and in the sole discretion of our board of directors, we approved the bonuses in the table above for our named executive officers in 2013.</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Specific achievements and performance considered by our board of directors in determining bonuses for 2012 included:</w:t>
      </w:r>
    </w:p>
    <w:p>
      <w:pPr>
        <w:spacing w:after="0" w:line="163" w:lineRule="exact"/>
        <w:rPr>
          <w:sz w:val="20"/>
          <w:szCs w:val="20"/>
          <w:color w:val="auto"/>
        </w:rPr>
      </w:pPr>
    </w:p>
    <w:p>
      <w:pPr>
        <w:ind w:left="1240" w:right="180" w:hanging="327"/>
        <w:spacing w:after="0" w:line="267" w:lineRule="auto"/>
        <w:tabs>
          <w:tab w:leader="none" w:pos="1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Advancing development of margetuximab, including additional enrollment of patients in the Phase 1 clinical trial and the initiation of activities related to the Phase 2a metastatic breast cancer clinical trial;</w:t>
      </w:r>
    </w:p>
    <w:p>
      <w:pPr>
        <w:spacing w:after="0" w:line="132" w:lineRule="exact"/>
        <w:rPr>
          <w:rFonts w:ascii="Arial" w:cs="Arial" w:eastAsia="Arial" w:hAnsi="Arial"/>
          <w:sz w:val="14"/>
          <w:szCs w:val="14"/>
          <w:color w:val="auto"/>
        </w:rPr>
      </w:pPr>
    </w:p>
    <w:p>
      <w:pPr>
        <w:ind w:left="1240" w:right="100" w:hanging="327"/>
        <w:spacing w:after="0" w:line="267" w:lineRule="auto"/>
        <w:tabs>
          <w:tab w:leader="none" w:pos="1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Advancing development of MGA271, including completing enrollment of the 5.0 mg/kg dosing cohort in the dose escalation portion of a Phase 1 clinical trial and submitting a paper for publication;</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Advancing our existing DART collaborations with Boehringer and Pfizer;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00"/>
          </w:cols>
          <w:pgMar w:left="220" w:top="386" w:right="27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Finalizing candidate nomination and initiating IND-enabling activities for MGD006;</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Initiating a safety study for MGD010;</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Achieving cash proceeds from new business development activities of at least $10 million;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Maintaining a cash balance greater than $30 million throughout the year and ending the year with more than $35 million in cash and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Incentives</w:t>
      </w:r>
    </w:p>
    <w:p>
      <w:pPr>
        <w:spacing w:after="0" w:line="132" w:lineRule="exact"/>
        <w:rPr>
          <w:sz w:val="20"/>
          <w:szCs w:val="20"/>
          <w:color w:val="auto"/>
        </w:rPr>
      </w:pPr>
    </w:p>
    <w:p>
      <w:pPr>
        <w:ind w:right="340" w:firstLine="802"/>
        <w:spacing w:after="0" w:line="258" w:lineRule="auto"/>
        <w:rPr>
          <w:sz w:val="20"/>
          <w:szCs w:val="20"/>
          <w:color w:val="auto"/>
        </w:rPr>
      </w:pPr>
      <w:r>
        <w:rPr>
          <w:rFonts w:ascii="Arial" w:cs="Arial" w:eastAsia="Arial" w:hAnsi="Arial"/>
          <w:sz w:val="14"/>
          <w:szCs w:val="14"/>
          <w:color w:val="auto"/>
        </w:rPr>
        <w:t>Our 2000 Stock Option and Incentive Plan, or 2000 Plan, and our 2003 Equity Incentive Plan, or 2003 Plan, authorized us to make grants to eligible recipients of non-qualified stock options, incentive stock options, stock awards, and other forms of award, such as stock appreciation rights. Although the 2000 Plan and 2003 Plan provide for a range of types of awards, our equity grants to our executive officers have been only in the form of stock options.</w:t>
      </w:r>
    </w:p>
    <w:p>
      <w:pPr>
        <w:spacing w:after="0" w:line="108"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We typically grant equity incentive awards at the start of employment to each executive and our other employees. Through 2012, we have not maintained a practice of granting additional equity on an annual basis, but we have retained discretion to provide additional targeted grants in certain circumstances.</w:t>
      </w:r>
    </w:p>
    <w:p>
      <w:pPr>
        <w:spacing w:after="0" w:line="101" w:lineRule="exact"/>
        <w:rPr>
          <w:sz w:val="20"/>
          <w:szCs w:val="20"/>
          <w:color w:val="auto"/>
        </w:rPr>
      </w:pPr>
    </w:p>
    <w:p>
      <w:pPr>
        <w:ind w:right="100" w:firstLine="802"/>
        <w:spacing w:after="0" w:line="258" w:lineRule="auto"/>
        <w:rPr>
          <w:sz w:val="20"/>
          <w:szCs w:val="20"/>
          <w:color w:val="auto"/>
        </w:rPr>
      </w:pPr>
      <w:r>
        <w:rPr>
          <w:rFonts w:ascii="Arial" w:cs="Arial" w:eastAsia="Arial" w:hAnsi="Arial"/>
          <w:sz w:val="14"/>
          <w:szCs w:val="14"/>
          <w:color w:val="auto"/>
        </w:rPr>
        <w:t>We award our equity grants on the date our board of directors approves the grant. We set the option exercise price and grant date fair value based on our per-share valuation on the date of grant. For grants in connection with initial employment, vesting begins on the initial date of employment. Time vested stock option grants to our executives typically vest 12.5% six months after the date of grant with the remainder vesting in 14 equal quarterly installments.</w:t>
      </w:r>
    </w:p>
    <w:p>
      <w:pPr>
        <w:spacing w:after="0" w:line="108" w:lineRule="exact"/>
        <w:rPr>
          <w:sz w:val="20"/>
          <w:szCs w:val="20"/>
          <w:color w:val="auto"/>
        </w:rPr>
      </w:pPr>
    </w:p>
    <w:p>
      <w:pPr>
        <w:ind w:right="180" w:firstLine="802"/>
        <w:spacing w:after="0" w:line="267" w:lineRule="auto"/>
        <w:rPr>
          <w:sz w:val="20"/>
          <w:szCs w:val="20"/>
          <w:color w:val="auto"/>
        </w:rPr>
      </w:pPr>
      <w:r>
        <w:rPr>
          <w:rFonts w:ascii="Arial" w:cs="Arial" w:eastAsia="Arial" w:hAnsi="Arial"/>
          <w:sz w:val="14"/>
          <w:szCs w:val="14"/>
          <w:color w:val="auto"/>
        </w:rPr>
        <w:t>As of June 30, 2013, options to purchase 51,879,146 shares of common stock at a weighted average exercise price per share of $0.05 were outstanding. As of June 30, 2013, 5,342,394 shares of common stock remained available for future issuance under the 2003 Plan.</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Please see “—Employee Benefit Plans” for information relating to additional current and future benefit plans.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Compensation</w:t>
      </w:r>
    </w:p>
    <w:p>
      <w:pPr>
        <w:spacing w:after="0" w:line="132" w:lineRule="exact"/>
        <w:rPr>
          <w:sz w:val="20"/>
          <w:szCs w:val="20"/>
          <w:color w:val="auto"/>
        </w:rPr>
      </w:pPr>
    </w:p>
    <w:p>
      <w:pPr>
        <w:jc w:val="both"/>
        <w:ind w:right="100" w:firstLine="802"/>
        <w:spacing w:after="0" w:line="258" w:lineRule="auto"/>
        <w:rPr>
          <w:sz w:val="20"/>
          <w:szCs w:val="20"/>
          <w:color w:val="auto"/>
        </w:rPr>
      </w:pPr>
      <w:r>
        <w:rPr>
          <w:rFonts w:ascii="Arial" w:cs="Arial" w:eastAsia="Arial" w:hAnsi="Arial"/>
          <w:sz w:val="14"/>
          <w:szCs w:val="14"/>
          <w:color w:val="auto"/>
        </w:rPr>
        <w:t>We paid $39,363 for commercial airfare and other travel-related expenses and lodging in connection with Dr. Daifotis’ commuting from her personal residence in New Jersey to our headquarters in Maryland on a regular basis. Other amounts shown in the “All Other Compensation” column in the Summary Compensation Table relate to 401(k) matching contributions made to Dr. Koenig’s, Dr. Daifotis’ and Dr. Bonvini’s 401(k) accounts, consistent with the matching contributions offered to all of our employees.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60"/>
          </w:cols>
          <w:pgMar w:left="220" w:top="386" w:right="21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2012 Fiscal Year End</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lists all outstanding equity awards held by our named executive officers as of December 31,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gridSpan w:val="2"/>
          </w:tcPr>
          <w:p>
            <w:pPr>
              <w:jc w:val="center"/>
              <w:ind w:right="800"/>
              <w:spacing w:after="0"/>
              <w:rPr>
                <w:sz w:val="20"/>
                <w:szCs w:val="20"/>
                <w:color w:val="auto"/>
              </w:rPr>
            </w:pPr>
            <w:r>
              <w:rPr>
                <w:rFonts w:ascii="Arial" w:cs="Arial" w:eastAsia="Arial" w:hAnsi="Arial"/>
                <w:sz w:val="10"/>
                <w:szCs w:val="10"/>
                <w:b w:val="1"/>
                <w:bCs w:val="1"/>
                <w:color w:val="auto"/>
                <w:w w:val="95"/>
              </w:rPr>
              <w:t>Number of Securities</w:t>
            </w:r>
          </w:p>
        </w:tc>
        <w:tc>
          <w:tcPr>
            <w:tcW w:w="180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93"/>
              </w:rPr>
              <w:t>Number of Securities</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gridSpan w:val="2"/>
          </w:tcPr>
          <w:p>
            <w:pPr>
              <w:jc w:val="center"/>
              <w:ind w:right="800"/>
              <w:spacing w:after="0"/>
              <w:rPr>
                <w:sz w:val="20"/>
                <w:szCs w:val="20"/>
                <w:color w:val="auto"/>
              </w:rPr>
            </w:pPr>
            <w:r>
              <w:rPr>
                <w:rFonts w:ascii="Arial" w:cs="Arial" w:eastAsia="Arial" w:hAnsi="Arial"/>
                <w:sz w:val="10"/>
                <w:szCs w:val="10"/>
                <w:b w:val="1"/>
                <w:bCs w:val="1"/>
                <w:color w:val="auto"/>
                <w:w w:val="99"/>
              </w:rPr>
              <w:t>Underlying</w:t>
            </w:r>
          </w:p>
        </w:tc>
        <w:tc>
          <w:tcPr>
            <w:tcW w:w="180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95"/>
              </w:rPr>
              <w:t>Underlying</w:t>
            </w: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Option</w:t>
            </w: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0" w:type="dxa"/>
            <w:vAlign w:val="bottom"/>
            <w:gridSpan w:val="2"/>
          </w:tcPr>
          <w:p>
            <w:pPr>
              <w:jc w:val="center"/>
              <w:ind w:right="800"/>
              <w:spacing w:after="0"/>
              <w:rPr>
                <w:sz w:val="20"/>
                <w:szCs w:val="20"/>
                <w:color w:val="auto"/>
              </w:rPr>
            </w:pPr>
            <w:r>
              <w:rPr>
                <w:rFonts w:ascii="Arial" w:cs="Arial" w:eastAsia="Arial" w:hAnsi="Arial"/>
                <w:sz w:val="10"/>
                <w:szCs w:val="10"/>
                <w:b w:val="1"/>
                <w:bCs w:val="1"/>
                <w:color w:val="auto"/>
                <w:w w:val="91"/>
              </w:rPr>
              <w:t>Unexercised Options</w:t>
            </w:r>
          </w:p>
        </w:tc>
        <w:tc>
          <w:tcPr>
            <w:tcW w:w="1800" w:type="dxa"/>
            <w:vAlign w:val="bottom"/>
            <w:gridSpan w:val="2"/>
          </w:tcPr>
          <w:p>
            <w:pPr>
              <w:jc w:val="right"/>
              <w:ind w:right="840"/>
              <w:spacing w:after="0"/>
              <w:rPr>
                <w:sz w:val="20"/>
                <w:szCs w:val="20"/>
                <w:color w:val="auto"/>
              </w:rPr>
            </w:pPr>
            <w:r>
              <w:rPr>
                <w:rFonts w:ascii="Arial" w:cs="Arial" w:eastAsia="Arial" w:hAnsi="Arial"/>
                <w:sz w:val="10"/>
                <w:szCs w:val="10"/>
                <w:b w:val="1"/>
                <w:bCs w:val="1"/>
                <w:color w:val="auto"/>
                <w:w w:val="93"/>
              </w:rPr>
              <w:t>Unexercised Options</w:t>
            </w: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Exercise</w:t>
            </w: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6"/>
        </w:trPr>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Name</w:t>
            </w:r>
          </w:p>
        </w:tc>
        <w:tc>
          <w:tcPr>
            <w:tcW w:w="2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7"/>
              </w:rPr>
              <w:t>Grant Date(1)</w:t>
            </w:r>
          </w:p>
        </w:tc>
        <w:tc>
          <w:tcPr>
            <w:tcW w:w="72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 Exercisable</w:t>
            </w:r>
          </w:p>
        </w:tc>
        <w:tc>
          <w:tcPr>
            <w:tcW w:w="800" w:type="dxa"/>
            <w:vAlign w:val="bottom"/>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 Unexercisable</w:t>
            </w:r>
          </w:p>
        </w:tc>
        <w:tc>
          <w:tcPr>
            <w:tcW w:w="78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Price $</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7"/>
              </w:rPr>
              <w:t>Option Expiration Date</w:t>
            </w:r>
          </w:p>
        </w:tc>
        <w:tc>
          <w:tcPr>
            <w:tcW w:w="40" w:type="dxa"/>
            <w:vAlign w:val="bottom"/>
          </w:tcPr>
          <w:p>
            <w:pPr>
              <w:spacing w:after="0"/>
              <w:rPr>
                <w:sz w:val="10"/>
                <w:szCs w:val="10"/>
                <w:color w:val="auto"/>
              </w:rPr>
            </w:pPr>
          </w:p>
        </w:tc>
      </w:tr>
      <w:tr>
        <w:trPr>
          <w:trHeight w:val="167"/>
        </w:trPr>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Scott Koenig, M.D., Ph.D</w:t>
            </w: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w w:val="94"/>
              </w:rPr>
              <w:t>11/13/2001</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408,222</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.01</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11/12/2013</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5/21/2002</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1,499,670</w:t>
            </w: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5/20/2015</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1/14/2004</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340,000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1/13/2015</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3/24/2005</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6,497,922</w:t>
            </w: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.0375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3/24/2015</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w w:val="94"/>
              </w:rPr>
              <w:t>12/15/2005</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260,000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.0375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12/15/2015</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1/7/2007</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4,200,000</w:t>
            </w: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1/6/2017</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w w:val="94"/>
              </w:rPr>
              <w:t>11/16/2007</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3,000,000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11/15/2017</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1/11/2009</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1,875,000</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125,000</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1/10/2019</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1/10/2010</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103,125</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46,875</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1/9/2020</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3/14/2012</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468,750</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2,031,250</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3/13/2022</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1/6/2013</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0</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1,000,000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.08</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1/5/2023</w:t>
            </w:r>
          </w:p>
        </w:tc>
        <w:tc>
          <w:tcPr>
            <w:tcW w:w="40" w:type="dxa"/>
            <w:vAlign w:val="bottom"/>
            <w:shd w:val="clear" w:color="auto" w:fill="CCEEFF"/>
          </w:tcPr>
          <w:p>
            <w:pPr>
              <w:spacing w:after="0"/>
              <w:rPr>
                <w:sz w:val="14"/>
                <w:szCs w:val="14"/>
                <w:color w:val="auto"/>
              </w:rPr>
            </w:pPr>
          </w:p>
        </w:tc>
      </w:tr>
      <w:tr>
        <w:trPr>
          <w:trHeight w:val="333"/>
        </w:trPr>
        <w:tc>
          <w:tcPr>
            <w:tcW w:w="2760" w:type="dxa"/>
            <w:vAlign w:val="bottom"/>
            <w:gridSpan w:val="2"/>
          </w:tcPr>
          <w:p>
            <w:pPr>
              <w:spacing w:after="0"/>
              <w:rPr>
                <w:sz w:val="20"/>
                <w:szCs w:val="20"/>
                <w:color w:val="auto"/>
              </w:rPr>
            </w:pPr>
            <w:r>
              <w:rPr>
                <w:rFonts w:ascii="Arial" w:cs="Arial" w:eastAsia="Arial" w:hAnsi="Arial"/>
                <w:sz w:val="14"/>
                <w:szCs w:val="14"/>
                <w:color w:val="auto"/>
              </w:rPr>
              <w:t>Anastasia Daifotis, M.D.</w:t>
            </w: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11/5/2009</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2,137,500</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712,500</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11/4/2019</w:t>
            </w:r>
          </w:p>
        </w:tc>
        <w:tc>
          <w:tcPr>
            <w:tcW w:w="40" w:type="dxa"/>
            <w:vAlign w:val="bottom"/>
          </w:tcPr>
          <w:p>
            <w:pPr>
              <w:spacing w:after="0"/>
              <w:rPr>
                <w:sz w:val="24"/>
                <w:szCs w:val="24"/>
                <w:color w:val="auto"/>
              </w:rPr>
            </w:pPr>
          </w:p>
        </w:tc>
      </w:tr>
      <w:tr>
        <w:trPr>
          <w:trHeight w:val="168"/>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1/9/2011</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87,500</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112,500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1/8/2021</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3/14/2012</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56,250</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243,750</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3/13/2022</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1/6/2013</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0</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300,000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.08</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1/5/2023</w:t>
            </w:r>
          </w:p>
        </w:tc>
        <w:tc>
          <w:tcPr>
            <w:tcW w:w="40" w:type="dxa"/>
            <w:vAlign w:val="bottom"/>
            <w:shd w:val="clear" w:color="auto" w:fill="CCEEFF"/>
          </w:tcPr>
          <w:p>
            <w:pPr>
              <w:spacing w:after="0"/>
              <w:rPr>
                <w:sz w:val="14"/>
                <w:szCs w:val="14"/>
                <w:color w:val="auto"/>
              </w:rPr>
            </w:pPr>
          </w:p>
        </w:tc>
      </w:tr>
      <w:tr>
        <w:trPr>
          <w:trHeight w:val="333"/>
        </w:trPr>
        <w:tc>
          <w:tcPr>
            <w:tcW w:w="2760" w:type="dxa"/>
            <w:vAlign w:val="bottom"/>
            <w:gridSpan w:val="2"/>
          </w:tcPr>
          <w:p>
            <w:pPr>
              <w:spacing w:after="0"/>
              <w:rPr>
                <w:sz w:val="20"/>
                <w:szCs w:val="20"/>
                <w:color w:val="auto"/>
              </w:rPr>
            </w:pPr>
            <w:r>
              <w:rPr>
                <w:rFonts w:ascii="Arial" w:cs="Arial" w:eastAsia="Arial" w:hAnsi="Arial"/>
                <w:sz w:val="14"/>
                <w:szCs w:val="14"/>
                <w:color w:val="auto"/>
              </w:rPr>
              <w:t>Ezio Bonvini, M.D.</w:t>
            </w: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4/17/2003</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250,000</w:t>
            </w: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4/16/2014</w:t>
            </w:r>
          </w:p>
        </w:tc>
        <w:tc>
          <w:tcPr>
            <w:tcW w:w="40" w:type="dxa"/>
            <w:vAlign w:val="bottom"/>
          </w:tcPr>
          <w:p>
            <w:pPr>
              <w:spacing w:after="0"/>
              <w:rPr>
                <w:sz w:val="24"/>
                <w:szCs w:val="24"/>
                <w:color w:val="auto"/>
              </w:rPr>
            </w:pPr>
          </w:p>
        </w:tc>
      </w:tr>
      <w:tr>
        <w:trPr>
          <w:trHeight w:val="168"/>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1/14/2004</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30,000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1/13/2015</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3/24/2005</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1,510,969</w:t>
            </w: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.0375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3/23/2016</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w w:val="94"/>
              </w:rPr>
              <w:t>12/15/2005</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50,000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.0375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12/14/2015</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1/7/2007</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580,000</w:t>
            </w: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1/6/2017</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1/6/2008</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225,000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1/5/2018</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1/11/2009</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234,374</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15,626</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1/10/2019</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1/11/2010</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85,937</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39,063</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1/10/2020</w:t>
            </w:r>
          </w:p>
        </w:tc>
        <w:tc>
          <w:tcPr>
            <w:tcW w:w="40" w:type="dxa"/>
            <w:vAlign w:val="bottom"/>
            <w:shd w:val="clear" w:color="auto" w:fill="CCEEFF"/>
          </w:tcPr>
          <w:p>
            <w:pPr>
              <w:spacing w:after="0"/>
              <w:rPr>
                <w:sz w:val="14"/>
                <w:szCs w:val="14"/>
                <w:color w:val="auto"/>
              </w:rPr>
            </w:pPr>
          </w:p>
        </w:tc>
      </w:tr>
      <w:tr>
        <w:trPr>
          <w:trHeight w:val="167"/>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1/9/2011</w:t>
            </w:r>
          </w:p>
        </w:tc>
        <w:tc>
          <w:tcPr>
            <w:tcW w:w="2520" w:type="dxa"/>
            <w:vAlign w:val="bottom"/>
            <w:gridSpan w:val="3"/>
          </w:tcPr>
          <w:p>
            <w:pPr>
              <w:jc w:val="right"/>
              <w:ind w:right="780"/>
              <w:spacing w:after="0"/>
              <w:rPr>
                <w:sz w:val="20"/>
                <w:szCs w:val="20"/>
                <w:color w:val="auto"/>
              </w:rPr>
            </w:pPr>
            <w:r>
              <w:rPr>
                <w:rFonts w:ascii="Arial" w:cs="Arial" w:eastAsia="Arial" w:hAnsi="Arial"/>
                <w:sz w:val="14"/>
                <w:szCs w:val="14"/>
                <w:color w:val="auto"/>
              </w:rPr>
              <w:t>87,500</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112,500</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1/8/2021</w:t>
            </w:r>
          </w:p>
        </w:tc>
        <w:tc>
          <w:tcPr>
            <w:tcW w:w="40" w:type="dxa"/>
            <w:vAlign w:val="bottom"/>
          </w:tcPr>
          <w:p>
            <w:pPr>
              <w:spacing w:after="0"/>
              <w:rPr>
                <w:sz w:val="14"/>
                <w:szCs w:val="14"/>
                <w:color w:val="auto"/>
              </w:rPr>
            </w:pPr>
          </w:p>
        </w:tc>
      </w:tr>
      <w:tr>
        <w:trPr>
          <w:trHeight w:val="167"/>
        </w:trPr>
        <w:tc>
          <w:tcPr>
            <w:tcW w:w="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3/14/2012</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color w:val="auto"/>
              </w:rPr>
              <w:t>93,750</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406,250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.05</w:t>
            </w: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3/13/2022</w:t>
            </w:r>
          </w:p>
        </w:tc>
        <w:tc>
          <w:tcPr>
            <w:tcW w:w="40" w:type="dxa"/>
            <w:vAlign w:val="bottom"/>
            <w:shd w:val="clear" w:color="auto" w:fill="CCEEFF"/>
          </w:tcPr>
          <w:p>
            <w:pPr>
              <w:spacing w:after="0"/>
              <w:rPr>
                <w:sz w:val="14"/>
                <w:szCs w:val="14"/>
                <w:color w:val="auto"/>
              </w:rPr>
            </w:pPr>
          </w:p>
        </w:tc>
      </w:tr>
      <w:tr>
        <w:trPr>
          <w:trHeight w:val="173"/>
        </w:trPr>
        <w:tc>
          <w:tcPr>
            <w:tcW w:w="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40" w:type="dxa"/>
            <w:vAlign w:val="bottom"/>
            <w:gridSpan w:val="2"/>
          </w:tcPr>
          <w:p>
            <w:pPr>
              <w:ind w:left="1360"/>
              <w:spacing w:after="0"/>
              <w:rPr>
                <w:sz w:val="20"/>
                <w:szCs w:val="20"/>
                <w:color w:val="auto"/>
              </w:rPr>
            </w:pPr>
            <w:r>
              <w:rPr>
                <w:rFonts w:ascii="Arial" w:cs="Arial" w:eastAsia="Arial" w:hAnsi="Arial"/>
                <w:sz w:val="14"/>
                <w:szCs w:val="14"/>
                <w:color w:val="auto"/>
              </w:rPr>
              <w:t>1/6/2013</w:t>
            </w:r>
          </w:p>
        </w:tc>
        <w:tc>
          <w:tcPr>
            <w:tcW w:w="720" w:type="dxa"/>
            <w:vAlign w:val="bottom"/>
          </w:tcPr>
          <w:p>
            <w:pPr>
              <w:spacing w:after="0"/>
              <w:rPr>
                <w:sz w:val="15"/>
                <w:szCs w:val="15"/>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760"/>
              <w:spacing w:after="0"/>
              <w:rPr>
                <w:sz w:val="20"/>
                <w:szCs w:val="20"/>
                <w:color w:val="auto"/>
              </w:rPr>
            </w:pPr>
            <w:r>
              <w:rPr>
                <w:rFonts w:ascii="Arial" w:cs="Arial" w:eastAsia="Arial" w:hAnsi="Arial"/>
                <w:sz w:val="14"/>
                <w:szCs w:val="14"/>
                <w:color w:val="auto"/>
              </w:rPr>
              <w:t>500,000</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.08</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1/5/2023</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961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15" cy="6350"/>
                    </a:xfrm>
                    <a:prstGeom prst="rect">
                      <a:avLst/>
                    </a:prstGeom>
                    <a:noFill/>
                  </pic:spPr>
                </pic:pic>
              </a:graphicData>
            </a:graphic>
          </wp:anchor>
        </w:drawing>
      </w:r>
    </w:p>
    <w:p>
      <w:pPr>
        <w:spacing w:after="0" w:line="81" w:lineRule="exact"/>
        <w:rPr>
          <w:sz w:val="20"/>
          <w:szCs w:val="20"/>
          <w:color w:val="auto"/>
        </w:rPr>
      </w:pPr>
    </w:p>
    <w:p>
      <w:pPr>
        <w:ind w:left="460" w:right="580" w:hanging="456"/>
        <w:spacing w:after="0" w:line="267"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Options vest and become exercisable with respect to (i)12.5 percent of the underlying shares six months after the grant date and (ii) the remainder of the underlying shares in 14 equal quarterly installments.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134" w:lineRule="exact"/>
        <w:rPr>
          <w:sz w:val="20"/>
          <w:szCs w:val="20"/>
          <w:color w:val="auto"/>
        </w:rPr>
      </w:pPr>
    </w:p>
    <w:p>
      <w:pPr>
        <w:ind w:right="40" w:firstLine="802"/>
        <w:spacing w:after="0" w:line="351" w:lineRule="auto"/>
        <w:rPr>
          <w:sz w:val="20"/>
          <w:szCs w:val="20"/>
          <w:color w:val="auto"/>
        </w:rPr>
      </w:pPr>
      <w:r>
        <w:rPr>
          <w:rFonts w:ascii="Arial" w:cs="Arial" w:eastAsia="Arial" w:hAnsi="Arial"/>
          <w:sz w:val="12"/>
          <w:szCs w:val="12"/>
          <w:color w:val="auto"/>
        </w:rPr>
        <w:t>Except as discussed below, during and prior to 2012, we did not pay cash compensation to any non-employee director for his or her service as a director. We reimburse our non-employee directors for reasonable travel and other expenses incurred in connection with attending board of director and committee meetings or otherwise in direct service of our company.</w:t>
      </w:r>
    </w:p>
    <w:p>
      <w:pPr>
        <w:spacing w:after="0" w:line="56" w:lineRule="exact"/>
        <w:rPr>
          <w:sz w:val="20"/>
          <w:szCs w:val="20"/>
          <w:color w:val="auto"/>
        </w:rPr>
      </w:pPr>
    </w:p>
    <w:p>
      <w:pPr>
        <w:ind w:right="340" w:firstLine="802"/>
        <w:spacing w:after="0" w:line="267" w:lineRule="auto"/>
        <w:rPr>
          <w:sz w:val="20"/>
          <w:szCs w:val="20"/>
          <w:color w:val="auto"/>
        </w:rPr>
      </w:pPr>
      <w:r>
        <w:rPr>
          <w:rFonts w:ascii="Arial" w:cs="Arial" w:eastAsia="Arial" w:hAnsi="Arial"/>
          <w:sz w:val="14"/>
          <w:szCs w:val="14"/>
          <w:color w:val="auto"/>
        </w:rPr>
        <w:t>In connection with his service as a director, Mr. Costa receives $25,000 per year. In addition, with his election as a director in June 2009, we granted Mr. Costa an option to purchase 928,093 shares of our common stock. In 2013, Mr. Costa exercised the option in its entirety.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460"/>
          </w:cols>
          <w:pgMar w:left="220" w:top="386" w:right="21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 Plans</w:t>
      </w:r>
    </w:p>
    <w:p>
      <w:pPr>
        <w:spacing w:after="0" w:line="134" w:lineRule="exact"/>
        <w:rPr>
          <w:sz w:val="20"/>
          <w:szCs w:val="20"/>
          <w:color w:val="auto"/>
        </w:rPr>
      </w:pPr>
    </w:p>
    <w:p>
      <w:pPr>
        <w:ind w:right="320" w:firstLine="802"/>
        <w:spacing w:after="0" w:line="351" w:lineRule="auto"/>
        <w:rPr>
          <w:sz w:val="20"/>
          <w:szCs w:val="20"/>
          <w:color w:val="auto"/>
        </w:rPr>
      </w:pPr>
      <w:r>
        <w:rPr>
          <w:rFonts w:ascii="Arial" w:cs="Arial" w:eastAsia="Arial" w:hAnsi="Arial"/>
          <w:sz w:val="12"/>
          <w:szCs w:val="12"/>
          <w:color w:val="auto"/>
        </w:rPr>
        <w:t>Our employees, including our executive officers, are entitled to various employee benefits. These benefits include the following: medical and dental care plans; flexible spending accounts for healthcare; life, accidental death and dismemberment and disability insurance; employee assistance programs (confidential counseling); benefit advocacy counseling; a 401(k) plan; and paid time off.</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Pension Benefits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do not have any qualified or non-qualified defined benefit plans.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Non-qualified Deferred Compensation</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do not have any non-qualified defined contribution plans or other deferred compensation plans.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32"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Our employees are eligible to participate in our 401(k) plan. Our 401(k) plan is intended to qualify as a tax-qualified plan under Section 401 of the Internal Revenue Code of 1986, as amended. Our 401(k) plan provides that each participant may contribute a portion of his or her pre-tax compensation, up to a statutory limit, which for most employees is $17,500 in 2013. Participants that are 50 years or older can also make “catch-up” contributions, which in 2013 may be up to an additional $5,500 above the statutory limit. Employee contributions are held and invested by the plan’s trustee. Our 401(k) plan also permits us to make discretionary contributions and matching contributions. We match participant contributions up to 1.5% of a participant’s annual compensation, subject to statutory limits.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2000 Stock Option and Incentive Plan</w:t>
      </w:r>
    </w:p>
    <w:p>
      <w:pPr>
        <w:spacing w:after="0" w:line="132"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Our 2000 Plan is administered by our compensation committee and provided for the grant of incentive stock options within the meaning of Section 422 of the Internal Revenue Code, non-statutory stock options, restricted stock, and other stock-based awards. Our employees, officers, directors, consultants and advisors were eligible to receive awards under our 2000 Plan. Upon an acquisition of us, the exercisability of options or the vesting of restricted stock awards issued under the 2000 Plan will be accelerated. In addition, the Board will make appropriate provisions for the continuation of awards by us or substitution of awards by the surviving or acquiring entity.</w:t>
      </w:r>
    </w:p>
    <w:p>
      <w:pPr>
        <w:spacing w:after="0" w:line="110" w:lineRule="exact"/>
        <w:rPr>
          <w:sz w:val="20"/>
          <w:szCs w:val="20"/>
          <w:color w:val="auto"/>
        </w:rPr>
      </w:pPr>
    </w:p>
    <w:p>
      <w:pPr>
        <w:ind w:right="60" w:firstLine="802"/>
        <w:spacing w:after="0" w:line="255" w:lineRule="auto"/>
        <w:rPr>
          <w:sz w:val="20"/>
          <w:szCs w:val="20"/>
          <w:color w:val="auto"/>
        </w:rPr>
      </w:pPr>
      <w:r>
        <w:rPr>
          <w:rFonts w:ascii="Arial" w:cs="Arial" w:eastAsia="Arial" w:hAnsi="Arial"/>
          <w:sz w:val="14"/>
          <w:szCs w:val="14"/>
          <w:color w:val="auto"/>
        </w:rPr>
        <w:t>As of June 30, 2013, under our 2000 Plan, there were options to purchase an aggregate of 726,817 shares of common stock outstanding at a weighted average exercise price of $0.046 per share. The 2000 Plan has expired, and no further awards may be issued under the plan. Any shares of common stock subject to awards under our 2000 Plan that expire, terminate, or are otherwise surrendered, canceled, forfeited or repurchased without having been fully exercised, or resulting in any common stock being issued, will become available for issuance under our 2013 Stock Incentive Plan, or the 2013 Plan, up to a specified number of shares.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2003 Equity Incentive Plan</w:t>
      </w:r>
    </w:p>
    <w:p>
      <w:pPr>
        <w:spacing w:after="0" w:line="132" w:lineRule="exact"/>
        <w:rPr>
          <w:sz w:val="20"/>
          <w:szCs w:val="20"/>
          <w:color w:val="auto"/>
        </w:rPr>
      </w:pPr>
    </w:p>
    <w:p>
      <w:pPr>
        <w:ind w:right="100" w:firstLine="802"/>
        <w:spacing w:after="0" w:line="255" w:lineRule="auto"/>
        <w:rPr>
          <w:sz w:val="20"/>
          <w:szCs w:val="20"/>
          <w:color w:val="auto"/>
        </w:rPr>
      </w:pPr>
      <w:r>
        <w:rPr>
          <w:rFonts w:ascii="Arial" w:cs="Arial" w:eastAsia="Arial" w:hAnsi="Arial"/>
          <w:sz w:val="14"/>
          <w:szCs w:val="14"/>
          <w:color w:val="auto"/>
        </w:rPr>
        <w:t>We implemented our 2003 Plan in February 2003, and it was amended and approved by our stockholders in 2005. Our board of directors has delegated the administration of the 2003 Plan to our compensation committee. The 2003 Plan provides for the for the grant of incentive stock options, non-statutory stock options, stock appreciation rights, restricted stock, and other stock-based awards. The 2003 Plan also permits the payment of cash awards. Our employees, officers, directors and consultants are eligible to receive awards under our 2003 Plan. As of June 30, 2013, we have only granted stock options under the 2003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60"/>
          </w:cols>
          <w:pgMar w:left="220" w:top="386" w:right="21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100" w:firstLine="802"/>
        <w:spacing w:after="0" w:line="321" w:lineRule="auto"/>
        <w:rPr>
          <w:sz w:val="20"/>
          <w:szCs w:val="20"/>
          <w:color w:val="auto"/>
        </w:rPr>
      </w:pPr>
      <w:r>
        <w:rPr>
          <w:rFonts w:ascii="Arial" w:cs="Arial" w:eastAsia="Arial" w:hAnsi="Arial"/>
          <w:sz w:val="12"/>
          <w:szCs w:val="12"/>
          <w:color w:val="auto"/>
        </w:rPr>
        <w:t>In the event of changes in our capital structure, our compensation committee will make appropriate adjustments to the number of shares reserved for issuance under the 2003 Plan, the number of shares underlying by each outstanding option or stock purchase agreement, the exercise price or purchase price under each outstanding option or stock purchase agreement, the repurchase prices, the number of options that may be granted to any individual and/or the class of shares issuable and the terms of any stock appreciation right.</w:t>
      </w:r>
    </w:p>
    <w:p>
      <w:pPr>
        <w:spacing w:after="0" w:line="73" w:lineRule="exact"/>
        <w:rPr>
          <w:sz w:val="20"/>
          <w:szCs w:val="20"/>
          <w:color w:val="auto"/>
        </w:rPr>
      </w:pPr>
    </w:p>
    <w:p>
      <w:pPr>
        <w:ind w:right="60" w:firstLine="802"/>
        <w:spacing w:after="0" w:line="292" w:lineRule="auto"/>
        <w:rPr>
          <w:sz w:val="20"/>
          <w:szCs w:val="20"/>
          <w:color w:val="auto"/>
        </w:rPr>
      </w:pPr>
      <w:r>
        <w:rPr>
          <w:rFonts w:ascii="Arial" w:cs="Arial" w:eastAsia="Arial" w:hAnsi="Arial"/>
          <w:sz w:val="12"/>
          <w:szCs w:val="12"/>
          <w:color w:val="auto"/>
        </w:rPr>
        <w:t>If we merge with another entity and are not the surviving entity or if, as a result of any other transaction or event, other securities are substituted for the shares of common stock or shares may no longer be issued then our board of directors will accelerate the vesting of any outstanding incentive stock options by a period of 24 months. In addition, if an employee’s employment is terminated following such a transaction without cause or he or she terminates his or her employment for good reason (as defined in the 2003 Plan), then the incentive stock option will be exercisable in full without regard to its vesting schedule. Our board, in its discretion, may also: (a) arrange for the substitution, in exchange for awards, of options to purchase equity securities other than shares of our common stock; (b) accelerate the vesting and termination of outstanding awards, in whole or in part, so that awards can be exercised before or otherwise in connection with the closing or completion of a transaction or event but then terminate;</w:t>
      </w:r>
    </w:p>
    <w:p>
      <w:pPr>
        <w:spacing w:after="0" w:line="2" w:lineRule="exact"/>
        <w:rPr>
          <w:sz w:val="20"/>
          <w:szCs w:val="20"/>
          <w:color w:val="auto"/>
        </w:rPr>
      </w:pPr>
    </w:p>
    <w:p>
      <w:pPr>
        <w:ind w:right="280" w:firstLine="4"/>
        <w:spacing w:after="0" w:line="341" w:lineRule="auto"/>
        <w:tabs>
          <w:tab w:leader="none" w:pos="185" w:val="left"/>
        </w:tabs>
        <w:numPr>
          <w:ilvl w:val="0"/>
          <w:numId w:val="90"/>
        </w:numPr>
        <w:rPr>
          <w:rFonts w:ascii="Arial" w:cs="Arial" w:eastAsia="Arial" w:hAnsi="Arial"/>
          <w:sz w:val="12"/>
          <w:szCs w:val="12"/>
          <w:color w:val="auto"/>
        </w:rPr>
      </w:pPr>
      <w:r>
        <w:rPr>
          <w:rFonts w:ascii="Arial" w:cs="Arial" w:eastAsia="Arial" w:hAnsi="Arial"/>
          <w:sz w:val="12"/>
          <w:szCs w:val="12"/>
          <w:color w:val="auto"/>
        </w:rPr>
        <w:t>cancel or arrange for the cancellation of awards in exchange for cash payments to awardees; and (d) either arrange for any of our repurchase rights with respect to shares of common stock to apply to the securities issued in substitution for shares or terminate repurchase rights on such shares. Our board does not need to adopt the same rules for each award or awardee.</w:t>
      </w:r>
    </w:p>
    <w:p>
      <w:pPr>
        <w:spacing w:after="0" w:line="62"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color w:val="auto"/>
        </w:rPr>
        <w:t>Our board may also, in its discretion, specify that other transactions or events constitute a “change of control,” either before or after the transaction. In connection with a change of control, our board may take any one or more of the actions described above and extend the date for the exercise of awards, but not beyond the original expiration date.</w:t>
      </w:r>
    </w:p>
    <w:p>
      <w:pPr>
        <w:spacing w:after="0" w:line="101"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As of June 30, 2013, under our 2003 Plan, there were options to purchase an aggregate of 51,152,329 shares of common stock outstanding at a weighted average exercise price of $0.054 per share. There were 5,342,394 shares remaining and available for issuance under the 2003 Plan as of that date. Upon the closing of this offering, we will grant no further stock options or other awards under our 2003 Plan. Any shares of common stock subject to awards under our 2003 Plan that expire, terminate, or are otherwise surrendered, canceled, forfeited or repurchased without having been fully exercised, or resulting in any common stock being issued, will become available for issuance under our 2013 Plan, up to a specified number of shares.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2013 Equity Incentive Plan</w:t>
      </w:r>
    </w:p>
    <w:p>
      <w:pPr>
        <w:spacing w:after="0" w:line="132"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Our board of directors adopted the 2013 Plan in , 2013 and our stockholders approved the 2013 Plan in , 2013. The 2013 Plan will become effective immediately upon the signing of the underwriting agreement for this offering. The 2013 Plan will terminate on 2023, unless terminated earlier by our board of directors.</w:t>
      </w:r>
    </w:p>
    <w:p>
      <w:pPr>
        <w:spacing w:after="0" w:line="101" w:lineRule="exact"/>
        <w:rPr>
          <w:sz w:val="20"/>
          <w:szCs w:val="20"/>
          <w:color w:val="auto"/>
        </w:rPr>
      </w:pPr>
    </w:p>
    <w:p>
      <w:pPr>
        <w:ind w:right="600" w:firstLine="802"/>
        <w:spacing w:after="0" w:line="351" w:lineRule="auto"/>
        <w:rPr>
          <w:sz w:val="20"/>
          <w:szCs w:val="20"/>
          <w:color w:val="auto"/>
        </w:rPr>
      </w:pPr>
      <w:r>
        <w:rPr>
          <w:rFonts w:ascii="Arial" w:cs="Arial" w:eastAsia="Arial" w:hAnsi="Arial"/>
          <w:sz w:val="12"/>
          <w:szCs w:val="12"/>
          <w:i w:val="1"/>
          <w:iCs w:val="1"/>
          <w:color w:val="auto"/>
        </w:rPr>
        <w:t>Stock Awards</w:t>
      </w:r>
      <w:r>
        <w:rPr>
          <w:rFonts w:ascii="Arial" w:cs="Arial" w:eastAsia="Arial" w:hAnsi="Arial"/>
          <w:sz w:val="12"/>
          <w:szCs w:val="12"/>
          <w:color w:val="auto"/>
        </w:rPr>
        <w:t>. The 2013 Plan provides for the grant of incentive stock options, nonstatutory stock options, restricted stock awards, restricted stock unit awards, stock appreciation rights,</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stock awards, and other forms of equity compensation (collectively, “stock awards”), which may be granted to employees, including officers, non-employee directors, and consultants.</w:t>
      </w:r>
    </w:p>
    <w:p>
      <w:pPr>
        <w:spacing w:after="0" w:line="56" w:lineRule="exact"/>
        <w:rPr>
          <w:sz w:val="20"/>
          <w:szCs w:val="20"/>
          <w:color w:val="auto"/>
        </w:rPr>
      </w:pPr>
    </w:p>
    <w:p>
      <w:pPr>
        <w:ind w:right="20" w:firstLine="802"/>
        <w:spacing w:after="0" w:line="294"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Following this offering, the aggregate number of shares of common stock that may be issued initially pursuant to stock awards under the 2013 Plan is shares. The number of</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common stock reserved for issuance will automatically increase on January 1st, from January 1, 2014 through and including January 1, 2023, by the lesser of (a) 4.0% of the total number of shares of common stock outstanding on December 31st of the preceding calendar year, or (b) a lesser number of shares of common stock determined by our board of directors prior to the start of a calendar year for which</w:t>
      </w:r>
    </w:p>
    <w:p>
      <w:pPr>
        <w:spacing w:after="0"/>
        <w:tabs>
          <w:tab w:leader="none" w:pos="8780" w:val="left"/>
        </w:tabs>
        <w:rPr>
          <w:sz w:val="20"/>
          <w:szCs w:val="20"/>
          <w:color w:val="auto"/>
        </w:rPr>
      </w:pPr>
      <w:r>
        <w:rPr>
          <w:rFonts w:ascii="Arial" w:cs="Arial" w:eastAsia="Arial" w:hAnsi="Arial"/>
          <w:sz w:val="12"/>
          <w:szCs w:val="12"/>
          <w:color w:val="auto"/>
        </w:rPr>
        <w:t>an increase applies. The maximum number of shares that may be issued pursuant to the exercise of incentive stock options over the term of the 2013 Plan is</w:t>
      </w:r>
      <w:r>
        <w:rPr>
          <w:sz w:val="20"/>
          <w:szCs w:val="20"/>
          <w:color w:val="auto"/>
        </w:rPr>
        <w:tab/>
      </w:r>
      <w:r>
        <w:rPr>
          <w:rFonts w:ascii="Arial" w:cs="Arial" w:eastAsia="Arial" w:hAnsi="Arial"/>
          <w:sz w:val="11"/>
          <w:szCs w:val="11"/>
          <w:color w:val="auto"/>
        </w:rPr>
        <w:t>shares.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40"/>
          </w:cols>
          <w:pgMar w:left="220" w:top="386" w:right="2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40" w:firstLine="802"/>
        <w:spacing w:after="0" w:line="252" w:lineRule="auto"/>
        <w:rPr>
          <w:sz w:val="20"/>
          <w:szCs w:val="20"/>
          <w:color w:val="auto"/>
        </w:rPr>
      </w:pPr>
      <w:r>
        <w:rPr>
          <w:rFonts w:ascii="Arial" w:cs="Arial" w:eastAsia="Arial" w:hAnsi="Arial"/>
          <w:sz w:val="14"/>
          <w:szCs w:val="14"/>
          <w:color w:val="auto"/>
        </w:rPr>
        <w:t>If a stock award granted under the 2013 Plan expires or otherwise terminates without being exercised in full, the shares of common stock not acquired pursuant to the stock award again become available for subsequent issuance under the 2013 Plan. In addition, the following types of shares under the 2013 Plan will become available for the grant of new stock awards under the 2013 Plan: (a) shares that are forfeited to or repurchased by us prior to becoming fully vested; (b) shares subject to stock awards that are settled in cash; (c) shares withheld to satisfy income and employment withholding taxes; (d) shares used to pay the exercise price of an option in a net exercise arrangement; (e) shares tendered to us to pay the exercise price of an option; and (f) shares that are cancelled pursuant to an exchange or repricing program. Shares issued under the 2013 Plan may be previously unissued shares or reacquired shares, including shares bought on the open market. As of the date hereof, no shares of common stock have been issued under the 2013 Plan.</w:t>
      </w:r>
    </w:p>
    <w:p>
      <w:pPr>
        <w:spacing w:after="0" w:line="114"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board of directors has delegated its authority to administer the 2013 Plan to our compensation committee. Subject to the terms of the 2013 Plan, our board of directors or an</w:t>
      </w:r>
      <w:r>
        <w:rPr>
          <w:rFonts w:ascii="Arial" w:cs="Arial" w:eastAsia="Arial" w:hAnsi="Arial"/>
          <w:sz w:val="14"/>
          <w:szCs w:val="14"/>
          <w:i w:val="1"/>
          <w:iCs w:val="1"/>
          <w:color w:val="auto"/>
        </w:rPr>
        <w:t xml:space="preserve"> </w:t>
      </w:r>
      <w:r>
        <w:rPr>
          <w:rFonts w:ascii="Arial" w:cs="Arial" w:eastAsia="Arial" w:hAnsi="Arial"/>
          <w:sz w:val="14"/>
          <w:szCs w:val="14"/>
          <w:color w:val="auto"/>
        </w:rPr>
        <w:t>authorized committee, referred to as the plan administrator, determines recipients, dates of grant, the numbers and types of stock awards to be granted, and the terms and conditions of the stock awards, including the period of their exercisability and vesting. Subject to the limitations set forth below, the plan administrator will also determine the exercise price of options granted, the consideration to be paid for restricted stock awards, and the strike price of stock appreciation rights.</w:t>
      </w:r>
    </w:p>
    <w:p>
      <w:pPr>
        <w:spacing w:after="0" w:line="110"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Incentive and nonstatutory stock options are granted pursuant to incentive and nonstatutory stock option agreements adopted by the plan administrator. The plan administrator</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determines the exercise price for a stock option provided that the exercise price of an incentive stock option and nonstatutory stock option cannot be less than 100% of the fair market value of our common stock on the date of grant. Options granted under the 2013 Plan vest at the rate specified by the plan administrator.</w:t>
      </w:r>
    </w:p>
    <w:p>
      <w:pPr>
        <w:spacing w:after="0" w:line="108" w:lineRule="exact"/>
        <w:rPr>
          <w:sz w:val="20"/>
          <w:szCs w:val="20"/>
          <w:color w:val="auto"/>
        </w:rPr>
      </w:pPr>
    </w:p>
    <w:p>
      <w:pPr>
        <w:ind w:right="40" w:firstLine="802"/>
        <w:spacing w:after="0" w:line="252" w:lineRule="auto"/>
        <w:rPr>
          <w:sz w:val="20"/>
          <w:szCs w:val="20"/>
          <w:color w:val="auto"/>
        </w:rPr>
      </w:pPr>
      <w:r>
        <w:rPr>
          <w:rFonts w:ascii="Arial" w:cs="Arial" w:eastAsia="Arial" w:hAnsi="Arial"/>
          <w:sz w:val="14"/>
          <w:szCs w:val="14"/>
          <w:color w:val="auto"/>
        </w:rPr>
        <w:t>Generally, the plan administrator determines the term of stock options granted under the 2013 Plan, up to a maximum of ten years (except in the case of certain incentive stock options, as described below). Unless the terms of an optionee’s stock option agreement provide otherwise, if an optionee’s relationship with us, or any of our affiliates, ceases for any reason other than disability or death, the optionee may exercise any vested options for a period of three months following the cessation of service. If an optionee’s service relationship with us, or any of our affiliates, ceases due to disability or death (or an optionee dies within a certain period following cessation of service), the optionee or a beneficiary may exercise any vested options for a period of 12 months in the event of disability, and 18 months in the event of death. The option term may be extended in the event that exercise of the option following termination of service is prohibited by applicable securities laws. In no event, however, may an option be exercised beyond the expiration of its term.</w:t>
      </w:r>
    </w:p>
    <w:p>
      <w:pPr>
        <w:spacing w:after="0" w:line="114"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Acceptable consideration for the purchase of common stock issued upon the exercise of a stock option will be determined by the plan administrator and may include (a) cash or check, (b) a broker-assisted cashless exercise, (c) the tender of common stock previously owned by the optionee, (d) a net exercise of the option and (e) other legal consideration approved by the plan administrator.</w:t>
      </w:r>
    </w:p>
    <w:p>
      <w:pPr>
        <w:spacing w:after="0" w:line="56" w:lineRule="exact"/>
        <w:rPr>
          <w:sz w:val="20"/>
          <w:szCs w:val="20"/>
          <w:color w:val="auto"/>
        </w:rPr>
      </w:pPr>
    </w:p>
    <w:p>
      <w:pPr>
        <w:ind w:right="120" w:firstLine="802"/>
        <w:spacing w:after="0" w:line="267" w:lineRule="auto"/>
        <w:rPr>
          <w:sz w:val="20"/>
          <w:szCs w:val="20"/>
          <w:color w:val="auto"/>
        </w:rPr>
      </w:pPr>
      <w:r>
        <w:rPr>
          <w:rFonts w:ascii="Arial" w:cs="Arial" w:eastAsia="Arial" w:hAnsi="Arial"/>
          <w:sz w:val="14"/>
          <w:szCs w:val="14"/>
          <w:color w:val="auto"/>
        </w:rPr>
        <w:t>Unless the plan administrator provides otherwise, options generally are not transferable except by will, the laws of descent and distribution, or pursuant to a domestic relations order. An optionee may designate a beneficiary, however, who may exercise the option following the optionee’s death.</w:t>
      </w:r>
    </w:p>
    <w:p>
      <w:pPr>
        <w:spacing w:after="0" w:line="101"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i w:val="1"/>
          <w:iCs w:val="1"/>
          <w:color w:val="auto"/>
        </w:rPr>
        <w:t>Tax Limitations on Incentive Stock Options</w:t>
      </w:r>
      <w:r>
        <w:rPr>
          <w:rFonts w:ascii="Arial" w:cs="Arial" w:eastAsia="Arial" w:hAnsi="Arial"/>
          <w:sz w:val="12"/>
          <w:szCs w:val="12"/>
          <w:color w:val="auto"/>
        </w:rPr>
        <w:t>. Incentive stock options may be granted only to our employees. The aggregate fair market value, determined at the time of grant, of shares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with respect to incentive stock options that are exercisable for the first time by an optionee during any calendar year under all of our stock plans may not exceed $100,000. No incentive stock option may be granted to any person who, at the time of the grant, owns or is deemed to own stock possessing more than 10% of our total combined voting power or that of any of our affiliates unless (a) the option exercise price is at least 110% of the fair market value of the stock subject to the option on the date of grant and (b) the term of the incentive stock option does not exceed five years from the date of grant.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60"/>
          </w:cols>
          <w:pgMar w:left="220" w:top="386" w:right="21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00" w:firstLine="802"/>
        <w:spacing w:after="0" w:line="311" w:lineRule="auto"/>
        <w:rPr>
          <w:sz w:val="20"/>
          <w:szCs w:val="20"/>
          <w:color w:val="auto"/>
        </w:rPr>
      </w:pPr>
      <w:r>
        <w:rPr>
          <w:rFonts w:ascii="Arial" w:cs="Arial" w:eastAsia="Arial" w:hAnsi="Arial"/>
          <w:sz w:val="12"/>
          <w:szCs w:val="12"/>
          <w:i w:val="1"/>
          <w:iCs w:val="1"/>
          <w:color w:val="auto"/>
        </w:rPr>
        <w:t>Restricted Stock Awards</w:t>
      </w:r>
      <w:r>
        <w:rPr>
          <w:rFonts w:ascii="Arial" w:cs="Arial" w:eastAsia="Arial" w:hAnsi="Arial"/>
          <w:sz w:val="12"/>
          <w:szCs w:val="12"/>
          <w:color w:val="auto"/>
        </w:rPr>
        <w:t>. Restricted stock awards may be granted pursuant to restricted stock award agreements adopted by the plan administrator. Restricted stock awards may be granted in</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consideration for: (a) cash, check, bank draft or money order, (b) past or future services rendered to us or our affiliates or (c) any other form of legal consideration acceptable to our board of directors. Shares of common stock acquired under a restricted stock award may, but need not, be subject to forfeiture to us in accordance with a vesting schedule to be determined by the plan administrator. Rights to acquire shares under a restricted stock award may be transferred only upon such terms and conditions as set by the plan administrator.</w:t>
      </w:r>
    </w:p>
    <w:p>
      <w:pPr>
        <w:spacing w:after="0" w:line="79"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i w:val="1"/>
          <w:iCs w:val="1"/>
          <w:color w:val="auto"/>
        </w:rPr>
        <w:t>Restricted Stock Unit Awards</w:t>
      </w:r>
      <w:r>
        <w:rPr>
          <w:rFonts w:ascii="Arial" w:cs="Arial" w:eastAsia="Arial" w:hAnsi="Arial"/>
          <w:sz w:val="14"/>
          <w:szCs w:val="14"/>
          <w:color w:val="auto"/>
        </w:rPr>
        <w:t>. Restricted stock unit awards may be granted pursuant to restricted stock unit award agreements adopted by the plan administrator. Restricted stock unit awards may</w:t>
      </w:r>
      <w:r>
        <w:rPr>
          <w:rFonts w:ascii="Arial" w:cs="Arial" w:eastAsia="Arial" w:hAnsi="Arial"/>
          <w:sz w:val="14"/>
          <w:szCs w:val="14"/>
          <w:i w:val="1"/>
          <w:iCs w:val="1"/>
          <w:color w:val="auto"/>
        </w:rPr>
        <w:t xml:space="preserve"> </w:t>
      </w:r>
      <w:r>
        <w:rPr>
          <w:rFonts w:ascii="Arial" w:cs="Arial" w:eastAsia="Arial" w:hAnsi="Arial"/>
          <w:sz w:val="14"/>
          <w:szCs w:val="14"/>
          <w:color w:val="auto"/>
        </w:rPr>
        <w:t>be granted in consideration for any form of legal consideration acceptable to our board of directors.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to shares underlying a restricted stock unit award. Except as otherwise provided in the applicable award agreement, restricted stock units that have not vested will be forfeited upon the participant’s cessation of continuous service for any reason.</w:t>
      </w:r>
    </w:p>
    <w:p>
      <w:pPr>
        <w:spacing w:after="0" w:line="113"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i w:val="1"/>
          <w:iCs w:val="1"/>
          <w:color w:val="auto"/>
        </w:rPr>
        <w:t>Stock Appreciation Rights</w:t>
      </w:r>
      <w:r>
        <w:rPr>
          <w:rFonts w:ascii="Arial" w:cs="Arial" w:eastAsia="Arial" w:hAnsi="Arial"/>
          <w:sz w:val="12"/>
          <w:szCs w:val="12"/>
          <w:color w:val="auto"/>
        </w:rPr>
        <w:t>. Stock appreciation rights may be granted pursuant to stock appreciation rights agreements adopted by the plan administrator. The plan administrator determines the</w:t>
      </w:r>
      <w:r>
        <w:rPr>
          <w:rFonts w:ascii="Arial" w:cs="Arial" w:eastAsia="Arial" w:hAnsi="Arial"/>
          <w:sz w:val="12"/>
          <w:szCs w:val="12"/>
          <w:i w:val="1"/>
          <w:iCs w:val="1"/>
          <w:color w:val="auto"/>
        </w:rPr>
        <w:t xml:space="preserve"> </w:t>
      </w:r>
      <w:r>
        <w:rPr>
          <w:rFonts w:ascii="Arial" w:cs="Arial" w:eastAsia="Arial" w:hAnsi="Arial"/>
          <w:sz w:val="12"/>
          <w:szCs w:val="12"/>
          <w:color w:val="auto"/>
        </w:rPr>
        <w:t>strike price for a stock appreciation right which cannot be less than 100% of the fair market value of the common stock on the date of grant. Upon the exercise of a stock appreciation right, we will pay the participant an amount equal to the product of (a) the excess of the per share fair market value of our common stock on the date of exercise over the strike price, multiplied by (b) the number of shares of common stock with respect to which the stock appreciation right is exercised. A stock appreciation right granted under the 2013 Plan vests at the rate specified in the stock appreciation right agreement.</w:t>
      </w:r>
    </w:p>
    <w:p>
      <w:pPr>
        <w:spacing w:after="0" w:line="79" w:lineRule="exact"/>
        <w:rPr>
          <w:sz w:val="20"/>
          <w:szCs w:val="20"/>
          <w:color w:val="auto"/>
        </w:rPr>
      </w:pPr>
    </w:p>
    <w:p>
      <w:pPr>
        <w:ind w:right="120" w:firstLine="802"/>
        <w:spacing w:after="0" w:line="321" w:lineRule="auto"/>
        <w:rPr>
          <w:sz w:val="20"/>
          <w:szCs w:val="20"/>
          <w:color w:val="auto"/>
        </w:rPr>
      </w:pPr>
      <w:r>
        <w:rPr>
          <w:rFonts w:ascii="Arial" w:cs="Arial" w:eastAsia="Arial" w:hAnsi="Arial"/>
          <w:sz w:val="12"/>
          <w:szCs w:val="12"/>
          <w:color w:val="auto"/>
        </w:rPr>
        <w:t>The plan administrator determines the term of stock appreciation rights granted under the 2013 Plan up to a maximum of ten years. If a participant’s service relationship with us, or any of our affiliates, ceases, then the participant, or the participant’s beneficiary, may exercise any vested stock appreciation right for three months (or such longer or shorter period specified in the stock appreciation right agreement) after the date such service relationship ends. In no event, however, may a stock appreciation right be exercised beyond the expiration of its term.</w:t>
      </w:r>
    </w:p>
    <w:p>
      <w:pPr>
        <w:spacing w:after="0" w:line="73"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i w:val="1"/>
          <w:iCs w:val="1"/>
          <w:color w:val="auto"/>
        </w:rPr>
        <w:t>Performance Stock Awards</w:t>
      </w:r>
      <w:r>
        <w:rPr>
          <w:rFonts w:ascii="Arial" w:cs="Arial" w:eastAsia="Arial" w:hAnsi="Arial"/>
          <w:sz w:val="14"/>
          <w:szCs w:val="14"/>
          <w:color w:val="auto"/>
        </w:rPr>
        <w:t>. The 2013 Plan permits the grant of performance stock awards that may qualify as performance-based compensation that is not subject to the $1 million limitation on</w:t>
      </w:r>
      <w:r>
        <w:rPr>
          <w:rFonts w:ascii="Arial" w:cs="Arial" w:eastAsia="Arial" w:hAnsi="Arial"/>
          <w:sz w:val="14"/>
          <w:szCs w:val="14"/>
          <w:i w:val="1"/>
          <w:iCs w:val="1"/>
          <w:color w:val="auto"/>
        </w:rPr>
        <w:t xml:space="preserve"> </w:t>
      </w:r>
      <w:r>
        <w:rPr>
          <w:rFonts w:ascii="Arial" w:cs="Arial" w:eastAsia="Arial" w:hAnsi="Arial"/>
          <w:sz w:val="14"/>
          <w:szCs w:val="14"/>
          <w:color w:val="auto"/>
        </w:rPr>
        <w:t>the income tax deductibility of compensation paid to certain executive officers imposed by Section 162(m) of the Internal Revenue Code. To assure that the compensation attributable to one or more performance stock awards will so qualify, our compensation committee can structure one or more such awards so that stock will be issued or paid pursuant to such award only upon the achievement of certain pre-established performance goals during a designated performance period.</w:t>
      </w:r>
    </w:p>
    <w:p>
      <w:pPr>
        <w:spacing w:after="0" w:line="110"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i w:val="1"/>
          <w:iCs w:val="1"/>
          <w:color w:val="auto"/>
        </w:rPr>
        <w:t>Other Stock Awards</w:t>
      </w:r>
      <w:r>
        <w:rPr>
          <w:rFonts w:ascii="Arial" w:cs="Arial" w:eastAsia="Arial" w:hAnsi="Arial"/>
          <w:sz w:val="14"/>
          <w:szCs w:val="14"/>
          <w:color w:val="auto"/>
        </w:rPr>
        <w:t>. The plan administrator may grant other awards based in whole or in part by reference to our common stock. The plan administrator will set the number of shares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award and all other terms and conditions of such awards.</w:t>
      </w:r>
    </w:p>
    <w:p>
      <w:pPr>
        <w:spacing w:after="0" w:line="101" w:lineRule="exact"/>
        <w:rPr>
          <w:sz w:val="20"/>
          <w:szCs w:val="20"/>
          <w:color w:val="auto"/>
        </w:rPr>
      </w:pPr>
    </w:p>
    <w:p>
      <w:pPr>
        <w:ind w:right="80" w:firstLine="802"/>
        <w:spacing w:after="0" w:line="321" w:lineRule="auto"/>
        <w:rPr>
          <w:sz w:val="20"/>
          <w:szCs w:val="20"/>
          <w:color w:val="auto"/>
        </w:rPr>
      </w:pPr>
      <w:r>
        <w:rPr>
          <w:rFonts w:ascii="Arial" w:cs="Arial" w:eastAsia="Arial" w:hAnsi="Arial"/>
          <w:sz w:val="12"/>
          <w:szCs w:val="12"/>
          <w:i w:val="1"/>
          <w:iCs w:val="1"/>
          <w:color w:val="auto"/>
        </w:rPr>
        <w:t>Changes to Capital Structure</w:t>
      </w:r>
      <w:r>
        <w:rPr>
          <w:rFonts w:ascii="Arial" w:cs="Arial" w:eastAsia="Arial" w:hAnsi="Arial"/>
          <w:sz w:val="12"/>
          <w:szCs w:val="12"/>
          <w:color w:val="auto"/>
        </w:rPr>
        <w:t>. In the event that there is a specified type of change in our capital structure, such as a stock split, appropriate adjustments will be made to (a) the number of shares</w:t>
      </w:r>
      <w:r>
        <w:rPr>
          <w:rFonts w:ascii="Arial" w:cs="Arial" w:eastAsia="Arial" w:hAnsi="Arial"/>
          <w:sz w:val="12"/>
          <w:szCs w:val="12"/>
          <w:i w:val="1"/>
          <w:iCs w:val="1"/>
          <w:color w:val="auto"/>
        </w:rPr>
        <w:t xml:space="preserve"> </w:t>
      </w:r>
      <w:r>
        <w:rPr>
          <w:rFonts w:ascii="Arial" w:cs="Arial" w:eastAsia="Arial" w:hAnsi="Arial"/>
          <w:sz w:val="12"/>
          <w:szCs w:val="12"/>
          <w:color w:val="auto"/>
        </w:rPr>
        <w:t>reserved under the 2013 Plan, (b) the maximum number of shares that may be issued pursuant to the exercise of incentive stock options, (c) the maximum number of stock options, stock appreciation rights, and performance stock awards for which any one person may be granted per calendar year and (d) the number of shares and exercise price or strike price, if applicable, of all outstanding stock awards.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60"/>
          </w:cols>
          <w:pgMar w:left="220" w:top="387" w:right="21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60" w:firstLine="802"/>
        <w:spacing w:after="0" w:line="295" w:lineRule="auto"/>
        <w:rPr>
          <w:sz w:val="20"/>
          <w:szCs w:val="20"/>
          <w:color w:val="auto"/>
        </w:rPr>
      </w:pPr>
      <w:r>
        <w:rPr>
          <w:rFonts w:ascii="Arial" w:cs="Arial" w:eastAsia="Arial" w:hAnsi="Arial"/>
          <w:sz w:val="12"/>
          <w:szCs w:val="12"/>
          <w:i w:val="1"/>
          <w:iCs w:val="1"/>
          <w:color w:val="auto"/>
        </w:rPr>
        <w:t>Corporate Transactions</w:t>
      </w:r>
      <w:r>
        <w:rPr>
          <w:rFonts w:ascii="Arial" w:cs="Arial" w:eastAsia="Arial" w:hAnsi="Arial"/>
          <w:sz w:val="12"/>
          <w:szCs w:val="12"/>
          <w:color w:val="auto"/>
        </w:rPr>
        <w:t>. In the event of certain significant corporate transactions as set forth in the 2013 Plan outstanding stock awards under the 2013 Plan may be assumed, continued or</w:t>
      </w:r>
      <w:r>
        <w:rPr>
          <w:rFonts w:ascii="Arial" w:cs="Arial" w:eastAsia="Arial" w:hAnsi="Arial"/>
          <w:sz w:val="12"/>
          <w:szCs w:val="12"/>
          <w:i w:val="1"/>
          <w:iCs w:val="1"/>
          <w:color w:val="auto"/>
        </w:rPr>
        <w:t xml:space="preserve"> </w:t>
      </w:r>
      <w:r>
        <w:rPr>
          <w:rFonts w:ascii="Arial" w:cs="Arial" w:eastAsia="Arial" w:hAnsi="Arial"/>
          <w:sz w:val="12"/>
          <w:szCs w:val="12"/>
          <w:color w:val="auto"/>
        </w:rPr>
        <w:t>substituted for by any surviving or acquiring entity (or its parent company). If the surviving or acquiring entity (or its parent company) elects not to assume, continue or substitute for such stock awards, then</w:t>
      </w:r>
    </w:p>
    <w:p>
      <w:pPr>
        <w:spacing w:after="0" w:line="1" w:lineRule="exact"/>
        <w:rPr>
          <w:sz w:val="20"/>
          <w:szCs w:val="20"/>
          <w:color w:val="auto"/>
        </w:rPr>
      </w:pPr>
    </w:p>
    <w:p>
      <w:pPr>
        <w:ind w:right="180" w:firstLine="4"/>
        <w:spacing w:after="0" w:line="251" w:lineRule="auto"/>
        <w:tabs>
          <w:tab w:leader="none" w:pos="185" w:val="left"/>
        </w:tabs>
        <w:numPr>
          <w:ilvl w:val="0"/>
          <w:numId w:val="91"/>
        </w:numPr>
        <w:rPr>
          <w:rFonts w:ascii="Arial" w:cs="Arial" w:eastAsia="Arial" w:hAnsi="Arial"/>
          <w:sz w:val="14"/>
          <w:szCs w:val="14"/>
          <w:color w:val="auto"/>
        </w:rPr>
      </w:pPr>
      <w:r>
        <w:rPr>
          <w:rFonts w:ascii="Arial" w:cs="Arial" w:eastAsia="Arial" w:hAnsi="Arial"/>
          <w:sz w:val="14"/>
          <w:szCs w:val="14"/>
          <w:color w:val="auto"/>
        </w:rPr>
        <w:t>with respect to any such stock awards that are held by individuals whose service with us or our affiliates has not terminated prior to the effective date of the corporate transaction, the vesting and exercisability provisions of such stock awards will be accelerated in full and such awards will be terminated if not exercised prior to the effective date of the corporate transaction and (b) all other outstanding stock awards will terminate if not exercised prior to the effective date of the corporate transaction. Our board of directors may also provide that the holder of an outstanding stock award not assumed in the corporate transaction will surrender such stock award in exchange for a payment equal to the excess of (a) the value of the property that the stock award would have received upon exercise of the stock award, over (b) the exercise price otherwise payable in connection with the stock award.</w:t>
      </w:r>
    </w:p>
    <w:p>
      <w:pPr>
        <w:spacing w:after="0" w:line="113"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i w:val="1"/>
          <w:iCs w:val="1"/>
          <w:color w:val="auto"/>
        </w:rPr>
        <w:t>Changes in Control</w:t>
      </w:r>
      <w:r>
        <w:rPr>
          <w:rFonts w:ascii="Arial" w:cs="Arial" w:eastAsia="Arial" w:hAnsi="Arial"/>
          <w:sz w:val="12"/>
          <w:szCs w:val="12"/>
          <w:color w:val="auto"/>
        </w:rPr>
        <w:t>. Our board of directors has the discretion to provide that a stock award under the 2013 Plan will immediately vest as to all or any portion of the shares subject to the stock</w:t>
      </w:r>
      <w:r>
        <w:rPr>
          <w:rFonts w:ascii="Arial" w:cs="Arial" w:eastAsia="Arial" w:hAnsi="Arial"/>
          <w:sz w:val="12"/>
          <w:szCs w:val="12"/>
          <w:i w:val="1"/>
          <w:iCs w:val="1"/>
          <w:color w:val="auto"/>
        </w:rPr>
        <w:t xml:space="preserve"> </w:t>
      </w:r>
      <w:r>
        <w:rPr>
          <w:rFonts w:ascii="Arial" w:cs="Arial" w:eastAsia="Arial" w:hAnsi="Arial"/>
          <w:sz w:val="12"/>
          <w:szCs w:val="12"/>
          <w:color w:val="auto"/>
        </w:rPr>
        <w:t>award (a) immediately upon the occurrence of certain specified change in control transactions, whether or not such stock award is assumed, continued, or substituted by a surviving or acquiring entity in the transaction or (b) in the event a participant’s service with us or a successor entity is terminated actually or constructively within a designated period following the occurrence of certain specified change in control transactions. Stock awards held by participants under the 2013 Plan will not vest on such an accelerated basis unless specifically provided by the participant’s applicable award agreement.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60"/>
          </w:cols>
          <w:pgMar w:left="220" w:top="386" w:right="21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Management and Others</w:t>
      </w:r>
    </w:p>
    <w:p>
      <w:pPr>
        <w:spacing w:after="0" w:line="134"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Since January 1, 2010, there has not been, nor is there any proposed transaction where we were or will be a party in which the amount involved exceeded or will exceed $120,000 and in which any director, executive officer, holder of more than 5% of any class of our voting securities, or any member of the immediate family of any of the foregoing persons had or will have a direct or indirect material interest, other than the compensation agreements and other agreements and transactions which are described in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Policies and Procedures for Related Party Transactions</w:t>
      </w:r>
    </w:p>
    <w:p>
      <w:pPr>
        <w:spacing w:after="0" w:line="134" w:lineRule="exact"/>
        <w:rPr>
          <w:sz w:val="20"/>
          <w:szCs w:val="20"/>
          <w:color w:val="auto"/>
        </w:rPr>
      </w:pPr>
    </w:p>
    <w:p>
      <w:pPr>
        <w:ind w:right="20" w:firstLine="802"/>
        <w:spacing w:after="0" w:line="305" w:lineRule="auto"/>
        <w:rPr>
          <w:sz w:val="20"/>
          <w:szCs w:val="20"/>
          <w:color w:val="auto"/>
        </w:rPr>
      </w:pPr>
      <w:r>
        <w:rPr>
          <w:rFonts w:ascii="Arial" w:cs="Arial" w:eastAsia="Arial" w:hAnsi="Arial"/>
          <w:sz w:val="12"/>
          <w:szCs w:val="12"/>
          <w:color w:val="auto"/>
        </w:rPr>
        <w:t>Pursuant to the written charter of our audit committee adopted March 24, 2005, our audit committee of the board of directors is responsible for reviewing and approving, prior to our entry into any such transaction, all related party transactions and potential conflict of interest situations involving a principal stockholder, a member of the board of directors or senior management. In addition, our company policies require that our officers and employees avoid using their positions for purposes that are, or give the appearance of being, motivated by a desire for personal gain, and our policies further require that all officers and employees who have authority to initiate related party transactions provide a written report, on an annual basis, of all activities which could result in a conflict of interest or impair their professional judgment. All such written reports concerning related party transactions or conflicts of interest are submitted to, and reviewed by, our Chief Financial Officer and our audit committee.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60"/>
          </w:cols>
          <w:pgMar w:left="220" w:top="386" w:right="21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STOCKHOLDERS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The following table indicates information as of June 30, 2013 regarding the ownership of our common stock, after giving effect to the sale of common stock offered in this offering, for:</w:t>
      </w:r>
    </w:p>
    <w:p>
      <w:pPr>
        <w:spacing w:after="0" w:line="163" w:lineRule="exact"/>
        <w:rPr>
          <w:sz w:val="20"/>
          <w:szCs w:val="20"/>
          <w:color w:val="auto"/>
        </w:rPr>
      </w:pPr>
    </w:p>
    <w:p>
      <w:pPr>
        <w:ind w:left="1240" w:hanging="327"/>
        <w:spacing w:after="0"/>
        <w:tabs>
          <w:tab w:leader="none" w:pos="12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person who is known by us to own more than 5% of our shares of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named executive officer;</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all of our directors and executive officers as a group.</w:t>
      </w:r>
    </w:p>
    <w:p>
      <w:pPr>
        <w:spacing w:after="0" w:line="132" w:lineRule="exact"/>
        <w:rPr>
          <w:sz w:val="20"/>
          <w:szCs w:val="20"/>
          <w:color w:val="auto"/>
        </w:rPr>
      </w:pPr>
    </w:p>
    <w:p>
      <w:pPr>
        <w:ind w:right="40" w:firstLine="802"/>
        <w:spacing w:after="0" w:line="300" w:lineRule="auto"/>
        <w:rPr>
          <w:sz w:val="20"/>
          <w:szCs w:val="20"/>
          <w:color w:val="auto"/>
        </w:rPr>
      </w:pPr>
      <w:r>
        <w:rPr>
          <w:rFonts w:ascii="Arial" w:cs="Arial" w:eastAsia="Arial" w:hAnsi="Arial"/>
          <w:sz w:val="12"/>
          <w:szCs w:val="12"/>
          <w:color w:val="auto"/>
        </w:rPr>
        <w:t>The number of shares beneficially owned and the percentage of shares beneficially owned are based on shares of common stock outstanding as of June 30, 2013, which includes shares of common stock resulting from the conversion of all outstanding shares of our preferred stock immediately upon the closing of this offering, as if this conversion had occurred as of June 30, 2013. Percentage ownership of our common stock after this offering (assuming no exercise of the underwriters’ over-allotment option to purchase additional shares) assumes our sale of shares in this offering. Unless otherwise indicated in the footnotes to the table, and subject to community property laws where applicable, the following persons have sole voting and investment control with respect to the shares beneficially owned by them. In accordance with SEC rules, if a person has a right to acquire beneficial ownership of any shares of common stock, on or within 60 days of June 30, 2013, upon exercise of outstanding options or otherwise, the shares are deemed beneficially owned by that person and are deemed to be outstanding solely for the purpose of determining the percentage of our shares that person beneficially owns. These shares are not included in the computations of percentage ownership for any other person. Except as otherwise indicated, the address of each of the persons in this table is 9640 Medical Center Drive, Rockville, Maryland 20850.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3"/>
              </w:rPr>
              <w:t>Shares Beneficially Owned</w:t>
            </w:r>
          </w:p>
        </w:tc>
        <w:tc>
          <w:tcPr>
            <w:tcW w:w="164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2"/>
              </w:rPr>
              <w:t>Shares Beneficially Owned</w:t>
            </w:r>
          </w:p>
        </w:tc>
      </w:tr>
      <w:tr>
        <w:trPr>
          <w:trHeight w:val="126"/>
        </w:trPr>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9"/>
              </w:rPr>
              <w:t>Name and Address of Beneficial Owner</w:t>
            </w:r>
          </w:p>
        </w:tc>
        <w:tc>
          <w:tcPr>
            <w:tcW w:w="538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Prior to the Offering</w:t>
            </w:r>
          </w:p>
        </w:tc>
        <w:tc>
          <w:tcPr>
            <w:tcW w:w="164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After the Offering</w:t>
            </w:r>
          </w:p>
        </w:tc>
      </w:tr>
      <w:tr>
        <w:trPr>
          <w:trHeight w:val="158"/>
        </w:trPr>
        <w:tc>
          <w:tcPr>
            <w:tcW w:w="72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5% Stockholders:</w:t>
            </w:r>
          </w:p>
        </w:tc>
        <w:tc>
          <w:tcPr>
            <w:tcW w:w="12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Entities affiliated with TPG (1)</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Entities affiliated with Alta BioPharma Partners (2)</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Entities affiliated with InterWest Partners (3)</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Entities affiliated with MPM BioVentures (4)</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Caisse de dépôt et placement du Québec (5)</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Ventures West 8 Limited Partnership (6)</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50"/>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1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68"/>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Eran Nadav, Ph.D. (8)</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Edward Hurwitz (9)</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Arnold Oronsky, Ph.D. (10)</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Michael Steinmetz, Ph.D. (11)</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Kenneth Galbraith (7)</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Paulo Costa (12)</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Scott Koenig, M.D., Ph.D. (13)</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7260" w:type="dxa"/>
            <w:vAlign w:val="bottom"/>
            <w:gridSpan w:val="2"/>
          </w:tcPr>
          <w:p>
            <w:pPr>
              <w:ind w:left="340"/>
              <w:spacing w:after="0"/>
              <w:rPr>
                <w:sz w:val="20"/>
                <w:szCs w:val="20"/>
                <w:color w:val="auto"/>
              </w:rPr>
            </w:pPr>
            <w:r>
              <w:rPr>
                <w:rFonts w:ascii="Arial" w:cs="Arial" w:eastAsia="Arial" w:hAnsi="Arial"/>
                <w:sz w:val="14"/>
                <w:szCs w:val="14"/>
                <w:color w:val="auto"/>
              </w:rPr>
              <w:t>Anastasia Daifotis, M.D. (14)</w:t>
            </w: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Ezio Bonvini, M.D. (15)</w:t>
            </w:r>
          </w:p>
        </w:tc>
        <w:tc>
          <w:tcPr>
            <w:tcW w:w="1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49"/>
        </w:trPr>
        <w:tc>
          <w:tcPr>
            <w:tcW w:w="726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(15 persons) (16)</w:t>
            </w:r>
          </w:p>
        </w:tc>
        <w:tc>
          <w:tcPr>
            <w:tcW w:w="1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2961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15" cy="6350"/>
                    </a:xfrm>
                    <a:prstGeom prst="rect">
                      <a:avLst/>
                    </a:prstGeom>
                    <a:noFill/>
                  </pic:spPr>
                </pic:pic>
              </a:graphicData>
            </a:graphic>
          </wp:anchor>
        </w:drawing>
      </w:r>
    </w:p>
    <w:p>
      <w:pPr>
        <w:spacing w:after="0" w:line="89" w:lineRule="exact"/>
        <w:rPr>
          <w:sz w:val="20"/>
          <w:szCs w:val="20"/>
          <w:color w:val="auto"/>
        </w:rPr>
      </w:pPr>
    </w:p>
    <w:p>
      <w:pPr>
        <w:ind w:left="460" w:hanging="456"/>
        <w:spacing w:after="0"/>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Indicates ownership of less than 1%.</w:t>
      </w:r>
    </w:p>
    <w:p>
      <w:pPr>
        <w:spacing w:after="0" w:line="12" w:lineRule="exact"/>
        <w:rPr>
          <w:sz w:val="20"/>
          <w:szCs w:val="20"/>
          <w:color w:val="auto"/>
        </w:rPr>
      </w:pPr>
    </w:p>
    <w:p>
      <w:pPr>
        <w:ind w:left="460" w:right="120" w:hanging="456"/>
        <w:spacing w:after="0" w:line="258"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21,352,187 shares of common stock issuable upon conversion of Series B Preferred Stock, (ii) 19,724,839 shares of common stock issuable upon conversion of Series C Preferred Stock, (iii) 383,376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60"/>
          </w:cols>
          <w:pgMar w:left="220" w:top="386" w:right="21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40"/>
        <w:spacing w:after="0" w:line="291" w:lineRule="auto"/>
        <w:rPr>
          <w:sz w:val="20"/>
          <w:szCs w:val="20"/>
          <w:color w:val="auto"/>
        </w:rPr>
      </w:pPr>
      <w:r>
        <w:rPr>
          <w:rFonts w:ascii="Arial" w:cs="Arial" w:eastAsia="Arial" w:hAnsi="Arial"/>
          <w:sz w:val="12"/>
          <w:szCs w:val="12"/>
          <w:color w:val="auto"/>
        </w:rPr>
        <w:t>shares of common stock issuable upon conversion of Series D-2 Preferred Stock and (iv) shares of common stock issuable upon conversion of Series D-2 Preferred Stock underlying warrants to purchase our Series D-2 Preferred Stock exercisable within 60 days after June 30, 2013 held of record by entities affiliated with TPG. TPG Biotechnology Partners, L.P., a Delaware limited partnership, whose general partners is TPG biotechnology GenPar, L.P., a Delaware limited partnership, whose general partner is TPG Biotechnology GenPar Advisors, LLC, a Delaware limited liability company (“Biotechnology GenPar Advisors”), and (ii) TPG Ventures, L.P., a Delaware limited partnership, whose general partner is TPG Ventures GenPar Advisors LLC, a Delaware limited liability company (“Ventures GenPar Advisors”) are collectively referred to as the entities affiliated with TPG. The sole member of each of Biotechnology GenPar Advisors and Ventures GenPar Advisors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Dr. Nadav, a member of our board of directors, may be deemed to share voting and investment power with respect to the shares held by TPG Ventures, L.P. and TPG Biotechnology Partners, L.P. Dr. Nadav disclaims beneficial ownership of the shares owned by these funds, except to the extent of his pecuniary interest therein. The address for TPG Ventures affiliated entities is 345 California Street, Suite 3300, San Francisco, California 94104.</w:t>
      </w:r>
    </w:p>
    <w:p>
      <w:pPr>
        <w:spacing w:after="0" w:line="4" w:lineRule="exact"/>
        <w:rPr>
          <w:sz w:val="20"/>
          <w:szCs w:val="20"/>
          <w:color w:val="auto"/>
        </w:rPr>
      </w:pPr>
    </w:p>
    <w:p>
      <w:pPr>
        <w:ind w:left="460" w:hanging="456"/>
        <w:spacing w:after="0"/>
        <w:tabs>
          <w:tab w:leader="none" w:pos="4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Consists of (i) 21,352,186 shares of common stock issuable upon conversion of Series B Preferred Stock, (ii) 12,328,024 shares of common stock issuable upon conversion of Series C Preferred Stock,</w:t>
      </w:r>
    </w:p>
    <w:p>
      <w:pPr>
        <w:spacing w:after="0" w:line="29" w:lineRule="exact"/>
        <w:rPr>
          <w:sz w:val="20"/>
          <w:szCs w:val="20"/>
          <w:color w:val="auto"/>
        </w:rPr>
      </w:pPr>
    </w:p>
    <w:p>
      <w:pPr>
        <w:ind w:left="460" w:right="20"/>
        <w:spacing w:after="0" w:line="297" w:lineRule="auto"/>
        <w:rPr>
          <w:sz w:val="20"/>
          <w:szCs w:val="20"/>
          <w:color w:val="auto"/>
        </w:rPr>
      </w:pPr>
      <w:r>
        <w:rPr>
          <w:rFonts w:ascii="Arial" w:cs="Arial" w:eastAsia="Arial" w:hAnsi="Arial"/>
          <w:sz w:val="12"/>
          <w:szCs w:val="12"/>
          <w:color w:val="auto"/>
        </w:rPr>
        <w:t>(iii) 3,833,767 shares of common stock issuable upon conversion of Series D-2 Preferred Stock and (iv) shares of common stock issuable upon conversion of Series D-2 Preferred Stock underlying warrants to purchase our Series D-2 Preferred Stock exercisable within 60 days after June 30, 2013 held of record by entities affiliated with Alta BioPharma Partners. Alta BioPharma Partners, L.P., Alta BioPharma Partners III GmbH &amp; Co. Beteiligings KG and Alta Embarcadero BioPharma Partners III, LLC are collectively referred to as the entities affiliated with Alta BioPharma Partners. The directors of Alta BioPharma Management Partners III, LLC, which is the general partner of Alta Biopharma Partners III, L.P., the managing limited partner of Alta Biopharma Partners III GmbH &amp; Co. Beteiligungs KG, and the manager of Alta Embarcadero Biopharma Partners III, LLC, exercise sole dispositive and voting power over the shares owned by the entities affiliated with Alta BioPharma Partners. Edward Hurwitz, one of our directors, Farah Champsi and Edward Penhoet are directors of Alta BioPharma Management Partners III, LLC and managers of Alta Embarcadero Biopharma Partners III, LLC. These individuals may be deemed to share dispositive and voting power over the shares held by the entities affiliated with Alta BioPharma Partners. Each of these individuals disclaims beneficial ownership of such shares except to the extent of his or her pecuniary interest therein. The principal address for the entities affiliated with Alta BioPharma Partners is One Embarcadero Center, Suite 3700, San Francisco, CA 94111.</w:t>
      </w:r>
    </w:p>
    <w:p>
      <w:pPr>
        <w:spacing w:after="0" w:line="138" w:lineRule="exact"/>
        <w:rPr>
          <w:sz w:val="20"/>
          <w:szCs w:val="20"/>
          <w:color w:val="auto"/>
        </w:rPr>
      </w:pPr>
    </w:p>
    <w:p>
      <w:pPr>
        <w:ind w:left="460" w:hanging="456"/>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(i) 18,075,905 shares of common stock issuable upon conversion of Series A-1 Preferred Stock, (ii) 11,551,327 shares of common stock issuable upon conversion of Series B Preferred Stock</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(iii) 5,547,611 shares of common stock issuable upon conversion of Series C Preferred Stock (iv) 613,402 shares of common stock issuable upon conversion of Series D-2 Preferred Stock and</w:t>
      </w:r>
    </w:p>
    <w:p>
      <w:pPr>
        <w:spacing w:after="0" w:line="29" w:lineRule="exact"/>
        <w:rPr>
          <w:sz w:val="20"/>
          <w:szCs w:val="20"/>
          <w:color w:val="auto"/>
        </w:rPr>
      </w:pPr>
    </w:p>
    <w:p>
      <w:pPr>
        <w:ind w:left="460" w:hanging="7"/>
        <w:spacing w:after="0" w:line="299" w:lineRule="auto"/>
        <w:tabs>
          <w:tab w:leader="none" w:pos="1094" w:val="left"/>
        </w:tabs>
        <w:numPr>
          <w:ilvl w:val="0"/>
          <w:numId w:val="97"/>
        </w:numPr>
        <w:rPr>
          <w:rFonts w:ascii="Arial" w:cs="Arial" w:eastAsia="Arial" w:hAnsi="Arial"/>
          <w:sz w:val="12"/>
          <w:szCs w:val="12"/>
          <w:color w:val="auto"/>
        </w:rPr>
      </w:pPr>
      <w:r>
        <w:rPr>
          <w:rFonts w:ascii="Arial" w:cs="Arial" w:eastAsia="Arial" w:hAnsi="Arial"/>
          <w:sz w:val="12"/>
          <w:szCs w:val="12"/>
          <w:color w:val="auto"/>
        </w:rPr>
        <w:t>shares of common stock issuable upon conversion of Series D-2 Preferred Stock underlying warrants to purchase our Series D-2 Preferred Stock exercisable within 60 days after June 30, 2013 held of record by entities affiliated with InterWest Partners. InterWest Partners VIII, L.P. (“IW8”), InterWest Investors Q VIII, L.P., and InterWest Investors VIII, L.P. are collectively referred to as the entities affiliated with InterWest Partners. InterWest Management Partners VIII, LLC (“IMP8”) is the general partner of the entities affiliated with InterWest Partners and has sole voting and investment control over the shares held by the entities affiliated with InterWest Partners. Harvey B. Cash, Philip T. Gianos, W. Scott Hedrick, W. Stephen Holmes, Gilbert H. Kliman and Arnold L. Oronsky, a member of our board of directors, are the managing directors of IMP8. Each of the managing directors share voting and investment control with respect to the shares held by the entities affiliated with InterWest Partners. Dr. Oronsky disclaims beneficial ownership of all shares held by the entities affiliated with InterWest Partners except to the extent of his pecuniary interest therein. The address for these entities is c/o InterWest Partners, 2710 Sand Hill Road, Suite 200, Menlo Park, California 94025.</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20"/>
          </w:cols>
          <w:pgMar w:left="220" w:top="386" w:right="25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20" w:hanging="456"/>
        <w:spacing w:after="0" w:line="291" w:lineRule="auto"/>
        <w:tabs>
          <w:tab w:leader="none" w:pos="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Consists of (i) 15,061,999 shares of common stock issuable upon conversion of Series A-1 Preferred Stock, (ii) 9,743,982 shares of common stock issuable upon conversion of Series B Preferred Stock and (iii) 8,629,617 shares of common stock issuable upon conversion of Series C Preferred Stock held of record by entities affiliated with MPM. MPM BioVentures II, L.P., MPM BioVentures II-QP, L.P., MPM BioVentures GmbH &amp; Co. Parallel-Beteiligungs KG, MPM Asset Management Investors 2000B LLC and MPM BioVentures IV Strategic Fund, L.P. are collectively referred to as the entities affiliated with MPM. MPM Asset Management II L.P. is the general partner of MPM BioVentures II, L.P. and MPM BioVentures II-QP, L.P. and the special limited partner of MPM BioVentures GmbH &amp; Co. Parallel-Beteiligungs KG. MPM BioVentures II LLC is the general partner of MPM Asset Management II L.P. Ansbert Gadicke, Luke Evnin, Nicholas Galakatos, Michael Steinmetz and Kurt Wheeler are the investment managers of MPM BioVentures II LLC and MPM Asset Management Investors 2000B LLC and share voting and dispositive power over the shares held by MPM BioVentures II, L.P., MPM BioVentures II-QP, L.P., MPM BioVentures GmbH &amp; Co. Parallel-Beteiligungs KG and MPM Asset Management Investors 2000B LLC. MPM BioVentures IV GP LLC is the general partner of MPM BioVentures IV Strategic Fund, L.P. MPM BioVentures IV LLC is the Managing Member of MPM BioVentures IV GP LLC. Ansbert Gadicke, Luke Evnin, Todd Foley, Vaughn Kailian, Jim Scopa and John Vander Vort are members of MPM BioVentures IV LLC and share voting and dispositive power over the shares held by MPM BioVentures IV Strategic Fund, L.P. Each individual identified in this footnote disclaims beneficial ownership of the shares except to the extent of his respective proportionate pecuniary interest in such shares. The address for the entities affiliated with MPM is 200 Clarendon Street, 54th Floor, Boston, MA 02116.</w:t>
      </w:r>
    </w:p>
    <w:p>
      <w:pPr>
        <w:spacing w:after="0" w:line="4" w:lineRule="exact"/>
        <w:rPr>
          <w:rFonts w:ascii="Arial" w:cs="Arial" w:eastAsia="Arial" w:hAnsi="Arial"/>
          <w:sz w:val="12"/>
          <w:szCs w:val="12"/>
          <w:color w:val="auto"/>
        </w:rPr>
      </w:pPr>
    </w:p>
    <w:p>
      <w:pPr>
        <w:ind w:left="460" w:right="60" w:hanging="456"/>
        <w:spacing w:after="0" w:line="249" w:lineRule="auto"/>
        <w:tabs>
          <w:tab w:leader="none" w:pos="4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24,656,048 shares of common stock issuable upon conversion of Series C Preferred Stock held of record by Caisse de dépôt et placement du Québec, or CDP. An investment committee has voting and dispositive power over the shares held by Caisse de dépôt et placement du Québec. The members of the investment committee are Pierre Pharand, Claude Lafond, Anne-Marie Laberge, Manon Hamel, François Libotte, Michel Paquette, Jérôme Marquis, Martin Garand and Mohamed Kortas. Each committee member disclaims beneficial ownership of such shares, except to the extent of any pecuniary interest therein.</w:t>
      </w:r>
    </w:p>
    <w:p>
      <w:pPr>
        <w:ind w:left="460" w:hanging="456"/>
        <w:spacing w:after="0"/>
        <w:tabs>
          <w:tab w:leader="none" w:pos="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Consists of (i) 19,724,839 shares of common stock issuable upon conversion of Series C Preferred Stock, (ii) 3,833,767 shares of common stock issuable upon conversion of Series D-2 Preferred Stock</w:t>
      </w:r>
    </w:p>
    <w:p>
      <w:pPr>
        <w:spacing w:after="0" w:line="29" w:lineRule="exact"/>
        <w:rPr>
          <w:sz w:val="20"/>
          <w:szCs w:val="20"/>
          <w:color w:val="auto"/>
        </w:rPr>
      </w:pPr>
    </w:p>
    <w:p>
      <w:pPr>
        <w:ind w:left="460"/>
        <w:spacing w:after="0" w:line="249" w:lineRule="auto"/>
        <w:rPr>
          <w:sz w:val="20"/>
          <w:szCs w:val="20"/>
          <w:color w:val="auto"/>
        </w:rPr>
      </w:pPr>
      <w:r>
        <w:rPr>
          <w:rFonts w:ascii="Arial" w:cs="Arial" w:eastAsia="Arial" w:hAnsi="Arial"/>
          <w:sz w:val="14"/>
          <w:szCs w:val="14"/>
          <w:color w:val="auto"/>
        </w:rPr>
        <w:t>and (iii) shares of common stock issuable upon conversion of Series D-2 Preferred Stock underlying warrants to purchase our Series D-2 Preferred Stock exercisable within 60 days after June 30, 2013 held of record by Ventures West 8 Limited Partnership. Kenneth Galbraith is General Partner and Senior Vice President of Ventures West 8 Management Ltd., the general partner of the stockholder. Mr. Galbraith, one of our directors, along with the other partners of Ventures West 8 Management, Inc., have sole voting and investment control over the interest owned by Ventures West 8 Limited Partnership and disclaims beneficial ownership of such shares except to the extent of any pecuniary interest therein. The address for Ventures West 8 Limited Partnership is Suite 400-999 West Hastings Street, Vancouver, BC, V6C 2W2.</w:t>
      </w:r>
    </w:p>
    <w:p>
      <w:pPr>
        <w:spacing w:after="0" w:line="1" w:lineRule="exact"/>
        <w:rPr>
          <w:sz w:val="20"/>
          <w:szCs w:val="20"/>
          <w:color w:val="auto"/>
        </w:rPr>
      </w:pPr>
    </w:p>
    <w:p>
      <w:pPr>
        <w:jc w:val="both"/>
        <w:ind w:left="460" w:right="120" w:hanging="456"/>
        <w:spacing w:after="0" w:line="249" w:lineRule="auto"/>
        <w:tabs>
          <w:tab w:leader="none" w:pos="4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the shares described in footnote (6) above. Mr. Galbraith is a General Partner of Ventures West Capital Ltd., and as such Mr. Galbraith may be deemed to share voting and dispositive power with respect to all shares held by these entities. Mr. Galbraith disclaims beneficial ownership of such shares except to the extent of any pecuniary interest therein. Mr. Galbraith’s business address is c/o Ventures West 8 Limited Partnership, Suite 400-999 West Hastings Street, Vancouver, BC, V6C 2W2.</w:t>
      </w:r>
    </w:p>
    <w:p>
      <w:pPr>
        <w:jc w:val="both"/>
        <w:ind w:left="460" w:right="140" w:hanging="456"/>
        <w:spacing w:after="0" w:line="249" w:lineRule="auto"/>
        <w:tabs>
          <w:tab w:leader="none" w:pos="4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the shares described in footnote (1) above. Dr. Nadav is Managing Director of TPG Biotech, and as such Dr. Nadav may be deemed to share voting and dispositive power with respect to all shares held by these entities. Dr. Nadav disclaims beneficial ownership of such shares except to the extent of any pecuniary interest therein. Dr. Nadav’s business address is 345 California Street, Suite 2600, San Francisco, California 94104.</w:t>
      </w:r>
    </w:p>
    <w:p>
      <w:pPr>
        <w:ind w:left="460" w:right="20" w:hanging="456"/>
        <w:spacing w:after="0" w:line="253" w:lineRule="auto"/>
        <w:tabs>
          <w:tab w:leader="none" w:pos="4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the shares described in footnote (2) above. Mr. Hurwitz is a director of Alta BioPharma Management Partners III, LLC and , and as such Mr. Hurwitz may be deemed to share voting and dispositive power with respect to all shares held by these entities. Mr. Hurwitz disclaims beneficial ownership of such shares except to the extent of any pecuniary interest therein. Mr. Hurwitz’s business address is c/o Alta BioPharma Partners, One Embarcadero Center, Suite 3700, San Francisco, CA 94111.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60"/>
          </w:cols>
          <w:pgMar w:left="220" w:top="386" w:right="21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60" w:hanging="456"/>
        <w:spacing w:after="0" w:line="252" w:lineRule="auto"/>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the shares described in footnote (3) above. Dr. Oronsky is Managing Director of the general partner of the entities affiliated with InterWest Partners, and as such Dr. Oronsky may be deemed to share voting and dispositive power with respect to all shares held by these entities. Dr. Oronsky disclaims beneficial ownership of such shares except to the extent of any pecuniary interest therein. Dr. Oronsky’s business address is c/o InterWest Partners, 2710 Sand Hill Road, Suite 200, Menlo Park, California 94025.</w:t>
      </w:r>
    </w:p>
    <w:p>
      <w:pPr>
        <w:ind w:left="460" w:right="180" w:hanging="456"/>
        <w:spacing w:after="0" w:line="290" w:lineRule="auto"/>
        <w:tabs>
          <w:tab w:leader="none" w:pos="4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Consists of the shares described in footnote (4) above. Dr. Steinmetz is an Investment Manager of MPM Asset Management II, L.P. and MPM Asset Management Investors 2000B LLC, and as such Dr. Steinmetz may be deemed to share voting and dispositive power with respect to all shares held by these entities. Dr. Steinmetz disclaims beneficial ownership of such shares except to the extent of any pecuniary interest therein. Dr. Steinmetz’s business address is c/o MPM BioVentures, 200 Clarendon Street, 54th Floor, Boston, Massachusetts 02116.</w:t>
      </w:r>
    </w:p>
    <w:p>
      <w:pPr>
        <w:spacing w:after="0" w:line="1" w:lineRule="exact"/>
        <w:rPr>
          <w:rFonts w:ascii="Arial" w:cs="Arial" w:eastAsia="Arial" w:hAnsi="Arial"/>
          <w:sz w:val="12"/>
          <w:szCs w:val="12"/>
          <w:color w:val="auto"/>
        </w:rPr>
      </w:pPr>
    </w:p>
    <w:p>
      <w:pPr>
        <w:ind w:left="460" w:hanging="456"/>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928,093 shares of common stock.</w:t>
      </w:r>
    </w:p>
    <w:p>
      <w:pPr>
        <w:spacing w:after="0" w:line="6" w:lineRule="exact"/>
        <w:rPr>
          <w:rFonts w:ascii="Arial" w:cs="Arial" w:eastAsia="Arial" w:hAnsi="Arial"/>
          <w:sz w:val="14"/>
          <w:szCs w:val="14"/>
          <w:color w:val="auto"/>
        </w:rPr>
      </w:pPr>
    </w:p>
    <w:p>
      <w:pPr>
        <w:jc w:val="both"/>
        <w:ind w:left="460" w:hanging="456"/>
        <w:spacing w:after="0" w:line="290" w:lineRule="auto"/>
        <w:tabs>
          <w:tab w:leader="none" w:pos="4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Consists of (i) 1,000,000 shares of common stock, (ii) 12,037,983 shares of common stock owned jointly by Dr. Koenig and his spouse, of which Dr. Koenig has shared voting and dispositive power, (iii) 1,000,000 shares of common stock held by the Scott Koenig Family Trust, an irrevocable trust, of which Dr. Koenig’s spouse and brother-in-law are co-trustees, and of which Dr. Koenig may be deemed to have shared voting and dispositive power, and (iv) 7,205,331 shares of common stock issuable upon the exercise of options exercisable within 60 days after June 30, 2013.</w:t>
      </w:r>
    </w:p>
    <w:p>
      <w:pPr>
        <w:spacing w:after="0" w:line="1" w:lineRule="exact"/>
        <w:rPr>
          <w:rFonts w:ascii="Arial" w:cs="Arial" w:eastAsia="Arial" w:hAnsi="Arial"/>
          <w:sz w:val="12"/>
          <w:szCs w:val="12"/>
          <w:color w:val="auto"/>
        </w:rPr>
      </w:pPr>
    </w:p>
    <w:p>
      <w:pPr>
        <w:ind w:left="460" w:hanging="456"/>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2,750,000 shares of common stock issuable upon the exercise of options exercisable within 60 days after June 30, 2013.</w:t>
      </w:r>
    </w:p>
    <w:p>
      <w:pPr>
        <w:spacing w:after="0" w:line="6" w:lineRule="exact"/>
        <w:rPr>
          <w:rFonts w:ascii="Arial" w:cs="Arial" w:eastAsia="Arial" w:hAnsi="Arial"/>
          <w:sz w:val="14"/>
          <w:szCs w:val="14"/>
          <w:color w:val="auto"/>
        </w:rPr>
      </w:pPr>
    </w:p>
    <w:p>
      <w:pPr>
        <w:ind w:left="460" w:hanging="456"/>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3,380,344 shares of common stock issuable upon the exercise of options exercisable within 60 days after June 30, 2013.</w:t>
      </w:r>
    </w:p>
    <w:p>
      <w:pPr>
        <w:spacing w:after="0" w:line="6" w:lineRule="exact"/>
        <w:rPr>
          <w:rFonts w:ascii="Arial" w:cs="Arial" w:eastAsia="Arial" w:hAnsi="Arial"/>
          <w:sz w:val="14"/>
          <w:szCs w:val="14"/>
          <w:color w:val="auto"/>
        </w:rPr>
      </w:pPr>
    </w:p>
    <w:p>
      <w:pPr>
        <w:ind w:left="460" w:hanging="456"/>
        <w:spacing w:after="0" w:line="290" w:lineRule="auto"/>
        <w:tabs>
          <w:tab w:leader="none" w:pos="4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Consists of (i) 33,137,904 shares of common stock issuable upon conversion of Series A-1 Preferred Stock, (ii) 63,999,682 shares of common stock issuable upon conversion of Series B Preferred Stock, (iii) 90,610,978 shares of common stock issuable upon conversion of Series C Preferred Stock, (iv) 8,664,312 shares of common stock issuable upon conversion of Series D-2 Preferred Stock,</w:t>
      </w:r>
    </w:p>
    <w:p>
      <w:pPr>
        <w:spacing w:after="0" w:line="1" w:lineRule="exact"/>
        <w:rPr>
          <w:sz w:val="20"/>
          <w:szCs w:val="20"/>
          <w:color w:val="auto"/>
        </w:rPr>
      </w:pPr>
    </w:p>
    <w:p>
      <w:pPr>
        <w:ind w:left="460" w:right="280" w:hanging="7"/>
        <w:spacing w:after="0" w:line="341" w:lineRule="auto"/>
        <w:tabs>
          <w:tab w:leader="none" w:pos="109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shares of common stock issuable upon conversion of Series D-2 Preferred Stock underlying warrants to purchase our Series D-2 Preferred Stock exercisable within 60 days after June 30, 2013, (vi) 16,472,326 shares of common stock and (vii) 16,166,890 shares of common stock issuable upon the exercise of options exercisable within 60 days after June 30, 2013.</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60"/>
          </w:cols>
          <w:pgMar w:left="220" w:top="386" w:right="21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34" w:lineRule="exact"/>
        <w:rPr>
          <w:sz w:val="20"/>
          <w:szCs w:val="20"/>
          <w:color w:val="auto"/>
        </w:rPr>
      </w:pPr>
    </w:p>
    <w:p>
      <w:pPr>
        <w:ind w:right="40" w:firstLine="802"/>
        <w:spacing w:after="0" w:line="311" w:lineRule="auto"/>
        <w:rPr>
          <w:sz w:val="20"/>
          <w:szCs w:val="20"/>
          <w:color w:val="auto"/>
        </w:rPr>
      </w:pPr>
      <w:r>
        <w:rPr>
          <w:rFonts w:ascii="Arial" w:cs="Arial" w:eastAsia="Arial" w:hAnsi="Arial"/>
          <w:sz w:val="12"/>
          <w:szCs w:val="12"/>
          <w:color w:val="auto"/>
        </w:rPr>
        <w:t>The following description of our securities and provisions of our amended and restated certificate of incorporation and bylaws that we expect to become effective upon the closing of this offering is only a summary. You should also refer to the copies of our certificate and bylaws which have been filed with the Securities and Exchange Commission as exhibits to our registration statement, of which this prospectus forms a part. The description of common stock and preferred stock reflect changes to our capital structure that will occur upon the closing of this offering in accordance with the terms of the amended and restated certificate of incorporation that will be adopted by us immediately prior to the closing of this offering.</w:t>
      </w:r>
    </w:p>
    <w:p>
      <w:pPr>
        <w:spacing w:after="0" w:line="79" w:lineRule="exact"/>
        <w:rPr>
          <w:sz w:val="20"/>
          <w:szCs w:val="20"/>
          <w:color w:val="auto"/>
        </w:rPr>
      </w:pPr>
    </w:p>
    <w:p>
      <w:pPr>
        <w:ind w:left="800"/>
        <w:spacing w:after="0"/>
        <w:tabs>
          <w:tab w:leader="none" w:pos="5280" w:val="left"/>
          <w:tab w:leader="none" w:pos="8640" w:val="left"/>
        </w:tabs>
        <w:rPr>
          <w:sz w:val="20"/>
          <w:szCs w:val="20"/>
          <w:color w:val="auto"/>
        </w:rPr>
      </w:pPr>
      <w:r>
        <w:rPr>
          <w:rFonts w:ascii="Arial" w:cs="Arial" w:eastAsia="Arial" w:hAnsi="Arial"/>
          <w:sz w:val="14"/>
          <w:szCs w:val="14"/>
          <w:color w:val="auto"/>
        </w:rPr>
        <w:t>Upon the closing of this offering, our authorized capital stock will consist of</w:t>
      </w:r>
      <w:r>
        <w:rPr>
          <w:sz w:val="20"/>
          <w:szCs w:val="20"/>
          <w:color w:val="auto"/>
        </w:rPr>
        <w:tab/>
      </w:r>
      <w:r>
        <w:rPr>
          <w:rFonts w:ascii="Arial" w:cs="Arial" w:eastAsia="Arial" w:hAnsi="Arial"/>
          <w:sz w:val="14"/>
          <w:szCs w:val="14"/>
          <w:color w:val="auto"/>
        </w:rPr>
        <w:t>shares of common stock, par value $0.01 per share, and</w:t>
      </w:r>
      <w:r>
        <w:rPr>
          <w:sz w:val="20"/>
          <w:szCs w:val="20"/>
          <w:color w:val="auto"/>
        </w:rPr>
        <w:tab/>
      </w:r>
      <w:r>
        <w:rPr>
          <w:rFonts w:ascii="Arial" w:cs="Arial" w:eastAsia="Arial" w:hAnsi="Arial"/>
          <w:sz w:val="12"/>
          <w:szCs w:val="12"/>
          <w:color w:val="auto"/>
        </w:rPr>
        <w:t>shares of preferred stock, par value $0.01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34"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color w:val="auto"/>
        </w:rPr>
        <w:t>Currently, we are authorized to issue 425,000,000 shares of common stock. At June 30, 2013, 36,836,099 shares of common stock were deemed outstanding and held of record by 140 holders. Under the amended and restated certificate of incorporation and bylaws, holders of common stock do not have cumulative voting rights. Holders of shares representing a majority of the voting power of common stock can elect all of the directors. The holders of the remaining shares will not be able to elect any directors. The shares of common stock offered by this prospectus, when issued, will be fully paid and non-assessable and will not be subject to any redemption or sinking fund provisions. Holders of common stock do not have any preemptive, subscription or conversion rights.</w:t>
      </w:r>
    </w:p>
    <w:p>
      <w:pPr>
        <w:spacing w:after="0" w:line="79" w:lineRule="exact"/>
        <w:rPr>
          <w:sz w:val="20"/>
          <w:szCs w:val="20"/>
          <w:color w:val="auto"/>
        </w:rPr>
      </w:pPr>
    </w:p>
    <w:p>
      <w:pPr>
        <w:jc w:val="both"/>
        <w:ind w:right="80" w:firstLine="802"/>
        <w:spacing w:after="0" w:line="311" w:lineRule="auto"/>
        <w:rPr>
          <w:sz w:val="20"/>
          <w:szCs w:val="20"/>
          <w:color w:val="auto"/>
        </w:rPr>
      </w:pPr>
      <w:r>
        <w:rPr>
          <w:rFonts w:ascii="Arial" w:cs="Arial" w:eastAsia="Arial" w:hAnsi="Arial"/>
          <w:sz w:val="12"/>
          <w:szCs w:val="12"/>
          <w:color w:val="auto"/>
        </w:rPr>
        <w:t>Holders of common stock are entitled to receive dividends declared by the board of directors out of legally available funds, subject to the rights of preferred stockholders, if any, and the terms of any future agreements between us and our lenders, if any. We presently intend to retain future earnings, if any, for use in the operation and expansion of our business. We do not anticipate paying cash dividends on our common stock in the foreseeable future. See “Dividend Policy.” In the event of our liquidation, dissolution or winding up, common stockholders are entitled to share ratably in all assets legally available for distribution after payment of all debts and other liabilities, and subject to the prior rights of any holders of outstanding shares of preferred stock, if any.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Currently, we are authorized to issue 321,592,828 shares of preferred stock. As of June 30, 2013, there were 294,720,231 shares of preferred stock held by 77 stockholders of record. Upon</w:t>
      </w:r>
    </w:p>
    <w:p>
      <w:pPr>
        <w:spacing w:after="0" w:line="35" w:lineRule="exact"/>
        <w:rPr>
          <w:sz w:val="20"/>
          <w:szCs w:val="20"/>
          <w:color w:val="auto"/>
        </w:rPr>
      </w:pPr>
    </w:p>
    <w:p>
      <w:pPr>
        <w:spacing w:after="0"/>
        <w:tabs>
          <w:tab w:leader="none" w:pos="4500" w:val="left"/>
        </w:tabs>
        <w:rPr>
          <w:sz w:val="20"/>
          <w:szCs w:val="20"/>
          <w:color w:val="auto"/>
        </w:rPr>
      </w:pPr>
      <w:r>
        <w:rPr>
          <w:rFonts w:ascii="Arial" w:cs="Arial" w:eastAsia="Arial" w:hAnsi="Arial"/>
          <w:sz w:val="14"/>
          <w:szCs w:val="14"/>
          <w:color w:val="auto"/>
        </w:rPr>
        <w:t>completion of this offering, all shares of our preferred stock will convert into</w:t>
      </w:r>
      <w:r>
        <w:rPr>
          <w:sz w:val="20"/>
          <w:szCs w:val="20"/>
          <w:color w:val="auto"/>
        </w:rPr>
        <w:tab/>
      </w:r>
      <w:r>
        <w:rPr>
          <w:rFonts w:ascii="Arial" w:cs="Arial" w:eastAsia="Arial" w:hAnsi="Arial"/>
          <w:sz w:val="12"/>
          <w:szCs w:val="12"/>
          <w:color w:val="auto"/>
        </w:rPr>
        <w:t>shares of our common stock. See Note 4 of Notes to Consolidated Financial Statements.</w:t>
      </w:r>
    </w:p>
    <w:p>
      <w:pPr>
        <w:spacing w:after="0" w:line="126" w:lineRule="exact"/>
        <w:rPr>
          <w:sz w:val="20"/>
          <w:szCs w:val="20"/>
          <w:color w:val="auto"/>
        </w:rPr>
      </w:pPr>
    </w:p>
    <w:p>
      <w:pPr>
        <w:ind w:left="800"/>
        <w:spacing w:after="0"/>
        <w:tabs>
          <w:tab w:leader="none" w:pos="7760" w:val="left"/>
        </w:tabs>
        <w:rPr>
          <w:sz w:val="20"/>
          <w:szCs w:val="20"/>
          <w:color w:val="auto"/>
        </w:rPr>
      </w:pPr>
      <w:r>
        <w:rPr>
          <w:rFonts w:ascii="Arial" w:cs="Arial" w:eastAsia="Arial" w:hAnsi="Arial"/>
          <w:sz w:val="14"/>
          <w:szCs w:val="14"/>
          <w:color w:val="auto"/>
        </w:rPr>
        <w:t>Upon the closing of this offering, the board of directors will be authorized to issue from time to time up to an aggregate of</w:t>
      </w:r>
      <w:r>
        <w:rPr>
          <w:sz w:val="20"/>
          <w:szCs w:val="20"/>
          <w:color w:val="auto"/>
        </w:rPr>
        <w:tab/>
      </w:r>
      <w:r>
        <w:rPr>
          <w:rFonts w:ascii="Arial" w:cs="Arial" w:eastAsia="Arial" w:hAnsi="Arial"/>
          <w:sz w:val="12"/>
          <w:szCs w:val="12"/>
          <w:color w:val="auto"/>
        </w:rPr>
        <w:t>shares of preferred stock in one or more series and to fix or alter</w:t>
      </w:r>
    </w:p>
    <w:p>
      <w:pPr>
        <w:spacing w:after="0" w:line="12"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the designations, preferences, rights and any qualifications, limitations or restrictions of the shares of each of these series, including the dividend rights, dividend rates, conversion rights, voting rights, term of redemption, including sinking fund provisions, redemption price or prices, liquidation preferences and the number of shares constituting any series or designations of a series without further vote or action by the stockholders. The issuance of preferred stock may have the effect of delaying, deferring or preventing a change in control of us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We currently have no plans to issue any shares of preferred stock.</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We believe that the ability to issue preferred stock without the expense and delay of a special stockholders’ meeting will provide us with increased flexibility in structuring possible future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financings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60"/>
          </w:cols>
          <w:pgMar w:left="220" w:top="386" w:right="21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acquisitions, and in meeting other corporate needs that might arise. This also permits the board of directors to issue preferred stock containing terms which could impede the completion of a takeover attempt, subject to limitations imposed by the securities laws. The board of directors will make any determination to issue these shares based on its judgment as to the best interests of our company and our stockholders at the time of issuance. This could discourage an acquisition attempt or other transaction which stockholders might believe to be in their best interests or in which they might receive a premium for their stock over the then market price of the stock.</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134" w:lineRule="exact"/>
        <w:rPr>
          <w:sz w:val="20"/>
          <w:szCs w:val="20"/>
          <w:color w:val="auto"/>
        </w:rPr>
      </w:pPr>
    </w:p>
    <w:p>
      <w:pPr>
        <w:ind w:right="60" w:firstLine="802"/>
        <w:spacing w:after="0" w:line="299" w:lineRule="auto"/>
        <w:rPr>
          <w:sz w:val="20"/>
          <w:szCs w:val="20"/>
          <w:color w:val="auto"/>
        </w:rPr>
      </w:pPr>
      <w:r>
        <w:rPr>
          <w:rFonts w:ascii="Arial" w:cs="Arial" w:eastAsia="Arial" w:hAnsi="Arial"/>
          <w:sz w:val="12"/>
          <w:szCs w:val="12"/>
          <w:color w:val="auto"/>
        </w:rPr>
        <w:t>We are subject to the provisions of Section 203 of the Delaware General Corporation Law. Subject to exceptions, Section 203 prohibits a publicly-held Delaware corporation from engaging in a “business combination” with an “interested stockholder” for a period of three years from the date of the transaction in which the person became an interested stockholder, unless the interested stockholder attained this status with the approval of the board of directors or unless the business combination is approved in a prescribed manner. A “business combination” includes mergers, asset sales and other transactions resulting in a financial benefit to the interested stockholder. Subject to exceptions, an “interested stockholder” is a person who, together with affiliates and associates, owns, or within three years did own, 15% or more of the corporation’s voting stock. This statute could prohibit or delay the accomplishment of mergers or other takeover or change in control attempts with respect to us and, accordingly, may discourage attempts to acquire us. Our amended and restated certificate of incorporation and bylaws, upon completion of this offering, will include a number of provisions that may make it more difficult to acquire control of us. These provisions could deprive stockholders of the opportunity to realize a premium on the shares of common stock owned by them. In addition, these provisions may adversely affect the prevailing market price of the stock and are intended to:</w:t>
      </w:r>
    </w:p>
    <w:p>
      <w:pPr>
        <w:spacing w:after="0" w:line="119" w:lineRule="exact"/>
        <w:rPr>
          <w:sz w:val="20"/>
          <w:szCs w:val="20"/>
          <w:color w:val="auto"/>
        </w:rPr>
      </w:pPr>
    </w:p>
    <w:p>
      <w:pPr>
        <w:ind w:left="1240" w:hanging="327"/>
        <w:spacing w:after="0"/>
        <w:tabs>
          <w:tab w:leader="none" w:pos="12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enhance the likelihood of continuity and stability in the composition of the board and in the policies formulated by the board;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discourage transactions which may involve an actual or threatened change in control of us;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discourage tactics that may be used in proxy fights;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encourage persons seeking to acquire control of us to consult first with the board of directors to negotiate the terms of any proposed business combination or offer; and</w:t>
      </w:r>
    </w:p>
    <w:p>
      <w:pPr>
        <w:spacing w:after="0" w:line="185" w:lineRule="exact"/>
        <w:rPr>
          <w:rFonts w:ascii="Arial" w:cs="Arial" w:eastAsia="Arial" w:hAnsi="Arial"/>
          <w:sz w:val="12"/>
          <w:szCs w:val="12"/>
          <w:color w:val="auto"/>
        </w:rPr>
      </w:pPr>
    </w:p>
    <w:p>
      <w:pPr>
        <w:ind w:left="1240" w:hanging="327"/>
        <w:spacing w:after="0"/>
        <w:tabs>
          <w:tab w:leader="none" w:pos="12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reduce our vulnerability to an unsolicited proposal for a takeover that does not contemplate the acquisition of all of our outstanding shares or that is otherwise unfair to our stockholders.</w:t>
      </w:r>
    </w:p>
    <w:p>
      <w:pPr>
        <w:spacing w:after="0" w:line="155"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i w:val="1"/>
          <w:iCs w:val="1"/>
          <w:color w:val="auto"/>
        </w:rPr>
        <w:t>Classified Board of Directors; Removal; Filling Vacancies and Amendment</w:t>
      </w:r>
      <w:r>
        <w:rPr>
          <w:rFonts w:ascii="Arial" w:cs="Arial" w:eastAsia="Arial" w:hAnsi="Arial"/>
          <w:sz w:val="14"/>
          <w:szCs w:val="14"/>
          <w:color w:val="auto"/>
        </w:rPr>
        <w:t>. Our amended and restated certificate of incorporation and bylaws will provide for the board to be divided into three</w:t>
      </w:r>
      <w:r>
        <w:rPr>
          <w:rFonts w:ascii="Arial" w:cs="Arial" w:eastAsia="Arial" w:hAnsi="Arial"/>
          <w:sz w:val="14"/>
          <w:szCs w:val="14"/>
          <w:i w:val="1"/>
          <w:iCs w:val="1"/>
          <w:color w:val="auto"/>
        </w:rPr>
        <w:t xml:space="preserve"> </w:t>
      </w:r>
      <w:r>
        <w:rPr>
          <w:rFonts w:ascii="Arial" w:cs="Arial" w:eastAsia="Arial" w:hAnsi="Arial"/>
          <w:sz w:val="14"/>
          <w:szCs w:val="14"/>
          <w:color w:val="auto"/>
        </w:rPr>
        <w:t>classes of directors serving staggered, three-year terms. The classification of the board has the effect of requiring at least two annual stockholder meetings, instead of one, to replace a majority of members of the board. Subject to the rights of the holders of any outstanding series of preferred stock, the amended and restated certificate of incorporation will authorize only the board to fill vacancies, including newly created directorships. Accordingly, this provision could prevent a stockholder from obtaining majority representation on the board by enlarging the board of directors and filling the new directorships with its own nominees. Our amended and restated certificate of incorporation will also provide that directors may be removed by stockholders only for cause and only by the affirmative vote of holders of two-thirds of the outstanding shares of voting stock.</w:t>
      </w:r>
    </w:p>
    <w:p>
      <w:pPr>
        <w:spacing w:after="0" w:line="114" w:lineRule="exact"/>
        <w:rPr>
          <w:sz w:val="20"/>
          <w:szCs w:val="20"/>
          <w:color w:val="auto"/>
        </w:rPr>
      </w:pPr>
    </w:p>
    <w:p>
      <w:pPr>
        <w:ind w:right="200" w:firstLine="802"/>
        <w:spacing w:after="0" w:line="258"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Cumulative voting for the election of directors will not be provided for in our amended and restated certificate of incorporation, which means that the holders of a majority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shares voted can elect all of the directors then standing for election. A director may be removed only for cause and only by the affirmative vote of the holders of at least 75% of the votes that all of our stockholders would be entitled to cast in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40"/>
          </w:cols>
          <w:pgMar w:left="220" w:top="386" w:right="2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an annual election of directors. Any vacancy on our board of directors, including a vacancy resulting from an enlargement of our board of directors, may be filled only by vote of a majority of our directors then in office.</w:t>
      </w:r>
    </w:p>
    <w:p>
      <w:pPr>
        <w:spacing w:after="0" w:line="101" w:lineRule="exact"/>
        <w:rPr>
          <w:sz w:val="20"/>
          <w:szCs w:val="20"/>
          <w:color w:val="auto"/>
        </w:rPr>
      </w:pPr>
    </w:p>
    <w:p>
      <w:pPr>
        <w:ind w:right="60" w:firstLine="802"/>
        <w:spacing w:after="0" w:line="321" w:lineRule="auto"/>
        <w:rPr>
          <w:sz w:val="20"/>
          <w:szCs w:val="20"/>
          <w:color w:val="auto"/>
        </w:rPr>
      </w:pPr>
      <w:r>
        <w:rPr>
          <w:rFonts w:ascii="Arial" w:cs="Arial" w:eastAsia="Arial" w:hAnsi="Arial"/>
          <w:sz w:val="12"/>
          <w:szCs w:val="12"/>
          <w:color w:val="auto"/>
        </w:rPr>
        <w:t>The Delaware General Corporation Law provides generally that, unless otherwise specified in a corporation’s certificate of incorporation or bylaws, the affirmative vote of a majority of the shares entitled to vote on any matter is required to approve such matter. Effective upon the completion of this offering, our bylaws may be amended or repealed by a majority vote of our board of directors or by the affirmative vote of the holders of at least 75% of the votes that all of our stockholders would be entitled to cast in any annual election of directors.</w:t>
      </w:r>
    </w:p>
    <w:p>
      <w:pPr>
        <w:spacing w:after="0" w:line="73"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i w:val="1"/>
          <w:iCs w:val="1"/>
          <w:color w:val="auto"/>
        </w:rPr>
        <w:t>Special Stockholder Meetings</w:t>
      </w:r>
      <w:r>
        <w:rPr>
          <w:rFonts w:ascii="Arial" w:cs="Arial" w:eastAsia="Arial" w:hAnsi="Arial"/>
          <w:sz w:val="12"/>
          <w:szCs w:val="12"/>
          <w:color w:val="auto"/>
        </w:rPr>
        <w:t>. Our amended and restated certificate of incorporation will provide that special meetings of the stockholders for any purpose or purposes, unless required by law,</w:t>
      </w:r>
      <w:r>
        <w:rPr>
          <w:rFonts w:ascii="Arial" w:cs="Arial" w:eastAsia="Arial" w:hAnsi="Arial"/>
          <w:sz w:val="12"/>
          <w:szCs w:val="12"/>
          <w:i w:val="1"/>
          <w:iCs w:val="1"/>
          <w:color w:val="auto"/>
        </w:rPr>
        <w:t xml:space="preserve"> </w:t>
      </w:r>
      <w:r>
        <w:rPr>
          <w:rFonts w:ascii="Arial" w:cs="Arial" w:eastAsia="Arial" w:hAnsi="Arial"/>
          <w:sz w:val="12"/>
          <w:szCs w:val="12"/>
          <w:color w:val="auto"/>
        </w:rPr>
        <w:t>shall only be called by the Chairman of the board of directors, a majority of the entire board of directors or the Chief Executive Officer. A special meeting of the stockholders may not be held absent a written request of this nature. The request shall state the purpose or purposes of the proposed meeting. This limitation on the right of stockholders to call a special meeting could make it more difficult for stockholders to initiate actions that are opposed by the board of directors. These actions could include the removal of an incumbent director or the election of a stockholder nominee as a director. They could also include the implementation of a rule requiring stockholder ratification of specific defensive strategies that have been adopted by the board of directors with respect to unsolicited takeover bids. In addition, the limited ability of the stockholders to call a special meeting of stockholders may make it more difficult to change the existing board and management.</w:t>
      </w:r>
    </w:p>
    <w:p>
      <w:pPr>
        <w:spacing w:after="0" w:line="86"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i w:val="1"/>
          <w:iCs w:val="1"/>
          <w:color w:val="auto"/>
        </w:rPr>
        <w:t xml:space="preserve">Advance Notice Requirements. </w:t>
      </w:r>
      <w:r>
        <w:rPr>
          <w:rFonts w:ascii="Arial" w:cs="Arial" w:eastAsia="Arial" w:hAnsi="Arial"/>
          <w:sz w:val="14"/>
          <w:szCs w:val="14"/>
          <w:color w:val="auto"/>
        </w:rPr>
        <w:t>Our bylaws will require advance notice by a stockholder of proposals relating to the nomination of candidates for election as directors or new business to be brought</w:t>
      </w:r>
      <w:r>
        <w:rPr>
          <w:rFonts w:ascii="Arial" w:cs="Arial" w:eastAsia="Arial" w:hAnsi="Arial"/>
          <w:sz w:val="14"/>
          <w:szCs w:val="14"/>
          <w:i w:val="1"/>
          <w:iCs w:val="1"/>
          <w:color w:val="auto"/>
        </w:rPr>
        <w:t xml:space="preserve"> </w:t>
      </w:r>
      <w:r>
        <w:rPr>
          <w:rFonts w:ascii="Arial" w:cs="Arial" w:eastAsia="Arial" w:hAnsi="Arial"/>
          <w:sz w:val="14"/>
          <w:szCs w:val="14"/>
          <w:color w:val="auto"/>
        </w:rPr>
        <w:t>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date. The notice must contain certain information specified in the bylaws.</w:t>
      </w:r>
    </w:p>
    <w:p>
      <w:pPr>
        <w:spacing w:after="0" w:line="110" w:lineRule="exact"/>
        <w:rPr>
          <w:sz w:val="20"/>
          <w:szCs w:val="20"/>
          <w:color w:val="auto"/>
        </w:rPr>
      </w:pPr>
    </w:p>
    <w:p>
      <w:pPr>
        <w:ind w:right="300" w:firstLine="802"/>
        <w:spacing w:after="0" w:line="267" w:lineRule="auto"/>
        <w:rPr>
          <w:sz w:val="20"/>
          <w:szCs w:val="20"/>
          <w:color w:val="auto"/>
        </w:rPr>
      </w:pPr>
      <w:r>
        <w:rPr>
          <w:rFonts w:ascii="Arial" w:cs="Arial" w:eastAsia="Arial" w:hAnsi="Arial"/>
          <w:sz w:val="14"/>
          <w:szCs w:val="14"/>
          <w:i w:val="1"/>
          <w:iCs w:val="1"/>
          <w:color w:val="auto"/>
        </w:rPr>
        <w:t>Written Consent</w:t>
      </w:r>
      <w:r>
        <w:rPr>
          <w:rFonts w:ascii="Arial" w:cs="Arial" w:eastAsia="Arial" w:hAnsi="Arial"/>
          <w:sz w:val="14"/>
          <w:szCs w:val="14"/>
          <w:color w:val="auto"/>
        </w:rPr>
        <w:t>. Our amended and restated certificate of incorporation will prohibit the taking of stockholder action by written consent without a meeting. These provisions will make it more</w:t>
      </w:r>
      <w:r>
        <w:rPr>
          <w:rFonts w:ascii="Arial" w:cs="Arial" w:eastAsia="Arial" w:hAnsi="Arial"/>
          <w:sz w:val="14"/>
          <w:szCs w:val="14"/>
          <w:i w:val="1"/>
          <w:iCs w:val="1"/>
          <w:color w:val="auto"/>
        </w:rPr>
        <w:t xml:space="preserve"> </w:t>
      </w:r>
      <w:r>
        <w:rPr>
          <w:rFonts w:ascii="Arial" w:cs="Arial" w:eastAsia="Arial" w:hAnsi="Arial"/>
          <w:sz w:val="14"/>
          <w:szCs w:val="14"/>
          <w:color w:val="auto"/>
        </w:rPr>
        <w:t>difficult for stockholders to take action opposed by the board of directors.</w:t>
      </w:r>
    </w:p>
    <w:p>
      <w:pPr>
        <w:spacing w:after="0" w:line="101" w:lineRule="exact"/>
        <w:rPr>
          <w:sz w:val="20"/>
          <w:szCs w:val="20"/>
          <w:color w:val="auto"/>
        </w:rPr>
      </w:pPr>
    </w:p>
    <w:p>
      <w:pPr>
        <w:ind w:right="20" w:firstLine="802"/>
        <w:spacing w:after="0" w:line="267" w:lineRule="auto"/>
        <w:rPr>
          <w:sz w:val="20"/>
          <w:szCs w:val="20"/>
          <w:color w:val="auto"/>
        </w:rPr>
      </w:pPr>
      <w:r>
        <w:rPr>
          <w:rFonts w:ascii="Arial" w:cs="Arial" w:eastAsia="Arial" w:hAnsi="Arial"/>
          <w:sz w:val="14"/>
          <w:szCs w:val="14"/>
          <w:i w:val="1"/>
          <w:iCs w:val="1"/>
          <w:color w:val="auto"/>
        </w:rPr>
        <w:t>Amendment of Provisions in the Amended and Restated Certificate of Incorporation</w:t>
      </w:r>
      <w:r>
        <w:rPr>
          <w:rFonts w:ascii="Arial" w:cs="Arial" w:eastAsia="Arial" w:hAnsi="Arial"/>
          <w:sz w:val="14"/>
          <w:szCs w:val="14"/>
          <w:color w:val="auto"/>
        </w:rPr>
        <w:t>. Our amended and restated certificate of incorporation will generally require the affirmative vote of the holders</w:t>
      </w:r>
      <w:r>
        <w:rPr>
          <w:rFonts w:ascii="Arial" w:cs="Arial" w:eastAsia="Arial" w:hAnsi="Arial"/>
          <w:sz w:val="14"/>
          <w:szCs w:val="14"/>
          <w:i w:val="1"/>
          <w:iCs w:val="1"/>
          <w:color w:val="auto"/>
        </w:rPr>
        <w:t xml:space="preserve"> </w:t>
      </w:r>
      <w:r>
        <w:rPr>
          <w:rFonts w:ascii="Arial" w:cs="Arial" w:eastAsia="Arial" w:hAnsi="Arial"/>
          <w:sz w:val="14"/>
          <w:szCs w:val="14"/>
          <w:color w:val="auto"/>
        </w:rPr>
        <w:t>of at least two-thirds of the outstanding voting stock in order to amend any provisions of the amended and restated certificate of incorporation concerning:</w:t>
      </w:r>
    </w:p>
    <w:p>
      <w:pPr>
        <w:spacing w:after="0" w:line="133" w:lineRule="exact"/>
        <w:rPr>
          <w:sz w:val="20"/>
          <w:szCs w:val="20"/>
          <w:color w:val="auto"/>
        </w:rPr>
      </w:pPr>
    </w:p>
    <w:p>
      <w:pPr>
        <w:ind w:left="1240" w:hanging="327"/>
        <w:spacing w:after="0"/>
        <w:tabs>
          <w:tab w:leader="none" w:pos="12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removal or appointment of directors;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authority of stockholders to act by written consent;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required vote to amend the amended and restated certificate of incorporation;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calling a special meeting of stockholders;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procedure and content of stockholder proposals concerning business to be conducted at a meeting of stockholders;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director nominations by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60"/>
          </w:cols>
          <w:pgMar w:left="220" w:top="386" w:right="21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color w:val="auto"/>
        </w:rPr>
        <w:t>These voting requirements will make it more difficult for minority stockholders to make changes in the amended and restated certificate of incorporation that could be designed to facilitate the exercise of control over us.</w:t>
      </w:r>
    </w:p>
    <w:p>
      <w:pPr>
        <w:spacing w:after="0" w:line="101"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i w:val="1"/>
          <w:iCs w:val="1"/>
          <w:color w:val="auto"/>
        </w:rPr>
        <w:t xml:space="preserve">Undesignated Preferred Stock. </w:t>
      </w:r>
      <w:r>
        <w:rPr>
          <w:rFonts w:ascii="Arial" w:cs="Arial" w:eastAsia="Arial" w:hAnsi="Arial"/>
          <w:sz w:val="12"/>
          <w:szCs w:val="12"/>
          <w:color w:val="auto"/>
        </w:rPr>
        <w:t>Our amended and restated certificate of incorporation provides for authorized shares of preferred stock. The existence of authorized but unissued</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Warrants</w:t>
      </w:r>
    </w:p>
    <w:p>
      <w:pPr>
        <w:spacing w:after="0" w:line="134" w:lineRule="exact"/>
        <w:rPr>
          <w:sz w:val="20"/>
          <w:szCs w:val="20"/>
          <w:color w:val="auto"/>
        </w:rPr>
      </w:pPr>
    </w:p>
    <w:p>
      <w:pPr>
        <w:ind w:right="120" w:firstLine="802"/>
        <w:spacing w:after="0" w:line="258" w:lineRule="auto"/>
        <w:rPr>
          <w:sz w:val="20"/>
          <w:szCs w:val="20"/>
          <w:color w:val="auto"/>
        </w:rPr>
      </w:pPr>
      <w:r>
        <w:rPr>
          <w:rFonts w:ascii="Arial" w:cs="Arial" w:eastAsia="Arial" w:hAnsi="Arial"/>
          <w:sz w:val="14"/>
          <w:szCs w:val="14"/>
          <w:color w:val="auto"/>
        </w:rPr>
        <w:t>As of June 30, 2013, options to purchase a total of 51,879,146 shares of our common stock were outstanding, and up to 5,342,394 additional shares of our common stock were reserved for future issuance under our stock plans, excluding the 2013 Plan, which will become effective upon the signing of the underwriting agreement in connection with this offering. For a more complete discussion of our stock option plans, please see “—Employee Benefit Plans.”</w:t>
      </w:r>
    </w:p>
    <w:p>
      <w:pPr>
        <w:spacing w:after="0" w:line="108"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As of June 30, 2013, warrants to purchase up to an aggregate of 3,394,035 shares of our Series D-2 preferred stock were outstanding at a weighted average exercise price of $0.65 per share. Each warrant expires and terminates upon the completion of this offering. The exercise price and the shares issuable upon exercise are subject to adjustment in the event of stock dividends, stock splits, reorganizations and reclassifications and the warrants are permitted to be exercised on a cashless basis.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We have entered into a fourth amended and restated registration rights agreement, dated September 19, 2008, which we refer to as the registration rights agreement, with holders of our preferred</w:t>
      </w:r>
    </w:p>
    <w:p>
      <w:pPr>
        <w:spacing w:after="0" w:line="35"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stock. Upon completion of this offering, the holders of shares of our common stock, or their transferees, will be entitled to certain rights with respect to the registration of such shares, or registrable securities, under the Securities Act of 1933, as amended, or the Securities Act, as follows:</w:t>
      </w:r>
    </w:p>
    <w:p>
      <w:pPr>
        <w:spacing w:after="0" w:line="108" w:lineRule="exact"/>
        <w:rPr>
          <w:sz w:val="20"/>
          <w:szCs w:val="20"/>
          <w:color w:val="auto"/>
        </w:rPr>
      </w:pPr>
    </w:p>
    <w:p>
      <w:pPr>
        <w:ind w:right="140" w:firstLine="802"/>
        <w:spacing w:after="0" w:line="300" w:lineRule="auto"/>
        <w:rPr>
          <w:sz w:val="20"/>
          <w:szCs w:val="20"/>
          <w:color w:val="auto"/>
        </w:rPr>
      </w:pPr>
      <w:r>
        <w:rPr>
          <w:rFonts w:ascii="Arial" w:cs="Arial" w:eastAsia="Arial" w:hAnsi="Arial"/>
          <w:sz w:val="12"/>
          <w:szCs w:val="12"/>
          <w:i w:val="1"/>
          <w:iCs w:val="1"/>
          <w:color w:val="auto"/>
        </w:rPr>
        <w:t xml:space="preserve">Demand Registration Rights. </w:t>
      </w:r>
      <w:r>
        <w:rPr>
          <w:rFonts w:ascii="Arial" w:cs="Arial" w:eastAsia="Arial" w:hAnsi="Arial"/>
          <w:sz w:val="12"/>
          <w:szCs w:val="12"/>
          <w:color w:val="auto"/>
        </w:rPr>
        <w:t>The holders of shares representing at least 40% of the registrable securities issued or issuable upon conversion of our Series A-1, Series A-2, Series B, and Series C</w:t>
      </w:r>
      <w:r>
        <w:rPr>
          <w:rFonts w:ascii="Arial" w:cs="Arial" w:eastAsia="Arial" w:hAnsi="Arial"/>
          <w:sz w:val="12"/>
          <w:szCs w:val="12"/>
          <w:i w:val="1"/>
          <w:iCs w:val="1"/>
          <w:color w:val="auto"/>
        </w:rPr>
        <w:t xml:space="preserve"> </w:t>
      </w:r>
      <w:r>
        <w:rPr>
          <w:rFonts w:ascii="Arial" w:cs="Arial" w:eastAsia="Arial" w:hAnsi="Arial"/>
          <w:sz w:val="12"/>
          <w:szCs w:val="12"/>
          <w:color w:val="auto"/>
        </w:rPr>
        <w:t>preferred stock collectively then outstanding may request that we register all or a portion of their shares of registrable securities, provided that the reasonably anticipated aggregate price to the public of such public offering would exceed $5,000,000. In addition, the holders of shares representing at least 40% of the registrable securities issued or issuable upon conversion of our Series D and Series D-2 preferred stock collectively then outstanding may request that we register all or a portion of their shares of registrable securities, provided that the reasonably anticipated aggregate price to the public of such public offering would exceed $25,000,000. Upon their request, we must, subject to some restrictions and limitations, use our best efforts to cause a registration statement covering the number of shares of registrable securities that are subject to the request to become effective. The holders of registrable securities may only require us to file a maximum of one registration statement in response to their demand registration rights, provided, however, that such obligation will be deemed satisfied only when a</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60"/>
          </w:cols>
          <w:pgMar w:left="220" w:top="386" w:right="21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covering all shares of registrable securities that are requested to be registered has become effective.</w:t>
      </w:r>
    </w:p>
    <w:p>
      <w:pPr>
        <w:spacing w:after="0" w:line="132" w:lineRule="exact"/>
        <w:rPr>
          <w:sz w:val="20"/>
          <w:szCs w:val="20"/>
          <w:color w:val="auto"/>
        </w:rPr>
      </w:pPr>
    </w:p>
    <w:p>
      <w:pPr>
        <w:jc w:val="both"/>
        <w:ind w:right="120" w:firstLine="802"/>
        <w:spacing w:after="0" w:line="258" w:lineRule="auto"/>
        <w:rPr>
          <w:sz w:val="20"/>
          <w:szCs w:val="20"/>
          <w:color w:val="auto"/>
        </w:rPr>
      </w:pPr>
      <w:r>
        <w:rPr>
          <w:rFonts w:ascii="Arial" w:cs="Arial" w:eastAsia="Arial" w:hAnsi="Arial"/>
          <w:sz w:val="14"/>
          <w:szCs w:val="14"/>
          <w:i w:val="1"/>
          <w:iCs w:val="1"/>
          <w:color w:val="auto"/>
        </w:rPr>
        <w:t xml:space="preserve">Piggyback Registration Rights. </w:t>
      </w:r>
      <w:r>
        <w:rPr>
          <w:rFonts w:ascii="Arial" w:cs="Arial" w:eastAsia="Arial" w:hAnsi="Arial"/>
          <w:sz w:val="14"/>
          <w:szCs w:val="14"/>
          <w:color w:val="auto"/>
        </w:rPr>
        <w:t>In the event that we propose to register any of our securities under the Securities Act, the holders of registrable securities are entitled to notice of such registration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are entitled to include their registrable securities in such registration, subject to certain marketing and other limitations. These registration opportunities are unlimited, but the number of shares that may be registered may be cut back in limited situations by the underwriters.</w:t>
      </w:r>
    </w:p>
    <w:p>
      <w:pPr>
        <w:spacing w:after="0" w:line="108"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i w:val="1"/>
          <w:iCs w:val="1"/>
          <w:color w:val="auto"/>
        </w:rPr>
        <w:t xml:space="preserve">Form S-3 Registration Rights. </w:t>
      </w:r>
      <w:r>
        <w:rPr>
          <w:rFonts w:ascii="Arial" w:cs="Arial" w:eastAsia="Arial" w:hAnsi="Arial"/>
          <w:sz w:val="12"/>
          <w:szCs w:val="12"/>
          <w:color w:val="auto"/>
        </w:rPr>
        <w:t>The holders of shares of the registrable securities issued or issuable upon conversion of our Series A-1, Series A-2, Series B, Series C and Series D-2 preferred stock</w:t>
      </w:r>
      <w:r>
        <w:rPr>
          <w:rFonts w:ascii="Arial" w:cs="Arial" w:eastAsia="Arial" w:hAnsi="Arial"/>
          <w:sz w:val="12"/>
          <w:szCs w:val="12"/>
          <w:i w:val="1"/>
          <w:iCs w:val="1"/>
          <w:color w:val="auto"/>
        </w:rPr>
        <w:t xml:space="preserve"> </w:t>
      </w:r>
      <w:r>
        <w:rPr>
          <w:rFonts w:ascii="Arial" w:cs="Arial" w:eastAsia="Arial" w:hAnsi="Arial"/>
          <w:sz w:val="12"/>
          <w:szCs w:val="12"/>
          <w:color w:val="auto"/>
        </w:rPr>
        <w:t>then outstanding may request that we register all or a portion of their shares if we are eligible to file a registration statement on Form S-3 and if the reasonably anticipated aggregate price to the public of the public offering would exceed $1,000,000. In addition, the holders of shares of the registrable securities issued or issuable upon conversion of our Series D preferred stock then outstanding may request that we register all or a portion of their shares if we are eligible to file a registration statement on Form S-3 and if the reasonably anticipated aggregate price to the public of the public offering would exceed $5,000,000. The holders of registrable securities may only require us to file one registration statement on Form S-3 in any twelve month period, provided, however, that such obligation will be deemed satisfied only when a registration statement covering all shares of registrable securities that are requested to be registered has become effective.</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are generally obligated to bear the expenses, other than underwriting discounts and sales commissions, of these registrations.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NASDAQ Global Market Listing</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have applied to have our common stock listed on the NASDAQ Global Market under the symbol “MGNX”.</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34" w:lineRule="exact"/>
        <w:rPr>
          <w:sz w:val="20"/>
          <w:szCs w:val="20"/>
          <w:color w:val="auto"/>
        </w:rPr>
      </w:pPr>
    </w:p>
    <w:p>
      <w:pPr>
        <w:ind w:left="800"/>
        <w:spacing w:after="0"/>
        <w:tabs>
          <w:tab w:leader="none" w:pos="4560" w:val="left"/>
        </w:tabs>
        <w:rPr>
          <w:sz w:val="20"/>
          <w:szCs w:val="20"/>
          <w:color w:val="auto"/>
        </w:rPr>
      </w:pPr>
      <w:r>
        <w:rPr>
          <w:rFonts w:ascii="Arial" w:cs="Arial" w:eastAsia="Arial" w:hAnsi="Arial"/>
          <w:sz w:val="14"/>
          <w:szCs w:val="14"/>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40"/>
          </w:cols>
          <w:pgMar w:left="220" w:top="386" w:right="2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SHARES ELIGIBLE FOR FUTURE SALE</w:t>
      </w:r>
    </w:p>
    <w:p>
      <w:pPr>
        <w:spacing w:after="0" w:line="134"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or the perception that these sales could occur in the public market after this offering could adversely affect market prices prevailing from time to time and could impair our ability to raise capital through the sale of our equity securities.</w:t>
      </w:r>
    </w:p>
    <w:p>
      <w:pPr>
        <w:spacing w:after="0" w:line="110" w:lineRule="exact"/>
        <w:rPr>
          <w:sz w:val="20"/>
          <w:szCs w:val="20"/>
          <w:color w:val="auto"/>
        </w:rPr>
      </w:pPr>
    </w:p>
    <w:p>
      <w:pPr>
        <w:ind w:right="120" w:firstLine="802"/>
        <w:spacing w:after="0" w:line="295" w:lineRule="auto"/>
        <w:rPr>
          <w:sz w:val="20"/>
          <w:szCs w:val="20"/>
          <w:color w:val="auto"/>
        </w:rPr>
      </w:pPr>
      <w:r>
        <w:rPr>
          <w:rFonts w:ascii="Arial" w:cs="Arial" w:eastAsia="Arial" w:hAnsi="Arial"/>
          <w:sz w:val="12"/>
          <w:szCs w:val="12"/>
          <w:color w:val="auto"/>
        </w:rPr>
        <w:t>Immediately after the closing of this offering, based on the number of shares outstanding as of June 30, 2013, we will have shares of common stock outstanding, assuming no exercise of the underwriters’ option to purchase additional shares, and no exercise of outstanding options prior to the closing of this offering. All of the shares sold in this offering will be freely tradable, except that any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shares held or purchased in this offering by our affiliates, as that term is defined in Rule 144 under the Securities Act, may only be sold in compliance with the limitations described below.</w:t>
      </w:r>
    </w:p>
    <w:p>
      <w:pPr>
        <w:spacing w:after="0" w:line="149" w:lineRule="exact"/>
        <w:rPr>
          <w:sz w:val="20"/>
          <w:szCs w:val="20"/>
          <w:color w:val="auto"/>
        </w:rPr>
      </w:pPr>
    </w:p>
    <w:p>
      <w:pPr>
        <w:ind w:firstLine="802"/>
        <w:spacing w:after="0" w:line="294" w:lineRule="auto"/>
        <w:rPr>
          <w:sz w:val="20"/>
          <w:szCs w:val="20"/>
          <w:color w:val="auto"/>
        </w:rPr>
      </w:pPr>
      <w:r>
        <w:rPr>
          <w:rFonts w:ascii="Arial" w:cs="Arial" w:eastAsia="Arial" w:hAnsi="Arial"/>
          <w:sz w:val="12"/>
          <w:szCs w:val="12"/>
          <w:color w:val="auto"/>
        </w:rPr>
        <w:t>The remaining outstanding shares of our common stock will be deemed restricted securities as defined under Rule 144. Restricted securities may be sold in the public market only if registered or if they qualify for an exemption from registration under Rule 144 or Rule 701 promulgated under the Securities Act, which rules are summarized below. In addition, certain of our stockholders have entered into market standoff agreements with us or lock-up agreements with the underwriters under which they agreed, subject to specified exceptions, not to sell any of their stock for at least 180 days following the date of</w:t>
      </w:r>
    </w:p>
    <w:p>
      <w:pPr>
        <w:spacing w:after="0"/>
        <w:tabs>
          <w:tab w:leader="none" w:pos="6060" w:val="left"/>
          <w:tab w:leader="none" w:pos="7100" w:val="left"/>
        </w:tabs>
        <w:rPr>
          <w:sz w:val="20"/>
          <w:szCs w:val="20"/>
          <w:color w:val="auto"/>
        </w:rPr>
      </w:pPr>
      <w:r>
        <w:rPr>
          <w:rFonts w:ascii="Arial" w:cs="Arial" w:eastAsia="Arial" w:hAnsi="Arial"/>
          <w:sz w:val="12"/>
          <w:szCs w:val="12"/>
          <w:color w:val="auto"/>
        </w:rPr>
        <w:t>this prospectus. Subject to the provisions of Rule 144 or Rule 701, based on an assumed offering date of</w:t>
      </w:r>
      <w:r>
        <w:rPr>
          <w:sz w:val="20"/>
          <w:szCs w:val="20"/>
          <w:color w:val="auto"/>
        </w:rPr>
        <w:tab/>
      </w:r>
      <w:r>
        <w:rPr>
          <w:rFonts w:ascii="Arial" w:cs="Arial" w:eastAsia="Arial" w:hAnsi="Arial"/>
          <w:sz w:val="14"/>
          <w:szCs w:val="14"/>
          <w:color w:val="auto"/>
        </w:rPr>
        <w:t>, 2013,</w:t>
      </w:r>
      <w:r>
        <w:rPr>
          <w:sz w:val="20"/>
          <w:szCs w:val="20"/>
          <w:color w:val="auto"/>
        </w:rPr>
        <w:tab/>
      </w:r>
      <w:r>
        <w:rPr>
          <w:rFonts w:ascii="Arial" w:cs="Arial" w:eastAsia="Arial" w:hAnsi="Arial"/>
          <w:sz w:val="12"/>
          <w:szCs w:val="12"/>
          <w:color w:val="auto"/>
        </w:rPr>
        <w:t>restricted shares will be available for sale in the public market as follows:</w:t>
      </w:r>
    </w:p>
    <w:p>
      <w:pPr>
        <w:sectPr>
          <w:pgSz w:w="11900" w:h="16838" w:orient="portrait"/>
          <w:cols w:equalWidth="0" w:num="1">
            <w:col w:w="11460"/>
          </w:cols>
          <w:pgMar w:left="220" w:top="386" w:right="219" w:bottom="1440" w:gutter="0" w:footer="0" w:header="0"/>
        </w:sectPr>
      </w:pPr>
    </w:p>
    <w:p>
      <w:pPr>
        <w:spacing w:after="0" w:line="157"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Beginning 180 days after the date of this prospectus, additional shares will become eligible for sale in the public market, of which Rule 144 and shares will be held by affiliates and subject to the volume and other restrictions of Rule 144 as described below.</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shares will be freely tradable under</w:t>
      </w:r>
    </w:p>
    <w:p>
      <w:pPr>
        <w:spacing w:after="0" w:line="321" w:lineRule="exact"/>
        <w:rPr>
          <w:sz w:val="20"/>
          <w:szCs w:val="20"/>
          <w:color w:val="auto"/>
        </w:rPr>
      </w:pPr>
    </w:p>
    <w:p>
      <w:pPr>
        <w:sectPr>
          <w:pgSz w:w="11900" w:h="16838" w:orient="portrait"/>
          <w:cols w:equalWidth="0" w:num="3">
            <w:col w:w="960" w:space="280"/>
            <w:col w:w="7760" w:space="340"/>
            <w:col w:w="2120"/>
          </w:cols>
          <w:pgMar w:left="220" w:top="386" w:right="219" w:bottom="1440" w:gutter="0" w:footer="0" w:header="0"/>
          <w:type w:val="continuous"/>
        </w:sectPr>
      </w:pPr>
    </w:p>
    <w:p>
      <w:pPr>
        <w:ind w:right="60" w:firstLine="802"/>
        <w:spacing w:after="0" w:line="351" w:lineRule="auto"/>
        <w:rPr>
          <w:sz w:val="20"/>
          <w:szCs w:val="20"/>
          <w:color w:val="auto"/>
        </w:rPr>
      </w:pPr>
      <w:r>
        <w:rPr>
          <w:rFonts w:ascii="Arial" w:cs="Arial" w:eastAsia="Arial" w:hAnsi="Arial"/>
          <w:sz w:val="12"/>
          <w:szCs w:val="12"/>
          <w:color w:val="auto"/>
        </w:rPr>
        <w:t>In general, under Rule 144 as currently in effect, any person who is or has been an affiliate of ours during the 90 days immediately preceding the sale and who has beneficially owned shares for at least six months is entitled to sell, within any three-month period commencing 90 days after the date of this prospectus, a number of shares that does not exceed the greater of:</w:t>
      </w:r>
    </w:p>
    <w:p>
      <w:pPr>
        <w:spacing w:after="0" w:line="87" w:lineRule="exact"/>
        <w:rPr>
          <w:sz w:val="20"/>
          <w:szCs w:val="20"/>
          <w:color w:val="auto"/>
        </w:rPr>
      </w:pPr>
    </w:p>
    <w:p>
      <w:pPr>
        <w:ind w:left="920"/>
        <w:spacing w:after="0"/>
        <w:tabs>
          <w:tab w:leader="none" w:pos="1220" w:val="left"/>
          <w:tab w:leader="none" w:pos="5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 of the then outstanding shares of common stock, which will equal</w:t>
      </w:r>
      <w:r>
        <w:rPr>
          <w:sz w:val="20"/>
          <w:szCs w:val="20"/>
          <w:color w:val="auto"/>
        </w:rPr>
        <w:tab/>
      </w:r>
      <w:r>
        <w:rPr>
          <w:rFonts w:ascii="Arial" w:cs="Arial" w:eastAsia="Arial" w:hAnsi="Arial"/>
          <w:sz w:val="12"/>
          <w:szCs w:val="12"/>
          <w:color w:val="auto"/>
        </w:rPr>
        <w:t>shares immediately after this offering; or</w:t>
      </w:r>
    </w:p>
    <w:p>
      <w:pPr>
        <w:spacing w:after="0" w:line="163" w:lineRule="exact"/>
        <w:rPr>
          <w:sz w:val="20"/>
          <w:szCs w:val="20"/>
          <w:color w:val="auto"/>
        </w:rPr>
      </w:pPr>
    </w:p>
    <w:p>
      <w:pPr>
        <w:ind w:left="1240" w:hanging="327"/>
        <w:spacing w:after="0"/>
        <w:tabs>
          <w:tab w:leader="none" w:pos="12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average weekly trading volume during the four calendar weeks preceding the sale, subject to the filing of a Form 144 with respect to the sale.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Sales under Rule 144 by our affiliates are also subject to certain manner of sale provisions and notice requirements and to the availability of current public information about us.</w:t>
      </w:r>
    </w:p>
    <w:p>
      <w:pPr>
        <w:spacing w:after="0" w:line="155"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A person who is not deemed to have been an affiliate of ours at any time during the 90 days immediately preceding the sale and who has beneficially owned his or her shares for at least six months is entitled to sell his or her shares under Rule 144 without regard to the limitations described above, subject only to the availability of current public information about us during the six months after the initial six-month holding period is met. After a nonaffiliate has beneficially owned his or her shares for one year or more, he or she may freely sell his or her shares under Rule 144 without complying with any Rule 144 requirements.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60"/>
          </w:cols>
          <w:pgMar w:left="220" w:top="386" w:right="219" w:bottom="1440" w:gutter="0" w:footer="0" w:header="0"/>
          <w:type w:val="continuous"/>
        </w:sectPr>
      </w:pPr>
    </w:p>
    <w:bookmarkStart w:id="149" w:name="page150"/>
    <w:bookmarkEnd w:id="1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100" w:firstLine="802"/>
        <w:spacing w:after="0" w:line="321" w:lineRule="auto"/>
        <w:rPr>
          <w:sz w:val="20"/>
          <w:szCs w:val="20"/>
          <w:color w:val="auto"/>
        </w:rPr>
      </w:pPr>
      <w:r>
        <w:rPr>
          <w:rFonts w:ascii="Arial" w:cs="Arial" w:eastAsia="Arial" w:hAnsi="Arial"/>
          <w:sz w:val="12"/>
          <w:szCs w:val="12"/>
          <w:color w:val="auto"/>
        </w:rPr>
        <w:t>We are unable to estimate the number of shares that will be sold under Rule 144, since this will depend on the market price for our common stock, the personal circumstances of the sellers and other factors. Prior to the offering, there has been no public market for the common stock, and there can be no assurance that a significant public market for the common stock will develop or be sustained after the offering. Any future sale of substantial amounts of the common stock in the open market may adversely affect the market price of the common stock offered by this prospectus.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34"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We, our directors and executive officers, and certain of our other stockholders have agreed that, subject to certain exceptions, they will not sell any common stock without the prior written consent of the underwriters for a period of 180 days from the date of this prospectus.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 Plans</w:t>
      </w:r>
    </w:p>
    <w:p>
      <w:pPr>
        <w:spacing w:after="0" w:line="134" w:lineRule="exact"/>
        <w:rPr>
          <w:sz w:val="20"/>
          <w:szCs w:val="20"/>
          <w:color w:val="auto"/>
        </w:rPr>
      </w:pPr>
    </w:p>
    <w:p>
      <w:pPr>
        <w:ind w:right="80" w:firstLine="802"/>
        <w:spacing w:after="0" w:line="311" w:lineRule="auto"/>
        <w:rPr>
          <w:sz w:val="20"/>
          <w:szCs w:val="20"/>
          <w:color w:val="auto"/>
        </w:rPr>
      </w:pPr>
      <w:r>
        <w:rPr>
          <w:rFonts w:ascii="Arial" w:cs="Arial" w:eastAsia="Arial" w:hAnsi="Arial"/>
          <w:sz w:val="12"/>
          <w:szCs w:val="12"/>
          <w:color w:val="auto"/>
        </w:rPr>
        <w:t>Any employee or consultant who purchased his or her shares under a written compensatory plan or contract is entitled to rely on the resale provisions of Rule 701, which permits non-affiliates to sell their Rule 701 shares without having to comply with the public information, holding period, volume limitation or notice provisions of Rule 144 and permits affiliates to sell their Rule 701 shares without having to comply with the Rule 144 holding period restrictions, in each case commencing 90 days after the date of this prospectus. As of June 30, 2013, the holders of options to purchase approximately 51,879,146 shares of common stock will be eligible to sell their shares upon the expiration of the 180-day lockup period, subject to the vesting of those options.</w:t>
      </w:r>
    </w:p>
    <w:p>
      <w:pPr>
        <w:spacing w:after="0" w:line="79" w:lineRule="exact"/>
        <w:rPr>
          <w:sz w:val="20"/>
          <w:szCs w:val="20"/>
          <w:color w:val="auto"/>
        </w:rPr>
      </w:pPr>
    </w:p>
    <w:p>
      <w:pPr>
        <w:ind w:right="60" w:firstLine="802"/>
        <w:spacing w:after="0" w:line="255" w:lineRule="auto"/>
        <w:rPr>
          <w:sz w:val="20"/>
          <w:szCs w:val="20"/>
          <w:color w:val="auto"/>
        </w:rPr>
      </w:pPr>
      <w:r>
        <w:rPr>
          <w:rFonts w:ascii="Arial" w:cs="Arial" w:eastAsia="Arial" w:hAnsi="Arial"/>
          <w:sz w:val="14"/>
          <w:szCs w:val="14"/>
          <w:color w:val="auto"/>
        </w:rPr>
        <w:t>We intend to file a registration statement on Form S-8 under the Securities Act as soon as practicable after the completion of the offering to register shares of common stock subject to outstanding stock options or reserved for issuance under our stock plans. This registration will permit the resale of these shares by non-affiliates in the public market without restriction under the Securities Act, upon completion of the lock-up period described above. Shares registered under the Form S-8 registration statement held by affiliates will be subject to Rule 144 volume limitations. See “Management— Executive Compensation” and “—Employee Benefit Plans.”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20"/>
          </w:cols>
          <w:pgMar w:left="220" w:top="386" w:right="25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MATERIAL U.S. FEDERAL TAX CONSEQUENCES FOR NON-U.S. HOLDERS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following is a general discussion of the material U.S. federal income and estate tax consequences of the ownership and disposition of our common stock by a beneficial owner that is a “non-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U.S. holder.” For purposes of this discussion, a “non-U.S. holder” means a beneficial owner of our common stock that is not, for U.S. federal income tax purposes:</w:t>
      </w:r>
    </w:p>
    <w:p>
      <w:pPr>
        <w:spacing w:after="0" w:line="157" w:lineRule="exact"/>
        <w:rPr>
          <w:sz w:val="20"/>
          <w:szCs w:val="20"/>
          <w:color w:val="auto"/>
        </w:rPr>
      </w:pPr>
    </w:p>
    <w:p>
      <w:pPr>
        <w:ind w:left="1240" w:hanging="327"/>
        <w:spacing w:after="0"/>
        <w:tabs>
          <w:tab w:leader="none" w:pos="12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 individual who is a resident of the United States;</w:t>
      </w:r>
    </w:p>
    <w:p>
      <w:pPr>
        <w:spacing w:after="0" w:line="162" w:lineRule="exact"/>
        <w:rPr>
          <w:rFonts w:ascii="Arial" w:cs="Arial" w:eastAsia="Arial" w:hAnsi="Arial"/>
          <w:sz w:val="14"/>
          <w:szCs w:val="14"/>
          <w:color w:val="auto"/>
        </w:rPr>
      </w:pPr>
    </w:p>
    <w:p>
      <w:pPr>
        <w:ind w:left="1240" w:right="200" w:hanging="327"/>
        <w:spacing w:after="0" w:line="267" w:lineRule="auto"/>
        <w:tabs>
          <w:tab w:leader="none" w:pos="12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under the laws of the United States or any state or political subdivision thereof;</w:t>
      </w:r>
    </w:p>
    <w:p>
      <w:pPr>
        <w:spacing w:after="0" w:line="132" w:lineRule="exact"/>
        <w:rPr>
          <w:rFonts w:ascii="Arial" w:cs="Arial" w:eastAsia="Arial" w:hAnsi="Arial"/>
          <w:sz w:val="14"/>
          <w:szCs w:val="14"/>
          <w:color w:val="auto"/>
        </w:rPr>
      </w:pPr>
    </w:p>
    <w:p>
      <w:pPr>
        <w:ind w:left="1240" w:hanging="327"/>
        <w:spacing w:after="0"/>
        <w:tabs>
          <w:tab w:leader="none" w:pos="12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 estate, the income of which is subject to United States federal income taxation regardless of its source; or</w:t>
      </w:r>
    </w:p>
    <w:p>
      <w:pPr>
        <w:spacing w:after="0" w:line="162" w:lineRule="exact"/>
        <w:rPr>
          <w:rFonts w:ascii="Arial" w:cs="Arial" w:eastAsia="Arial" w:hAnsi="Arial"/>
          <w:sz w:val="14"/>
          <w:szCs w:val="14"/>
          <w:color w:val="auto"/>
        </w:rPr>
      </w:pPr>
    </w:p>
    <w:p>
      <w:pPr>
        <w:ind w:left="1240" w:right="40" w:hanging="327"/>
        <w:spacing w:after="0" w:line="351" w:lineRule="auto"/>
        <w:tabs>
          <w:tab w:leader="none" w:pos="12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 trust, if a U.S. court is able to exercise primary supervision over the administration of the trust and one or more U.S. persons have the authority to control all substantial decisions of the trust or if the trust has a valid election to be treated as a U.S. person under applicable regulations issued by the U.S. Department of the Treasury (“Treasury Regulations”).</w:t>
      </w:r>
    </w:p>
    <w:p>
      <w:pPr>
        <w:spacing w:after="0" w:line="56"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This discussion is based on the Internal Revenue Code of 1986, as amended (the “Code”), and administrative pronouncements, judicial decisions and final, temporary and proposed Treasury Regulations, changes to any of which subsequent to the date of this prospectus may affect the tax consequences described herein, possibly with a retroactive effect. In addition, the Internal Revenue Service (the “IRS”) could challenge one or more of the tax consequences described in this prospectus.</w:t>
      </w:r>
    </w:p>
    <w:p>
      <w:pPr>
        <w:spacing w:after="0" w:line="108" w:lineRule="exact"/>
        <w:rPr>
          <w:sz w:val="20"/>
          <w:szCs w:val="20"/>
          <w:color w:val="auto"/>
        </w:rPr>
      </w:pPr>
    </w:p>
    <w:p>
      <w:pPr>
        <w:ind w:right="20" w:firstLine="802"/>
        <w:spacing w:after="0" w:line="255" w:lineRule="auto"/>
        <w:rPr>
          <w:sz w:val="20"/>
          <w:szCs w:val="20"/>
          <w:color w:val="auto"/>
        </w:rPr>
      </w:pPr>
      <w:r>
        <w:rPr>
          <w:rFonts w:ascii="Arial" w:cs="Arial" w:eastAsia="Arial" w:hAnsi="Arial"/>
          <w:sz w:val="14"/>
          <w:szCs w:val="14"/>
          <w:color w:val="auto"/>
        </w:rPr>
        <w:t>The discussion below is limited to non-U.S. holders that hold our shares of common stock as capital assets (generally, property held for investment) within the meaning of the Code. This discussion does not address all aspects of U.S. federal income and estate taxation, including the Medicare contribution tax, that may be relevant to a particular non-U.S. holder in light of that non-U.S. holder’s individual circumstances nor does it address any aspects of U.S. state, local or non-U.S. taxes. This discussion also does not consider any specific facts or circumstances that may apply to a non-U.S. holder and does not address the special tax rules under the Code applicable to particular non-U.S. holders, such as:</w:t>
      </w:r>
    </w:p>
    <w:p>
      <w:pPr>
        <w:spacing w:after="0" w:line="141" w:lineRule="exact"/>
        <w:rPr>
          <w:sz w:val="20"/>
          <w:szCs w:val="20"/>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financial institutions;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brokers or dealers in securities;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tax-exempt organizations;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pension plans;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owners that hold our common stock as part of a straddle, hedge, conversion transaction, synthetic security or other integrated investment;</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insurance companies;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controlled foreign corporations;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passive foreign investment companies;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certain U.S. expatriates.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380"/>
          </w:cols>
          <w:pgMar w:left="220" w:top="387" w:right="29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both"/>
        <w:ind w:right="80" w:firstLine="802"/>
        <w:spacing w:after="0" w:line="258" w:lineRule="auto"/>
        <w:rPr>
          <w:sz w:val="20"/>
          <w:szCs w:val="20"/>
          <w:color w:val="auto"/>
        </w:rPr>
      </w:pPr>
      <w:r>
        <w:rPr>
          <w:rFonts w:ascii="Arial" w:cs="Arial" w:eastAsia="Arial" w:hAnsi="Arial"/>
          <w:sz w:val="14"/>
          <w:szCs w:val="14"/>
          <w:color w:val="auto"/>
        </w:rPr>
        <w:t>If a partnership, or any entity treated as a partnership for U.S. federal income tax purposes, is a holder of our common stock, the tax treatment of a partner in the partnership will generally depend upon the status of the partner and the activities of the partnership. A holder that is a partnership, and the partners in such partnership, should consult their own tax advisers regarding the tax consequences of the acquisition, holding and disposition of our common stock, as applicable.</w:t>
      </w:r>
    </w:p>
    <w:p>
      <w:pPr>
        <w:spacing w:after="0" w:line="106" w:lineRule="exact"/>
        <w:rPr>
          <w:sz w:val="20"/>
          <w:szCs w:val="20"/>
          <w:color w:val="auto"/>
        </w:rPr>
      </w:pPr>
    </w:p>
    <w:p>
      <w:pPr>
        <w:ind w:right="140" w:firstLine="802"/>
        <w:spacing w:after="0" w:line="270" w:lineRule="auto"/>
        <w:rPr>
          <w:sz w:val="20"/>
          <w:szCs w:val="20"/>
          <w:color w:val="auto"/>
        </w:rPr>
      </w:pPr>
      <w:r>
        <w:rPr>
          <w:rFonts w:ascii="Arial" w:cs="Arial" w:eastAsia="Arial" w:hAnsi="Arial"/>
          <w:sz w:val="14"/>
          <w:szCs w:val="14"/>
          <w:b w:val="1"/>
          <w:bCs w:val="1"/>
          <w:color w:val="auto"/>
        </w:rPr>
        <w:t>Prospective holders are urged to consult their tax advisers with respect to the particular tax consequences to them of acquiring, holding and disposing of our common stock, including the consequences under the laws of any state, local or foreign jurisdiction.</w:t>
      </w:r>
    </w:p>
    <w:p>
      <w:pPr>
        <w:spacing w:after="0" w:line="99" w:lineRule="exact"/>
        <w:rPr>
          <w:sz w:val="20"/>
          <w:szCs w:val="20"/>
          <w:color w:val="auto"/>
        </w:rPr>
      </w:pPr>
    </w:p>
    <w:p>
      <w:pPr>
        <w:ind w:right="20" w:firstLine="802"/>
        <w:spacing w:after="0" w:line="299" w:lineRule="auto"/>
        <w:rPr>
          <w:sz w:val="20"/>
          <w:szCs w:val="20"/>
          <w:color w:val="auto"/>
        </w:rPr>
      </w:pPr>
      <w:r>
        <w:rPr>
          <w:rFonts w:ascii="Arial" w:cs="Arial" w:eastAsia="Arial" w:hAnsi="Arial"/>
          <w:sz w:val="12"/>
          <w:szCs w:val="12"/>
          <w:color w:val="auto"/>
        </w:rPr>
        <w:t>As discussed in the section entitled “Dividend Policy,” we do not anticipate paying any dividends on our common stock in the foreseeable future. In the event that we do make distributions of cash or other property on our common stock (other than certain pro rata distributions of our common stock or rights to acquire our common stock), those distributions generally will be treated as dividends to the extent paid from our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under the heading “Gain on Dispositions of Common Stock.” Any such distribution would also be subject to the discussion below under the section titled “Withholding and Information Reporting Requirements–FATCA.” Dividends paid to a non-U.S. holder of our common stock generally will be subject to withholding tax at a 30% rate, or a reduced rate specified by an applicable income tax treaty. In order to obtain a reduced rate of withholding under an applicable income tax treaty, a non-U.S. holder must provide an IRS Form W-8BEN (or successor form) certifying its entitlement to benefits under the treaty. Non-U.S. holders are urged to consult their own tax advisors regarding their entitlement to benefits under a relevant income tax treaty.</w:t>
      </w:r>
    </w:p>
    <w:p>
      <w:pPr>
        <w:spacing w:after="0" w:line="87" w:lineRule="exact"/>
        <w:rPr>
          <w:sz w:val="20"/>
          <w:szCs w:val="20"/>
          <w:color w:val="auto"/>
        </w:rPr>
      </w:pPr>
    </w:p>
    <w:p>
      <w:pPr>
        <w:ind w:right="100" w:firstLine="802"/>
        <w:spacing w:after="0" w:line="255" w:lineRule="auto"/>
        <w:rPr>
          <w:sz w:val="20"/>
          <w:szCs w:val="20"/>
          <w:color w:val="auto"/>
        </w:rPr>
      </w:pPr>
      <w:r>
        <w:rPr>
          <w:rFonts w:ascii="Arial" w:cs="Arial" w:eastAsia="Arial" w:hAnsi="Arial"/>
          <w:sz w:val="14"/>
          <w:szCs w:val="14"/>
          <w:color w:val="auto"/>
        </w:rPr>
        <w:t>The withholding tax does not apply to dividends paid to a non-U.S. holder that provides an IRS Form W-8ECI (or successor form), certifying that the dividends are effectively connected with the non-U.S. holder’s conduct of a trade or business within the United States (“effectively connected dividends”). Instead, effectively connected dividends will be subject to regular U.S. income tax as if the non-U.S. holder were a U.S. resident, subject to any applicable income tax treaty providing otherwise. A non-U.S. corporation receiving effectively connected dividends may also be subject to an additional “branch profits tax,” currently at the rate of 30% (or a lower rate prescribed under an applicable income tax treaty).</w:t>
      </w:r>
    </w:p>
    <w:p>
      <w:pPr>
        <w:spacing w:after="0" w:line="110" w:lineRule="exact"/>
        <w:rPr>
          <w:sz w:val="20"/>
          <w:szCs w:val="20"/>
          <w:color w:val="auto"/>
        </w:rPr>
      </w:pPr>
    </w:p>
    <w:p>
      <w:pPr>
        <w:ind w:right="360" w:firstLine="802"/>
        <w:spacing w:after="0" w:line="267" w:lineRule="auto"/>
        <w:rPr>
          <w:sz w:val="20"/>
          <w:szCs w:val="20"/>
          <w:color w:val="auto"/>
        </w:rPr>
      </w:pPr>
      <w:r>
        <w:rPr>
          <w:rFonts w:ascii="Arial" w:cs="Arial" w:eastAsia="Arial" w:hAnsi="Arial"/>
          <w:sz w:val="14"/>
          <w:szCs w:val="14"/>
          <w:color w:val="auto"/>
        </w:rPr>
        <w:t>A non-U.S. holder that is eligible for a reduced rate of U.S. withholding tax under an income tax treaty may obtain a refund or credit against any excess amounts withheld by timely filing an appropriate claim with the IRS.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Gain on Disposition of Common Stock</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 non-U.S. holder generally will not be subject to U.S. federal income tax on gain realized on a sale or other disposition of common stock unless:</w:t>
      </w:r>
    </w:p>
    <w:p>
      <w:pPr>
        <w:spacing w:after="0" w:line="163" w:lineRule="exact"/>
        <w:rPr>
          <w:sz w:val="20"/>
          <w:szCs w:val="20"/>
          <w:color w:val="auto"/>
        </w:rPr>
      </w:pPr>
    </w:p>
    <w:p>
      <w:pPr>
        <w:ind w:left="1240" w:hanging="327"/>
        <w:spacing w:after="0" w:line="311" w:lineRule="auto"/>
        <w:tabs>
          <w:tab w:leader="none" w:pos="12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gain is effectively connected with a trade or business of the non-U.S. holder in the United States, and if an applicable tax treaty so provides, the gain is attributable to a permanent establishment or fixed base maintained by the non-U.S. holder in the United States; in these cases, the non-U.S. holder will be taxed on a net income basis at the regular graduated rates and in the manner applicable to U.S. persons, subject to an applicable income tax treaty providing otherwise and if the non-U.S. holder is a corporation, an additional branch profits tax at a rate of 30%, or a lower rate as may be specified by an applicable income tax treaty, may also apply;</w:t>
      </w:r>
    </w:p>
    <w:p>
      <w:pPr>
        <w:spacing w:after="0" w:line="110" w:lineRule="exact"/>
        <w:rPr>
          <w:rFonts w:ascii="Arial" w:cs="Arial" w:eastAsia="Arial" w:hAnsi="Arial"/>
          <w:sz w:val="12"/>
          <w:szCs w:val="12"/>
          <w:color w:val="auto"/>
        </w:rPr>
      </w:pPr>
    </w:p>
    <w:p>
      <w:pPr>
        <w:ind w:left="1240" w:right="120" w:hanging="327"/>
        <w:spacing w:after="0" w:line="267" w:lineRule="auto"/>
        <w:tabs>
          <w:tab w:leader="none" w:pos="12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non-U.S. holder is a nonresident alien present in the United States for 183 days or more in the taxable year of the disposition and certain other requirements are met, in which case the non-U.S.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60"/>
          </w:cols>
          <w:pgMar w:left="220" w:top="386" w:right="21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60" w:right="120"/>
        <w:spacing w:after="0" w:line="267" w:lineRule="auto"/>
        <w:rPr>
          <w:sz w:val="20"/>
          <w:szCs w:val="20"/>
          <w:color w:val="auto"/>
        </w:rPr>
      </w:pPr>
      <w:r>
        <w:rPr>
          <w:rFonts w:ascii="Arial" w:cs="Arial" w:eastAsia="Arial" w:hAnsi="Arial"/>
          <w:sz w:val="14"/>
          <w:szCs w:val="14"/>
          <w:color w:val="auto"/>
        </w:rPr>
        <w:t>holder will be subject to a 30% tax (or such lower rate as may be specified by an applicable income tax treaty) on the net gain derived from the disposition, which may be offset by U.S.-source capital losses of the non-U.S. holder, if any; or</w:t>
      </w:r>
    </w:p>
    <w:p>
      <w:pPr>
        <w:spacing w:after="0" w:line="133" w:lineRule="exact"/>
        <w:rPr>
          <w:sz w:val="20"/>
          <w:szCs w:val="20"/>
          <w:color w:val="auto"/>
        </w:rPr>
      </w:pPr>
    </w:p>
    <w:p>
      <w:pPr>
        <w:ind w:left="1240" w:right="60" w:hanging="327"/>
        <w:spacing w:after="0" w:line="267" w:lineRule="auto"/>
        <w:tabs>
          <w:tab w:leader="none" w:pos="12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we are or have been a “U.S. real property holding corporation,” as defined below, at any time within the five-year period preceding the disposition or during the non-U.S. holder’s holding period, whichever period is shorter.</w:t>
      </w:r>
    </w:p>
    <w:p>
      <w:pPr>
        <w:spacing w:after="0" w:line="101"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We are not, and do not anticipate becoming, a U.S. real property holding corporation. Generally, a corporation is a “U.S. real property holding corporation” if the fair market value of its U.S. real property interests (as defined in the Code and the applicable Treasury Regulations) equals or exceeds 50% of the aggregate fair market value of its worldwide real property interests and its other assets used or held for use in a trade or business. Even if we were to become a U.S. real property holding corporation, gain on the sale or other disposition of common stock by a non-U.S. holder generally would not be subject to U.S. federal income tax, provided that the common stock is regularly traded on an established securities market and the non-U.S. holder does not actually or constructively own more than 5% of the common stock during the shorter of (1) the five-year period ending on the date of the disposition or (2) the period of time during which the holder held such shares.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Reporting Requirements and Backup Withholding</w:t>
      </w:r>
    </w:p>
    <w:p>
      <w:pPr>
        <w:spacing w:after="0" w:line="134" w:lineRule="exact"/>
        <w:rPr>
          <w:sz w:val="20"/>
          <w:szCs w:val="20"/>
          <w:color w:val="auto"/>
        </w:rPr>
      </w:pPr>
    </w:p>
    <w:p>
      <w:pPr>
        <w:ind w:right="40" w:firstLine="802"/>
        <w:spacing w:after="0" w:line="300" w:lineRule="auto"/>
        <w:rPr>
          <w:sz w:val="20"/>
          <w:szCs w:val="20"/>
          <w:color w:val="auto"/>
        </w:rPr>
      </w:pPr>
      <w:r>
        <w:rPr>
          <w:rFonts w:ascii="Arial" w:cs="Arial" w:eastAsia="Arial" w:hAnsi="Arial"/>
          <w:sz w:val="12"/>
          <w:szCs w:val="12"/>
          <w:color w:val="auto"/>
        </w:rPr>
        <w:t>We must report annually to the IRS and to each non-U.S. holder the gross amount of the distributions on our common stock paid to such holder and the tax withheld, if any, with respect to such distributions. Unless a non-U.S. holder complies with certification procedures to establish that it is not a U.S. person (as defined in the Code), information returns may be filed with the IRS in respect of the proceeds from a sale or other disposition of common stock and the non-U.S. holder may be subject to U.S. backup withholding (currently at 28%) on payments of dividends or on the proceeds from a sale or other disposition of common stock. The certification procedures required to claim a reduced rate of withholding under a treaty will satisfy the certification requirements necessary to avoid the backup withholding tax as well. Generally, information reporting and backup withholding will not apply to a payment of disposition proceeds to a non-U.S. holder where the transaction is effected outside the United States through a non-U.S. office or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Copies of information returns may be made available to the tax authorities of the country in which the non-U.S. holder resides or is incorporated under the provisions of a specific treaty 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26" w:lineRule="exact"/>
        <w:rPr>
          <w:sz w:val="20"/>
          <w:szCs w:val="20"/>
          <w:color w:val="auto"/>
        </w:rPr>
      </w:pPr>
    </w:p>
    <w:p>
      <w:pPr>
        <w:ind w:right="280" w:firstLine="802"/>
        <w:spacing w:after="0" w:line="267" w:lineRule="auto"/>
        <w:rPr>
          <w:sz w:val="20"/>
          <w:szCs w:val="20"/>
          <w:color w:val="auto"/>
        </w:rPr>
      </w:pPr>
      <w:r>
        <w:rPr>
          <w:rFonts w:ascii="Arial" w:cs="Arial" w:eastAsia="Arial" w:hAnsi="Arial"/>
          <w:sz w:val="14"/>
          <w:szCs w:val="14"/>
          <w:color w:val="auto"/>
        </w:rPr>
        <w:t>The amount of any backup withholding from a payment to a non-U.S. holder will be allowed as a credit against such holder’s U.S. federal income tax liability and may entitle such holder to a refund or credit against the non-U.S. holder’s U.S. federal income tax liability, provided that the required information is furnished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Estate Tax</w:t>
      </w:r>
    </w:p>
    <w:p>
      <w:pPr>
        <w:spacing w:after="0" w:line="134" w:lineRule="exact"/>
        <w:rPr>
          <w:sz w:val="20"/>
          <w:szCs w:val="20"/>
          <w:color w:val="auto"/>
        </w:rPr>
      </w:pPr>
    </w:p>
    <w:p>
      <w:pPr>
        <w:ind w:right="140" w:firstLine="802"/>
        <w:spacing w:after="0" w:line="258" w:lineRule="auto"/>
        <w:rPr>
          <w:sz w:val="20"/>
          <w:szCs w:val="20"/>
          <w:color w:val="auto"/>
        </w:rPr>
      </w:pPr>
      <w:r>
        <w:rPr>
          <w:rFonts w:ascii="Arial" w:cs="Arial" w:eastAsia="Arial" w:hAnsi="Arial"/>
          <w:sz w:val="14"/>
          <w:szCs w:val="14"/>
          <w:color w:val="auto"/>
        </w:rPr>
        <w:t>Individual Non-U.S. holders and entities the property of which is potentially includible in such an individual’s gross estate for U.S. federal estate tax purposes (for example, a trust funded by a non-U.S. holder individual and with respect to which the individual has retained certain interests or powers), should note that, absent an applicable treaty benefit, the common stock will be treated as U.S. situs property subject to U.S. federal estate tax.</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40"/>
          </w:cols>
          <w:pgMar w:left="220" w:top="387" w:right="2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Withholding and Information Reporting Requirements–FATCA</w:t>
      </w:r>
    </w:p>
    <w:p>
      <w:pPr>
        <w:spacing w:after="0" w:line="134"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The Foreign Account Tax Compliance Act, which is commonly referred to as “FATCA,” will impose a U.S. federal withholding tax of 30% on payments of dividends on and gross proceeds from the sale or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 Although this legislation is effective with regards to amounts paid after December 31, 2012, under final Treasury Regulations issued on January 17, 2013 and IRS Notice 2013-43 released on July 12, 2013, withholding under FATCA will only apply (1) to payments of dividends on our common stock made after June 30, 2014 and (2) to payments of gross proceeds from a sale or other disposition of our common stock made after December 31, 2016. Under certain circumstances, a non-U.S. holder may be eligible for refunds or credits for such taxes.</w:t>
      </w:r>
    </w:p>
    <w:p>
      <w:pPr>
        <w:spacing w:after="0" w:line="86" w:lineRule="exact"/>
        <w:rPr>
          <w:sz w:val="20"/>
          <w:szCs w:val="20"/>
          <w:color w:val="auto"/>
        </w:rPr>
      </w:pPr>
    </w:p>
    <w:p>
      <w:pPr>
        <w:ind w:right="140" w:firstLine="802"/>
        <w:spacing w:after="0" w:line="351" w:lineRule="auto"/>
        <w:rPr>
          <w:sz w:val="20"/>
          <w:szCs w:val="20"/>
          <w:color w:val="auto"/>
        </w:rPr>
      </w:pPr>
      <w:r>
        <w:rPr>
          <w:rFonts w:ascii="Arial" w:cs="Arial" w:eastAsia="Arial" w:hAnsi="Arial"/>
          <w:sz w:val="12"/>
          <w:szCs w:val="12"/>
          <w:color w:val="auto"/>
        </w:rPr>
        <w:t>Prospective investors should consult their own tax advisors regarding the possible implication of the FATCA rules on their investment in our common stock, and the entities through which they holder our common stock, including, without limitation, the process and deadlines for meeting the applicable requirements to prevent the imposition of this 30% withholding tax under FATCA.</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00"/>
          </w:cols>
          <w:pgMar w:left="220" w:top="387" w:right="27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UNDERWRITING</w:t>
      </w:r>
    </w:p>
    <w:p>
      <w:pPr>
        <w:spacing w:after="0" w:line="134"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color w:val="auto"/>
        </w:rPr>
        <w:t>Merrill Lynch, Pierce, Fenner &amp; Smith Incorporated, and Leerink Swann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ectPr>
          <w:pgSz w:w="11900" w:h="16838" w:orient="portrait"/>
          <w:cols w:equalWidth="0" w:num="1">
            <w:col w:w="11420"/>
          </w:cols>
          <w:pgMar w:left="220" w:top="386" w:right="259" w:bottom="1440" w:gutter="0" w:footer="0" w:header="0"/>
        </w:sectPr>
      </w:pPr>
    </w:p>
    <w:p>
      <w:pPr>
        <w:spacing w:after="0" w:line="250" w:lineRule="exact"/>
        <w:rPr>
          <w:sz w:val="20"/>
          <w:szCs w:val="20"/>
          <w:color w:val="auto"/>
        </w:rPr>
      </w:pPr>
    </w:p>
    <w:p>
      <w:pPr>
        <w:jc w:val="center"/>
        <w:ind w:left="860"/>
        <w:spacing w:after="0"/>
        <w:rPr>
          <w:sz w:val="20"/>
          <w:szCs w:val="20"/>
          <w:color w:val="auto"/>
        </w:rPr>
      </w:pPr>
      <w:r>
        <w:rPr>
          <w:rFonts w:ascii="Arial" w:cs="Arial" w:eastAsia="Arial" w:hAnsi="Arial"/>
          <w:sz w:val="9"/>
          <w:szCs w:val="9"/>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13970</wp:posOffset>
            </wp:positionV>
            <wp:extent cx="6256020" cy="2190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56020" cy="219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860"/>
        <w:spacing w:after="0"/>
        <w:rPr>
          <w:sz w:val="20"/>
          <w:szCs w:val="20"/>
          <w:color w:val="auto"/>
        </w:rPr>
      </w:pPr>
      <w:r>
        <w:rPr>
          <w:rFonts w:ascii="Arial" w:cs="Arial" w:eastAsia="Arial" w:hAnsi="Arial"/>
          <w:sz w:val="9"/>
          <w:szCs w:val="9"/>
          <w:b w:val="1"/>
          <w:bCs w:val="1"/>
          <w:color w:val="auto"/>
        </w:rPr>
        <w:t>Number of</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0"/>
          <w:szCs w:val="10"/>
          <w:b w:val="1"/>
          <w:bCs w:val="1"/>
          <w:color w:val="auto"/>
        </w:rPr>
        <w:t>Shares</w:t>
      </w:r>
    </w:p>
    <w:p>
      <w:pPr>
        <w:spacing w:after="0" w:line="3" w:lineRule="exact"/>
        <w:rPr>
          <w:sz w:val="20"/>
          <w:szCs w:val="20"/>
          <w:color w:val="auto"/>
        </w:rPr>
      </w:pPr>
    </w:p>
    <w:p>
      <w:pPr>
        <w:sectPr>
          <w:pgSz w:w="11900" w:h="16838" w:orient="portrait"/>
          <w:cols w:equalWidth="0" w:num="2">
            <w:col w:w="9340" w:space="720"/>
            <w:col w:w="1360"/>
          </w:cols>
          <w:pgMar w:left="220" w:top="386" w:right="259" w:bottom="1440" w:gutter="0" w:footer="0" w:header="0"/>
          <w:type w:val="continuous"/>
        </w:sectPr>
      </w:pPr>
    </w:p>
    <w:p>
      <w:pPr>
        <w:ind w:left="800"/>
        <w:spacing w:after="0"/>
        <w:rPr>
          <w:sz w:val="20"/>
          <w:szCs w:val="20"/>
          <w:color w:val="auto"/>
        </w:rPr>
      </w:pPr>
      <w:r>
        <w:rPr>
          <w:rFonts w:ascii="Arial" w:cs="Arial" w:eastAsia="Arial" w:hAnsi="Arial"/>
          <w:sz w:val="14"/>
          <w:szCs w:val="14"/>
          <w:color w:val="auto"/>
        </w:rPr>
        <w:t>Merrill Lynch, Pierce, Fenner &amp; Smith</w:t>
      </w:r>
    </w:p>
    <w:p>
      <w:pPr>
        <w:ind w:left="1700"/>
        <w:spacing w:after="0"/>
        <w:rPr>
          <w:sz w:val="20"/>
          <w:szCs w:val="20"/>
          <w:color w:val="auto"/>
        </w:rPr>
      </w:pPr>
      <w:r>
        <w:rPr>
          <w:rFonts w:ascii="Arial" w:cs="Arial" w:eastAsia="Arial" w:hAnsi="Arial"/>
          <w:sz w:val="14"/>
          <w:szCs w:val="14"/>
          <w:color w:val="auto"/>
        </w:rPr>
        <w:t>Incorporated</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Leerink Swann LLC</w:t>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-100330</wp:posOffset>
            </wp:positionV>
            <wp:extent cx="6256020" cy="1060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56020" cy="10604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4"/>
          <w:szCs w:val="14"/>
          <w:color w:val="auto"/>
        </w:rPr>
        <w:t>Lazard Capital Markets LLC</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-100330</wp:posOffset>
            </wp:positionV>
            <wp:extent cx="6256020" cy="113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56020" cy="113030"/>
                    </a:xfrm>
                    <a:prstGeom prst="rect">
                      <a:avLst/>
                    </a:prstGeom>
                    <a:noFill/>
                  </pic:spPr>
                </pic:pic>
              </a:graphicData>
            </a:graphic>
          </wp:anchor>
        </w:drawing>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6324600</wp:posOffset>
            </wp:positionH>
            <wp:positionV relativeFrom="paragraph">
              <wp:posOffset>8890</wp:posOffset>
            </wp:positionV>
            <wp:extent cx="4445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4500" cy="6350"/>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22225</wp:posOffset>
            </wp:positionV>
            <wp:extent cx="4445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4500" cy="6350"/>
                    </a:xfrm>
                    <a:prstGeom prst="rect">
                      <a:avLst/>
                    </a:prstGeom>
                    <a:noFill/>
                  </pic:spPr>
                </pic:pic>
              </a:graphicData>
            </a:graphic>
          </wp:anchor>
        </w:drawing>
      </w:r>
    </w:p>
    <w:p>
      <w:pPr>
        <w:spacing w:after="0" w:line="153" w:lineRule="exact"/>
        <w:rPr>
          <w:sz w:val="20"/>
          <w:szCs w:val="20"/>
          <w:color w:val="auto"/>
        </w:rPr>
      </w:pPr>
    </w:p>
    <w:p>
      <w:pPr>
        <w:jc w:val="both"/>
        <w:ind w:right="400" w:firstLine="802"/>
        <w:spacing w:after="0" w:line="258" w:lineRule="auto"/>
        <w:rPr>
          <w:sz w:val="20"/>
          <w:szCs w:val="20"/>
          <w:color w:val="auto"/>
        </w:rPr>
      </w:pPr>
      <w:r>
        <w:rPr>
          <w:rFonts w:ascii="Arial" w:cs="Arial" w:eastAsia="Arial" w:hAnsi="Arial"/>
          <w:sz w:val="14"/>
          <w:szCs w:val="14"/>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08" w:lineRule="exact"/>
        <w:rPr>
          <w:sz w:val="20"/>
          <w:szCs w:val="20"/>
          <w:color w:val="auto"/>
        </w:rPr>
      </w:pPr>
    </w:p>
    <w:p>
      <w:pPr>
        <w:ind w:right="220" w:firstLine="802"/>
        <w:spacing w:after="0" w:line="267"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1" w:lineRule="exact"/>
        <w:rPr>
          <w:sz w:val="20"/>
          <w:szCs w:val="20"/>
          <w:color w:val="auto"/>
        </w:rPr>
      </w:pPr>
    </w:p>
    <w:p>
      <w:pPr>
        <w:ind w:right="60" w:firstLine="802"/>
        <w:spacing w:after="0" w:line="258" w:lineRule="auto"/>
        <w:rPr>
          <w:sz w:val="20"/>
          <w:szCs w:val="20"/>
          <w:color w:val="auto"/>
        </w:rPr>
      </w:pPr>
      <w:r>
        <w:rPr>
          <w:rFonts w:ascii="Arial" w:cs="Arial" w:eastAsia="Arial" w:hAnsi="Arial"/>
          <w:sz w:val="14"/>
          <w:szCs w:val="14"/>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Discounts</w:t>
      </w:r>
    </w:p>
    <w:p>
      <w:pPr>
        <w:spacing w:after="0" w:line="134"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56" w:lineRule="exact"/>
        <w:rPr>
          <w:sz w:val="20"/>
          <w:szCs w:val="20"/>
          <w:color w:val="auto"/>
        </w:rPr>
      </w:pPr>
    </w:p>
    <w:p>
      <w:pPr>
        <w:ind w:right="100" w:firstLine="802"/>
        <w:spacing w:after="0" w:line="267" w:lineRule="auto"/>
        <w:rPr>
          <w:sz w:val="20"/>
          <w:szCs w:val="20"/>
          <w:color w:val="auto"/>
        </w:rPr>
      </w:pPr>
      <w:r>
        <w:rPr>
          <w:rFonts w:ascii="Arial" w:cs="Arial" w:eastAsia="Arial" w:hAnsi="Arial"/>
          <w:sz w:val="14"/>
          <w:szCs w:val="14"/>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4"/>
              </w:rPr>
              <w:t>Per Share</w:t>
            </w:r>
          </w:p>
        </w:tc>
        <w:tc>
          <w:tcPr>
            <w:tcW w:w="76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9"/>
              </w:rPr>
              <w:t>Without Option</w:t>
            </w:r>
          </w:p>
        </w:tc>
        <w:tc>
          <w:tcPr>
            <w:tcW w:w="780" w:type="dxa"/>
            <w:vAlign w:val="bottom"/>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With Option</w:t>
            </w:r>
          </w:p>
        </w:tc>
        <w:tc>
          <w:tcPr>
            <w:tcW w:w="100" w:type="dxa"/>
            <w:vAlign w:val="bottom"/>
          </w:tcPr>
          <w:p>
            <w:pPr>
              <w:spacing w:after="0"/>
              <w:rPr>
                <w:sz w:val="10"/>
                <w:szCs w:val="10"/>
                <w:color w:val="auto"/>
              </w:rPr>
            </w:pPr>
          </w:p>
        </w:tc>
      </w:tr>
      <w:tr>
        <w:trPr>
          <w:trHeight w:val="158"/>
        </w:trPr>
        <w:tc>
          <w:tcPr>
            <w:tcW w:w="3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Public offering price</w:t>
            </w:r>
          </w:p>
        </w:tc>
        <w:tc>
          <w:tcPr>
            <w:tcW w:w="3280" w:type="dxa"/>
            <w:vAlign w:val="bottom"/>
            <w:gridSpan w:val="2"/>
            <w:shd w:val="clear" w:color="auto" w:fill="CCEEFF"/>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28"/>
              <w:spacing w:after="0" w:line="15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Underwriting discount</w:t>
            </w:r>
          </w:p>
        </w:tc>
        <w:tc>
          <w:tcPr>
            <w:tcW w:w="328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7"/>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MacroGenics</w:t>
            </w:r>
          </w:p>
        </w:tc>
        <w:tc>
          <w:tcPr>
            <w:tcW w:w="328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280"/>
        </w:trPr>
        <w:tc>
          <w:tcPr>
            <w:tcW w:w="3600" w:type="dxa"/>
            <w:vAlign w:val="bottom"/>
          </w:tcPr>
          <w:p>
            <w:pPr>
              <w:spacing w:after="0"/>
              <w:rPr>
                <w:sz w:val="24"/>
                <w:szCs w:val="24"/>
                <w:color w:val="auto"/>
              </w:rPr>
            </w:pPr>
          </w:p>
        </w:tc>
        <w:tc>
          <w:tcPr>
            <w:tcW w:w="2800" w:type="dxa"/>
            <w:vAlign w:val="bottom"/>
          </w:tcPr>
          <w:p>
            <w:pPr>
              <w:jc w:val="right"/>
              <w:ind w:right="1292"/>
              <w:spacing w:after="0"/>
              <w:rPr>
                <w:sz w:val="20"/>
                <w:szCs w:val="20"/>
                <w:color w:val="auto"/>
              </w:rPr>
            </w:pPr>
            <w:r>
              <w:rPr>
                <w:rFonts w:ascii="Arial" w:cs="Arial" w:eastAsia="Arial" w:hAnsi="Arial"/>
                <w:sz w:val="14"/>
                <w:szCs w:val="14"/>
                <w:color w:val="auto"/>
              </w:rPr>
              <w:t>152</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20" w:top="386" w:right="259" w:bottom="1440" w:gutter="0" w:footer="0" w:header="0"/>
          <w:type w:val="continuous"/>
        </w:sectPr>
      </w:pPr>
    </w:p>
    <w:bookmarkStart w:id="155" w:name="page156"/>
    <w:bookmarkEnd w:id="1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800"/>
        <w:spacing w:after="0"/>
        <w:tabs>
          <w:tab w:leader="none" w:pos="5880" w:val="left"/>
        </w:tabs>
        <w:rPr>
          <w:sz w:val="20"/>
          <w:szCs w:val="20"/>
          <w:color w:val="auto"/>
        </w:rPr>
      </w:pPr>
      <w:r>
        <w:rPr>
          <w:rFonts w:ascii="Arial" w:cs="Arial" w:eastAsia="Arial" w:hAnsi="Arial"/>
          <w:sz w:val="14"/>
          <w:szCs w:val="14"/>
          <w:color w:val="auto"/>
        </w:rPr>
        <w:t>The expenses of the offering, not including the underwriting discount, are estimated at $</w:t>
      </w:r>
      <w:r>
        <w:rPr>
          <w:sz w:val="20"/>
          <w:szCs w:val="20"/>
          <w:color w:val="auto"/>
        </w:rPr>
        <w:tab/>
      </w:r>
      <w:r>
        <w:rPr>
          <w:rFonts w:ascii="Arial" w:cs="Arial" w:eastAsia="Arial" w:hAnsi="Arial"/>
          <w:sz w:val="12"/>
          <w:szCs w:val="12"/>
          <w:color w:val="auto"/>
        </w:rPr>
        <w:t>and are payable by us.</w:t>
      </w:r>
    </w:p>
    <w:p>
      <w:pPr>
        <w:spacing w:after="0" w:line="132" w:lineRule="exact"/>
        <w:rPr>
          <w:sz w:val="20"/>
          <w:szCs w:val="20"/>
          <w:color w:val="auto"/>
        </w:rPr>
      </w:pPr>
    </w:p>
    <w:p>
      <w:pPr>
        <w:ind w:right="1260" w:firstLine="802"/>
        <w:spacing w:after="0" w:line="436" w:lineRule="auto"/>
        <w:rPr>
          <w:sz w:val="20"/>
          <w:szCs w:val="20"/>
          <w:color w:val="auto"/>
        </w:rPr>
      </w:pPr>
      <w:r>
        <w:rPr>
          <w:rFonts w:ascii="Arial" w:cs="Arial" w:eastAsia="Arial" w:hAnsi="Arial"/>
          <w:sz w:val="14"/>
          <w:szCs w:val="14"/>
          <w:color w:val="auto"/>
        </w:rPr>
        <w:t xml:space="preserve">Lazard Frères &amp; Co. LLC referred this transaction to Lazard Capital Markets LLC and will receive a referral fee from Lazard Capital Markets LLC in connection therewith. </w:t>
      </w:r>
      <w:r>
        <w:rPr>
          <w:rFonts w:ascii="Arial" w:cs="Arial" w:eastAsia="Arial" w:hAnsi="Arial"/>
          <w:sz w:val="14"/>
          <w:szCs w:val="14"/>
          <w:b w:val="1"/>
          <w:bCs w:val="1"/>
          <w:color w:val="auto"/>
        </w:rPr>
        <w:t>Option to Purchase Additional Shares</w:t>
      </w:r>
    </w:p>
    <w:p>
      <w:pPr>
        <w:ind w:right="400" w:firstLine="802"/>
        <w:spacing w:after="0" w:line="258" w:lineRule="auto"/>
        <w:rPr>
          <w:sz w:val="20"/>
          <w:szCs w:val="20"/>
          <w:color w:val="auto"/>
        </w:rPr>
      </w:pPr>
      <w:r>
        <w:rPr>
          <w:rFonts w:ascii="Arial" w:cs="Arial" w:eastAsia="Arial" w:hAnsi="Arial"/>
          <w:sz w:val="14"/>
          <w:szCs w:val="14"/>
          <w:color w:val="auto"/>
        </w:rPr>
        <w:t>We have granted an option to the underwriters, exercisable for 30 days after the date of this prospectus, to purchase up to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Sales of Similar Securities</w:t>
      </w:r>
    </w:p>
    <w:p>
      <w:pPr>
        <w:spacing w:after="0" w:line="134"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We, our executive officers and directors and certain of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Specifically, we and these other persons have agreed, with certain limited exceptions, not to directly or indirectly:</w:t>
      </w:r>
    </w:p>
    <w:p>
      <w:pPr>
        <w:spacing w:after="0" w:line="139" w:lineRule="exact"/>
        <w:rPr>
          <w:sz w:val="20"/>
          <w:szCs w:val="20"/>
          <w:color w:val="auto"/>
        </w:rPr>
      </w:pPr>
    </w:p>
    <w:p>
      <w:pPr>
        <w:ind w:left="1240" w:hanging="327"/>
        <w:spacing w:after="0"/>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offer, pledge, sell or contract to sell any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sell any option or contract to purchase any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purchase any option or contract to sell any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grant any option, right or warrant for the sale of any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lend or otherwise dispose of or transfer any common stock;</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request or demand that we file a registration statement related to the common stock; or</w:t>
      </w:r>
    </w:p>
    <w:p>
      <w:pPr>
        <w:spacing w:after="0" w:line="162" w:lineRule="exact"/>
        <w:rPr>
          <w:rFonts w:ascii="Arial" w:cs="Arial" w:eastAsia="Arial" w:hAnsi="Arial"/>
          <w:sz w:val="14"/>
          <w:szCs w:val="14"/>
          <w:color w:val="auto"/>
        </w:rPr>
      </w:pPr>
    </w:p>
    <w:p>
      <w:pPr>
        <w:ind w:left="1240" w:right="280" w:hanging="327"/>
        <w:spacing w:after="0" w:line="267" w:lineRule="auto"/>
        <w:tabs>
          <w:tab w:leader="none" w:pos="1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01" w:lineRule="exact"/>
        <w:rPr>
          <w:sz w:val="20"/>
          <w:szCs w:val="20"/>
          <w:color w:val="auto"/>
        </w:rPr>
      </w:pPr>
    </w:p>
    <w:p>
      <w:pPr>
        <w:ind w:firstLine="802"/>
        <w:spacing w:after="0" w:line="267" w:lineRule="auto"/>
        <w:rPr>
          <w:sz w:val="20"/>
          <w:szCs w:val="20"/>
          <w:color w:val="auto"/>
        </w:rPr>
      </w:pPr>
      <w:r>
        <w:rPr>
          <w:rFonts w:ascii="Arial" w:cs="Arial" w:eastAsia="Arial" w:hAnsi="Arial"/>
          <w:sz w:val="14"/>
          <w:szCs w:val="14"/>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Nasdaq Global Market Listing</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expect the shares to be approved for listing on the Nasdaq Global Market, subject to notice of issuance, under the symbol “MGNX”.</w:t>
      </w:r>
    </w:p>
    <w:p>
      <w:pPr>
        <w:spacing w:after="0" w:line="132" w:lineRule="exact"/>
        <w:rPr>
          <w:sz w:val="20"/>
          <w:szCs w:val="20"/>
          <w:color w:val="auto"/>
        </w:rPr>
      </w:pPr>
    </w:p>
    <w:p>
      <w:pPr>
        <w:ind w:right="420" w:firstLine="802"/>
        <w:spacing w:after="0" w:line="267" w:lineRule="auto"/>
        <w:rPr>
          <w:sz w:val="20"/>
          <w:szCs w:val="20"/>
          <w:color w:val="auto"/>
        </w:rPr>
      </w:pPr>
      <w:r>
        <w:rPr>
          <w:rFonts w:ascii="Arial" w:cs="Arial" w:eastAsia="Arial" w:hAnsi="Arial"/>
          <w:sz w:val="14"/>
          <w:szCs w:val="14"/>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33" w:lineRule="exact"/>
        <w:rPr>
          <w:sz w:val="20"/>
          <w:szCs w:val="20"/>
          <w:color w:val="auto"/>
        </w:rPr>
      </w:pPr>
    </w:p>
    <w:p>
      <w:pPr>
        <w:ind w:left="5640" w:right="4320" w:hanging="4727"/>
        <w:spacing w:after="0" w:line="438" w:lineRule="auto"/>
        <w:tabs>
          <w:tab w:leader="none" w:pos="124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valuation multiples of publicly traded companies that the representatives believe to be comparable to us, 153</w:t>
      </w:r>
    </w:p>
    <w:p>
      <w:pPr>
        <w:sectPr>
          <w:pgSz w:w="11900" w:h="16838" w:orient="portrait"/>
          <w:cols w:equalWidth="0" w:num="1">
            <w:col w:w="11420"/>
          </w:cols>
          <w:pgMar w:left="220" w:top="387" w:right="25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1240" w:hanging="327"/>
        <w:spacing w:after="0"/>
        <w:tabs>
          <w:tab w:leader="none" w:pos="12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our financial information,</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history of, and the prospects for, our company and the industry in which we compete,</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 assessment of our management, its past and present operations, and the prospects for, and timing of, our future revenues,</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present state of our development, and</w:t>
      </w:r>
    </w:p>
    <w:p>
      <w:pPr>
        <w:spacing w:after="0" w:line="162" w:lineRule="exact"/>
        <w:rPr>
          <w:rFonts w:ascii="Arial" w:cs="Arial" w:eastAsia="Arial" w:hAnsi="Arial"/>
          <w:sz w:val="14"/>
          <w:szCs w:val="14"/>
          <w:color w:val="auto"/>
        </w:rPr>
      </w:pPr>
    </w:p>
    <w:p>
      <w:pPr>
        <w:ind w:left="1240" w:hanging="327"/>
        <w:spacing w:after="0"/>
        <w:tabs>
          <w:tab w:leader="none" w:pos="12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above factors in relation to market values and various valuation measures of other companies engaged in activities similar to ours.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An active trading market for the shares may not develop. It is also possible that after the offering the shares will not trade in the public market at or above the initial public offering price.</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underwriters do not expect to sell more than 5% of the shares in the aggregate to accounts over which they exercise discretionary authority.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Stabilization, Short Positions and Penalty Bids</w:t>
      </w:r>
    </w:p>
    <w:p>
      <w:pPr>
        <w:spacing w:after="0" w:line="134" w:lineRule="exact"/>
        <w:rPr>
          <w:sz w:val="20"/>
          <w:szCs w:val="20"/>
          <w:color w:val="auto"/>
        </w:rPr>
      </w:pPr>
    </w:p>
    <w:p>
      <w:pPr>
        <w:ind w:right="180" w:firstLine="802"/>
        <w:spacing w:after="0" w:line="267" w:lineRule="auto"/>
        <w:rPr>
          <w:sz w:val="20"/>
          <w:szCs w:val="20"/>
          <w:color w:val="auto"/>
        </w:rPr>
      </w:pPr>
      <w:r>
        <w:rPr>
          <w:rFonts w:ascii="Arial" w:cs="Arial" w:eastAsia="Arial" w:hAnsi="Arial"/>
          <w:sz w:val="14"/>
          <w:szCs w:val="14"/>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01" w:lineRule="exact"/>
        <w:rPr>
          <w:sz w:val="20"/>
          <w:szCs w:val="20"/>
          <w:color w:val="auto"/>
        </w:rPr>
      </w:pPr>
    </w:p>
    <w:p>
      <w:pPr>
        <w:ind w:firstLine="802"/>
        <w:spacing w:after="0" w:line="299" w:lineRule="auto"/>
        <w:rPr>
          <w:sz w:val="20"/>
          <w:szCs w:val="20"/>
          <w:color w:val="auto"/>
        </w:rPr>
      </w:pPr>
      <w:r>
        <w:rPr>
          <w:rFonts w:ascii="Arial" w:cs="Arial" w:eastAsia="Arial" w:hAnsi="Arial"/>
          <w:sz w:val="12"/>
          <w:szCs w:val="12"/>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7" w:lineRule="exact"/>
        <w:rPr>
          <w:sz w:val="20"/>
          <w:szCs w:val="20"/>
          <w:color w:val="auto"/>
        </w:rPr>
      </w:pPr>
    </w:p>
    <w:p>
      <w:pPr>
        <w:ind w:right="720" w:firstLine="802"/>
        <w:spacing w:after="0" w:line="267"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1" w:lineRule="exact"/>
        <w:rPr>
          <w:sz w:val="20"/>
          <w:szCs w:val="20"/>
          <w:color w:val="auto"/>
        </w:rPr>
      </w:pPr>
    </w:p>
    <w:p>
      <w:pPr>
        <w:ind w:right="480" w:firstLine="802"/>
        <w:spacing w:after="0" w:line="258" w:lineRule="auto"/>
        <w:rPr>
          <w:sz w:val="20"/>
          <w:szCs w:val="20"/>
          <w:color w:val="auto"/>
        </w:rPr>
      </w:pPr>
      <w:r>
        <w:rPr>
          <w:rFonts w:ascii="Arial" w:cs="Arial" w:eastAsia="Arial" w:hAnsi="Arial"/>
          <w:sz w:val="14"/>
          <w:szCs w:val="14"/>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08" w:lineRule="exact"/>
        <w:rPr>
          <w:sz w:val="20"/>
          <w:szCs w:val="20"/>
          <w:color w:val="auto"/>
        </w:rPr>
      </w:pPr>
    </w:p>
    <w:p>
      <w:pPr>
        <w:jc w:val="both"/>
        <w:ind w:right="340" w:firstLine="802"/>
        <w:spacing w:after="0" w:line="258" w:lineRule="auto"/>
        <w:rPr>
          <w:sz w:val="20"/>
          <w:szCs w:val="20"/>
          <w:color w:val="auto"/>
        </w:rPr>
      </w:pPr>
      <w:r>
        <w:rPr>
          <w:rFonts w:ascii="Arial" w:cs="Arial" w:eastAsia="Arial" w:hAnsi="Arial"/>
          <w:sz w:val="14"/>
          <w:szCs w:val="14"/>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60"/>
          </w:cols>
          <w:pgMar w:left="220" w:top="387" w:right="21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Reserved Share Program</w:t>
      </w:r>
    </w:p>
    <w:p>
      <w:pPr>
        <w:spacing w:after="0" w:line="134"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At our request, the underwriters have reserved for sale, at the initial public offering price, up to 5% of the shares offered by this prospectus for sale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Distribution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connection with the offering, certain of the underwriters or securities dealers may distribute prospectuses by electronic means, such as e-mail.</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Relationships</w:t>
      </w:r>
    </w:p>
    <w:p>
      <w:pPr>
        <w:spacing w:after="0" w:line="134" w:lineRule="exact"/>
        <w:rPr>
          <w:sz w:val="20"/>
          <w:szCs w:val="20"/>
          <w:color w:val="auto"/>
        </w:rPr>
      </w:pPr>
    </w:p>
    <w:p>
      <w:pPr>
        <w:ind w:right="120" w:firstLine="802"/>
        <w:spacing w:after="0" w:line="321" w:lineRule="auto"/>
        <w:rPr>
          <w:sz w:val="20"/>
          <w:szCs w:val="20"/>
          <w:color w:val="auto"/>
        </w:rPr>
      </w:pPr>
      <w:r>
        <w:rPr>
          <w:rFonts w:ascii="Arial" w:cs="Arial" w:eastAsia="Arial" w:hAnsi="Arial"/>
          <w:sz w:val="12"/>
          <w:szCs w:val="12"/>
          <w:color w:val="auto"/>
        </w:rPr>
        <w:t>Affiliates of Merrill Lynch, Pierce, Fenner &amp; Smith Incorporated have passive limited partnership interests in certain holders of our common stock, which, in the aggregate, account for less than one percent of our common stock.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3"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the European Economic Area</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relation to each Member State of the European Economic Area (each, a “Relevant Member State”), no offer of shares may be made to the public in that Relevant Member State other than:</w:t>
      </w:r>
    </w:p>
    <w:p>
      <w:pPr>
        <w:spacing w:after="0" w:line="186" w:lineRule="exact"/>
        <w:rPr>
          <w:sz w:val="20"/>
          <w:szCs w:val="20"/>
          <w:color w:val="auto"/>
        </w:rPr>
      </w:pPr>
    </w:p>
    <w:p>
      <w:pPr>
        <w:ind w:left="1360" w:hanging="562"/>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in the Prospectus Directive;</w:t>
      </w:r>
    </w:p>
    <w:p>
      <w:pPr>
        <w:spacing w:after="0" w:line="162" w:lineRule="exact"/>
        <w:rPr>
          <w:rFonts w:ascii="Arial" w:cs="Arial" w:eastAsia="Arial" w:hAnsi="Arial"/>
          <w:sz w:val="14"/>
          <w:szCs w:val="14"/>
          <w:color w:val="auto"/>
        </w:rPr>
      </w:pPr>
    </w:p>
    <w:p>
      <w:pPr>
        <w:ind w:left="1360" w:right="360" w:hanging="562"/>
        <w:spacing w:after="0" w:line="351" w:lineRule="auto"/>
        <w:tabs>
          <w:tab w:leader="none" w:pos="13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7" w:lineRule="exact"/>
        <w:rPr>
          <w:rFonts w:ascii="Arial" w:cs="Arial" w:eastAsia="Arial" w:hAnsi="Arial"/>
          <w:sz w:val="12"/>
          <w:szCs w:val="12"/>
          <w:color w:val="auto"/>
        </w:rPr>
      </w:pPr>
    </w:p>
    <w:p>
      <w:pPr>
        <w:ind w:left="1360" w:right="260" w:hanging="562"/>
        <w:spacing w:after="0" w:line="351" w:lineRule="auto"/>
        <w:tabs>
          <w:tab w:leader="none" w:pos="13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56"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20"/>
          </w:cols>
          <w:pgMar w:left="220" w:top="387" w:right="25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Company, the representatives and their affiliates will rely upon the truth and accuracy of the foregoing representations, acknowledgements and agreements.</w:t>
      </w:r>
    </w:p>
    <w:p>
      <w:pPr>
        <w:spacing w:after="0" w:line="132" w:lineRule="exact"/>
        <w:rPr>
          <w:sz w:val="20"/>
          <w:szCs w:val="20"/>
          <w:color w:val="auto"/>
        </w:rPr>
      </w:pPr>
    </w:p>
    <w:p>
      <w:pPr>
        <w:ind w:right="80" w:firstLine="802"/>
        <w:spacing w:after="0" w:line="253" w:lineRule="auto"/>
        <w:rPr>
          <w:sz w:val="20"/>
          <w:szCs w:val="20"/>
          <w:color w:val="auto"/>
        </w:rPr>
      </w:pPr>
      <w:r>
        <w:rPr>
          <w:rFonts w:ascii="Arial" w:cs="Arial" w:eastAsia="Arial" w:hAnsi="Arial"/>
          <w:sz w:val="14"/>
          <w:szCs w:val="14"/>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13" w:lineRule="exact"/>
        <w:rPr>
          <w:sz w:val="20"/>
          <w:szCs w:val="20"/>
          <w:color w:val="auto"/>
        </w:rPr>
      </w:pPr>
    </w:p>
    <w:p>
      <w:pPr>
        <w:ind w:right="40" w:firstLine="802"/>
        <w:spacing w:after="0" w:line="253" w:lineRule="auto"/>
        <w:rPr>
          <w:sz w:val="20"/>
          <w:szCs w:val="20"/>
          <w:color w:val="auto"/>
        </w:rPr>
      </w:pPr>
      <w:r>
        <w:rPr>
          <w:rFonts w:ascii="Arial" w:cs="Arial" w:eastAsia="Arial" w:hAnsi="Arial"/>
          <w:sz w:val="14"/>
          <w:szCs w:val="14"/>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the United Kingdom</w:t>
      </w:r>
    </w:p>
    <w:p>
      <w:pPr>
        <w:spacing w:after="0" w:line="134" w:lineRule="exact"/>
        <w:rPr>
          <w:sz w:val="20"/>
          <w:szCs w:val="20"/>
          <w:color w:val="auto"/>
        </w:rPr>
      </w:pPr>
    </w:p>
    <w:p>
      <w:pPr>
        <w:ind w:right="60" w:firstLine="802"/>
        <w:spacing w:after="0" w:line="305" w:lineRule="auto"/>
        <w:rPr>
          <w:sz w:val="20"/>
          <w:szCs w:val="20"/>
          <w:color w:val="auto"/>
        </w:rPr>
      </w:pPr>
      <w:r>
        <w:rPr>
          <w:rFonts w:ascii="Arial" w:cs="Arial" w:eastAsia="Arial" w:hAnsi="Arial"/>
          <w:sz w:val="12"/>
          <w:szCs w:val="12"/>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Switzerland</w:t>
      </w:r>
    </w:p>
    <w:p>
      <w:pPr>
        <w:spacing w:after="0" w:line="134"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jc w:val="both"/>
        <w:ind w:right="40" w:firstLine="802"/>
        <w:spacing w:after="0" w:line="255"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440"/>
          </w:cols>
          <w:pgMar w:left="220" w:top="386" w:right="2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the Dubai International Financial Centre</w:t>
      </w:r>
    </w:p>
    <w:p>
      <w:pPr>
        <w:spacing w:after="0" w:line="134" w:lineRule="exact"/>
        <w:rPr>
          <w:sz w:val="20"/>
          <w:szCs w:val="20"/>
          <w:color w:val="auto"/>
        </w:rPr>
      </w:pPr>
    </w:p>
    <w:p>
      <w:pPr>
        <w:ind w:right="100" w:firstLine="802"/>
        <w:spacing w:after="0" w:line="253" w:lineRule="auto"/>
        <w:rPr>
          <w:sz w:val="20"/>
          <w:szCs w:val="20"/>
          <w:color w:val="auto"/>
        </w:rPr>
      </w:pPr>
      <w:r>
        <w:rPr>
          <w:rFonts w:ascii="Arial" w:cs="Arial" w:eastAsia="Arial" w:hAnsi="Arial"/>
          <w:sz w:val="14"/>
          <w:szCs w:val="14"/>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Australia</w:t>
      </w:r>
    </w:p>
    <w:p>
      <w:pPr>
        <w:spacing w:after="0" w:line="134" w:lineRule="exact"/>
        <w:rPr>
          <w:sz w:val="20"/>
          <w:szCs w:val="20"/>
          <w:color w:val="auto"/>
        </w:rPr>
      </w:pPr>
    </w:p>
    <w:p>
      <w:pPr>
        <w:ind w:right="40" w:firstLine="802"/>
        <w:spacing w:after="0" w:line="321" w:lineRule="auto"/>
        <w:rPr>
          <w:sz w:val="20"/>
          <w:szCs w:val="20"/>
          <w:color w:val="auto"/>
        </w:rPr>
      </w:pPr>
      <w:r>
        <w:rPr>
          <w:rFonts w:ascii="Arial" w:cs="Arial" w:eastAsia="Arial" w:hAnsi="Arial"/>
          <w:sz w:val="12"/>
          <w:szCs w:val="12"/>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3"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08"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73" w:lineRule="exact"/>
        <w:rPr>
          <w:sz w:val="20"/>
          <w:szCs w:val="20"/>
          <w:color w:val="auto"/>
        </w:rPr>
      </w:pPr>
    </w:p>
    <w:p>
      <w:pPr>
        <w:ind w:right="60" w:firstLine="802"/>
        <w:spacing w:after="0" w:line="258" w:lineRule="auto"/>
        <w:rPr>
          <w:sz w:val="20"/>
          <w:szCs w:val="20"/>
          <w:color w:val="auto"/>
        </w:rPr>
      </w:pPr>
      <w:r>
        <w:rPr>
          <w:rFonts w:ascii="Arial" w:cs="Arial" w:eastAsia="Arial" w:hAnsi="Arial"/>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Hong Kong</w:t>
      </w:r>
    </w:p>
    <w:p>
      <w:pPr>
        <w:spacing w:after="0" w:line="134" w:lineRule="exact"/>
        <w:rPr>
          <w:sz w:val="20"/>
          <w:szCs w:val="20"/>
          <w:color w:val="auto"/>
        </w:rPr>
      </w:pPr>
    </w:p>
    <w:p>
      <w:pPr>
        <w:ind w:right="60" w:firstLine="802"/>
        <w:spacing w:after="0" w:line="302" w:lineRule="auto"/>
        <w:rPr>
          <w:sz w:val="20"/>
          <w:szCs w:val="20"/>
          <w:color w:val="auto"/>
        </w:rPr>
      </w:pPr>
      <w:r>
        <w:rPr>
          <w:rFonts w:ascii="Arial" w:cs="Arial" w:eastAsia="Arial" w:hAnsi="Arial"/>
          <w:sz w:val="12"/>
          <w:szCs w:val="12"/>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440"/>
          </w:cols>
          <w:pgMar w:left="220" w:top="387" w:right="23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Japan</w:t>
      </w:r>
    </w:p>
    <w:p>
      <w:pPr>
        <w:spacing w:after="0" w:line="134" w:lineRule="exact"/>
        <w:rPr>
          <w:sz w:val="20"/>
          <w:szCs w:val="20"/>
          <w:color w:val="auto"/>
        </w:rPr>
      </w:pPr>
    </w:p>
    <w:p>
      <w:pPr>
        <w:jc w:val="both"/>
        <w:ind w:right="120" w:firstLine="802"/>
        <w:spacing w:after="0" w:line="311" w:lineRule="auto"/>
        <w:rPr>
          <w:sz w:val="20"/>
          <w:szCs w:val="20"/>
          <w:color w:val="auto"/>
        </w:rPr>
      </w:pPr>
      <w:r>
        <w:rPr>
          <w:rFonts w:ascii="Arial" w:cs="Arial" w:eastAsia="Arial" w:hAnsi="Arial"/>
          <w:sz w:val="12"/>
          <w:szCs w:val="12"/>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to Prospective Investors in Singapore</w:t>
      </w:r>
    </w:p>
    <w:p>
      <w:pPr>
        <w:spacing w:after="0" w:line="134"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Where the shares are subscribed or purchased under Section 275 of the SFA by a relevant person which is:</w:t>
      </w:r>
    </w:p>
    <w:p>
      <w:pPr>
        <w:spacing w:after="0" w:line="163" w:lineRule="exact"/>
        <w:rPr>
          <w:sz w:val="20"/>
          <w:szCs w:val="20"/>
          <w:color w:val="auto"/>
        </w:rPr>
      </w:pPr>
    </w:p>
    <w:p>
      <w:pPr>
        <w:ind w:left="1360" w:right="20" w:hanging="562"/>
        <w:spacing w:after="0" w:line="267" w:lineRule="auto"/>
        <w:tabs>
          <w:tab w:leader="none" w:pos="13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2" w:lineRule="exact"/>
        <w:rPr>
          <w:rFonts w:ascii="Arial" w:cs="Arial" w:eastAsia="Arial" w:hAnsi="Arial"/>
          <w:sz w:val="14"/>
          <w:szCs w:val="14"/>
          <w:color w:val="auto"/>
        </w:rPr>
      </w:pPr>
    </w:p>
    <w:p>
      <w:pPr>
        <w:ind w:left="1360" w:hanging="562"/>
        <w:spacing w:after="0"/>
        <w:tabs>
          <w:tab w:leader="none" w:pos="13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55"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3" w:lineRule="exact"/>
        <w:rPr>
          <w:sz w:val="20"/>
          <w:szCs w:val="20"/>
          <w:color w:val="auto"/>
        </w:rPr>
      </w:pPr>
    </w:p>
    <w:p>
      <w:pPr>
        <w:ind w:left="1360" w:right="100" w:hanging="562"/>
        <w:spacing w:after="0" w:line="267" w:lineRule="auto"/>
        <w:tabs>
          <w:tab w:leader="none" w:pos="13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defined in Section 275(2) of the SFA, or to any person arising from an offer referred to in Section 275(1A) or Section 276(4)(i)(B) of the SFA;</w:t>
      </w:r>
    </w:p>
    <w:p>
      <w:pPr>
        <w:spacing w:after="0" w:line="132" w:lineRule="exact"/>
        <w:rPr>
          <w:rFonts w:ascii="Arial" w:cs="Arial" w:eastAsia="Arial" w:hAnsi="Arial"/>
          <w:sz w:val="14"/>
          <w:szCs w:val="14"/>
          <w:color w:val="auto"/>
        </w:rPr>
      </w:pPr>
    </w:p>
    <w:p>
      <w:pPr>
        <w:ind w:left="1360" w:hanging="562"/>
        <w:spacing w:after="0"/>
        <w:tabs>
          <w:tab w:leader="none" w:pos="13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62" w:lineRule="exact"/>
        <w:rPr>
          <w:rFonts w:ascii="Arial" w:cs="Arial" w:eastAsia="Arial" w:hAnsi="Arial"/>
          <w:sz w:val="14"/>
          <w:szCs w:val="14"/>
          <w:color w:val="auto"/>
        </w:rPr>
      </w:pPr>
    </w:p>
    <w:p>
      <w:pPr>
        <w:ind w:left="1360" w:hanging="562"/>
        <w:spacing w:after="0"/>
        <w:tabs>
          <w:tab w:leader="none" w:pos="13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62" w:lineRule="exact"/>
        <w:rPr>
          <w:rFonts w:ascii="Arial" w:cs="Arial" w:eastAsia="Arial" w:hAnsi="Arial"/>
          <w:sz w:val="14"/>
          <w:szCs w:val="14"/>
          <w:color w:val="auto"/>
        </w:rPr>
      </w:pPr>
    </w:p>
    <w:p>
      <w:pPr>
        <w:ind w:left="5640" w:hanging="4842"/>
        <w:spacing w:after="0" w:line="438" w:lineRule="auto"/>
        <w:tabs>
          <w:tab w:leader="none" w:pos="137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as specified in Section 276(7) of the SFA; or as specified in Regulation 32 of the Securities and Futures (Offers of Investments) (Shares and Debentures) Regulations 2005 of Singapore. 158</w:t>
      </w:r>
    </w:p>
    <w:p>
      <w:pPr>
        <w:sectPr>
          <w:pgSz w:w="11900" w:h="16838" w:orient="portrait"/>
          <w:cols w:equalWidth="0" w:num="1">
            <w:col w:w="11400"/>
          </w:cols>
          <w:pgMar w:left="220" w:top="387" w:right="27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34" w:lineRule="exact"/>
        <w:rPr>
          <w:sz w:val="20"/>
          <w:szCs w:val="20"/>
          <w:color w:val="auto"/>
        </w:rPr>
      </w:pPr>
    </w:p>
    <w:p>
      <w:pPr>
        <w:ind w:right="40" w:firstLine="802"/>
        <w:spacing w:after="0" w:line="267" w:lineRule="auto"/>
        <w:rPr>
          <w:sz w:val="20"/>
          <w:szCs w:val="20"/>
          <w:color w:val="auto"/>
        </w:rPr>
      </w:pPr>
      <w:r>
        <w:rPr>
          <w:rFonts w:ascii="Arial" w:cs="Arial" w:eastAsia="Arial" w:hAnsi="Arial"/>
          <w:sz w:val="14"/>
          <w:szCs w:val="14"/>
          <w:color w:val="auto"/>
        </w:rPr>
        <w:t>The validity of the issuance of the shares of common stock offered by this prospectus will be passed upon for us by Arnold &amp; Porter LLP, Washington, District of Columbia. Legal matters relating to the sale of common stock in this offering will be passed upon for the underwriters by Wilmer Cutler Pickering Hale and Dorr LLP, New York, New York.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34" w:lineRule="exact"/>
        <w:rPr>
          <w:sz w:val="20"/>
          <w:szCs w:val="20"/>
          <w:color w:val="auto"/>
        </w:rPr>
      </w:pPr>
    </w:p>
    <w:p>
      <w:pPr>
        <w:jc w:val="both"/>
        <w:ind w:right="200" w:firstLine="802"/>
        <w:spacing w:after="0" w:line="258" w:lineRule="auto"/>
        <w:rPr>
          <w:sz w:val="20"/>
          <w:szCs w:val="20"/>
          <w:color w:val="auto"/>
        </w:rPr>
      </w:pPr>
      <w:r>
        <w:rPr>
          <w:rFonts w:ascii="Arial" w:cs="Arial" w:eastAsia="Arial" w:hAnsi="Arial"/>
          <w:sz w:val="14"/>
          <w:szCs w:val="14"/>
          <w:color w:val="auto"/>
        </w:rPr>
        <w:t>Ernst &amp; Young LLP, independent registered accounting firm, has audited our consolidated financial statements at December 31, 2011 and 2012, and for the years then ended, as set forth in their report. We’ve included our financial statements in this Prospectus and elsewhere in the Registration Statement in reliance on Ernst &amp; Young LLP’s report, given on their authority as experts in accounting and auditing.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34" w:lineRule="exact"/>
        <w:rPr>
          <w:sz w:val="20"/>
          <w:szCs w:val="20"/>
          <w:color w:val="auto"/>
        </w:rPr>
      </w:pPr>
    </w:p>
    <w:p>
      <w:pPr>
        <w:ind w:right="20" w:firstLine="802"/>
        <w:spacing w:after="0" w:line="299" w:lineRule="auto"/>
        <w:rPr>
          <w:sz w:val="20"/>
          <w:szCs w:val="20"/>
          <w:color w:val="auto"/>
        </w:rPr>
      </w:pPr>
      <w:r>
        <w:rPr>
          <w:rFonts w:ascii="Arial" w:cs="Arial" w:eastAsia="Arial" w:hAnsi="Arial"/>
          <w:sz w:val="12"/>
          <w:szCs w:val="12"/>
          <w:color w:val="auto"/>
        </w:rPr>
        <w:t xml:space="preserve">We have filed a registration statement on Form S-1 with the Securities and Exchange Commission under the Securities Act with respect to the common stock offered by this prospectus. This prospectus, which constitutes a part of the registration statement, does not contain all of the information set forth in the registration statement or the exhibits and schedules filed therewith. For further information with respect to us and our common stock, please see the registration statement and the exhibits and schedules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registration statement, including its exhibits and schedules, may be inspected without charge at the public reference room maintained by the SEC, located at 100 F Street, N.E., Room 1580, Washington, D.C. 20549, and copies of all or any part of the registration statement may be obtained from such offices upon the payment of the fees prescribed by the SEC. Please call the SEC at 1-800-SEC-0330 for further information about the public reference room. The SEC also maintains an Internet website that contains reports, proxy and information statements and other information regarding registrants that file electronically with the SEC. The address of the site is </w:t>
      </w:r>
      <w:r>
        <w:rPr>
          <w:rFonts w:ascii="Arial" w:cs="Arial" w:eastAsia="Arial" w:hAnsi="Arial"/>
          <w:sz w:val="12"/>
          <w:szCs w:val="12"/>
          <w:i w:val="1"/>
          <w:iCs w:val="1"/>
          <w:color w:val="auto"/>
        </w:rPr>
        <w:t>www.sec.gov</w:t>
      </w:r>
      <w:r>
        <w:rPr>
          <w:rFonts w:ascii="Arial" w:cs="Arial" w:eastAsia="Arial" w:hAnsi="Arial"/>
          <w:sz w:val="12"/>
          <w:szCs w:val="12"/>
          <w:color w:val="auto"/>
        </w:rPr>
        <w:t>.</w:t>
      </w:r>
    </w:p>
    <w:p>
      <w:pPr>
        <w:spacing w:after="0" w:line="87"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Upon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on the SEC website referred to above.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460"/>
          </w:cols>
          <w:pgMar w:left="220" w:top="387" w:right="21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60" w:type="dxa"/>
            <w:vAlign w:val="bottom"/>
            <w:gridSpan w:val="5"/>
          </w:tcPr>
          <w:p>
            <w:pPr>
              <w:jc w:val="center"/>
              <w:ind w:right="2560"/>
              <w:spacing w:after="0"/>
              <w:rPr>
                <w:sz w:val="20"/>
                <w:szCs w:val="20"/>
                <w:color w:val="auto"/>
              </w:rPr>
            </w:pPr>
            <w:r>
              <w:rPr>
                <w:rFonts w:ascii="Arial" w:cs="Arial" w:eastAsia="Arial" w:hAnsi="Arial"/>
                <w:sz w:val="14"/>
                <w:szCs w:val="14"/>
                <w:b w:val="1"/>
                <w:bCs w:val="1"/>
                <w:color w:val="auto"/>
                <w:w w:val="98"/>
              </w:rPr>
              <w:t>INDEX TO CONSOLIDATED FINANCIAL STATEMENTS</w:t>
            </w:r>
          </w:p>
        </w:tc>
        <w:tc>
          <w:tcPr>
            <w:tcW w:w="540" w:type="dxa"/>
            <w:vAlign w:val="bottom"/>
          </w:tcPr>
          <w:p>
            <w:pPr>
              <w:spacing w:after="0"/>
              <w:rPr>
                <w:sz w:val="15"/>
                <w:szCs w:val="15"/>
                <w:color w:val="auto"/>
              </w:rPr>
            </w:pPr>
          </w:p>
        </w:tc>
      </w:tr>
      <w:tr>
        <w:trPr>
          <w:trHeight w:val="324"/>
        </w:trPr>
        <w:tc>
          <w:tcPr>
            <w:tcW w:w="10840" w:type="dxa"/>
            <w:vAlign w:val="bottom"/>
            <w:gridSpan w:val="7"/>
          </w:tcPr>
          <w:p>
            <w:pPr>
              <w:spacing w:after="0"/>
              <w:rPr>
                <w:sz w:val="20"/>
                <w:szCs w:val="20"/>
                <w:color w:val="auto"/>
              </w:rPr>
            </w:pPr>
            <w:r>
              <w:rPr>
                <w:rFonts w:ascii="Arial" w:cs="Arial" w:eastAsia="Arial" w:hAnsi="Arial"/>
                <w:sz w:val="14"/>
                <w:szCs w:val="14"/>
                <w:b w:val="1"/>
                <w:bCs w:val="1"/>
                <w:color w:val="auto"/>
              </w:rPr>
              <w:t>MacroGenics, Inc.</w:t>
            </w:r>
          </w:p>
        </w:tc>
        <w:tc>
          <w:tcPr>
            <w:tcW w:w="540" w:type="dxa"/>
            <w:vAlign w:val="bottom"/>
          </w:tcPr>
          <w:p>
            <w:pPr>
              <w:spacing w:after="0"/>
              <w:rPr>
                <w:sz w:val="24"/>
                <w:szCs w:val="24"/>
                <w:color w:val="auto"/>
              </w:rPr>
            </w:pPr>
          </w:p>
        </w:tc>
      </w:tr>
      <w:tr>
        <w:trPr>
          <w:trHeight w:val="221"/>
        </w:trPr>
        <w:tc>
          <w:tcPr>
            <w:tcW w:w="10840" w:type="dxa"/>
            <w:vAlign w:val="bottom"/>
            <w:gridSpan w:val="7"/>
          </w:tcPr>
          <w:p>
            <w:pPr>
              <w:spacing w:after="0"/>
              <w:rPr>
                <w:rFonts w:ascii="Arial" w:cs="Arial" w:eastAsia="Arial" w:hAnsi="Arial"/>
                <w:sz w:val="14"/>
                <w:szCs w:val="14"/>
                <w:color w:val="0000EE"/>
              </w:rPr>
            </w:pPr>
            <w:hyperlink w:anchor="page164">
              <w:r>
                <w:rPr>
                  <w:rFonts w:ascii="Arial" w:cs="Arial" w:eastAsia="Arial" w:hAnsi="Arial"/>
                  <w:sz w:val="14"/>
                  <w:szCs w:val="14"/>
                  <w:color w:val="0000EE"/>
                </w:rPr>
                <w:t>Report of Independent Registered Public Accounting Firm</w:t>
              </w:r>
            </w:hyperlink>
          </w:p>
        </w:tc>
        <w:tc>
          <w:tcPr>
            <w:tcW w:w="540" w:type="dxa"/>
            <w:vAlign w:val="bottom"/>
          </w:tcPr>
          <w:p>
            <w:pPr>
              <w:ind w:left="340"/>
              <w:spacing w:after="0"/>
              <w:rPr>
                <w:sz w:val="20"/>
                <w:szCs w:val="20"/>
                <w:color w:val="auto"/>
              </w:rPr>
            </w:pPr>
            <w:r>
              <w:rPr>
                <w:rFonts w:ascii="Arial" w:cs="Arial" w:eastAsia="Arial" w:hAnsi="Arial"/>
                <w:sz w:val="14"/>
                <w:szCs w:val="14"/>
                <w:color w:val="auto"/>
                <w:w w:val="85"/>
              </w:rPr>
              <w:t>F-2</w:t>
            </w:r>
          </w:p>
        </w:tc>
      </w:tr>
      <w:tr>
        <w:trPr>
          <w:trHeight w:val="20"/>
        </w:trPr>
        <w:tc>
          <w:tcPr>
            <w:tcW w:w="2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1"/>
        </w:trPr>
        <w:tc>
          <w:tcPr>
            <w:tcW w:w="6820" w:type="dxa"/>
            <w:vAlign w:val="bottom"/>
            <w:tcBorders>
              <w:bottom w:val="single" w:sz="8" w:color="0000EE"/>
            </w:tcBorders>
            <w:gridSpan w:val="3"/>
          </w:tcPr>
          <w:p>
            <w:pPr>
              <w:spacing w:after="0"/>
              <w:rPr>
                <w:rFonts w:ascii="Arial" w:cs="Arial" w:eastAsia="Arial" w:hAnsi="Arial"/>
                <w:sz w:val="14"/>
                <w:szCs w:val="14"/>
                <w:color w:val="0000EE"/>
                <w:w w:val="86"/>
              </w:rPr>
            </w:pPr>
            <w:hyperlink w:anchor="page165">
              <w:r>
                <w:rPr>
                  <w:rFonts w:ascii="Arial" w:cs="Arial" w:eastAsia="Arial" w:hAnsi="Arial"/>
                  <w:sz w:val="14"/>
                  <w:szCs w:val="14"/>
                  <w:color w:val="0000EE"/>
                  <w:w w:val="86"/>
                </w:rPr>
                <w:t>Consolidated Balance Sheets as of December 31, 2011 and 2012 and June 30, 2013 (unaudited) and June 30, 2013 pro forma</w:t>
              </w:r>
            </w:hyperlink>
          </w:p>
        </w:tc>
        <w:tc>
          <w:tcPr>
            <w:tcW w:w="4020" w:type="dxa"/>
            <w:vAlign w:val="bottom"/>
            <w:gridSpan w:val="4"/>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85"/>
              </w:rPr>
              <w:t>F-3</w:t>
            </w:r>
          </w:p>
        </w:tc>
      </w:tr>
      <w:tr>
        <w:trPr>
          <w:trHeight w:val="231"/>
        </w:trPr>
        <w:tc>
          <w:tcPr>
            <w:tcW w:w="10840" w:type="dxa"/>
            <w:vAlign w:val="bottom"/>
            <w:gridSpan w:val="7"/>
          </w:tcPr>
          <w:p>
            <w:pPr>
              <w:spacing w:after="0"/>
              <w:rPr>
                <w:rFonts w:ascii="Arial" w:cs="Arial" w:eastAsia="Arial" w:hAnsi="Arial"/>
                <w:sz w:val="14"/>
                <w:szCs w:val="14"/>
                <w:color w:val="0000EE"/>
                <w:w w:val="89"/>
              </w:rPr>
            </w:pPr>
            <w:hyperlink w:anchor="page167">
              <w:r>
                <w:rPr>
                  <w:rFonts w:ascii="Arial" w:cs="Arial" w:eastAsia="Arial" w:hAnsi="Arial"/>
                  <w:sz w:val="14"/>
                  <w:szCs w:val="14"/>
                  <w:color w:val="0000EE"/>
                  <w:w w:val="89"/>
                </w:rPr>
                <w:t>Consolidated Statements of Operations and Comprehensive Income for the years ended December 31, 2011 and 2012 and the six months ended June 30, 2013 (unaudited) and 2012 (unaudited)</w:t>
              </w:r>
            </w:hyperlink>
          </w:p>
        </w:tc>
        <w:tc>
          <w:tcPr>
            <w:tcW w:w="540" w:type="dxa"/>
            <w:vAlign w:val="bottom"/>
          </w:tcPr>
          <w:p>
            <w:pPr>
              <w:ind w:left="340"/>
              <w:spacing w:after="0"/>
              <w:rPr>
                <w:sz w:val="20"/>
                <w:szCs w:val="20"/>
                <w:color w:val="auto"/>
              </w:rPr>
            </w:pPr>
            <w:r>
              <w:rPr>
                <w:rFonts w:ascii="Arial" w:cs="Arial" w:eastAsia="Arial" w:hAnsi="Arial"/>
                <w:sz w:val="14"/>
                <w:szCs w:val="14"/>
                <w:color w:val="auto"/>
                <w:w w:val="85"/>
              </w:rPr>
              <w:t>F-5</w:t>
            </w:r>
          </w:p>
        </w:tc>
      </w:tr>
      <w:tr>
        <w:trPr>
          <w:trHeight w:val="231"/>
        </w:trPr>
        <w:tc>
          <w:tcPr>
            <w:tcW w:w="10480" w:type="dxa"/>
            <w:vAlign w:val="bottom"/>
            <w:tcBorders>
              <w:top w:val="single" w:sz="8" w:color="0000EE"/>
            </w:tcBorders>
            <w:gridSpan w:val="6"/>
          </w:tcPr>
          <w:p>
            <w:pPr>
              <w:spacing w:after="0"/>
              <w:rPr>
                <w:rFonts w:ascii="Arial" w:cs="Arial" w:eastAsia="Arial" w:hAnsi="Arial"/>
                <w:sz w:val="14"/>
                <w:szCs w:val="14"/>
                <w:color w:val="0000EE"/>
              </w:rPr>
            </w:pPr>
            <w:hyperlink w:anchor="page168">
              <w:r>
                <w:rPr>
                  <w:rFonts w:ascii="Arial" w:cs="Arial" w:eastAsia="Arial" w:hAnsi="Arial"/>
                  <w:sz w:val="14"/>
                  <w:szCs w:val="14"/>
                  <w:color w:val="0000EE"/>
                </w:rPr>
                <w:t>Consolidated Statements of Stockholders’ Equity (Deficit) for the years ended December 31, 2011 and 2012 and the six months ended June 30, 2013 (unaudited)</w:t>
              </w:r>
            </w:hyperlink>
          </w:p>
        </w:tc>
        <w:tc>
          <w:tcPr>
            <w:tcW w:w="36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85"/>
              </w:rPr>
              <w:t>F-6</w:t>
            </w:r>
          </w:p>
        </w:tc>
      </w:tr>
      <w:tr>
        <w:trPr>
          <w:trHeight w:val="20"/>
        </w:trPr>
        <w:tc>
          <w:tcPr>
            <w:tcW w:w="2380" w:type="dxa"/>
            <w:vAlign w:val="bottom"/>
            <w:shd w:val="clear" w:color="auto" w:fill="0000EE"/>
          </w:tcPr>
          <w:p>
            <w:pPr>
              <w:spacing w:after="0" w:line="20" w:lineRule="exact"/>
              <w:rPr>
                <w:sz w:val="1"/>
                <w:szCs w:val="1"/>
                <w:color w:val="auto"/>
              </w:rPr>
            </w:pPr>
          </w:p>
        </w:tc>
        <w:tc>
          <w:tcPr>
            <w:tcW w:w="64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1"/>
        </w:trPr>
        <w:tc>
          <w:tcPr>
            <w:tcW w:w="10840" w:type="dxa"/>
            <w:vAlign w:val="bottom"/>
            <w:gridSpan w:val="7"/>
          </w:tcPr>
          <w:p>
            <w:pPr>
              <w:spacing w:after="0"/>
              <w:rPr>
                <w:rFonts w:ascii="Arial" w:cs="Arial" w:eastAsia="Arial" w:hAnsi="Arial"/>
                <w:sz w:val="14"/>
                <w:szCs w:val="14"/>
                <w:color w:val="0000EE"/>
              </w:rPr>
            </w:pPr>
            <w:hyperlink w:anchor="page169">
              <w:r>
                <w:rPr>
                  <w:rFonts w:ascii="Arial" w:cs="Arial" w:eastAsia="Arial" w:hAnsi="Arial"/>
                  <w:sz w:val="14"/>
                  <w:szCs w:val="14"/>
                  <w:color w:val="0000EE"/>
                </w:rPr>
                <w:t>Consolidated Statements of Cash Flows for the years ended December 31, 2011 and 2012 and the six months ended June 30, 2013 (unaudited) and 2012 (unaudited)</w:t>
              </w:r>
            </w:hyperlink>
          </w:p>
        </w:tc>
        <w:tc>
          <w:tcPr>
            <w:tcW w:w="540" w:type="dxa"/>
            <w:vAlign w:val="bottom"/>
          </w:tcPr>
          <w:p>
            <w:pPr>
              <w:ind w:left="340"/>
              <w:spacing w:after="0"/>
              <w:rPr>
                <w:sz w:val="20"/>
                <w:szCs w:val="20"/>
                <w:color w:val="auto"/>
              </w:rPr>
            </w:pPr>
            <w:r>
              <w:rPr>
                <w:rFonts w:ascii="Arial" w:cs="Arial" w:eastAsia="Arial" w:hAnsi="Arial"/>
                <w:sz w:val="14"/>
                <w:szCs w:val="14"/>
                <w:color w:val="auto"/>
                <w:w w:val="85"/>
              </w:rPr>
              <w:t>F-7</w:t>
            </w:r>
          </w:p>
        </w:tc>
      </w:tr>
      <w:tr>
        <w:trPr>
          <w:trHeight w:val="231"/>
        </w:trPr>
        <w:tc>
          <w:tcPr>
            <w:tcW w:w="8960" w:type="dxa"/>
            <w:vAlign w:val="bottom"/>
            <w:tcBorders>
              <w:top w:val="single" w:sz="8" w:color="0000EE"/>
            </w:tcBorders>
            <w:gridSpan w:val="5"/>
          </w:tcPr>
          <w:p>
            <w:pPr>
              <w:spacing w:after="0"/>
              <w:rPr>
                <w:rFonts w:ascii="Arial" w:cs="Arial" w:eastAsia="Arial" w:hAnsi="Arial"/>
                <w:sz w:val="14"/>
                <w:szCs w:val="14"/>
                <w:color w:val="0000EE"/>
              </w:rPr>
            </w:pPr>
            <w:hyperlink w:anchor="page170">
              <w:r>
                <w:rPr>
                  <w:rFonts w:ascii="Arial" w:cs="Arial" w:eastAsia="Arial" w:hAnsi="Arial"/>
                  <w:sz w:val="14"/>
                  <w:szCs w:val="14"/>
                  <w:color w:val="0000EE"/>
                </w:rPr>
                <w:t>Notes to Consolidated Financial Statements</w:t>
              </w:r>
            </w:hyperlink>
          </w:p>
        </w:tc>
        <w:tc>
          <w:tcPr>
            <w:tcW w:w="1880" w:type="dxa"/>
            <w:vAlign w:val="bottom"/>
            <w:gridSpan w:val="2"/>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85"/>
              </w:rPr>
              <w:t>F-8</w:t>
            </w:r>
          </w:p>
        </w:tc>
      </w:tr>
      <w:tr>
        <w:trPr>
          <w:trHeight w:val="292"/>
        </w:trPr>
        <w:tc>
          <w:tcPr>
            <w:tcW w:w="23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gridSpan w:val="5"/>
          </w:tcPr>
          <w:p>
            <w:pPr>
              <w:jc w:val="center"/>
              <w:ind w:right="2560"/>
              <w:spacing w:after="0"/>
              <w:rPr>
                <w:sz w:val="20"/>
                <w:szCs w:val="20"/>
                <w:color w:val="auto"/>
              </w:rPr>
            </w:pPr>
            <w:r>
              <w:rPr>
                <w:rFonts w:ascii="Arial" w:cs="Arial" w:eastAsia="Arial" w:hAnsi="Arial"/>
                <w:sz w:val="14"/>
                <w:szCs w:val="14"/>
                <w:color w:val="auto"/>
                <w:w w:val="85"/>
              </w:rPr>
              <w:t>F-1</w:t>
            </w:r>
          </w:p>
        </w:tc>
        <w:tc>
          <w:tcPr>
            <w:tcW w:w="540" w:type="dxa"/>
            <w:vAlign w:val="bottom"/>
          </w:tcPr>
          <w:p>
            <w:pPr>
              <w:spacing w:after="0"/>
              <w:rPr>
                <w:sz w:val="24"/>
                <w:szCs w:val="24"/>
                <w:color w:val="auto"/>
              </w:rPr>
            </w:pPr>
          </w:p>
        </w:tc>
      </w:tr>
    </w:tbl>
    <w:p>
      <w:pPr>
        <w:sectPr>
          <w:pgSz w:w="11900" w:h="16838" w:orient="portrait"/>
          <w:cols w:equalWidth="0" w:num="1">
            <w:col w:w="11380"/>
          </w:cols>
          <w:pgMar w:left="220" w:top="387" w:right="29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Shareholders of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MacroGenics, Inc.</w:t>
      </w:r>
    </w:p>
    <w:p>
      <w:pPr>
        <w:spacing w:after="0" w:line="126"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We have audited the accompanying consolidated balance sheets of MacroGenics, Inc. as of December 31, 2011 and 2012, and the related consolidated statements of operations and comprehensive income (loss), stockholders’ equity (deficit) and cash flows for the years then ended. These financial statements are the responsibility of the Company’s management. Our responsibility is to express an opinion on these financial statements based on our audits.</w:t>
      </w:r>
    </w:p>
    <w:p>
      <w:pPr>
        <w:spacing w:after="0" w:line="108"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4" w:lineRule="exact"/>
        <w:rPr>
          <w:sz w:val="20"/>
          <w:szCs w:val="20"/>
          <w:color w:val="auto"/>
        </w:rPr>
      </w:pPr>
    </w:p>
    <w:p>
      <w:pPr>
        <w:ind w:right="160" w:firstLine="802"/>
        <w:spacing w:after="0" w:line="267" w:lineRule="auto"/>
        <w:rPr>
          <w:sz w:val="20"/>
          <w:szCs w:val="20"/>
          <w:color w:val="auto"/>
        </w:rPr>
      </w:pPr>
      <w:r>
        <w:rPr>
          <w:rFonts w:ascii="Arial" w:cs="Arial" w:eastAsia="Arial" w:hAnsi="Arial"/>
          <w:sz w:val="14"/>
          <w:szCs w:val="14"/>
          <w:color w:val="auto"/>
        </w:rPr>
        <w:t>In our opinion, the financial statements referred to above present fairly, in all material respects, the consolidated financial position of MacroGenics, Inc. at December 31, 2011 and 2012, and the consolidated results of its operations and its cash flows for the years then ended, in conformity with U.S. generally accepted accounting principles.</w:t>
      </w:r>
    </w:p>
    <w:p>
      <w:pPr>
        <w:spacing w:after="0" w:line="10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 Ernst &amp; Young LLP</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March 8, 2013</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40"/>
          </w:cols>
          <w:pgMar w:left="220" w:top="387" w:right="2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5"/>
            <w:vMerge w:val="restart"/>
          </w:tcPr>
          <w:p>
            <w:pPr>
              <w:jc w:val="right"/>
              <w:ind w:right="60"/>
              <w:spacing w:after="0"/>
              <w:rPr>
                <w:sz w:val="20"/>
                <w:szCs w:val="20"/>
                <w:color w:val="auto"/>
              </w:rPr>
            </w:pPr>
            <w:r>
              <w:rPr>
                <w:rFonts w:ascii="Arial" w:cs="Arial" w:eastAsia="Arial" w:hAnsi="Arial"/>
                <w:sz w:val="10"/>
                <w:szCs w:val="10"/>
                <w:b w:val="1"/>
                <w:bCs w:val="1"/>
                <w:color w:val="auto"/>
                <w:w w:val="92"/>
              </w:rPr>
              <w:t>December 31,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63"/>
        </w:trPr>
        <w:tc>
          <w:tcPr>
            <w:tcW w:w="45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vMerge w:val="restart"/>
          </w:tcPr>
          <w:p>
            <w:pPr>
              <w:jc w:val="center"/>
              <w:ind w:right="780"/>
              <w:spacing w:after="0"/>
              <w:rPr>
                <w:sz w:val="20"/>
                <w:szCs w:val="20"/>
                <w:color w:val="auto"/>
              </w:rPr>
            </w:pPr>
            <w:r>
              <w:rPr>
                <w:rFonts w:ascii="Arial" w:cs="Arial" w:eastAsia="Arial" w:hAnsi="Arial"/>
                <w:sz w:val="10"/>
                <w:szCs w:val="10"/>
                <w:b w:val="1"/>
                <w:bCs w:val="1"/>
                <w:color w:val="auto"/>
                <w:w w:val="94"/>
              </w:rPr>
              <w:t>June 30,</w:t>
            </w:r>
          </w:p>
        </w:tc>
        <w:tc>
          <w:tcPr>
            <w:tcW w:w="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2013</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4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4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left="33"/>
              <w:spacing w:after="0"/>
              <w:rPr>
                <w:sz w:val="20"/>
                <w:szCs w:val="20"/>
                <w:color w:val="auto"/>
              </w:rPr>
            </w:pPr>
            <w:r>
              <w:rPr>
                <w:rFonts w:ascii="Arial" w:cs="Arial" w:eastAsia="Arial" w:hAnsi="Arial"/>
                <w:sz w:val="10"/>
                <w:szCs w:val="10"/>
                <w:b w:val="1"/>
                <w:bCs w:val="1"/>
                <w:color w:val="auto"/>
                <w:w w:val="98"/>
              </w:rPr>
              <w:t>2013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Pro Forma</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9"/>
                <w:szCs w:val="9"/>
                <w:b w:val="1"/>
                <w:bCs w:val="1"/>
                <w:color w:val="auto"/>
                <w:w w:val="77"/>
              </w:rPr>
              <w:t>(unaudited)</w:t>
            </w: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Current assets:</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1"/>
              </w:rPr>
              <w:t>55,218,361</w:t>
            </w:r>
          </w:p>
        </w:tc>
        <w:tc>
          <w:tcPr>
            <w:tcW w:w="26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w w:val="91"/>
              </w:rPr>
              <w:t>47,743,155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33,780,963</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3,397,869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2,046,219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4,153,061</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w:t>
            </w:r>
          </w:p>
        </w:tc>
        <w:tc>
          <w:tcPr>
            <w:tcW w:w="24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46,474</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137,634</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70,709</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20"/>
                <w:szCs w:val="20"/>
                <w:color w:val="auto"/>
              </w:rPr>
            </w:pPr>
            <w:r>
              <w:rPr>
                <w:rFonts w:ascii="Arial" w:cs="Arial" w:eastAsia="Arial" w:hAnsi="Arial"/>
                <w:sz w:val="14"/>
                <w:szCs w:val="14"/>
                <w:color w:val="auto"/>
              </w:rPr>
              <w:t>Total current assets</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w w:val="91"/>
              </w:rPr>
              <w:t>58,662,704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w w:val="91"/>
              </w:rPr>
              <w:t>49,927,008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38,004,733</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45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582,171</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404,850</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404,850</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3,287,683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3,267,796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3,626,322</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4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148,026</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147,246</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147,246</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Total assets</w:t>
            </w:r>
          </w:p>
        </w:tc>
        <w:tc>
          <w:tcPr>
            <w:tcW w:w="2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w w:val="91"/>
              </w:rPr>
              <w:t>62,680,584</w:t>
            </w:r>
          </w:p>
        </w:tc>
        <w:tc>
          <w:tcPr>
            <w:tcW w:w="26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w w:val="91"/>
              </w:rPr>
              <w:t>53,746,900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42,183,151</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60" w:type="dxa"/>
            <w:vAlign w:val="bottom"/>
            <w:shd w:val="clear" w:color="auto" w:fill="CCEEFF"/>
          </w:tcPr>
          <w:p>
            <w:pPr>
              <w:spacing w:after="0" w:line="150" w:lineRule="exact"/>
              <w:rPr>
                <w:sz w:val="20"/>
                <w:szCs w:val="20"/>
                <w:color w:val="auto"/>
              </w:rPr>
            </w:pPr>
            <w:r>
              <w:rPr>
                <w:rFonts w:ascii="Arial" w:cs="Arial" w:eastAsia="Arial" w:hAnsi="Arial"/>
                <w:sz w:val="14"/>
                <w:szCs w:val="14"/>
                <w:b w:val="1"/>
                <w:bCs w:val="1"/>
                <w:color w:val="auto"/>
              </w:rPr>
              <w:t>Liabilities and stockholders’ equity (deficit)</w:t>
            </w:r>
          </w:p>
        </w:tc>
        <w:tc>
          <w:tcPr>
            <w:tcW w:w="2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Current liabilities:</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5"/>
            <w:shd w:val="clear" w:color="auto" w:fill="CCEEFF"/>
          </w:tcPr>
          <w:p>
            <w:pPr>
              <w:jc w:val="right"/>
              <w:ind w:right="260"/>
              <w:spacing w:after="0"/>
              <w:rPr>
                <w:sz w:val="20"/>
                <w:szCs w:val="20"/>
                <w:color w:val="auto"/>
              </w:rPr>
            </w:pPr>
            <w:r>
              <w:rPr>
                <w:rFonts w:ascii="Arial" w:cs="Arial" w:eastAsia="Arial" w:hAnsi="Arial"/>
                <w:sz w:val="14"/>
                <w:szCs w:val="14"/>
                <w:color w:val="auto"/>
                <w:w w:val="91"/>
              </w:rPr>
              <w:t>11,051,456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3,739,125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2,118,796</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340"/>
              <w:spacing w:after="0"/>
              <w:rPr>
                <w:sz w:val="20"/>
                <w:szCs w:val="20"/>
                <w:color w:val="auto"/>
              </w:rPr>
            </w:pPr>
            <w:r>
              <w:rPr>
                <w:rFonts w:ascii="Arial" w:cs="Arial" w:eastAsia="Arial" w:hAnsi="Arial"/>
                <w:sz w:val="14"/>
                <w:szCs w:val="14"/>
                <w:color w:val="auto"/>
              </w:rPr>
              <w:t>Accrued expenses</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1,051,825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1,237,025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941,030</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Lease exit liability – current</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533,560</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628,768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1,024,762</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40"/>
              <w:spacing w:after="0"/>
              <w:rPr>
                <w:sz w:val="20"/>
                <w:szCs w:val="20"/>
                <w:color w:val="auto"/>
              </w:rPr>
            </w:pPr>
            <w:r>
              <w:rPr>
                <w:rFonts w:ascii="Arial" w:cs="Arial" w:eastAsia="Arial" w:hAnsi="Arial"/>
                <w:sz w:val="14"/>
                <w:szCs w:val="14"/>
                <w:color w:val="auto"/>
              </w:rPr>
              <w:t>Deferred revenue – current</w:t>
            </w: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1"/>
              </w:rPr>
              <w:t>31,652,533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1"/>
              </w:rPr>
              <w:t>24,123,176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23,990,542</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1"/>
              </w:rPr>
              <w:t>44,289,374</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w w:val="91"/>
              </w:rPr>
              <w:t>29,728,094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28,075,130</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4"/>
                <w:szCs w:val="14"/>
                <w:color w:val="auto"/>
              </w:rPr>
              <w:t>Lease exit liability</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w w:val="91"/>
              </w:rPr>
              <w:t>10,073,939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9,445,171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8,741,774</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Deferred rent expense</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2,360,838</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2,801,653</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2,854,574</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Preferred stock warrant liability</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203,642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52,947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124,900</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net of current portion</w:t>
            </w:r>
          </w:p>
        </w:tc>
        <w:tc>
          <w:tcPr>
            <w:tcW w:w="24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w w:val="91"/>
              </w:rPr>
              <w:t>23,237,075</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1"/>
              </w:rPr>
              <w:t>19,956,343</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4"/>
              </w:rPr>
              <w:t>13,317,049</w:t>
            </w: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20"/>
                <w:szCs w:val="20"/>
                <w:color w:val="auto"/>
              </w:rPr>
            </w:pPr>
            <w:r>
              <w:rPr>
                <w:rFonts w:ascii="Arial" w:cs="Arial" w:eastAsia="Arial" w:hAnsi="Arial"/>
                <w:sz w:val="14"/>
                <w:szCs w:val="14"/>
                <w:color w:val="auto"/>
              </w:rPr>
              <w:t>Total liabilities</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w w:val="91"/>
              </w:rPr>
              <w:t>80,164,868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w w:val="91"/>
              </w:rPr>
              <w:t>61,984,208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53,113,428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45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80" w:type="dxa"/>
            <w:vAlign w:val="bottom"/>
            <w:gridSpan w:val="3"/>
          </w:tcPr>
          <w:p>
            <w:pPr>
              <w:ind w:left="340"/>
              <w:spacing w:after="0" w:line="159" w:lineRule="exact"/>
              <w:rPr>
                <w:sz w:val="20"/>
                <w:szCs w:val="20"/>
                <w:color w:val="auto"/>
              </w:rPr>
            </w:pPr>
            <w:r>
              <w:rPr>
                <w:rFonts w:ascii="Arial" w:cs="Arial" w:eastAsia="Arial" w:hAnsi="Arial"/>
                <w:sz w:val="14"/>
                <w:szCs w:val="14"/>
                <w:color w:val="auto"/>
                <w:w w:val="94"/>
              </w:rPr>
              <w:t>Series A-1 convertible preferred stock, $0.01 par value – 26,874,792 shares authorized, 26,874,792 shares issued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80" w:type="dxa"/>
            <w:vAlign w:val="bottom"/>
            <w:gridSpan w:val="3"/>
          </w:tcPr>
          <w:p>
            <w:pPr>
              <w:ind w:left="500"/>
              <w:spacing w:after="0"/>
              <w:rPr>
                <w:sz w:val="20"/>
                <w:szCs w:val="20"/>
                <w:color w:val="auto"/>
              </w:rPr>
            </w:pPr>
            <w:r>
              <w:rPr>
                <w:rFonts w:ascii="Arial" w:cs="Arial" w:eastAsia="Arial" w:hAnsi="Arial"/>
                <w:sz w:val="14"/>
                <w:szCs w:val="14"/>
                <w:color w:val="auto"/>
              </w:rPr>
              <w:t>and outstanding at December 31, 2011 and 2012 and June 30, 2013; aggregate liquidation preference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500"/>
              <w:spacing w:after="0"/>
              <w:rPr>
                <w:sz w:val="20"/>
                <w:szCs w:val="20"/>
                <w:color w:val="auto"/>
              </w:rPr>
            </w:pPr>
            <w:r>
              <w:rPr>
                <w:rFonts w:ascii="Arial" w:cs="Arial" w:eastAsia="Arial" w:hAnsi="Arial"/>
                <w:sz w:val="14"/>
                <w:szCs w:val="14"/>
                <w:color w:val="auto"/>
                <w:w w:val="90"/>
              </w:rPr>
              <w:t>$27,000,000 at December 31, 2012 and June 30, 2013 (unaudited), and</w:t>
            </w:r>
          </w:p>
        </w:tc>
        <w:tc>
          <w:tcPr>
            <w:tcW w:w="2520" w:type="dxa"/>
            <w:vAlign w:val="bottom"/>
            <w:gridSpan w:val="2"/>
          </w:tcPr>
          <w:p>
            <w:pPr>
              <w:jc w:val="right"/>
              <w:ind w:right="620"/>
              <w:spacing w:after="0"/>
              <w:rPr>
                <w:sz w:val="20"/>
                <w:szCs w:val="20"/>
                <w:color w:val="auto"/>
              </w:rPr>
            </w:pPr>
            <w:r>
              <w:rPr>
                <w:rFonts w:ascii="Arial" w:cs="Arial" w:eastAsia="Arial" w:hAnsi="Arial"/>
                <w:sz w:val="14"/>
                <w:szCs w:val="14"/>
                <w:color w:val="auto"/>
                <w:w w:val="98"/>
              </w:rPr>
              <w:t>shares outstanding at June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500"/>
              <w:spacing w:after="0"/>
              <w:rPr>
                <w:sz w:val="20"/>
                <w:szCs w:val="20"/>
                <w:color w:val="auto"/>
              </w:rPr>
            </w:pPr>
            <w:r>
              <w:rPr>
                <w:rFonts w:ascii="Arial" w:cs="Arial" w:eastAsia="Arial" w:hAnsi="Arial"/>
                <w:sz w:val="14"/>
                <w:szCs w:val="14"/>
                <w:color w:val="auto"/>
              </w:rPr>
              <w:t>2013 (Pro Forma)</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268,748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268,748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268,748</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0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w w:val="97"/>
              </w:rPr>
              <w:t>Series A-2 convertible preferred stock, $0.01 par value – 7,364,582 shares authorized, 7,364,582 shares issued</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8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and outstanding at December 31, 2011 and 2012 and June 30, 2013; aggregate liquidation preference of</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2"/>
              </w:rPr>
              <w:t>$7,000,000 at December 31, 2012 and June 30, 2013 (unaudited), and</w:t>
            </w:r>
          </w:p>
        </w:tc>
        <w:tc>
          <w:tcPr>
            <w:tcW w:w="252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w w:val="95"/>
              </w:rPr>
              <w:t>shares outstanding at June 30,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2013 (Pro Forma)</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73,646</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73,646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73,646</w:t>
            </w: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080" w:type="dxa"/>
            <w:vAlign w:val="bottom"/>
            <w:gridSpan w:val="3"/>
          </w:tcPr>
          <w:p>
            <w:pPr>
              <w:ind w:left="340"/>
              <w:spacing w:after="0" w:line="159" w:lineRule="exact"/>
              <w:rPr>
                <w:sz w:val="20"/>
                <w:szCs w:val="20"/>
                <w:color w:val="auto"/>
              </w:rPr>
            </w:pPr>
            <w:r>
              <w:rPr>
                <w:rFonts w:ascii="Arial" w:cs="Arial" w:eastAsia="Arial" w:hAnsi="Arial"/>
                <w:sz w:val="14"/>
                <w:szCs w:val="14"/>
                <w:color w:val="auto"/>
                <w:w w:val="96"/>
              </w:rPr>
              <w:t>Series B convertible preferred stock, $0.01 par value – 71,401,237 shares authorized, 71,401,237 shares issued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80" w:type="dxa"/>
            <w:vAlign w:val="bottom"/>
            <w:gridSpan w:val="3"/>
          </w:tcPr>
          <w:p>
            <w:pPr>
              <w:ind w:left="500"/>
              <w:spacing w:after="0"/>
              <w:rPr>
                <w:sz w:val="20"/>
                <w:szCs w:val="20"/>
                <w:color w:val="auto"/>
              </w:rPr>
            </w:pPr>
            <w:r>
              <w:rPr>
                <w:rFonts w:ascii="Arial" w:cs="Arial" w:eastAsia="Arial" w:hAnsi="Arial"/>
                <w:sz w:val="14"/>
                <w:szCs w:val="14"/>
                <w:color w:val="auto"/>
              </w:rPr>
              <w:t>and outstanding at December 31, 2011 and 2012 and June 30, 2013; aggregate liquidation preference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500"/>
              <w:spacing w:after="0"/>
              <w:rPr>
                <w:sz w:val="20"/>
                <w:szCs w:val="20"/>
                <w:color w:val="auto"/>
              </w:rPr>
            </w:pPr>
            <w:r>
              <w:rPr>
                <w:rFonts w:ascii="Arial" w:cs="Arial" w:eastAsia="Arial" w:hAnsi="Arial"/>
                <w:sz w:val="14"/>
                <w:szCs w:val="14"/>
                <w:color w:val="auto"/>
                <w:w w:val="90"/>
              </w:rPr>
              <w:t>$31,000,000 at December 31, 2012 and June 30, 2013 (unaudited), and</w:t>
            </w:r>
          </w:p>
        </w:tc>
        <w:tc>
          <w:tcPr>
            <w:tcW w:w="2520" w:type="dxa"/>
            <w:vAlign w:val="bottom"/>
            <w:gridSpan w:val="2"/>
          </w:tcPr>
          <w:p>
            <w:pPr>
              <w:jc w:val="right"/>
              <w:ind w:right="620"/>
              <w:spacing w:after="0"/>
              <w:rPr>
                <w:sz w:val="20"/>
                <w:szCs w:val="20"/>
                <w:color w:val="auto"/>
              </w:rPr>
            </w:pPr>
            <w:r>
              <w:rPr>
                <w:rFonts w:ascii="Arial" w:cs="Arial" w:eastAsia="Arial" w:hAnsi="Arial"/>
                <w:sz w:val="14"/>
                <w:szCs w:val="14"/>
                <w:color w:val="auto"/>
                <w:w w:val="98"/>
              </w:rPr>
              <w:t>shares outstanding at June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60" w:type="dxa"/>
            <w:vAlign w:val="bottom"/>
          </w:tcPr>
          <w:p>
            <w:pPr>
              <w:ind w:left="500"/>
              <w:spacing w:after="0"/>
              <w:rPr>
                <w:sz w:val="20"/>
                <w:szCs w:val="20"/>
                <w:color w:val="auto"/>
              </w:rPr>
            </w:pPr>
            <w:r>
              <w:rPr>
                <w:rFonts w:ascii="Arial" w:cs="Arial" w:eastAsia="Arial" w:hAnsi="Arial"/>
                <w:sz w:val="14"/>
                <w:szCs w:val="14"/>
                <w:color w:val="auto"/>
              </w:rPr>
              <w:t>2013 (Pro Forma)</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714,012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color w:val="auto"/>
              </w:rPr>
              <w:t>714,012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714,012</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560" w:type="dxa"/>
            <w:vAlign w:val="bottom"/>
          </w:tcPr>
          <w:p>
            <w:pPr>
              <w:spacing w:after="0"/>
              <w:rPr>
                <w:sz w:val="24"/>
                <w:szCs w:val="24"/>
                <w:color w:val="auto"/>
              </w:rPr>
            </w:pPr>
          </w:p>
        </w:tc>
        <w:tc>
          <w:tcPr>
            <w:tcW w:w="2520" w:type="dxa"/>
            <w:vAlign w:val="bottom"/>
            <w:gridSpan w:val="2"/>
          </w:tcPr>
          <w:p>
            <w:pPr>
              <w:jc w:val="right"/>
              <w:ind w:right="1260"/>
              <w:spacing w:after="0"/>
              <w:rPr>
                <w:sz w:val="20"/>
                <w:szCs w:val="20"/>
                <w:color w:val="auto"/>
              </w:rPr>
            </w:pPr>
            <w:r>
              <w:rPr>
                <w:rFonts w:ascii="Arial" w:cs="Arial" w:eastAsia="Arial" w:hAnsi="Arial"/>
                <w:sz w:val="14"/>
                <w:szCs w:val="14"/>
                <w:color w:val="auto"/>
              </w:rPr>
              <w:t>F-3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7" w:right="21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w w:val="95"/>
              </w:rPr>
              <w:t>December 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68"/>
        </w:trPr>
        <w:tc>
          <w:tcPr>
            <w:tcW w:w="27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bottom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3"/>
            <w:vMerge w:val="restart"/>
          </w:tcPr>
          <w:p>
            <w:pPr>
              <w:jc w:val="center"/>
              <w:ind w:right="700"/>
              <w:spacing w:after="0"/>
              <w:rPr>
                <w:sz w:val="20"/>
                <w:szCs w:val="20"/>
                <w:color w:val="auto"/>
              </w:rPr>
            </w:pPr>
            <w:r>
              <w:rPr>
                <w:rFonts w:ascii="Arial" w:cs="Arial" w:eastAsia="Arial" w:hAnsi="Arial"/>
                <w:sz w:val="10"/>
                <w:szCs w:val="10"/>
                <w:b w:val="1"/>
                <w:bCs w:val="1"/>
                <w:color w:val="auto"/>
                <w:w w:val="94"/>
              </w:rPr>
              <w:t>June 30,</w:t>
            </w:r>
          </w:p>
        </w:tc>
        <w:tc>
          <w:tcPr>
            <w:tcW w:w="640" w:type="dxa"/>
            <w:vAlign w:val="bottom"/>
            <w:gridSpan w:val="2"/>
            <w:vMerge w:val="restart"/>
          </w:tcPr>
          <w:p>
            <w:pPr>
              <w:jc w:val="center"/>
              <w:ind w:left="80"/>
              <w:spacing w:after="0"/>
              <w:rPr>
                <w:sz w:val="20"/>
                <w:szCs w:val="20"/>
                <w:color w:val="auto"/>
              </w:rPr>
            </w:pPr>
            <w:r>
              <w:rPr>
                <w:rFonts w:ascii="Arial" w:cs="Arial" w:eastAsia="Arial" w:hAnsi="Arial"/>
                <w:sz w:val="10"/>
                <w:szCs w:val="10"/>
                <w:b w:val="1"/>
                <w:bCs w:val="1"/>
                <w:color w:val="auto"/>
                <w:w w:val="98"/>
              </w:rPr>
              <w:t>2013</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2012</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left="94"/>
              <w:spacing w:after="0"/>
              <w:rPr>
                <w:sz w:val="20"/>
                <w:szCs w:val="20"/>
                <w:color w:val="auto"/>
              </w:rPr>
            </w:pPr>
            <w:r>
              <w:rPr>
                <w:rFonts w:ascii="Arial" w:cs="Arial" w:eastAsia="Arial" w:hAnsi="Arial"/>
                <w:sz w:val="10"/>
                <w:szCs w:val="10"/>
                <w:b w:val="1"/>
                <w:bCs w:val="1"/>
                <w:color w:val="auto"/>
                <w:w w:val="98"/>
              </w:rPr>
              <w:t>2013</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9"/>
              </w:rPr>
              <w:t>Pro Forma</w:t>
            </w:r>
          </w:p>
        </w:tc>
        <w:tc>
          <w:tcPr>
            <w:tcW w:w="0" w:type="dxa"/>
            <w:vAlign w:val="bottom"/>
          </w:tcPr>
          <w:p>
            <w:pPr>
              <w:spacing w:after="0"/>
              <w:rPr>
                <w:sz w:val="1"/>
                <w:szCs w:val="1"/>
                <w:color w:val="auto"/>
              </w:rPr>
            </w:pPr>
          </w:p>
        </w:tc>
      </w:tr>
      <w:tr>
        <w:trPr>
          <w:trHeight w:val="96"/>
        </w:trPr>
        <w:tc>
          <w:tcPr>
            <w:tcW w:w="2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73"/>
              </w:rPr>
              <w:t>(unaudited)</w:t>
            </w: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560" w:type="dxa"/>
            <w:vAlign w:val="bottom"/>
            <w:gridSpan w:val="4"/>
            <w:shd w:val="clear" w:color="auto" w:fill="CCEEFF"/>
          </w:tcPr>
          <w:p>
            <w:pPr>
              <w:ind w:left="340"/>
              <w:spacing w:after="0" w:line="159" w:lineRule="exact"/>
              <w:rPr>
                <w:sz w:val="20"/>
                <w:szCs w:val="20"/>
                <w:color w:val="auto"/>
              </w:rPr>
            </w:pPr>
            <w:r>
              <w:rPr>
                <w:rFonts w:ascii="Arial" w:cs="Arial" w:eastAsia="Arial" w:hAnsi="Arial"/>
                <w:sz w:val="14"/>
                <w:szCs w:val="14"/>
                <w:color w:val="auto"/>
                <w:w w:val="99"/>
              </w:rPr>
              <w:t>Series C convertible preferred stock, $0.01 par value – 110,952,217 shares authorized, 110,952,217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5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w w:val="85"/>
              </w:rPr>
              <w:t>shares issued and outstanding at December 31, 2011 and 2012 and June 30, 2013; aggregate</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6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liquidation preference of $45,000,000 at December 31, 2012 and June 30, 2013 (unaudited), and</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shares outstanding at June 30, 2013 (Pro Forma)</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1,109,522</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1,109,522</w:t>
            </w:r>
          </w:p>
        </w:tc>
        <w:tc>
          <w:tcPr>
            <w:tcW w:w="140" w:type="dxa"/>
            <w:vAlign w:val="bottom"/>
            <w:shd w:val="clear" w:color="auto" w:fill="CCEEFF"/>
          </w:tcPr>
          <w:p>
            <w:pPr>
              <w:spacing w:after="0"/>
              <w:rPr>
                <w:sz w:val="15"/>
                <w:szCs w:val="15"/>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1,109,522</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60" w:type="dxa"/>
            <w:vAlign w:val="bottom"/>
            <w:gridSpan w:val="4"/>
          </w:tcPr>
          <w:p>
            <w:pPr>
              <w:ind w:left="340"/>
              <w:spacing w:after="0" w:line="159" w:lineRule="exact"/>
              <w:rPr>
                <w:sz w:val="20"/>
                <w:szCs w:val="20"/>
                <w:color w:val="auto"/>
              </w:rPr>
            </w:pPr>
            <w:r>
              <w:rPr>
                <w:rFonts w:ascii="Arial" w:cs="Arial" w:eastAsia="Arial" w:hAnsi="Arial"/>
                <w:sz w:val="14"/>
                <w:szCs w:val="14"/>
                <w:color w:val="auto"/>
                <w:w w:val="95"/>
              </w:rPr>
              <w:t>Series D convertible preferred stock, $0.01 par value – 30,000,000 shares authorized, 14,446,227 shares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60" w:type="dxa"/>
            <w:vAlign w:val="bottom"/>
            <w:gridSpan w:val="4"/>
          </w:tcPr>
          <w:p>
            <w:pPr>
              <w:ind w:left="500"/>
              <w:spacing w:after="0"/>
              <w:rPr>
                <w:sz w:val="20"/>
                <w:szCs w:val="20"/>
                <w:color w:val="auto"/>
              </w:rPr>
            </w:pPr>
            <w:r>
              <w:rPr>
                <w:rFonts w:ascii="Arial" w:cs="Arial" w:eastAsia="Arial" w:hAnsi="Arial"/>
                <w:sz w:val="14"/>
                <w:szCs w:val="14"/>
                <w:color w:val="auto"/>
                <w:w w:val="99"/>
              </w:rPr>
              <w:t>issued and outstanding at December 31, 2011 and 2012 and June 30, 2013; aggregate liquidation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20" w:type="dxa"/>
            <w:vAlign w:val="bottom"/>
            <w:gridSpan w:val="2"/>
          </w:tcPr>
          <w:p>
            <w:pPr>
              <w:ind w:left="500"/>
              <w:spacing w:after="0"/>
              <w:rPr>
                <w:sz w:val="20"/>
                <w:szCs w:val="20"/>
                <w:color w:val="auto"/>
              </w:rPr>
            </w:pPr>
            <w:r>
              <w:rPr>
                <w:rFonts w:ascii="Arial" w:cs="Arial" w:eastAsia="Arial" w:hAnsi="Arial"/>
                <w:sz w:val="14"/>
                <w:szCs w:val="14"/>
                <w:color w:val="auto"/>
                <w:w w:val="95"/>
              </w:rPr>
              <w:t>preference of $9,400,000 at December 31, 2012 and June 30, 2013 (unaudited), and</w:t>
            </w:r>
          </w:p>
        </w:tc>
        <w:tc>
          <w:tcPr>
            <w:tcW w:w="1040" w:type="dxa"/>
            <w:vAlign w:val="bottom"/>
            <w:gridSpan w:val="2"/>
          </w:tcPr>
          <w:p>
            <w:pPr>
              <w:jc w:val="right"/>
              <w:ind w:right="632"/>
              <w:spacing w:after="0"/>
              <w:rPr>
                <w:sz w:val="20"/>
                <w:szCs w:val="20"/>
                <w:color w:val="auto"/>
              </w:rPr>
            </w:pPr>
            <w:r>
              <w:rPr>
                <w:rFonts w:ascii="Arial" w:cs="Arial" w:eastAsia="Arial" w:hAnsi="Arial"/>
                <w:sz w:val="14"/>
                <w:szCs w:val="14"/>
                <w:color w:val="auto"/>
                <w:w w:val="76"/>
              </w:rPr>
              <w:t>shares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500"/>
              <w:spacing w:after="0"/>
              <w:rPr>
                <w:sz w:val="20"/>
                <w:szCs w:val="20"/>
                <w:color w:val="auto"/>
              </w:rPr>
            </w:pPr>
            <w:r>
              <w:rPr>
                <w:rFonts w:ascii="Arial" w:cs="Arial" w:eastAsia="Arial" w:hAnsi="Arial"/>
                <w:sz w:val="14"/>
                <w:szCs w:val="14"/>
                <w:color w:val="auto"/>
                <w:w w:val="86"/>
              </w:rPr>
              <w:t>outstanding at June 30, 2013 (Pro Forma)</w:t>
            </w:r>
          </w:p>
        </w:tc>
        <w:tc>
          <w:tcPr>
            <w:tcW w:w="2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144,462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4"/>
                <w:szCs w:val="14"/>
                <w:color w:val="auto"/>
              </w:rPr>
              <w:t>144,462</w:t>
            </w:r>
          </w:p>
        </w:tc>
        <w:tc>
          <w:tcPr>
            <w:tcW w:w="140" w:type="dxa"/>
            <w:vAlign w:val="bottom"/>
          </w:tcPr>
          <w:p>
            <w:pPr>
              <w:spacing w:after="0"/>
              <w:rPr>
                <w:sz w:val="15"/>
                <w:szCs w:val="15"/>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4"/>
                <w:szCs w:val="14"/>
                <w:color w:val="auto"/>
              </w:rPr>
              <w:t>144,462</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6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Series D-2 convertible preferred stock, $0.01 par value – 75,000,000 shares authorized, 63,681,176</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5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w w:val="85"/>
              </w:rPr>
              <w:t>shares issued and outstanding at December 31, 2011 and 2012 and June 30, 2013; aggregate</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6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liquidation preference of $41,500,000 at December 31, 2012 and June 30, 2013 (unaudited), and</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shares outstanding at June 30, 2013 (Pro Forma)</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636,812</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636,812</w:t>
            </w:r>
          </w:p>
        </w:tc>
        <w:tc>
          <w:tcPr>
            <w:tcW w:w="140" w:type="dxa"/>
            <w:vAlign w:val="bottom"/>
            <w:shd w:val="clear" w:color="auto" w:fill="CCEEFF"/>
          </w:tcPr>
          <w:p>
            <w:pPr>
              <w:spacing w:after="0"/>
              <w:rPr>
                <w:sz w:val="15"/>
                <w:szCs w:val="15"/>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636,812</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60" w:type="dxa"/>
            <w:vAlign w:val="bottom"/>
            <w:gridSpan w:val="4"/>
          </w:tcPr>
          <w:p>
            <w:pPr>
              <w:ind w:left="340"/>
              <w:spacing w:after="0" w:line="159" w:lineRule="exact"/>
              <w:rPr>
                <w:sz w:val="20"/>
                <w:szCs w:val="20"/>
                <w:color w:val="auto"/>
              </w:rPr>
            </w:pPr>
            <w:r>
              <w:rPr>
                <w:rFonts w:ascii="Arial" w:cs="Arial" w:eastAsia="Arial" w:hAnsi="Arial"/>
                <w:sz w:val="14"/>
                <w:szCs w:val="14"/>
                <w:color w:val="auto"/>
                <w:w w:val="95"/>
              </w:rPr>
              <w:t>Common stock, $0.01 par value – 425,000,000 shares authorized, 19,694,392 issued and outstanding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60" w:type="dxa"/>
            <w:vAlign w:val="bottom"/>
            <w:gridSpan w:val="4"/>
          </w:tcPr>
          <w:p>
            <w:pPr>
              <w:ind w:left="500"/>
              <w:spacing w:after="0"/>
              <w:rPr>
                <w:sz w:val="20"/>
                <w:szCs w:val="20"/>
                <w:color w:val="auto"/>
              </w:rPr>
            </w:pPr>
            <w:r>
              <w:rPr>
                <w:rFonts w:ascii="Arial" w:cs="Arial" w:eastAsia="Arial" w:hAnsi="Arial"/>
                <w:sz w:val="14"/>
                <w:szCs w:val="14"/>
                <w:color w:val="auto"/>
                <w:w w:val="94"/>
              </w:rPr>
              <w:t>December 31, 2011, 20,630,906 issued and outstanding at December 31, 2012, 36,836,099 issued and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500"/>
              <w:spacing w:after="0"/>
              <w:rPr>
                <w:sz w:val="20"/>
                <w:szCs w:val="20"/>
                <w:color w:val="auto"/>
              </w:rPr>
            </w:pPr>
            <w:r>
              <w:rPr>
                <w:rFonts w:ascii="Arial" w:cs="Arial" w:eastAsia="Arial" w:hAnsi="Arial"/>
                <w:sz w:val="14"/>
                <w:szCs w:val="14"/>
                <w:color w:val="auto"/>
              </w:rPr>
              <w:t>outstanding at June 30, 2013 and</w:t>
            </w:r>
          </w:p>
        </w:tc>
        <w:tc>
          <w:tcPr>
            <w:tcW w:w="2760" w:type="dxa"/>
            <w:vAlign w:val="bottom"/>
          </w:tcPr>
          <w:p>
            <w:pPr>
              <w:spacing w:after="0"/>
              <w:rPr>
                <w:sz w:val="20"/>
                <w:szCs w:val="20"/>
                <w:color w:val="auto"/>
              </w:rPr>
            </w:pPr>
            <w:r>
              <w:rPr>
                <w:rFonts w:ascii="Arial" w:cs="Arial" w:eastAsia="Arial" w:hAnsi="Arial"/>
                <w:sz w:val="14"/>
                <w:szCs w:val="14"/>
                <w:color w:val="auto"/>
              </w:rPr>
              <w:t>at June 30, 2013 (Pro Forma)</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196,944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4"/>
                <w:szCs w:val="14"/>
                <w:color w:val="auto"/>
              </w:rPr>
              <w:t>206,309</w:t>
            </w:r>
          </w:p>
        </w:tc>
        <w:tc>
          <w:tcPr>
            <w:tcW w:w="140" w:type="dxa"/>
            <w:vAlign w:val="bottom"/>
          </w:tcPr>
          <w:p>
            <w:pPr>
              <w:spacing w:after="0"/>
              <w:rPr>
                <w:sz w:val="15"/>
                <w:szCs w:val="15"/>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4"/>
                <w:szCs w:val="14"/>
                <w:color w:val="auto"/>
              </w:rPr>
              <w:t>368,361</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w w:val="89"/>
              </w:rPr>
              <w:t>Treasury stock, at cost; 270,000 shares at December 31, 2011 and 2012, June 30, 2013 and</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June 30, 2013 (Pro Forma)</w:t>
            </w:r>
          </w:p>
        </w:tc>
        <w:tc>
          <w:tcPr>
            <w:tcW w:w="2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5"/>
            <w:shd w:val="clear" w:color="auto" w:fill="CCEEFF"/>
          </w:tcPr>
          <w:p>
            <w:pPr>
              <w:jc w:val="right"/>
              <w:ind w:right="380"/>
              <w:spacing w:after="0"/>
              <w:rPr>
                <w:sz w:val="20"/>
                <w:szCs w:val="20"/>
                <w:color w:val="auto"/>
              </w:rPr>
            </w:pPr>
            <w:r>
              <w:rPr>
                <w:rFonts w:ascii="Arial" w:cs="Arial" w:eastAsia="Arial" w:hAnsi="Arial"/>
                <w:sz w:val="14"/>
                <w:szCs w:val="14"/>
                <w:color w:val="auto"/>
              </w:rPr>
              <w:t>(57,742)</w:t>
            </w:r>
          </w:p>
        </w:tc>
        <w:tc>
          <w:tcPr>
            <w:tcW w:w="12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(57,742)</w:t>
            </w:r>
          </w:p>
        </w:tc>
        <w:tc>
          <w:tcPr>
            <w:tcW w:w="140" w:type="dxa"/>
            <w:vAlign w:val="bottom"/>
            <w:shd w:val="clear" w:color="auto" w:fill="CCEEFF"/>
          </w:tcPr>
          <w:p>
            <w:pPr>
              <w:spacing w:after="0"/>
              <w:rPr>
                <w:sz w:val="15"/>
                <w:szCs w:val="15"/>
                <w:color w:val="auto"/>
              </w:rPr>
            </w:pPr>
          </w:p>
        </w:tc>
        <w:tc>
          <w:tcPr>
            <w:tcW w:w="12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(57,742)</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163,263,470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4"/>
                <w:szCs w:val="14"/>
                <w:color w:val="auto"/>
              </w:rPr>
              <w:t>164,139,326</w:t>
            </w:r>
          </w:p>
        </w:tc>
        <w:tc>
          <w:tcPr>
            <w:tcW w:w="140" w:type="dxa"/>
            <w:vAlign w:val="bottom"/>
          </w:tcPr>
          <w:p>
            <w:pPr>
              <w:spacing w:after="0"/>
              <w:rPr>
                <w:sz w:val="14"/>
                <w:szCs w:val="14"/>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4"/>
                <w:szCs w:val="14"/>
                <w:color w:val="auto"/>
              </w:rPr>
              <w:t>164,944,140</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deficit</w:t>
            </w:r>
          </w:p>
        </w:tc>
        <w:tc>
          <w:tcPr>
            <w:tcW w:w="27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5"/>
            <w:shd w:val="clear" w:color="auto" w:fill="CCEEFF"/>
          </w:tcPr>
          <w:p>
            <w:pPr>
              <w:jc w:val="right"/>
              <w:ind w:right="380"/>
              <w:spacing w:after="0"/>
              <w:rPr>
                <w:sz w:val="20"/>
                <w:szCs w:val="20"/>
                <w:color w:val="auto"/>
              </w:rPr>
            </w:pPr>
            <w:r>
              <w:rPr>
                <w:rFonts w:ascii="Arial" w:cs="Arial" w:eastAsia="Arial" w:hAnsi="Arial"/>
                <w:sz w:val="14"/>
                <w:szCs w:val="14"/>
                <w:color w:val="auto"/>
                <w:w w:val="96"/>
              </w:rPr>
              <w:t>(183,834,158)</w:t>
            </w:r>
          </w:p>
        </w:tc>
        <w:tc>
          <w:tcPr>
            <w:tcW w:w="12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(175,472,403)</w:t>
            </w:r>
          </w:p>
        </w:tc>
        <w:tc>
          <w:tcPr>
            <w:tcW w:w="140" w:type="dxa"/>
            <w:vAlign w:val="bottom"/>
            <w:shd w:val="clear" w:color="auto" w:fill="CCEEFF"/>
          </w:tcPr>
          <w:p>
            <w:pPr>
              <w:spacing w:after="0"/>
              <w:rPr>
                <w:sz w:val="14"/>
                <w:szCs w:val="14"/>
                <w:color w:val="auto"/>
              </w:rPr>
            </w:pPr>
          </w:p>
        </w:tc>
        <w:tc>
          <w:tcPr>
            <w:tcW w:w="12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w w:val="98"/>
              </w:rPr>
              <w:t>(179,132,237)</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4"/>
                <w:szCs w:val="14"/>
                <w:color w:val="auto"/>
              </w:rPr>
              <w:t>Total stockholders’ equity (deficit)</w:t>
            </w: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60" w:type="dxa"/>
            <w:vAlign w:val="bottom"/>
            <w:vMerge w:val="continue"/>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5"/>
          </w:tcPr>
          <w:p>
            <w:pPr>
              <w:jc w:val="right"/>
              <w:ind w:right="380"/>
              <w:spacing w:after="0"/>
              <w:rPr>
                <w:sz w:val="20"/>
                <w:szCs w:val="20"/>
                <w:color w:val="auto"/>
              </w:rPr>
            </w:pPr>
            <w:r>
              <w:rPr>
                <w:rFonts w:ascii="Arial" w:cs="Arial" w:eastAsia="Arial" w:hAnsi="Arial"/>
                <w:sz w:val="14"/>
                <w:szCs w:val="14"/>
                <w:color w:val="auto"/>
              </w:rPr>
              <w:t>(17,484,284)</w:t>
            </w:r>
          </w:p>
        </w:tc>
        <w:tc>
          <w:tcPr>
            <w:tcW w:w="120" w:type="dxa"/>
            <w:vAlign w:val="bottom"/>
          </w:tcPr>
          <w:p>
            <w:pPr>
              <w:spacing w:after="0"/>
              <w:rPr>
                <w:sz w:val="14"/>
                <w:szCs w:val="14"/>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4"/>
                <w:szCs w:val="14"/>
                <w:color w:val="auto"/>
              </w:rPr>
              <w:t>(8,237,308)</w:t>
            </w:r>
          </w:p>
        </w:tc>
        <w:tc>
          <w:tcPr>
            <w:tcW w:w="140" w:type="dxa"/>
            <w:vAlign w:val="bottom"/>
          </w:tcPr>
          <w:p>
            <w:pPr>
              <w:spacing w:after="0"/>
              <w:rPr>
                <w:sz w:val="14"/>
                <w:szCs w:val="14"/>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4"/>
                <w:szCs w:val="14"/>
                <w:color w:val="auto"/>
              </w:rPr>
              <w:t>(10,930,276)</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w w:val="93"/>
              </w:rPr>
              <w:t>Total liabilities and stockholders’ equity (deficit)</w:t>
            </w:r>
          </w:p>
        </w:tc>
        <w:tc>
          <w:tcPr>
            <w:tcW w:w="27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62,680,584</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53,746,900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42,183,151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40" w:type="dxa"/>
            <w:vAlign w:val="bottom"/>
            <w:gridSpan w:val="2"/>
          </w:tcPr>
          <w:p>
            <w:pPr>
              <w:jc w:val="right"/>
              <w:ind w:right="672"/>
              <w:spacing w:after="0"/>
              <w:rPr>
                <w:sz w:val="20"/>
                <w:szCs w:val="20"/>
                <w:color w:val="auto"/>
              </w:rPr>
            </w:pPr>
            <w:r>
              <w:rPr>
                <w:rFonts w:ascii="Arial" w:cs="Arial" w:eastAsia="Arial" w:hAnsi="Arial"/>
                <w:sz w:val="14"/>
                <w:szCs w:val="14"/>
                <w:color w:val="auto"/>
              </w:rPr>
              <w:t>F-4</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6" w:right="21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gridSpan w:val="8"/>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gridSpan w:val="7"/>
          </w:tcPr>
          <w:p>
            <w:pPr>
              <w:jc w:val="right"/>
              <w:ind w:right="740"/>
              <w:spacing w:after="0"/>
              <w:rPr>
                <w:sz w:val="20"/>
                <w:szCs w:val="20"/>
                <w:color w:val="auto"/>
              </w:rPr>
            </w:pPr>
            <w:r>
              <w:rPr>
                <w:rFonts w:ascii="Arial" w:cs="Arial" w:eastAsia="Arial" w:hAnsi="Arial"/>
                <w:sz w:val="10"/>
                <w:szCs w:val="10"/>
                <w:b w:val="1"/>
                <w:bCs w:val="1"/>
                <w:color w:val="auto"/>
                <w:w w:val="95"/>
              </w:rPr>
              <w:t>Six Months Ended June 30,</w:t>
            </w:r>
          </w:p>
        </w:tc>
        <w:tc>
          <w:tcPr>
            <w:tcW w:w="0" w:type="dxa"/>
            <w:vAlign w:val="bottom"/>
          </w:tcPr>
          <w:p>
            <w:pPr>
              <w:spacing w:after="0"/>
              <w:rPr>
                <w:sz w:val="1"/>
                <w:szCs w:val="1"/>
                <w:color w:val="auto"/>
              </w:rPr>
            </w:pPr>
          </w:p>
        </w:tc>
      </w:tr>
      <w:tr>
        <w:trPr>
          <w:trHeight w:val="105"/>
        </w:trPr>
        <w:tc>
          <w:tcPr>
            <w:tcW w:w="45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71"/>
              </w:rPr>
              <w:t>2012</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3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(unaudited)</w:t>
            </w:r>
          </w:p>
        </w:tc>
        <w:tc>
          <w:tcPr>
            <w:tcW w:w="200" w:type="dxa"/>
            <w:vAlign w:val="bottom"/>
            <w:tcBorders>
              <w:top w:val="single" w:sz="8" w:color="auto"/>
            </w:tcBorders>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80"/>
              </w:rPr>
              <w:t>2013</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5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Borders>
              <w:top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ind w:left="340"/>
              <w:spacing w:after="0"/>
              <w:rPr>
                <w:sz w:val="20"/>
                <w:szCs w:val="20"/>
                <w:color w:val="auto"/>
              </w:rPr>
            </w:pPr>
            <w:r>
              <w:rPr>
                <w:rFonts w:ascii="Arial" w:cs="Arial" w:eastAsia="Arial" w:hAnsi="Arial"/>
                <w:sz w:val="14"/>
                <w:szCs w:val="14"/>
                <w:color w:val="auto"/>
              </w:rPr>
              <w:t>Revenue from collaborative research</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gridSpan w:val="5"/>
          </w:tcPr>
          <w:p>
            <w:pPr>
              <w:jc w:val="right"/>
              <w:ind w:right="540"/>
              <w:spacing w:after="0"/>
              <w:rPr>
                <w:sz w:val="20"/>
                <w:szCs w:val="20"/>
                <w:color w:val="auto"/>
              </w:rPr>
            </w:pPr>
            <w:r>
              <w:rPr>
                <w:rFonts w:ascii="Arial" w:cs="Arial" w:eastAsia="Arial" w:hAnsi="Arial"/>
                <w:sz w:val="14"/>
                <w:szCs w:val="14"/>
                <w:color w:val="auto"/>
                <w:w w:val="96"/>
              </w:rPr>
              <w:t>47,054,397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5"/>
          </w:tcPr>
          <w:p>
            <w:pPr>
              <w:jc w:val="right"/>
              <w:ind w:right="280"/>
              <w:spacing w:after="0"/>
              <w:rPr>
                <w:sz w:val="20"/>
                <w:szCs w:val="20"/>
                <w:color w:val="auto"/>
              </w:rPr>
            </w:pPr>
            <w:r>
              <w:rPr>
                <w:rFonts w:ascii="Arial" w:cs="Arial" w:eastAsia="Arial" w:hAnsi="Arial"/>
                <w:sz w:val="14"/>
                <w:szCs w:val="14"/>
                <w:color w:val="auto"/>
              </w:rPr>
              <w:t>59,645,819</w:t>
            </w:r>
          </w:p>
        </w:tc>
        <w:tc>
          <w:tcPr>
            <w:tcW w:w="4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34,750,830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21,904,821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Grant revenue</w:t>
            </w:r>
          </w:p>
        </w:tc>
        <w:tc>
          <w:tcPr>
            <w:tcW w:w="14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w w:val="96"/>
              </w:rPr>
              <w:t>10,152,969</w:t>
            </w:r>
          </w:p>
        </w:tc>
        <w:tc>
          <w:tcPr>
            <w:tcW w:w="5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4,180,279</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3,195,183</w:t>
            </w:r>
          </w:p>
        </w:tc>
        <w:tc>
          <w:tcPr>
            <w:tcW w:w="5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991,343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20"/>
                <w:szCs w:val="20"/>
                <w:color w:val="auto"/>
              </w:rPr>
            </w:pPr>
            <w:r>
              <w:rPr>
                <w:rFonts w:ascii="Arial" w:cs="Arial" w:eastAsia="Arial" w:hAnsi="Arial"/>
                <w:sz w:val="14"/>
                <w:szCs w:val="14"/>
                <w:color w:val="auto"/>
              </w:rPr>
              <w:t>Total revenues</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tcPr>
          <w:p>
            <w:pPr>
              <w:jc w:val="right"/>
              <w:ind w:right="540"/>
              <w:spacing w:after="0"/>
              <w:rPr>
                <w:sz w:val="20"/>
                <w:szCs w:val="20"/>
                <w:color w:val="auto"/>
              </w:rPr>
            </w:pPr>
            <w:r>
              <w:rPr>
                <w:rFonts w:ascii="Arial" w:cs="Arial" w:eastAsia="Arial" w:hAnsi="Arial"/>
                <w:sz w:val="14"/>
                <w:szCs w:val="14"/>
                <w:color w:val="auto"/>
                <w:w w:val="96"/>
              </w:rPr>
              <w:t>57,207,366</w:t>
            </w:r>
          </w:p>
        </w:tc>
        <w:tc>
          <w:tcPr>
            <w:tcW w:w="180" w:type="dxa"/>
            <w:vAlign w:val="bottom"/>
          </w:tcPr>
          <w:p>
            <w:pPr>
              <w:spacing w:after="0"/>
              <w:rPr>
                <w:sz w:val="14"/>
                <w:szCs w:val="14"/>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4"/>
                <w:szCs w:val="14"/>
                <w:color w:val="auto"/>
              </w:rPr>
              <w:t>63,826,098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37,946,013</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22,896,164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ind w:left="340"/>
              <w:spacing w:after="0"/>
              <w:rPr>
                <w:sz w:val="20"/>
                <w:szCs w:val="20"/>
                <w:color w:val="auto"/>
              </w:rPr>
            </w:pPr>
            <w:r>
              <w:rPr>
                <w:rFonts w:ascii="Arial" w:cs="Arial" w:eastAsia="Arial" w:hAnsi="Arial"/>
                <w:sz w:val="14"/>
                <w:szCs w:val="14"/>
                <w:color w:val="auto"/>
              </w:rPr>
              <w:t>Research and development</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tcPr>
          <w:p>
            <w:pPr>
              <w:jc w:val="right"/>
              <w:ind w:right="540"/>
              <w:spacing w:after="0"/>
              <w:rPr>
                <w:sz w:val="20"/>
                <w:szCs w:val="20"/>
                <w:color w:val="auto"/>
              </w:rPr>
            </w:pPr>
            <w:r>
              <w:rPr>
                <w:rFonts w:ascii="Arial" w:cs="Arial" w:eastAsia="Arial" w:hAnsi="Arial"/>
                <w:sz w:val="14"/>
                <w:szCs w:val="14"/>
                <w:color w:val="auto"/>
                <w:w w:val="96"/>
              </w:rPr>
              <w:t>41,088,899</w:t>
            </w:r>
          </w:p>
        </w:tc>
        <w:tc>
          <w:tcPr>
            <w:tcW w:w="180" w:type="dxa"/>
            <w:vAlign w:val="bottom"/>
          </w:tcPr>
          <w:p>
            <w:pPr>
              <w:spacing w:after="0"/>
              <w:rPr>
                <w:sz w:val="14"/>
                <w:szCs w:val="14"/>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4"/>
                <w:szCs w:val="14"/>
                <w:color w:val="auto"/>
              </w:rPr>
              <w:t>45,432,894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24,956,734</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21,145,909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14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w w:val="96"/>
              </w:rPr>
              <w:t>10,868,791</w:t>
            </w:r>
          </w:p>
        </w:tc>
        <w:tc>
          <w:tcPr>
            <w:tcW w:w="5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10,187,894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5,126,406</w:t>
            </w:r>
          </w:p>
        </w:tc>
        <w:tc>
          <w:tcPr>
            <w:tcW w:w="5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5,336,419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20"/>
                <w:szCs w:val="20"/>
                <w:color w:val="auto"/>
              </w:rPr>
            </w:pPr>
            <w:r>
              <w:rPr>
                <w:rFonts w:ascii="Arial" w:cs="Arial" w:eastAsia="Arial" w:hAnsi="Arial"/>
                <w:sz w:val="14"/>
                <w:szCs w:val="14"/>
                <w:color w:val="auto"/>
              </w:rPr>
              <w:t>Total costs and expenses</w:t>
            </w: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6"/>
              </w:rPr>
              <w:t>51,957,690</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55,620,788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30,083,140</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26,482,328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5"/>
            <w:shd w:val="clear" w:color="auto" w:fill="CCEEFF"/>
          </w:tcPr>
          <w:p>
            <w:pPr>
              <w:jc w:val="right"/>
              <w:ind w:right="540"/>
              <w:spacing w:after="0"/>
              <w:rPr>
                <w:sz w:val="20"/>
                <w:szCs w:val="20"/>
                <w:color w:val="auto"/>
              </w:rPr>
            </w:pPr>
            <w:r>
              <w:rPr>
                <w:rFonts w:ascii="Arial" w:cs="Arial" w:eastAsia="Arial" w:hAnsi="Arial"/>
                <w:sz w:val="14"/>
                <w:szCs w:val="14"/>
                <w:color w:val="auto"/>
              </w:rPr>
              <w:t>5,249,676</w:t>
            </w:r>
          </w:p>
        </w:tc>
        <w:tc>
          <w:tcPr>
            <w:tcW w:w="1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color w:val="auto"/>
              </w:rPr>
              <w:t>8,205,310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7,862,873</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(3,586,164)</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4"/>
                <w:szCs w:val="14"/>
                <w:color w:val="auto"/>
              </w:rPr>
              <w:t>Other income (expense):</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income (expense)</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5"/>
            <w:shd w:val="clear" w:color="auto" w:fill="CCEEFF"/>
          </w:tcPr>
          <w:p>
            <w:pPr>
              <w:jc w:val="right"/>
              <w:ind w:right="540"/>
              <w:spacing w:after="0"/>
              <w:rPr>
                <w:sz w:val="20"/>
                <w:szCs w:val="20"/>
                <w:color w:val="auto"/>
              </w:rPr>
            </w:pPr>
            <w:r>
              <w:rPr>
                <w:rFonts w:ascii="Arial" w:cs="Arial" w:eastAsia="Arial" w:hAnsi="Arial"/>
                <w:sz w:val="14"/>
                <w:szCs w:val="14"/>
                <w:color w:val="auto"/>
              </w:rPr>
              <w:t>8,009</w:t>
            </w:r>
          </w:p>
        </w:tc>
        <w:tc>
          <w:tcPr>
            <w:tcW w:w="1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color w:val="auto"/>
              </w:rPr>
              <w:t>5,750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67"/>
        </w:trPr>
        <w:tc>
          <w:tcPr>
            <w:tcW w:w="4540" w:type="dxa"/>
            <w:vAlign w:val="bottom"/>
          </w:tcPr>
          <w:p>
            <w:pPr>
              <w:ind w:left="340"/>
              <w:spacing w:after="0"/>
              <w:rPr>
                <w:sz w:val="20"/>
                <w:szCs w:val="20"/>
                <w:color w:val="auto"/>
              </w:rPr>
            </w:pPr>
            <w:r>
              <w:rPr>
                <w:rFonts w:ascii="Arial" w:cs="Arial" w:eastAsia="Arial" w:hAnsi="Arial"/>
                <w:sz w:val="14"/>
                <w:szCs w:val="14"/>
                <w:color w:val="auto"/>
              </w:rPr>
              <w:t>Other income (expense)</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1,459,435</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150,695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color w:val="auto"/>
              </w:rPr>
              <w:t>(71,950)</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(expense)</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1,467,444</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156,445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(73,670)</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4"/>
                <w:szCs w:val="14"/>
                <w:color w:val="auto"/>
              </w:rPr>
              <w:t>Net comprehensive income (loss)</w:t>
            </w: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5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6,717,120</w:t>
            </w:r>
          </w:p>
        </w:tc>
        <w:tc>
          <w:tcPr>
            <w:tcW w:w="54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8,361,755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7,866,068</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4"/>
                <w:szCs w:val="14"/>
                <w:color w:val="auto"/>
              </w:rPr>
              <w:t>(3,659,834)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4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Basic net income (loss) per common share</w:t>
            </w:r>
          </w:p>
        </w:tc>
        <w:tc>
          <w:tcPr>
            <w:tcW w:w="1580" w:type="dxa"/>
            <w:vAlign w:val="bottom"/>
            <w:gridSpan w:val="2"/>
            <w:shd w:val="clear" w:color="auto" w:fill="CCEEFF"/>
          </w:tcPr>
          <w:p>
            <w:pPr>
              <w:jc w:val="right"/>
              <w:ind w:right="32"/>
              <w:spacing w:after="0" w:line="15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100"/>
              <w:spacing w:after="0" w:line="15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160"/>
              <w:spacing w:after="0" w:line="150"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32"/>
              <w:spacing w:after="0" w:line="150"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50" w:lineRule="exact"/>
              <w:rPr>
                <w:sz w:val="20"/>
                <w:szCs w:val="20"/>
                <w:color w:val="auto"/>
              </w:rPr>
            </w:pPr>
            <w:r>
              <w:rPr>
                <w:rFonts w:ascii="Arial" w:cs="Arial" w:eastAsia="Arial" w:hAnsi="Arial"/>
                <w:sz w:val="14"/>
                <w:szCs w:val="14"/>
                <w:color w:val="auto"/>
              </w:rPr>
              <w:t>0.00</w:t>
            </w:r>
          </w:p>
        </w:tc>
        <w:tc>
          <w:tcPr>
            <w:tcW w:w="720" w:type="dxa"/>
            <w:vAlign w:val="bottom"/>
            <w:gridSpan w:val="2"/>
            <w:shd w:val="clear" w:color="auto" w:fill="CCEEFF"/>
          </w:tcPr>
          <w:p>
            <w:pPr>
              <w:jc w:val="right"/>
              <w:ind w:right="120"/>
              <w:spacing w:after="0" w:line="150"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60"/>
              <w:spacing w:after="0" w:line="150"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Diluted net income (loss) per common share</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0.00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Basic weighted average number of common shares</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5"/>
            <w:shd w:val="clear" w:color="auto" w:fill="CCEEFF"/>
          </w:tcPr>
          <w:p>
            <w:pPr>
              <w:jc w:val="right"/>
              <w:ind w:right="540"/>
              <w:spacing w:after="0"/>
              <w:rPr>
                <w:sz w:val="20"/>
                <w:szCs w:val="20"/>
                <w:color w:val="auto"/>
              </w:rPr>
            </w:pPr>
            <w:r>
              <w:rPr>
                <w:rFonts w:ascii="Arial" w:cs="Arial" w:eastAsia="Arial" w:hAnsi="Arial"/>
                <w:sz w:val="14"/>
                <w:szCs w:val="14"/>
                <w:color w:val="auto"/>
                <w:w w:val="96"/>
              </w:rPr>
              <w:t>19,254,567</w:t>
            </w:r>
          </w:p>
        </w:tc>
        <w:tc>
          <w:tcPr>
            <w:tcW w:w="1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color w:val="auto"/>
              </w:rPr>
              <w:t>20,337,513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20,106,584</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22,237,823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Arial" w:cs="Arial" w:eastAsia="Arial" w:hAnsi="Arial"/>
                <w:sz w:val="14"/>
                <w:szCs w:val="14"/>
                <w:color w:val="auto"/>
              </w:rPr>
              <w:t>Diluted weighted average number of common shares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5"/>
          </w:tcPr>
          <w:p>
            <w:pPr>
              <w:jc w:val="right"/>
              <w:ind w:right="540"/>
              <w:spacing w:after="0"/>
              <w:rPr>
                <w:sz w:val="20"/>
                <w:szCs w:val="20"/>
                <w:color w:val="auto"/>
              </w:rPr>
            </w:pPr>
            <w:r>
              <w:rPr>
                <w:rFonts w:ascii="Arial" w:cs="Arial" w:eastAsia="Arial" w:hAnsi="Arial"/>
                <w:sz w:val="14"/>
                <w:szCs w:val="14"/>
                <w:color w:val="auto"/>
                <w:w w:val="96"/>
              </w:rPr>
              <w:t>19,254,567</w:t>
            </w:r>
          </w:p>
        </w:tc>
        <w:tc>
          <w:tcPr>
            <w:tcW w:w="180" w:type="dxa"/>
            <w:vAlign w:val="bottom"/>
          </w:tcPr>
          <w:p>
            <w:pPr>
              <w:spacing w:after="0"/>
              <w:rPr>
                <w:sz w:val="15"/>
                <w:szCs w:val="15"/>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4"/>
                <w:szCs w:val="14"/>
                <w:color w:val="auto"/>
              </w:rPr>
              <w:t>20,337,513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401,152,574</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22,237,823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5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Pro forma basic net income (loss) per common share</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color w:val="auto"/>
              </w:rPr>
              <w:t>0.02</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Pro forma diluted net income (loss) per common share</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5"/>
          </w:tcPr>
          <w:p>
            <w:pPr>
              <w:jc w:val="right"/>
              <w:ind w:right="280"/>
              <w:spacing w:after="0"/>
              <w:rPr>
                <w:sz w:val="20"/>
                <w:szCs w:val="20"/>
                <w:color w:val="auto"/>
              </w:rPr>
            </w:pPr>
            <w:r>
              <w:rPr>
                <w:rFonts w:ascii="Arial" w:cs="Arial" w:eastAsia="Arial" w:hAnsi="Arial"/>
                <w:sz w:val="14"/>
                <w:szCs w:val="14"/>
                <w:color w:val="auto"/>
              </w:rPr>
              <w:t>0.02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Pro forma basic weighted average number of common shares</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color w:val="auto"/>
                <w:w w:val="97"/>
              </w:rPr>
              <w:t>338,665,060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7"/>
              </w:rPr>
              <w:t>340,565,370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Arial" w:cs="Arial" w:eastAsia="Arial" w:hAnsi="Arial"/>
                <w:sz w:val="14"/>
                <w:szCs w:val="14"/>
                <w:color w:val="auto"/>
              </w:rPr>
              <w:t>Pro forma diluted weighted average number of common shares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403,144,899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w w:val="97"/>
              </w:rPr>
              <w:t>340,565,370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540" w:type="dxa"/>
            <w:vAlign w:val="bottom"/>
          </w:tcPr>
          <w:p>
            <w:pPr>
              <w:spacing w:after="0"/>
              <w:rPr>
                <w:sz w:val="23"/>
                <w:szCs w:val="23"/>
                <w:color w:val="auto"/>
              </w:rPr>
            </w:pPr>
          </w:p>
        </w:tc>
        <w:tc>
          <w:tcPr>
            <w:tcW w:w="1580" w:type="dxa"/>
            <w:vAlign w:val="bottom"/>
            <w:gridSpan w:val="2"/>
          </w:tcPr>
          <w:p>
            <w:pPr>
              <w:jc w:val="right"/>
              <w:ind w:right="232"/>
              <w:spacing w:after="0"/>
              <w:rPr>
                <w:sz w:val="20"/>
                <w:szCs w:val="20"/>
                <w:color w:val="auto"/>
              </w:rPr>
            </w:pPr>
            <w:r>
              <w:rPr>
                <w:rFonts w:ascii="Arial" w:cs="Arial" w:eastAsia="Arial" w:hAnsi="Arial"/>
                <w:sz w:val="14"/>
                <w:szCs w:val="14"/>
                <w:color w:val="auto"/>
              </w:rPr>
              <w:t>F-5</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6" w:right="21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8"/>
          </w:tcPr>
          <w:p>
            <w:pPr>
              <w:jc w:val="center"/>
              <w:ind w:right="320"/>
              <w:spacing w:after="0"/>
              <w:rPr>
                <w:sz w:val="20"/>
                <w:szCs w:val="20"/>
                <w:color w:val="auto"/>
              </w:rPr>
            </w:pPr>
            <w:r>
              <w:rPr>
                <w:rFonts w:ascii="Arial" w:cs="Arial" w:eastAsia="Arial" w:hAnsi="Arial"/>
                <w:sz w:val="10"/>
                <w:szCs w:val="10"/>
                <w:b w:val="1"/>
                <w:bCs w:val="1"/>
                <w:color w:val="auto"/>
                <w:w w:val="89"/>
              </w:rPr>
              <w:t>Series A-1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8"/>
          </w:tcPr>
          <w:p>
            <w:pPr>
              <w:jc w:val="center"/>
              <w:ind w:right="260"/>
              <w:spacing w:after="0"/>
              <w:rPr>
                <w:sz w:val="20"/>
                <w:szCs w:val="20"/>
                <w:color w:val="auto"/>
              </w:rPr>
            </w:pPr>
            <w:r>
              <w:rPr>
                <w:rFonts w:ascii="Arial" w:cs="Arial" w:eastAsia="Arial" w:hAnsi="Arial"/>
                <w:sz w:val="10"/>
                <w:szCs w:val="10"/>
                <w:b w:val="1"/>
                <w:bCs w:val="1"/>
                <w:color w:val="auto"/>
                <w:w w:val="93"/>
              </w:rPr>
              <w:t>Series A-2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8"/>
          </w:tcPr>
          <w:p>
            <w:pPr>
              <w:jc w:val="center"/>
              <w:ind w:right="340"/>
              <w:spacing w:after="0"/>
              <w:rPr>
                <w:sz w:val="20"/>
                <w:szCs w:val="20"/>
                <w:color w:val="auto"/>
              </w:rPr>
            </w:pPr>
            <w:r>
              <w:rPr>
                <w:rFonts w:ascii="Arial" w:cs="Arial" w:eastAsia="Arial" w:hAnsi="Arial"/>
                <w:sz w:val="10"/>
                <w:szCs w:val="10"/>
                <w:b w:val="1"/>
                <w:bCs w:val="1"/>
                <w:color w:val="auto"/>
                <w:w w:val="89"/>
              </w:rPr>
              <w:t>Series B</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8"/>
          </w:tcPr>
          <w:p>
            <w:pPr>
              <w:jc w:val="center"/>
              <w:ind w:right="340"/>
              <w:spacing w:after="0"/>
              <w:rPr>
                <w:sz w:val="20"/>
                <w:szCs w:val="20"/>
                <w:color w:val="auto"/>
              </w:rPr>
            </w:pPr>
            <w:r>
              <w:rPr>
                <w:rFonts w:ascii="Arial" w:cs="Arial" w:eastAsia="Arial" w:hAnsi="Arial"/>
                <w:sz w:val="10"/>
                <w:szCs w:val="10"/>
                <w:b w:val="1"/>
                <w:bCs w:val="1"/>
                <w:color w:val="auto"/>
                <w:w w:val="94"/>
              </w:rPr>
              <w:t>Series C</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8"/>
          </w:tcPr>
          <w:p>
            <w:pPr>
              <w:jc w:val="center"/>
              <w:ind w:right="340"/>
              <w:spacing w:after="0"/>
              <w:rPr>
                <w:sz w:val="20"/>
                <w:szCs w:val="20"/>
                <w:color w:val="auto"/>
              </w:rPr>
            </w:pPr>
            <w:r>
              <w:rPr>
                <w:rFonts w:ascii="Arial" w:cs="Arial" w:eastAsia="Arial" w:hAnsi="Arial"/>
                <w:sz w:val="10"/>
                <w:szCs w:val="10"/>
                <w:b w:val="1"/>
                <w:bCs w:val="1"/>
                <w:color w:val="auto"/>
                <w:w w:val="89"/>
              </w:rPr>
              <w:t>Series 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8"/>
          </w:tcPr>
          <w:p>
            <w:pPr>
              <w:jc w:val="center"/>
              <w:ind w:right="320"/>
              <w:spacing w:after="0"/>
              <w:rPr>
                <w:sz w:val="20"/>
                <w:szCs w:val="20"/>
                <w:color w:val="auto"/>
              </w:rPr>
            </w:pPr>
            <w:r>
              <w:rPr>
                <w:rFonts w:ascii="Arial" w:cs="Arial" w:eastAsia="Arial" w:hAnsi="Arial"/>
                <w:sz w:val="10"/>
                <w:szCs w:val="10"/>
                <w:b w:val="1"/>
                <w:bCs w:val="1"/>
                <w:color w:val="auto"/>
                <w:w w:val="93"/>
              </w:rPr>
              <w:t>Series D-2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8"/>
              </w:rPr>
              <w:t>Convertible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8"/>
          </w:tcPr>
          <w:p>
            <w:pPr>
              <w:jc w:val="center"/>
              <w:ind w:right="240"/>
              <w:spacing w:after="0"/>
              <w:rPr>
                <w:sz w:val="20"/>
                <w:szCs w:val="20"/>
                <w:color w:val="auto"/>
              </w:rPr>
            </w:pPr>
            <w:r>
              <w:rPr>
                <w:rFonts w:ascii="Arial" w:cs="Arial" w:eastAsia="Arial" w:hAnsi="Arial"/>
                <w:sz w:val="10"/>
                <w:szCs w:val="10"/>
                <w:b w:val="1"/>
                <w:bCs w:val="1"/>
                <w:color w:val="auto"/>
                <w:w w:val="94"/>
              </w:rPr>
              <w:t>Convertible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8"/>
          </w:tcPr>
          <w:p>
            <w:pPr>
              <w:jc w:val="center"/>
              <w:ind w:right="340"/>
              <w:spacing w:after="0"/>
              <w:rPr>
                <w:sz w:val="20"/>
                <w:szCs w:val="20"/>
                <w:color w:val="auto"/>
              </w:rPr>
            </w:pPr>
            <w:r>
              <w:rPr>
                <w:rFonts w:ascii="Arial" w:cs="Arial" w:eastAsia="Arial" w:hAnsi="Arial"/>
                <w:sz w:val="10"/>
                <w:szCs w:val="10"/>
                <w:b w:val="1"/>
                <w:bCs w:val="1"/>
                <w:color w:val="auto"/>
                <w:w w:val="98"/>
              </w:rPr>
              <w:t>Convertible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4"/>
              </w:rPr>
              <w:t>Convertible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4"/>
              </w:rPr>
              <w:t>Convertible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1"/>
              </w:rPr>
              <w:t>Total</w:t>
            </w:r>
          </w:p>
        </w:tc>
      </w:tr>
      <w:tr>
        <w:trPr>
          <w:trHeight w:val="115"/>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4"/>
              </w:rPr>
              <w:t>Preferred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94"/>
              </w:rPr>
              <w:t>Preferred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8"/>
              </w:rPr>
              <w:t>Preferred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8"/>
          </w:tcPr>
          <w:p>
            <w:pPr>
              <w:jc w:val="center"/>
              <w:ind w:right="340"/>
              <w:spacing w:after="0"/>
              <w:rPr>
                <w:sz w:val="20"/>
                <w:szCs w:val="20"/>
                <w:color w:val="auto"/>
              </w:rPr>
            </w:pPr>
            <w:r>
              <w:rPr>
                <w:rFonts w:ascii="Arial" w:cs="Arial" w:eastAsia="Arial" w:hAnsi="Arial"/>
                <w:sz w:val="10"/>
                <w:szCs w:val="10"/>
                <w:b w:val="1"/>
                <w:bCs w:val="1"/>
                <w:color w:val="auto"/>
                <w:w w:val="94"/>
              </w:rPr>
              <w:t>Preferred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8"/>
              </w:rPr>
              <w:t>Preferred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8"/>
              </w:rPr>
              <w:t>Preferred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8"/>
          </w:tcPr>
          <w:p>
            <w:pPr>
              <w:jc w:val="center"/>
              <w:ind w:right="300"/>
              <w:spacing w:after="0"/>
              <w:rPr>
                <w:sz w:val="20"/>
                <w:szCs w:val="20"/>
                <w:color w:val="auto"/>
              </w:rPr>
            </w:pPr>
            <w:r>
              <w:rPr>
                <w:rFonts w:ascii="Arial" w:cs="Arial" w:eastAsia="Arial" w:hAnsi="Arial"/>
                <w:sz w:val="10"/>
                <w:szCs w:val="10"/>
                <w:b w:val="1"/>
                <w:bCs w:val="1"/>
                <w:color w:val="auto"/>
                <w:w w:val="96"/>
              </w:rPr>
              <w:t>Common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8"/>
          </w:tcPr>
          <w:p>
            <w:pPr>
              <w:ind w:left="80"/>
              <w:spacing w:after="0"/>
              <w:rPr>
                <w:sz w:val="20"/>
                <w:szCs w:val="20"/>
                <w:color w:val="auto"/>
              </w:rPr>
            </w:pPr>
            <w:r>
              <w:rPr>
                <w:rFonts w:ascii="Arial" w:cs="Arial" w:eastAsia="Arial" w:hAnsi="Arial"/>
                <w:sz w:val="10"/>
                <w:szCs w:val="10"/>
                <w:b w:val="1"/>
                <w:bCs w:val="1"/>
                <w:color w:val="auto"/>
              </w:rPr>
              <w:t>Treasury</w:t>
            </w:r>
          </w:p>
        </w:tc>
        <w:tc>
          <w:tcPr>
            <w:tcW w:w="40" w:type="dxa"/>
            <w:vAlign w:val="bottom"/>
          </w:tcPr>
          <w:p>
            <w:pPr>
              <w:spacing w:after="0"/>
              <w:rPr>
                <w:sz w:val="9"/>
                <w:szCs w:val="9"/>
                <w:color w:val="auto"/>
              </w:rPr>
            </w:pPr>
          </w:p>
        </w:tc>
        <w:tc>
          <w:tcPr>
            <w:tcW w:w="600" w:type="dxa"/>
            <w:vAlign w:val="bottom"/>
            <w:gridSpan w:val="4"/>
          </w:tcPr>
          <w:p>
            <w:pPr>
              <w:ind w:left="100"/>
              <w:spacing w:after="0"/>
              <w:rPr>
                <w:sz w:val="20"/>
                <w:szCs w:val="20"/>
                <w:color w:val="auto"/>
              </w:rPr>
            </w:pPr>
            <w:r>
              <w:rPr>
                <w:rFonts w:ascii="Arial" w:cs="Arial" w:eastAsia="Arial" w:hAnsi="Arial"/>
                <w:sz w:val="10"/>
                <w:szCs w:val="10"/>
                <w:b w:val="1"/>
                <w:bCs w:val="1"/>
                <w:color w:val="auto"/>
                <w:w w:val="98"/>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5"/>
          </w:tcPr>
          <w:p>
            <w:pPr>
              <w:ind w:left="40"/>
              <w:spacing w:after="0"/>
              <w:rPr>
                <w:sz w:val="20"/>
                <w:szCs w:val="20"/>
                <w:color w:val="auto"/>
              </w:rPr>
            </w:pPr>
            <w:r>
              <w:rPr>
                <w:rFonts w:ascii="Arial" w:cs="Arial" w:eastAsia="Arial" w:hAnsi="Arial"/>
                <w:sz w:val="10"/>
                <w:szCs w:val="10"/>
                <w:b w:val="1"/>
                <w:bCs w:val="1"/>
                <w:color w:val="auto"/>
                <w:w w:val="87"/>
              </w:rPr>
              <w:t>Stockholders’</w:t>
            </w:r>
          </w:p>
        </w:tc>
      </w:tr>
      <w:tr>
        <w:trPr>
          <w:trHeight w:val="135"/>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4"/>
          </w:tcPr>
          <w:p>
            <w:pPr>
              <w:jc w:val="center"/>
              <w:ind w:right="108"/>
              <w:spacing w:after="0" w:line="95" w:lineRule="exact"/>
              <w:rPr>
                <w:sz w:val="20"/>
                <w:szCs w:val="20"/>
                <w:color w:val="auto"/>
              </w:rPr>
            </w:pPr>
            <w:r>
              <w:rPr>
                <w:rFonts w:ascii="Arial" w:cs="Arial" w:eastAsia="Arial" w:hAnsi="Arial"/>
                <w:sz w:val="10"/>
                <w:szCs w:val="10"/>
                <w:b w:val="1"/>
                <w:bCs w:val="1"/>
                <w:color w:val="auto"/>
                <w:w w:val="95"/>
              </w:rPr>
              <w:t>Stock</w:t>
            </w:r>
          </w:p>
        </w:tc>
        <w:tc>
          <w:tcPr>
            <w:tcW w:w="2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bottom w:val="single" w:sz="8" w:color="auto"/>
            </w:tcBorders>
            <w:gridSpan w:val="5"/>
          </w:tcPr>
          <w:p>
            <w:pPr>
              <w:jc w:val="center"/>
              <w:spacing w:after="0" w:line="95" w:lineRule="exact"/>
              <w:rPr>
                <w:sz w:val="20"/>
                <w:szCs w:val="20"/>
                <w:color w:val="auto"/>
              </w:rPr>
            </w:pPr>
            <w:r>
              <w:rPr>
                <w:rFonts w:ascii="Arial" w:cs="Arial" w:eastAsia="Arial" w:hAnsi="Arial"/>
                <w:sz w:val="10"/>
                <w:szCs w:val="10"/>
                <w:b w:val="1"/>
                <w:bCs w:val="1"/>
                <w:color w:val="auto"/>
                <w:w w:val="95"/>
              </w:rPr>
              <w:t>Stock</w:t>
            </w:r>
          </w:p>
        </w:tc>
        <w:tc>
          <w:tcPr>
            <w:tcW w:w="24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4"/>
          </w:tcPr>
          <w:p>
            <w:pPr>
              <w:jc w:val="center"/>
              <w:ind w:right="108"/>
              <w:spacing w:after="0" w:line="95" w:lineRule="exact"/>
              <w:rPr>
                <w:sz w:val="20"/>
                <w:szCs w:val="20"/>
                <w:color w:val="auto"/>
              </w:rPr>
            </w:pPr>
            <w:r>
              <w:rPr>
                <w:rFonts w:ascii="Arial" w:cs="Arial" w:eastAsia="Arial" w:hAnsi="Arial"/>
                <w:sz w:val="10"/>
                <w:szCs w:val="10"/>
                <w:b w:val="1"/>
                <w:bCs w:val="1"/>
                <w:color w:val="auto"/>
                <w:w w:val="87"/>
              </w:rPr>
              <w:t>Stock</w:t>
            </w:r>
          </w:p>
        </w:tc>
        <w:tc>
          <w:tcPr>
            <w:tcW w:w="30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4"/>
          </w:tcPr>
          <w:p>
            <w:pPr>
              <w:jc w:val="center"/>
              <w:ind w:right="120"/>
              <w:spacing w:after="0" w:line="95" w:lineRule="exact"/>
              <w:rPr>
                <w:sz w:val="20"/>
                <w:szCs w:val="20"/>
                <w:color w:val="auto"/>
              </w:rPr>
            </w:pPr>
            <w:r>
              <w:rPr>
                <w:rFonts w:ascii="Arial" w:cs="Arial" w:eastAsia="Arial" w:hAnsi="Arial"/>
                <w:sz w:val="10"/>
                <w:szCs w:val="10"/>
                <w:b w:val="1"/>
                <w:bCs w:val="1"/>
                <w:color w:val="auto"/>
                <w:w w:val="95"/>
              </w:rPr>
              <w:t>Stock</w:t>
            </w:r>
          </w:p>
        </w:tc>
        <w:tc>
          <w:tcPr>
            <w:tcW w:w="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4"/>
          </w:tcPr>
          <w:p>
            <w:pPr>
              <w:spacing w:after="0" w:line="95" w:lineRule="exact"/>
              <w:rPr>
                <w:sz w:val="20"/>
                <w:szCs w:val="20"/>
                <w:color w:val="auto"/>
              </w:rPr>
            </w:pPr>
            <w:r>
              <w:rPr>
                <w:rFonts w:ascii="Arial" w:cs="Arial" w:eastAsia="Arial" w:hAnsi="Arial"/>
                <w:sz w:val="10"/>
                <w:szCs w:val="10"/>
                <w:b w:val="1"/>
                <w:bCs w:val="1"/>
                <w:color w:val="auto"/>
              </w:rPr>
              <w:t>Stock</w:t>
            </w:r>
          </w:p>
        </w:tc>
        <w:tc>
          <w:tcPr>
            <w:tcW w:w="30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4"/>
          </w:tcPr>
          <w:p>
            <w:pPr>
              <w:jc w:val="center"/>
              <w:ind w:right="160"/>
              <w:spacing w:after="0" w:line="95" w:lineRule="exact"/>
              <w:rPr>
                <w:sz w:val="20"/>
                <w:szCs w:val="20"/>
                <w:color w:val="auto"/>
              </w:rPr>
            </w:pPr>
            <w:r>
              <w:rPr>
                <w:rFonts w:ascii="Arial" w:cs="Arial" w:eastAsia="Arial" w:hAnsi="Arial"/>
                <w:sz w:val="10"/>
                <w:szCs w:val="10"/>
                <w:b w:val="1"/>
                <w:bCs w:val="1"/>
                <w:color w:val="auto"/>
                <w:w w:val="87"/>
              </w:rPr>
              <w:t>Stock</w:t>
            </w:r>
          </w:p>
        </w:tc>
        <w:tc>
          <w:tcPr>
            <w:tcW w:w="30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4"/>
          </w:tcPr>
          <w:p>
            <w:pPr>
              <w:jc w:val="center"/>
              <w:ind w:right="140"/>
              <w:spacing w:after="0" w:line="95" w:lineRule="exact"/>
              <w:rPr>
                <w:sz w:val="20"/>
                <w:szCs w:val="20"/>
                <w:color w:val="auto"/>
              </w:rPr>
            </w:pPr>
            <w:r>
              <w:rPr>
                <w:rFonts w:ascii="Arial" w:cs="Arial" w:eastAsia="Arial" w:hAnsi="Arial"/>
                <w:sz w:val="10"/>
                <w:szCs w:val="10"/>
                <w:b w:val="1"/>
                <w:bCs w:val="1"/>
                <w:color w:val="auto"/>
                <w:w w:val="95"/>
              </w:rPr>
              <w:t>Stock</w:t>
            </w:r>
          </w:p>
        </w:tc>
        <w:tc>
          <w:tcPr>
            <w:tcW w:w="3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gridSpan w:val="5"/>
          </w:tcPr>
          <w:p>
            <w:pPr>
              <w:ind w:left="160"/>
              <w:spacing w:after="0" w:line="95" w:lineRule="exact"/>
              <w:rPr>
                <w:sz w:val="20"/>
                <w:szCs w:val="20"/>
                <w:color w:val="auto"/>
              </w:rPr>
            </w:pPr>
            <w:r>
              <w:rPr>
                <w:rFonts w:ascii="Arial" w:cs="Arial" w:eastAsia="Arial" w:hAnsi="Arial"/>
                <w:sz w:val="10"/>
                <w:szCs w:val="10"/>
                <w:b w:val="1"/>
                <w:bCs w:val="1"/>
                <w:color w:val="auto"/>
              </w:rPr>
              <w:t>Stock</w:t>
            </w: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11"/>
                <w:szCs w:val="11"/>
                <w:color w:val="auto"/>
              </w:rPr>
            </w:pPr>
          </w:p>
        </w:tc>
        <w:tc>
          <w:tcPr>
            <w:tcW w:w="700" w:type="dxa"/>
            <w:vAlign w:val="bottom"/>
            <w:gridSpan w:val="4"/>
          </w:tcPr>
          <w:p>
            <w:pPr>
              <w:jc w:val="right"/>
              <w:ind w:right="20"/>
              <w:spacing w:after="0" w:line="95" w:lineRule="exact"/>
              <w:rPr>
                <w:sz w:val="20"/>
                <w:szCs w:val="20"/>
                <w:color w:val="auto"/>
              </w:rPr>
            </w:pPr>
            <w:r>
              <w:rPr>
                <w:rFonts w:ascii="Arial" w:cs="Arial" w:eastAsia="Arial" w:hAnsi="Arial"/>
                <w:sz w:val="10"/>
                <w:szCs w:val="10"/>
                <w:b w:val="1"/>
                <w:bCs w:val="1"/>
                <w:color w:val="auto"/>
              </w:rPr>
              <w:t>Accumulated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98"/>
              </w:rPr>
              <w:t>Equity</w:t>
            </w:r>
          </w:p>
        </w:tc>
      </w:tr>
      <w:tr>
        <w:trPr>
          <w:trHeight w:val="96"/>
        </w:trPr>
        <w:tc>
          <w:tcPr>
            <w:tcW w:w="1120" w:type="dxa"/>
            <w:vAlign w:val="bottom"/>
          </w:tcPr>
          <w:p>
            <w:pPr>
              <w:spacing w:after="0"/>
              <w:rPr>
                <w:sz w:val="8"/>
                <w:szCs w:val="8"/>
                <w:color w:val="auto"/>
              </w:rPr>
            </w:pPr>
          </w:p>
        </w:tc>
        <w:tc>
          <w:tcPr>
            <w:tcW w:w="580" w:type="dxa"/>
            <w:vAlign w:val="bottom"/>
            <w:gridSpan w:val="5"/>
          </w:tcPr>
          <w:p>
            <w:pPr>
              <w:ind w:left="140"/>
              <w:spacing w:after="0" w:line="96" w:lineRule="exact"/>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8"/>
                <w:szCs w:val="8"/>
                <w:color w:val="auto"/>
              </w:rPr>
            </w:pPr>
          </w:p>
        </w:tc>
        <w:tc>
          <w:tcPr>
            <w:tcW w:w="420" w:type="dxa"/>
            <w:vAlign w:val="bottom"/>
            <w:gridSpan w:val="4"/>
          </w:tcPr>
          <w:p>
            <w:pPr>
              <w:jc w:val="right"/>
              <w:ind w:right="60"/>
              <w:spacing w:after="0" w:line="96" w:lineRule="exact"/>
              <w:rPr>
                <w:sz w:val="20"/>
                <w:szCs w:val="20"/>
                <w:color w:val="auto"/>
              </w:rPr>
            </w:pPr>
            <w:r>
              <w:rPr>
                <w:rFonts w:ascii="Arial" w:cs="Arial" w:eastAsia="Arial" w:hAnsi="Arial"/>
                <w:sz w:val="10"/>
                <w:szCs w:val="10"/>
                <w:b w:val="1"/>
                <w:bCs w:val="1"/>
                <w:color w:val="auto"/>
                <w:w w:val="89"/>
              </w:rPr>
              <w:t>Amount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spacing w:after="0" w:line="96" w:lineRule="exact"/>
              <w:rPr>
                <w:sz w:val="20"/>
                <w:szCs w:val="20"/>
                <w:color w:val="auto"/>
              </w:rPr>
            </w:pPr>
            <w:r>
              <w:rPr>
                <w:rFonts w:ascii="Arial" w:cs="Arial" w:eastAsia="Arial" w:hAnsi="Arial"/>
                <w:sz w:val="10"/>
                <w:szCs w:val="10"/>
                <w:b w:val="1"/>
                <w:bCs w:val="1"/>
                <w:color w:val="auto"/>
              </w:rPr>
              <w:t>Shares</w:t>
            </w:r>
          </w:p>
        </w:tc>
        <w:tc>
          <w:tcPr>
            <w:tcW w:w="420" w:type="dxa"/>
            <w:vAlign w:val="bottom"/>
            <w:gridSpan w:val="5"/>
          </w:tcPr>
          <w:p>
            <w:pPr>
              <w:ind w:left="20"/>
              <w:spacing w:after="0" w:line="96" w:lineRule="exact"/>
              <w:rPr>
                <w:sz w:val="20"/>
                <w:szCs w:val="20"/>
                <w:color w:val="auto"/>
              </w:rPr>
            </w:pPr>
            <w:r>
              <w:rPr>
                <w:rFonts w:ascii="Arial" w:cs="Arial" w:eastAsia="Arial" w:hAnsi="Arial"/>
                <w:sz w:val="10"/>
                <w:szCs w:val="10"/>
                <w:b w:val="1"/>
                <w:bCs w:val="1"/>
                <w:color w:val="auto"/>
              </w:rPr>
              <w:t>Amount</w:t>
            </w:r>
          </w:p>
        </w:tc>
        <w:tc>
          <w:tcPr>
            <w:tcW w:w="600" w:type="dxa"/>
            <w:vAlign w:val="bottom"/>
            <w:gridSpan w:val="5"/>
          </w:tcPr>
          <w:p>
            <w:pPr>
              <w:jc w:val="center"/>
              <w:ind w:right="20"/>
              <w:spacing w:after="0" w:line="96" w:lineRule="exact"/>
              <w:rPr>
                <w:sz w:val="20"/>
                <w:szCs w:val="20"/>
                <w:color w:val="auto"/>
              </w:rPr>
            </w:pPr>
            <w:r>
              <w:rPr>
                <w:rFonts w:ascii="Arial" w:cs="Arial" w:eastAsia="Arial" w:hAnsi="Arial"/>
                <w:sz w:val="10"/>
                <w:szCs w:val="10"/>
                <w:b w:val="1"/>
                <w:bCs w:val="1"/>
                <w:color w:val="auto"/>
                <w:w w:val="89"/>
              </w:rPr>
              <w:t>Shares</w:t>
            </w:r>
          </w:p>
        </w:tc>
        <w:tc>
          <w:tcPr>
            <w:tcW w:w="40" w:type="dxa"/>
            <w:vAlign w:val="bottom"/>
          </w:tcPr>
          <w:p>
            <w:pPr>
              <w:spacing w:after="0"/>
              <w:rPr>
                <w:sz w:val="8"/>
                <w:szCs w:val="8"/>
                <w:color w:val="auto"/>
              </w:rPr>
            </w:pPr>
          </w:p>
        </w:tc>
        <w:tc>
          <w:tcPr>
            <w:tcW w:w="440" w:type="dxa"/>
            <w:vAlign w:val="bottom"/>
            <w:gridSpan w:val="4"/>
          </w:tcPr>
          <w:p>
            <w:pPr>
              <w:spacing w:after="0" w:line="96"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380" w:type="dxa"/>
            <w:vAlign w:val="bottom"/>
            <w:gridSpan w:val="3"/>
          </w:tcPr>
          <w:p>
            <w:pPr>
              <w:jc w:val="right"/>
              <w:ind w:right="28"/>
              <w:spacing w:after="0" w:line="96" w:lineRule="exact"/>
              <w:rPr>
                <w:sz w:val="20"/>
                <w:szCs w:val="20"/>
                <w:color w:val="auto"/>
              </w:rPr>
            </w:pPr>
            <w:r>
              <w:rPr>
                <w:rFonts w:ascii="Arial" w:cs="Arial" w:eastAsia="Arial" w:hAnsi="Arial"/>
                <w:sz w:val="10"/>
                <w:szCs w:val="10"/>
                <w:b w:val="1"/>
                <w:bCs w:val="1"/>
                <w:color w:val="auto"/>
                <w:w w:val="83"/>
              </w:rPr>
              <w:t>Shares</w:t>
            </w:r>
          </w:p>
        </w:tc>
        <w:tc>
          <w:tcPr>
            <w:tcW w:w="100" w:type="dxa"/>
            <w:vAlign w:val="bottom"/>
          </w:tcPr>
          <w:p>
            <w:pPr>
              <w:spacing w:after="0"/>
              <w:rPr>
                <w:sz w:val="8"/>
                <w:szCs w:val="8"/>
                <w:color w:val="auto"/>
              </w:rPr>
            </w:pPr>
          </w:p>
        </w:tc>
        <w:tc>
          <w:tcPr>
            <w:tcW w:w="540" w:type="dxa"/>
            <w:vAlign w:val="bottom"/>
            <w:gridSpan w:val="5"/>
          </w:tcPr>
          <w:p>
            <w:pPr>
              <w:jc w:val="right"/>
              <w:ind w:right="100"/>
              <w:spacing w:after="0" w:line="96" w:lineRule="exact"/>
              <w:rPr>
                <w:sz w:val="20"/>
                <w:szCs w:val="20"/>
                <w:color w:val="auto"/>
              </w:rPr>
            </w:pPr>
            <w:r>
              <w:rPr>
                <w:rFonts w:ascii="Arial" w:cs="Arial" w:eastAsia="Arial" w:hAnsi="Arial"/>
                <w:sz w:val="10"/>
                <w:szCs w:val="10"/>
                <w:b w:val="1"/>
                <w:bCs w:val="1"/>
                <w:color w:val="auto"/>
              </w:rPr>
              <w:t>Amount</w:t>
            </w:r>
          </w:p>
        </w:tc>
        <w:tc>
          <w:tcPr>
            <w:tcW w:w="580" w:type="dxa"/>
            <w:vAlign w:val="bottom"/>
            <w:gridSpan w:val="5"/>
          </w:tcPr>
          <w:p>
            <w:pPr>
              <w:jc w:val="center"/>
              <w:spacing w:after="0" w:line="96" w:lineRule="exact"/>
              <w:rPr>
                <w:sz w:val="20"/>
                <w:szCs w:val="20"/>
                <w:color w:val="auto"/>
              </w:rPr>
            </w:pPr>
            <w:r>
              <w:rPr>
                <w:rFonts w:ascii="Arial" w:cs="Arial" w:eastAsia="Arial" w:hAnsi="Arial"/>
                <w:sz w:val="10"/>
                <w:szCs w:val="10"/>
                <w:b w:val="1"/>
                <w:bCs w:val="1"/>
                <w:color w:val="auto"/>
                <w:w w:val="89"/>
              </w:rPr>
              <w:t>Shares</w:t>
            </w:r>
          </w:p>
        </w:tc>
        <w:tc>
          <w:tcPr>
            <w:tcW w:w="60" w:type="dxa"/>
            <w:vAlign w:val="bottom"/>
          </w:tcPr>
          <w:p>
            <w:pPr>
              <w:spacing w:after="0"/>
              <w:rPr>
                <w:sz w:val="8"/>
                <w:szCs w:val="8"/>
                <w:color w:val="auto"/>
              </w:rPr>
            </w:pPr>
          </w:p>
        </w:tc>
        <w:tc>
          <w:tcPr>
            <w:tcW w:w="440" w:type="dxa"/>
            <w:vAlign w:val="bottom"/>
            <w:gridSpan w:val="4"/>
          </w:tcPr>
          <w:p>
            <w:pPr>
              <w:jc w:val="right"/>
              <w:ind w:right="80"/>
              <w:spacing w:after="0" w:line="96" w:lineRule="exact"/>
              <w:rPr>
                <w:sz w:val="20"/>
                <w:szCs w:val="20"/>
                <w:color w:val="auto"/>
              </w:rPr>
            </w:pPr>
            <w:r>
              <w:rPr>
                <w:rFonts w:ascii="Arial" w:cs="Arial" w:eastAsia="Arial" w:hAnsi="Arial"/>
                <w:sz w:val="10"/>
                <w:szCs w:val="10"/>
                <w:b w:val="1"/>
                <w:bCs w:val="1"/>
                <w:color w:val="auto"/>
                <w:w w:val="89"/>
              </w:rPr>
              <w:t>Amount</w:t>
            </w:r>
          </w:p>
        </w:tc>
        <w:tc>
          <w:tcPr>
            <w:tcW w:w="500" w:type="dxa"/>
            <w:vAlign w:val="bottom"/>
            <w:gridSpan w:val="4"/>
          </w:tcPr>
          <w:p>
            <w:pPr>
              <w:jc w:val="center"/>
              <w:spacing w:after="0" w:line="96" w:lineRule="exact"/>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8"/>
                <w:szCs w:val="8"/>
                <w:color w:val="auto"/>
              </w:rPr>
            </w:pPr>
          </w:p>
        </w:tc>
        <w:tc>
          <w:tcPr>
            <w:tcW w:w="480" w:type="dxa"/>
            <w:vAlign w:val="bottom"/>
            <w:gridSpan w:val="5"/>
          </w:tcPr>
          <w:p>
            <w:pPr>
              <w:ind w:left="40"/>
              <w:spacing w:after="0" w:line="96" w:lineRule="exact"/>
              <w:rPr>
                <w:sz w:val="20"/>
                <w:szCs w:val="20"/>
                <w:color w:val="auto"/>
              </w:rPr>
            </w:pPr>
            <w:r>
              <w:rPr>
                <w:rFonts w:ascii="Arial" w:cs="Arial" w:eastAsia="Arial" w:hAnsi="Arial"/>
                <w:sz w:val="10"/>
                <w:szCs w:val="10"/>
                <w:b w:val="1"/>
                <w:bCs w:val="1"/>
                <w:color w:val="auto"/>
              </w:rPr>
              <w:t>Amount</w:t>
            </w:r>
          </w:p>
        </w:tc>
        <w:tc>
          <w:tcPr>
            <w:tcW w:w="500" w:type="dxa"/>
            <w:vAlign w:val="bottom"/>
            <w:gridSpan w:val="4"/>
          </w:tcPr>
          <w:p>
            <w:pPr>
              <w:jc w:val="right"/>
              <w:ind w:right="28"/>
              <w:spacing w:after="0" w:line="96"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480" w:type="dxa"/>
            <w:vAlign w:val="bottom"/>
            <w:gridSpan w:val="5"/>
          </w:tcPr>
          <w:p>
            <w:pPr>
              <w:ind w:left="60"/>
              <w:spacing w:after="0" w:line="96" w:lineRule="exact"/>
              <w:rPr>
                <w:sz w:val="20"/>
                <w:szCs w:val="20"/>
                <w:color w:val="auto"/>
              </w:rPr>
            </w:pPr>
            <w:r>
              <w:rPr>
                <w:rFonts w:ascii="Arial" w:cs="Arial" w:eastAsia="Arial" w:hAnsi="Arial"/>
                <w:sz w:val="10"/>
                <w:szCs w:val="10"/>
                <w:b w:val="1"/>
                <w:bCs w:val="1"/>
                <w:color w:val="auto"/>
              </w:rPr>
              <w:t>Amount</w:t>
            </w:r>
          </w:p>
        </w:tc>
        <w:tc>
          <w:tcPr>
            <w:tcW w:w="460" w:type="dxa"/>
            <w:vAlign w:val="bottom"/>
            <w:gridSpan w:val="5"/>
          </w:tcPr>
          <w:p>
            <w:pPr>
              <w:jc w:val="right"/>
              <w:ind w:right="80"/>
              <w:spacing w:after="0" w:line="96" w:lineRule="exact"/>
              <w:rPr>
                <w:sz w:val="20"/>
                <w:szCs w:val="20"/>
                <w:color w:val="auto"/>
              </w:rPr>
            </w:pPr>
            <w:r>
              <w:rPr>
                <w:rFonts w:ascii="Arial" w:cs="Arial" w:eastAsia="Arial" w:hAnsi="Arial"/>
                <w:sz w:val="10"/>
                <w:szCs w:val="10"/>
                <w:b w:val="1"/>
                <w:bCs w:val="1"/>
                <w:color w:val="auto"/>
              </w:rPr>
              <w:t>Shares</w:t>
            </w:r>
          </w:p>
        </w:tc>
        <w:tc>
          <w:tcPr>
            <w:tcW w:w="440" w:type="dxa"/>
            <w:vAlign w:val="bottom"/>
            <w:gridSpan w:val="5"/>
          </w:tcPr>
          <w:p>
            <w:pPr>
              <w:jc w:val="right"/>
              <w:ind w:right="40"/>
              <w:spacing w:after="0" w:line="96" w:lineRule="exact"/>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3"/>
          </w:tcPr>
          <w:p>
            <w:pPr>
              <w:ind w:left="20"/>
              <w:spacing w:after="0" w:line="96" w:lineRule="exact"/>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ind w:right="240"/>
              <w:spacing w:after="0" w:line="96" w:lineRule="exact"/>
              <w:rPr>
                <w:sz w:val="20"/>
                <w:szCs w:val="20"/>
                <w:color w:val="auto"/>
              </w:rPr>
            </w:pPr>
            <w:r>
              <w:rPr>
                <w:rFonts w:ascii="Arial" w:cs="Arial" w:eastAsia="Arial" w:hAnsi="Arial"/>
                <w:sz w:val="10"/>
                <w:szCs w:val="10"/>
                <w:b w:val="1"/>
                <w:bCs w:val="1"/>
                <w:color w:val="auto"/>
              </w:rPr>
              <w:t>Deficit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3"/>
          </w:tcPr>
          <w:p>
            <w:pPr>
              <w:jc w:val="center"/>
              <w:ind w:right="140"/>
              <w:spacing w:after="0" w:line="96" w:lineRule="exact"/>
              <w:rPr>
                <w:sz w:val="20"/>
                <w:szCs w:val="20"/>
                <w:color w:val="auto"/>
              </w:rPr>
            </w:pPr>
            <w:r>
              <w:rPr>
                <w:rFonts w:ascii="Arial" w:cs="Arial" w:eastAsia="Arial" w:hAnsi="Arial"/>
                <w:sz w:val="10"/>
                <w:szCs w:val="10"/>
                <w:b w:val="1"/>
                <w:bCs w:val="1"/>
                <w:color w:val="auto"/>
                <w:w w:val="96"/>
              </w:rPr>
              <w:t>(Deficit)</w:t>
            </w:r>
          </w:p>
        </w:tc>
      </w:tr>
      <w:tr>
        <w:trPr>
          <w:trHeight w:val="98"/>
        </w:trPr>
        <w:tc>
          <w:tcPr>
            <w:tcW w:w="126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Balance, December 31,</w:t>
            </w:r>
          </w:p>
        </w:tc>
        <w:tc>
          <w:tcPr>
            <w:tcW w:w="220" w:type="dxa"/>
            <w:vAlign w:val="bottom"/>
            <w:tcBorders>
              <w:top w:val="single" w:sz="8" w:color="auto"/>
            </w:tcBorders>
            <w:gridSpan w:val="2"/>
            <w:shd w:val="clear" w:color="auto" w:fill="CCEEFF"/>
          </w:tcPr>
          <w:p>
            <w:pPr>
              <w:spacing w:after="0"/>
              <w:rPr>
                <w:sz w:val="8"/>
                <w:szCs w:val="8"/>
                <w:color w:val="auto"/>
              </w:rPr>
            </w:pPr>
          </w:p>
        </w:tc>
        <w:tc>
          <w:tcPr>
            <w:tcW w:w="280" w:type="dxa"/>
            <w:vAlign w:val="bottom"/>
            <w:gridSpan w:val="3"/>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rPr>
                <w:sz w:val="8"/>
                <w:szCs w:val="8"/>
                <w:color w:val="auto"/>
              </w:rPr>
            </w:pPr>
          </w:p>
        </w:tc>
        <w:tc>
          <w:tcPr>
            <w:tcW w:w="240" w:type="dxa"/>
            <w:vAlign w:val="bottom"/>
            <w:gridSpan w:val="3"/>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8"/>
                <w:szCs w:val="8"/>
                <w:color w:val="auto"/>
              </w:rPr>
            </w:pPr>
          </w:p>
        </w:tc>
        <w:tc>
          <w:tcPr>
            <w:tcW w:w="280" w:type="dxa"/>
            <w:vAlign w:val="bottom"/>
            <w:tcBorders>
              <w:top w:val="single" w:sz="8" w:color="auto"/>
            </w:tcBorders>
            <w:gridSpan w:val="2"/>
            <w:shd w:val="clear" w:color="auto" w:fill="CCEEFF"/>
          </w:tcPr>
          <w:p>
            <w:pPr>
              <w:spacing w:after="0"/>
              <w:rPr>
                <w:sz w:val="8"/>
                <w:szCs w:val="8"/>
                <w:color w:val="auto"/>
              </w:rPr>
            </w:pPr>
          </w:p>
        </w:tc>
        <w:tc>
          <w:tcPr>
            <w:tcW w:w="240" w:type="dxa"/>
            <w:vAlign w:val="bottom"/>
            <w:gridSpan w:val="3"/>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spacing w:after="0"/>
              <w:rPr>
                <w:sz w:val="8"/>
                <w:szCs w:val="8"/>
                <w:color w:val="auto"/>
              </w:rPr>
            </w:pPr>
          </w:p>
        </w:tc>
        <w:tc>
          <w:tcPr>
            <w:tcW w:w="260" w:type="dxa"/>
            <w:vAlign w:val="bottom"/>
            <w:gridSpan w:val="3"/>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rPr>
                <w:sz w:val="8"/>
                <w:szCs w:val="8"/>
                <w:color w:val="auto"/>
              </w:rPr>
            </w:pPr>
          </w:p>
        </w:tc>
        <w:tc>
          <w:tcPr>
            <w:tcW w:w="300" w:type="dxa"/>
            <w:vAlign w:val="bottom"/>
            <w:gridSpan w:val="3"/>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spacing w:after="0"/>
              <w:rPr>
                <w:sz w:val="8"/>
                <w:szCs w:val="8"/>
                <w:color w:val="auto"/>
              </w:rPr>
            </w:pPr>
          </w:p>
        </w:tc>
        <w:tc>
          <w:tcPr>
            <w:tcW w:w="320" w:type="dxa"/>
            <w:vAlign w:val="bottom"/>
            <w:gridSpan w:val="3"/>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rPr>
                <w:sz w:val="8"/>
                <w:szCs w:val="8"/>
                <w:color w:val="auto"/>
              </w:rPr>
            </w:pPr>
          </w:p>
        </w:tc>
        <w:tc>
          <w:tcPr>
            <w:tcW w:w="300" w:type="dxa"/>
            <w:vAlign w:val="bottom"/>
            <w:gridSpan w:val="3"/>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spacing w:after="0"/>
              <w:rPr>
                <w:sz w:val="8"/>
                <w:szCs w:val="8"/>
                <w:color w:val="auto"/>
              </w:rPr>
            </w:pPr>
          </w:p>
        </w:tc>
        <w:tc>
          <w:tcPr>
            <w:tcW w:w="260" w:type="dxa"/>
            <w:vAlign w:val="bottom"/>
            <w:gridSpan w:val="3"/>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rPr>
                <w:sz w:val="8"/>
                <w:szCs w:val="8"/>
                <w:color w:val="auto"/>
              </w:rPr>
            </w:pPr>
          </w:p>
        </w:tc>
        <w:tc>
          <w:tcPr>
            <w:tcW w:w="260" w:type="dxa"/>
            <w:vAlign w:val="bottom"/>
            <w:gridSpan w:val="3"/>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spacing w:after="0"/>
              <w:rPr>
                <w:sz w:val="8"/>
                <w:szCs w:val="8"/>
                <w:color w:val="auto"/>
              </w:rPr>
            </w:pPr>
          </w:p>
        </w:tc>
        <w:tc>
          <w:tcPr>
            <w:tcW w:w="260" w:type="dxa"/>
            <w:vAlign w:val="bottom"/>
            <w:gridSpan w:val="3"/>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rPr>
                <w:sz w:val="8"/>
                <w:szCs w:val="8"/>
                <w:color w:val="auto"/>
              </w:rPr>
            </w:pPr>
          </w:p>
        </w:tc>
        <w:tc>
          <w:tcPr>
            <w:tcW w:w="280" w:type="dxa"/>
            <w:vAlign w:val="bottom"/>
            <w:gridSpan w:val="3"/>
            <w:shd w:val="clear" w:color="auto" w:fill="CCEEFF"/>
          </w:tcPr>
          <w:p>
            <w:pPr>
              <w:spacing w:after="0"/>
              <w:rPr>
                <w:sz w:val="8"/>
                <w:szCs w:val="8"/>
                <w:color w:val="auto"/>
              </w:rPr>
            </w:pPr>
          </w:p>
        </w:tc>
        <w:tc>
          <w:tcPr>
            <w:tcW w:w="220" w:type="dxa"/>
            <w:vAlign w:val="bottom"/>
            <w:tcBorders>
              <w:top w:val="single" w:sz="8" w:color="auto"/>
            </w:tcBorders>
            <w:gridSpan w:val="2"/>
            <w:shd w:val="clear" w:color="auto" w:fill="CCEEFF"/>
          </w:tcPr>
          <w:p>
            <w:pPr>
              <w:spacing w:after="0"/>
              <w:rPr>
                <w:sz w:val="8"/>
                <w:szCs w:val="8"/>
                <w:color w:val="auto"/>
              </w:rPr>
            </w:pPr>
          </w:p>
        </w:tc>
        <w:tc>
          <w:tcPr>
            <w:tcW w:w="280" w:type="dxa"/>
            <w:vAlign w:val="bottom"/>
            <w:gridSpan w:val="3"/>
            <w:shd w:val="clear" w:color="auto" w:fill="CCEEFF"/>
          </w:tcPr>
          <w:p>
            <w:pPr>
              <w:spacing w:after="0"/>
              <w:rPr>
                <w:sz w:val="8"/>
                <w:szCs w:val="8"/>
                <w:color w:val="auto"/>
              </w:rPr>
            </w:pPr>
          </w:p>
        </w:tc>
        <w:tc>
          <w:tcPr>
            <w:tcW w:w="280" w:type="dxa"/>
            <w:vAlign w:val="bottom"/>
            <w:tcBorders>
              <w:top w:val="single" w:sz="8" w:color="auto"/>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8"/>
                <w:szCs w:val="8"/>
                <w:color w:val="auto"/>
              </w:rPr>
            </w:pPr>
          </w:p>
        </w:tc>
        <w:tc>
          <w:tcPr>
            <w:tcW w:w="220" w:type="dxa"/>
            <w:vAlign w:val="bottom"/>
            <w:tcBorders>
              <w:top w:val="single" w:sz="8" w:color="auto"/>
            </w:tcBorders>
            <w:gridSpan w:val="2"/>
            <w:shd w:val="clear" w:color="auto" w:fill="CCEEFF"/>
          </w:tcPr>
          <w:p>
            <w:pPr>
              <w:spacing w:after="0"/>
              <w:rPr>
                <w:sz w:val="8"/>
                <w:szCs w:val="8"/>
                <w:color w:val="auto"/>
              </w:rPr>
            </w:pPr>
          </w:p>
        </w:tc>
        <w:tc>
          <w:tcPr>
            <w:tcW w:w="200" w:type="dxa"/>
            <w:vAlign w:val="bottom"/>
            <w:gridSpan w:val="3"/>
            <w:shd w:val="clear" w:color="auto" w:fill="CCEEFF"/>
          </w:tcPr>
          <w:p>
            <w:pPr>
              <w:spacing w:after="0"/>
              <w:rPr>
                <w:sz w:val="8"/>
                <w:szCs w:val="8"/>
                <w:color w:val="auto"/>
              </w:rPr>
            </w:pPr>
          </w:p>
        </w:tc>
        <w:tc>
          <w:tcPr>
            <w:tcW w:w="300" w:type="dxa"/>
            <w:vAlign w:val="bottom"/>
            <w:tcBorders>
              <w:top w:val="single" w:sz="8" w:color="auto"/>
            </w:tcBorders>
            <w:gridSpan w:val="2"/>
            <w:shd w:val="clear" w:color="auto" w:fill="CCEEFF"/>
          </w:tcPr>
          <w:p>
            <w:pPr>
              <w:spacing w:after="0"/>
              <w:rPr>
                <w:sz w:val="8"/>
                <w:szCs w:val="8"/>
                <w:color w:val="auto"/>
              </w:rPr>
            </w:pPr>
          </w:p>
        </w:tc>
        <w:tc>
          <w:tcPr>
            <w:tcW w:w="240" w:type="dxa"/>
            <w:vAlign w:val="bottom"/>
            <w:gridSpan w:val="4"/>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40" w:type="dxa"/>
            <w:vAlign w:val="bottom"/>
            <w:gridSpan w:val="4"/>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gridSpan w:val="4"/>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22"/>
        </w:trPr>
        <w:tc>
          <w:tcPr>
            <w:tcW w:w="11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2010</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w w:val="95"/>
              </w:rPr>
              <w:t>26,874,792</w:t>
            </w:r>
          </w:p>
        </w:tc>
        <w:tc>
          <w:tcPr>
            <w:tcW w:w="80" w:type="dxa"/>
            <w:vAlign w:val="bottom"/>
            <w:shd w:val="clear" w:color="auto" w:fill="CCEEFF"/>
          </w:tcPr>
          <w:p>
            <w:pPr>
              <w:spacing w:after="0"/>
              <w:rPr>
                <w:sz w:val="10"/>
                <w:szCs w:val="10"/>
                <w:color w:val="auto"/>
              </w:rPr>
            </w:pPr>
          </w:p>
        </w:tc>
        <w:tc>
          <w:tcPr>
            <w:tcW w:w="480" w:type="dxa"/>
            <w:vAlign w:val="bottom"/>
            <w:gridSpan w:val="5"/>
            <w:shd w:val="clear" w:color="auto" w:fill="CCEEFF"/>
          </w:tcPr>
          <w:p>
            <w:pPr>
              <w:jc w:val="right"/>
              <w:ind w:right="80"/>
              <w:spacing w:after="0"/>
              <w:rPr>
                <w:sz w:val="20"/>
                <w:szCs w:val="20"/>
                <w:color w:val="auto"/>
              </w:rPr>
            </w:pPr>
            <w:r>
              <w:rPr>
                <w:rFonts w:ascii="Arial" w:cs="Arial" w:eastAsia="Arial" w:hAnsi="Arial"/>
                <w:sz w:val="10"/>
                <w:szCs w:val="10"/>
                <w:color w:val="auto"/>
                <w:w w:val="91"/>
              </w:rPr>
              <w:t>$268,748</w:t>
            </w:r>
          </w:p>
        </w:tc>
        <w:tc>
          <w:tcPr>
            <w:tcW w:w="540" w:type="dxa"/>
            <w:vAlign w:val="bottom"/>
            <w:gridSpan w:val="5"/>
            <w:shd w:val="clear" w:color="auto" w:fill="CCEEFF"/>
          </w:tcPr>
          <w:p>
            <w:pPr>
              <w:jc w:val="right"/>
              <w:ind w:right="80"/>
              <w:spacing w:after="0"/>
              <w:rPr>
                <w:sz w:val="20"/>
                <w:szCs w:val="20"/>
                <w:color w:val="auto"/>
              </w:rPr>
            </w:pPr>
            <w:r>
              <w:rPr>
                <w:rFonts w:ascii="Arial" w:cs="Arial" w:eastAsia="Arial" w:hAnsi="Arial"/>
                <w:sz w:val="10"/>
                <w:szCs w:val="10"/>
                <w:color w:val="auto"/>
                <w:w w:val="98"/>
              </w:rPr>
              <w:t>7,364,582</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w w:val="88"/>
              </w:rPr>
              <w:t>$73,646</w:t>
            </w:r>
          </w:p>
        </w:tc>
        <w:tc>
          <w:tcPr>
            <w:tcW w:w="80" w:type="dxa"/>
            <w:vAlign w:val="bottom"/>
            <w:shd w:val="clear" w:color="auto" w:fill="CCEEFF"/>
          </w:tcPr>
          <w:p>
            <w:pPr>
              <w:spacing w:after="0"/>
              <w:rPr>
                <w:sz w:val="10"/>
                <w:szCs w:val="10"/>
                <w:color w:val="auto"/>
              </w:rPr>
            </w:pPr>
          </w:p>
        </w:tc>
        <w:tc>
          <w:tcPr>
            <w:tcW w:w="600" w:type="dxa"/>
            <w:vAlign w:val="bottom"/>
            <w:gridSpan w:val="5"/>
            <w:shd w:val="clear" w:color="auto" w:fill="CCEEFF"/>
          </w:tcPr>
          <w:p>
            <w:pPr>
              <w:jc w:val="center"/>
              <w:ind w:right="60"/>
              <w:spacing w:after="0"/>
              <w:rPr>
                <w:sz w:val="20"/>
                <w:szCs w:val="20"/>
                <w:color w:val="auto"/>
              </w:rPr>
            </w:pPr>
            <w:r>
              <w:rPr>
                <w:rFonts w:ascii="Arial" w:cs="Arial" w:eastAsia="Arial" w:hAnsi="Arial"/>
                <w:sz w:val="10"/>
                <w:szCs w:val="10"/>
                <w:color w:val="auto"/>
                <w:w w:val="91"/>
              </w:rPr>
              <w:t>71,401,237</w:t>
            </w:r>
          </w:p>
        </w:tc>
        <w:tc>
          <w:tcPr>
            <w:tcW w:w="480" w:type="dxa"/>
            <w:vAlign w:val="bottom"/>
            <w:gridSpan w:val="5"/>
            <w:shd w:val="clear" w:color="auto" w:fill="CCEEFF"/>
          </w:tcPr>
          <w:p>
            <w:pPr>
              <w:jc w:val="right"/>
              <w:ind w:right="80"/>
              <w:spacing w:after="0"/>
              <w:rPr>
                <w:sz w:val="20"/>
                <w:szCs w:val="20"/>
                <w:color w:val="auto"/>
              </w:rPr>
            </w:pPr>
            <w:r>
              <w:rPr>
                <w:rFonts w:ascii="Arial" w:cs="Arial" w:eastAsia="Arial" w:hAnsi="Arial"/>
                <w:sz w:val="10"/>
                <w:szCs w:val="10"/>
                <w:color w:val="auto"/>
                <w:w w:val="91"/>
              </w:rPr>
              <w:t>$714,012</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w w:val="93"/>
              </w:rPr>
              <w:t>110,952,217</w:t>
            </w:r>
          </w:p>
        </w:tc>
        <w:tc>
          <w:tcPr>
            <w:tcW w:w="640" w:type="dxa"/>
            <w:vAlign w:val="bottom"/>
            <w:gridSpan w:val="6"/>
            <w:shd w:val="clear" w:color="auto" w:fill="CCEEFF"/>
          </w:tcPr>
          <w:p>
            <w:pPr>
              <w:jc w:val="right"/>
              <w:ind w:right="80"/>
              <w:spacing w:after="0"/>
              <w:rPr>
                <w:sz w:val="20"/>
                <w:szCs w:val="20"/>
                <w:color w:val="auto"/>
              </w:rPr>
            </w:pPr>
            <w:r>
              <w:rPr>
                <w:rFonts w:ascii="Arial" w:cs="Arial" w:eastAsia="Arial" w:hAnsi="Arial"/>
                <w:sz w:val="10"/>
                <w:szCs w:val="10"/>
                <w:color w:val="auto"/>
              </w:rPr>
              <w:t>$1,109,522</w:t>
            </w:r>
          </w:p>
        </w:tc>
        <w:tc>
          <w:tcPr>
            <w:tcW w:w="580" w:type="dxa"/>
            <w:vAlign w:val="bottom"/>
            <w:gridSpan w:val="5"/>
            <w:shd w:val="clear" w:color="auto" w:fill="CCEEFF"/>
          </w:tcPr>
          <w:p>
            <w:pPr>
              <w:jc w:val="center"/>
              <w:ind w:right="40"/>
              <w:spacing w:after="0"/>
              <w:rPr>
                <w:sz w:val="20"/>
                <w:szCs w:val="20"/>
                <w:color w:val="auto"/>
              </w:rPr>
            </w:pPr>
            <w:r>
              <w:rPr>
                <w:rFonts w:ascii="Arial" w:cs="Arial" w:eastAsia="Arial" w:hAnsi="Arial"/>
                <w:sz w:val="10"/>
                <w:szCs w:val="10"/>
                <w:color w:val="auto"/>
                <w:w w:val="91"/>
              </w:rPr>
              <w:t>14,446,227</w:t>
            </w:r>
          </w:p>
        </w:tc>
        <w:tc>
          <w:tcPr>
            <w:tcW w:w="500" w:type="dxa"/>
            <w:vAlign w:val="bottom"/>
            <w:gridSpan w:val="5"/>
            <w:shd w:val="clear" w:color="auto" w:fill="CCEEFF"/>
          </w:tcPr>
          <w:p>
            <w:pPr>
              <w:jc w:val="right"/>
              <w:ind w:right="100"/>
              <w:spacing w:after="0"/>
              <w:rPr>
                <w:sz w:val="20"/>
                <w:szCs w:val="20"/>
                <w:color w:val="auto"/>
              </w:rPr>
            </w:pPr>
            <w:r>
              <w:rPr>
                <w:rFonts w:ascii="Arial" w:cs="Arial" w:eastAsia="Arial" w:hAnsi="Arial"/>
                <w:sz w:val="10"/>
                <w:szCs w:val="10"/>
                <w:color w:val="auto"/>
                <w:w w:val="91"/>
              </w:rPr>
              <w:t>$144,462</w:t>
            </w:r>
          </w:p>
        </w:tc>
        <w:tc>
          <w:tcPr>
            <w:tcW w:w="500" w:type="dxa"/>
            <w:vAlign w:val="bottom"/>
            <w:gridSpan w:val="4"/>
            <w:shd w:val="clear" w:color="auto" w:fill="CCEEFF"/>
          </w:tcPr>
          <w:p>
            <w:pPr>
              <w:jc w:val="center"/>
              <w:spacing w:after="0"/>
              <w:rPr>
                <w:sz w:val="20"/>
                <w:szCs w:val="20"/>
                <w:color w:val="auto"/>
              </w:rPr>
            </w:pPr>
            <w:r>
              <w:rPr>
                <w:rFonts w:ascii="Arial" w:cs="Arial" w:eastAsia="Arial" w:hAnsi="Arial"/>
                <w:sz w:val="10"/>
                <w:szCs w:val="10"/>
                <w:color w:val="auto"/>
                <w:w w:val="95"/>
              </w:rPr>
              <w:t>45,253,788</w:t>
            </w: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0"/>
                <w:szCs w:val="10"/>
                <w:color w:val="auto"/>
              </w:rPr>
              <w:t>$452,538</w:t>
            </w:r>
          </w:p>
        </w:tc>
        <w:tc>
          <w:tcPr>
            <w:tcW w:w="8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w w:val="95"/>
              </w:rPr>
              <w:t>18,786,686</w:t>
            </w: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0"/>
                <w:szCs w:val="10"/>
                <w:color w:val="auto"/>
              </w:rPr>
              <w:t>$187,867</w:t>
            </w:r>
          </w:p>
        </w:tc>
        <w:tc>
          <w:tcPr>
            <w:tcW w:w="80" w:type="dxa"/>
            <w:vAlign w:val="bottom"/>
            <w:shd w:val="clear" w:color="auto" w:fill="CCEEFF"/>
          </w:tcPr>
          <w:p>
            <w:pPr>
              <w:spacing w:after="0"/>
              <w:rPr>
                <w:sz w:val="10"/>
                <w:szCs w:val="10"/>
                <w:color w:val="auto"/>
              </w:rPr>
            </w:pPr>
          </w:p>
        </w:tc>
        <w:tc>
          <w:tcPr>
            <w:tcW w:w="460" w:type="dxa"/>
            <w:vAlign w:val="bottom"/>
            <w:gridSpan w:val="5"/>
            <w:shd w:val="clear" w:color="auto" w:fill="CCEEFF"/>
          </w:tcPr>
          <w:p>
            <w:pPr>
              <w:jc w:val="right"/>
              <w:ind w:right="80"/>
              <w:spacing w:after="0"/>
              <w:rPr>
                <w:sz w:val="20"/>
                <w:szCs w:val="20"/>
                <w:color w:val="auto"/>
              </w:rPr>
            </w:pPr>
            <w:r>
              <w:rPr>
                <w:rFonts w:ascii="Arial" w:cs="Arial" w:eastAsia="Arial" w:hAnsi="Arial"/>
                <w:sz w:val="10"/>
                <w:szCs w:val="10"/>
                <w:color w:val="auto"/>
                <w:w w:val="99"/>
              </w:rPr>
              <w:t>270,000</w:t>
            </w:r>
          </w:p>
        </w:tc>
        <w:tc>
          <w:tcPr>
            <w:tcW w:w="440" w:type="dxa"/>
            <w:vAlign w:val="bottom"/>
            <w:gridSpan w:val="5"/>
            <w:shd w:val="clear" w:color="auto" w:fill="CCEEFF"/>
          </w:tcPr>
          <w:p>
            <w:pPr>
              <w:jc w:val="right"/>
              <w:ind w:right="20"/>
              <w:spacing w:after="0"/>
              <w:rPr>
                <w:sz w:val="20"/>
                <w:szCs w:val="20"/>
                <w:color w:val="auto"/>
              </w:rPr>
            </w:pPr>
            <w:r>
              <w:rPr>
                <w:rFonts w:ascii="Arial" w:cs="Arial" w:eastAsia="Arial" w:hAnsi="Arial"/>
                <w:sz w:val="10"/>
                <w:szCs w:val="10"/>
                <w:color w:val="auto"/>
                <w:w w:val="93"/>
              </w:rPr>
              <w:t>$(57,742)</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w w:val="94"/>
              </w:rPr>
              <w:t>$149,024,167</w:t>
            </w:r>
          </w:p>
        </w:tc>
        <w:tc>
          <w:tcPr>
            <w:tcW w:w="40" w:type="dxa"/>
            <w:vAlign w:val="bottom"/>
            <w:shd w:val="clear" w:color="auto" w:fill="CCEEFF"/>
          </w:tcPr>
          <w:p>
            <w:pPr>
              <w:spacing w:after="0"/>
              <w:rPr>
                <w:sz w:val="10"/>
                <w:szCs w:val="10"/>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0"/>
                <w:szCs w:val="10"/>
                <w:color w:val="auto"/>
              </w:rPr>
              <w:t>$(190,551,278)</w:t>
            </w: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91"/>
              </w:rPr>
              <w:t>(38,634,058)</w:t>
            </w:r>
          </w:p>
        </w:tc>
        <w:tc>
          <w:tcPr>
            <w:tcW w:w="20" w:type="dxa"/>
            <w:vAlign w:val="bottom"/>
          </w:tcPr>
          <w:p>
            <w:pPr>
              <w:spacing w:after="0"/>
              <w:rPr>
                <w:sz w:val="10"/>
                <w:szCs w:val="10"/>
                <w:color w:val="auto"/>
              </w:rPr>
            </w:pPr>
          </w:p>
        </w:tc>
      </w:tr>
      <w:tr>
        <w:trPr>
          <w:trHeight w:val="108"/>
        </w:trPr>
        <w:tc>
          <w:tcPr>
            <w:tcW w:w="11540" w:type="dxa"/>
            <w:vAlign w:val="bottom"/>
            <w:gridSpan w:val="97"/>
          </w:tcPr>
          <w:p>
            <w:pPr>
              <w:ind w:left="340"/>
              <w:spacing w:after="0" w:line="108" w:lineRule="exact"/>
              <w:rPr>
                <w:sz w:val="20"/>
                <w:szCs w:val="20"/>
                <w:color w:val="auto"/>
              </w:rPr>
            </w:pPr>
            <w:r>
              <w:rPr>
                <w:rFonts w:ascii="Arial" w:cs="Arial" w:eastAsia="Arial" w:hAnsi="Arial"/>
                <w:sz w:val="10"/>
                <w:szCs w:val="10"/>
                <w:color w:val="auto"/>
              </w:rPr>
              <w:t>Share-based</w:t>
            </w:r>
          </w:p>
        </w:tc>
      </w:tr>
      <w:tr>
        <w:trPr>
          <w:trHeight w:val="122"/>
        </w:trPr>
        <w:tc>
          <w:tcPr>
            <w:tcW w:w="1340" w:type="dxa"/>
            <w:vAlign w:val="bottom"/>
            <w:gridSpan w:val="3"/>
          </w:tcPr>
          <w:p>
            <w:pPr>
              <w:ind w:left="500"/>
              <w:spacing w:after="0"/>
              <w:rPr>
                <w:sz w:val="20"/>
                <w:szCs w:val="20"/>
                <w:color w:val="auto"/>
              </w:rPr>
            </w:pPr>
            <w:r>
              <w:rPr>
                <w:rFonts w:ascii="Arial" w:cs="Arial" w:eastAsia="Arial" w:hAnsi="Arial"/>
                <w:sz w:val="10"/>
                <w:szCs w:val="10"/>
                <w:color w:val="auto"/>
                <w:w w:val="96"/>
              </w:rPr>
              <w:t>compensation</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tcPr>
          <w:p>
            <w:pPr>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20" w:type="dxa"/>
            <w:vAlign w:val="bottom"/>
            <w:gridSpan w:val="5"/>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5"/>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tcPr>
          <w:p>
            <w:pPr>
              <w:jc w:val="right"/>
              <w:ind w:right="108"/>
              <w:spacing w:after="0"/>
              <w:rPr>
                <w:sz w:val="20"/>
                <w:szCs w:val="20"/>
                <w:color w:val="auto"/>
              </w:rPr>
            </w:pPr>
            <w:r>
              <w:rPr>
                <w:rFonts w:ascii="Arial" w:cs="Arial" w:eastAsia="Arial" w:hAnsi="Arial"/>
                <w:sz w:val="10"/>
                <w:szCs w:val="10"/>
                <w:color w:val="auto"/>
              </w:rPr>
              <w:t>2,347,439</w:t>
            </w:r>
          </w:p>
        </w:tc>
        <w:tc>
          <w:tcPr>
            <w:tcW w:w="700" w:type="dxa"/>
            <w:vAlign w:val="bottom"/>
            <w:gridSpan w:val="6"/>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color w:val="auto"/>
              </w:rPr>
              <w:t>2,347,439</w:t>
            </w:r>
          </w:p>
        </w:tc>
      </w:tr>
      <w:tr>
        <w:trPr>
          <w:trHeight w:val="108"/>
        </w:trPr>
        <w:tc>
          <w:tcPr>
            <w:tcW w:w="11520" w:type="dxa"/>
            <w:vAlign w:val="bottom"/>
            <w:tcBorders>
              <w:right w:val="single" w:sz="8" w:color="CCEEFF"/>
            </w:tcBorders>
            <w:gridSpan w:val="96"/>
            <w:shd w:val="clear" w:color="auto" w:fill="CCEEFF"/>
          </w:tcPr>
          <w:p>
            <w:pPr>
              <w:ind w:left="340"/>
              <w:spacing w:after="0" w:line="108" w:lineRule="exact"/>
              <w:rPr>
                <w:sz w:val="20"/>
                <w:szCs w:val="20"/>
                <w:color w:val="auto"/>
              </w:rPr>
            </w:pPr>
            <w:r>
              <w:rPr>
                <w:rFonts w:ascii="Arial" w:cs="Arial" w:eastAsia="Arial" w:hAnsi="Arial"/>
                <w:sz w:val="10"/>
                <w:szCs w:val="10"/>
                <w:color w:val="auto"/>
              </w:rPr>
              <w:t>Issuance of</w:t>
            </w:r>
          </w:p>
        </w:tc>
        <w:tc>
          <w:tcPr>
            <w:tcW w:w="20" w:type="dxa"/>
            <w:vAlign w:val="bottom"/>
          </w:tcPr>
          <w:p>
            <w:pPr>
              <w:spacing w:after="0"/>
              <w:rPr>
                <w:sz w:val="9"/>
                <w:szCs w:val="9"/>
                <w:color w:val="auto"/>
              </w:rPr>
            </w:pPr>
          </w:p>
        </w:tc>
      </w:tr>
      <w:tr>
        <w:trPr>
          <w:trHeight w:val="115"/>
        </w:trPr>
        <w:tc>
          <w:tcPr>
            <w:tcW w:w="11520" w:type="dxa"/>
            <w:vAlign w:val="bottom"/>
            <w:tcBorders>
              <w:right w:val="single" w:sz="8" w:color="CCEEFF"/>
            </w:tcBorders>
            <w:gridSpan w:val="96"/>
            <w:shd w:val="clear" w:color="auto" w:fill="CCEEFF"/>
          </w:tcPr>
          <w:p>
            <w:pPr>
              <w:ind w:left="500"/>
              <w:spacing w:after="0"/>
              <w:rPr>
                <w:sz w:val="20"/>
                <w:szCs w:val="20"/>
                <w:color w:val="auto"/>
              </w:rPr>
            </w:pPr>
            <w:r>
              <w:rPr>
                <w:rFonts w:ascii="Arial" w:cs="Arial" w:eastAsia="Arial" w:hAnsi="Arial"/>
                <w:sz w:val="10"/>
                <w:szCs w:val="10"/>
                <w:color w:val="auto"/>
              </w:rPr>
              <w:t>convertible</w:t>
            </w:r>
          </w:p>
        </w:tc>
        <w:tc>
          <w:tcPr>
            <w:tcW w:w="20" w:type="dxa"/>
            <w:vAlign w:val="bottom"/>
          </w:tcPr>
          <w:p>
            <w:pPr>
              <w:spacing w:after="0"/>
              <w:rPr>
                <w:sz w:val="9"/>
                <w:szCs w:val="9"/>
                <w:color w:val="auto"/>
              </w:rPr>
            </w:pPr>
          </w:p>
        </w:tc>
      </w:tr>
      <w:tr>
        <w:trPr>
          <w:trHeight w:val="115"/>
        </w:trPr>
        <w:tc>
          <w:tcPr>
            <w:tcW w:w="11520" w:type="dxa"/>
            <w:vAlign w:val="bottom"/>
            <w:tcBorders>
              <w:right w:val="single" w:sz="8" w:color="CCEEFF"/>
            </w:tcBorders>
            <w:gridSpan w:val="96"/>
            <w:shd w:val="clear" w:color="auto" w:fill="CCEEFF"/>
          </w:tcPr>
          <w:p>
            <w:pPr>
              <w:ind w:left="500"/>
              <w:spacing w:after="0"/>
              <w:rPr>
                <w:sz w:val="20"/>
                <w:szCs w:val="20"/>
                <w:color w:val="auto"/>
              </w:rPr>
            </w:pPr>
            <w:r>
              <w:rPr>
                <w:rFonts w:ascii="Arial" w:cs="Arial" w:eastAsia="Arial" w:hAnsi="Arial"/>
                <w:sz w:val="10"/>
                <w:szCs w:val="10"/>
                <w:color w:val="auto"/>
              </w:rPr>
              <w:t>Series D-2</w:t>
            </w:r>
          </w:p>
        </w:tc>
        <w:tc>
          <w:tcPr>
            <w:tcW w:w="20" w:type="dxa"/>
            <w:vAlign w:val="bottom"/>
          </w:tcPr>
          <w:p>
            <w:pPr>
              <w:spacing w:after="0"/>
              <w:rPr>
                <w:sz w:val="9"/>
                <w:szCs w:val="9"/>
                <w:color w:val="auto"/>
              </w:rPr>
            </w:pPr>
          </w:p>
        </w:tc>
      </w:tr>
      <w:tr>
        <w:trPr>
          <w:trHeight w:val="122"/>
        </w:trPr>
        <w:tc>
          <w:tcPr>
            <w:tcW w:w="1340" w:type="dxa"/>
            <w:vAlign w:val="bottom"/>
            <w:gridSpan w:val="3"/>
            <w:shd w:val="clear" w:color="auto" w:fill="CCEEFF"/>
          </w:tcPr>
          <w:p>
            <w:pPr>
              <w:ind w:left="500"/>
              <w:spacing w:after="0"/>
              <w:rPr>
                <w:sz w:val="20"/>
                <w:szCs w:val="20"/>
                <w:color w:val="auto"/>
              </w:rPr>
            </w:pPr>
            <w:r>
              <w:rPr>
                <w:rFonts w:ascii="Arial" w:cs="Arial" w:eastAsia="Arial" w:hAnsi="Arial"/>
                <w:sz w:val="10"/>
                <w:szCs w:val="10"/>
                <w:color w:val="auto"/>
              </w:rPr>
              <w:t>stock</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gridSpan w:val="4"/>
            <w:shd w:val="clear" w:color="auto" w:fill="CCEEFF"/>
          </w:tcPr>
          <w:p>
            <w:pPr>
              <w:jc w:val="center"/>
              <w:spacing w:after="0"/>
              <w:rPr>
                <w:sz w:val="20"/>
                <w:szCs w:val="20"/>
                <w:color w:val="auto"/>
              </w:rPr>
            </w:pPr>
            <w:r>
              <w:rPr>
                <w:rFonts w:ascii="Arial" w:cs="Arial" w:eastAsia="Arial" w:hAnsi="Arial"/>
                <w:sz w:val="10"/>
                <w:szCs w:val="10"/>
                <w:color w:val="auto"/>
                <w:w w:val="95"/>
              </w:rPr>
              <w:t>18,427,388</w:t>
            </w:r>
          </w:p>
        </w:tc>
        <w:tc>
          <w:tcPr>
            <w:tcW w:w="780" w:type="dxa"/>
            <w:vAlign w:val="bottom"/>
            <w:gridSpan w:val="8"/>
            <w:shd w:val="clear" w:color="auto" w:fill="CCEEFF"/>
          </w:tcPr>
          <w:p>
            <w:pPr>
              <w:jc w:val="right"/>
              <w:ind w:right="300"/>
              <w:spacing w:after="0"/>
              <w:rPr>
                <w:sz w:val="20"/>
                <w:szCs w:val="20"/>
                <w:color w:val="auto"/>
              </w:rPr>
            </w:pPr>
            <w:r>
              <w:rPr>
                <w:rFonts w:ascii="Arial" w:cs="Arial" w:eastAsia="Arial" w:hAnsi="Arial"/>
                <w:sz w:val="10"/>
                <w:szCs w:val="10"/>
                <w:color w:val="auto"/>
              </w:rPr>
              <w:t>184,274</w:t>
            </w:r>
          </w:p>
        </w:tc>
        <w:tc>
          <w:tcPr>
            <w:tcW w:w="540" w:type="dxa"/>
            <w:vAlign w:val="bottom"/>
            <w:gridSpan w:val="5"/>
            <w:shd w:val="clear" w:color="auto" w:fill="CCEEFF"/>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shd w:val="clear" w:color="auto" w:fill="CCEEFF"/>
          </w:tcPr>
          <w:p>
            <w:pPr>
              <w:jc w:val="right"/>
              <w:ind w:right="108"/>
              <w:spacing w:after="0"/>
              <w:rPr>
                <w:sz w:val="20"/>
                <w:szCs w:val="20"/>
                <w:color w:val="auto"/>
              </w:rPr>
            </w:pPr>
            <w:r>
              <w:rPr>
                <w:rFonts w:ascii="Arial" w:cs="Arial" w:eastAsia="Arial" w:hAnsi="Arial"/>
                <w:sz w:val="10"/>
                <w:szCs w:val="10"/>
                <w:color w:val="auto"/>
              </w:rPr>
              <w:t>11,830,541</w:t>
            </w:r>
          </w:p>
        </w:tc>
        <w:tc>
          <w:tcPr>
            <w:tcW w:w="700" w:type="dxa"/>
            <w:vAlign w:val="bottom"/>
            <w:gridSpan w:val="6"/>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95"/>
              </w:rPr>
              <w:t>12,014,815</w:t>
            </w:r>
          </w:p>
        </w:tc>
        <w:tc>
          <w:tcPr>
            <w:tcW w:w="20" w:type="dxa"/>
            <w:vAlign w:val="bottom"/>
          </w:tcPr>
          <w:p>
            <w:pPr>
              <w:spacing w:after="0"/>
              <w:rPr>
                <w:sz w:val="10"/>
                <w:szCs w:val="10"/>
                <w:color w:val="auto"/>
              </w:rPr>
            </w:pPr>
          </w:p>
        </w:tc>
      </w:tr>
      <w:tr>
        <w:trPr>
          <w:trHeight w:val="108"/>
        </w:trPr>
        <w:tc>
          <w:tcPr>
            <w:tcW w:w="11540" w:type="dxa"/>
            <w:vAlign w:val="bottom"/>
            <w:gridSpan w:val="97"/>
          </w:tcPr>
          <w:p>
            <w:pPr>
              <w:ind w:left="340"/>
              <w:spacing w:after="0" w:line="108" w:lineRule="exact"/>
              <w:rPr>
                <w:sz w:val="20"/>
                <w:szCs w:val="20"/>
                <w:color w:val="auto"/>
              </w:rPr>
            </w:pPr>
            <w:r>
              <w:rPr>
                <w:rFonts w:ascii="Arial" w:cs="Arial" w:eastAsia="Arial" w:hAnsi="Arial"/>
                <w:sz w:val="10"/>
                <w:szCs w:val="10"/>
                <w:color w:val="auto"/>
              </w:rPr>
              <w:t>Stock option</w:t>
            </w:r>
          </w:p>
        </w:tc>
      </w:tr>
      <w:tr>
        <w:trPr>
          <w:trHeight w:val="122"/>
        </w:trPr>
        <w:tc>
          <w:tcPr>
            <w:tcW w:w="1340" w:type="dxa"/>
            <w:vAlign w:val="bottom"/>
            <w:gridSpan w:val="3"/>
          </w:tcPr>
          <w:p>
            <w:pPr>
              <w:ind w:left="500"/>
              <w:spacing w:after="0"/>
              <w:rPr>
                <w:sz w:val="20"/>
                <w:szCs w:val="20"/>
                <w:color w:val="auto"/>
              </w:rPr>
            </w:pPr>
            <w:r>
              <w:rPr>
                <w:rFonts w:ascii="Arial" w:cs="Arial" w:eastAsia="Arial" w:hAnsi="Arial"/>
                <w:sz w:val="10"/>
                <w:szCs w:val="10"/>
                <w:color w:val="auto"/>
              </w:rPr>
              <w:t>exercises</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tcPr>
          <w:p>
            <w:pPr>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500" w:type="dxa"/>
            <w:vAlign w:val="bottom"/>
            <w:gridSpan w:val="4"/>
          </w:tcPr>
          <w:p>
            <w:pPr>
              <w:jc w:val="right"/>
              <w:spacing w:after="0"/>
              <w:rPr>
                <w:sz w:val="20"/>
                <w:szCs w:val="20"/>
                <w:color w:val="auto"/>
              </w:rPr>
            </w:pPr>
            <w:r>
              <w:rPr>
                <w:rFonts w:ascii="Arial" w:cs="Arial" w:eastAsia="Arial" w:hAnsi="Arial"/>
                <w:sz w:val="10"/>
                <w:szCs w:val="10"/>
                <w:color w:val="auto"/>
              </w:rPr>
              <w:t>907,706</w:t>
            </w:r>
          </w:p>
        </w:tc>
        <w:tc>
          <w:tcPr>
            <w:tcW w:w="700" w:type="dxa"/>
            <w:vAlign w:val="bottom"/>
            <w:gridSpan w:val="8"/>
          </w:tcPr>
          <w:p>
            <w:pPr>
              <w:jc w:val="right"/>
              <w:ind w:right="220"/>
              <w:spacing w:after="0"/>
              <w:rPr>
                <w:sz w:val="20"/>
                <w:szCs w:val="20"/>
                <w:color w:val="auto"/>
              </w:rPr>
            </w:pPr>
            <w:r>
              <w:rPr>
                <w:rFonts w:ascii="Arial" w:cs="Arial" w:eastAsia="Arial" w:hAnsi="Arial"/>
                <w:sz w:val="10"/>
                <w:szCs w:val="10"/>
                <w:color w:val="auto"/>
              </w:rPr>
              <w:t>9,077</w:t>
            </w:r>
          </w:p>
        </w:tc>
        <w:tc>
          <w:tcPr>
            <w:tcW w:w="36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tcPr>
          <w:p>
            <w:pPr>
              <w:jc w:val="right"/>
              <w:ind w:right="108"/>
              <w:spacing w:after="0"/>
              <w:rPr>
                <w:sz w:val="20"/>
                <w:szCs w:val="20"/>
                <w:color w:val="auto"/>
              </w:rPr>
            </w:pPr>
            <w:r>
              <w:rPr>
                <w:rFonts w:ascii="Arial" w:cs="Arial" w:eastAsia="Arial" w:hAnsi="Arial"/>
                <w:sz w:val="10"/>
                <w:szCs w:val="10"/>
                <w:color w:val="auto"/>
              </w:rPr>
              <w:t>61,323</w:t>
            </w:r>
          </w:p>
        </w:tc>
        <w:tc>
          <w:tcPr>
            <w:tcW w:w="700" w:type="dxa"/>
            <w:vAlign w:val="bottom"/>
            <w:gridSpan w:val="6"/>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color w:val="auto"/>
              </w:rPr>
              <w:t>70,400</w:t>
            </w:r>
          </w:p>
        </w:tc>
      </w:tr>
      <w:tr>
        <w:trPr>
          <w:trHeight w:val="115"/>
        </w:trPr>
        <w:tc>
          <w:tcPr>
            <w:tcW w:w="1340" w:type="dxa"/>
            <w:vAlign w:val="bottom"/>
            <w:gridSpan w:val="3"/>
            <w:shd w:val="clear" w:color="auto" w:fill="CCEEFF"/>
          </w:tcPr>
          <w:p>
            <w:pPr>
              <w:ind w:left="340"/>
              <w:spacing w:after="0"/>
              <w:rPr>
                <w:sz w:val="20"/>
                <w:szCs w:val="20"/>
                <w:color w:val="auto"/>
              </w:rPr>
            </w:pPr>
            <w:r>
              <w:rPr>
                <w:rFonts w:ascii="Arial" w:cs="Arial" w:eastAsia="Arial" w:hAnsi="Arial"/>
                <w:sz w:val="10"/>
                <w:szCs w:val="10"/>
                <w:color w:val="auto"/>
                <w:w w:val="97"/>
              </w:rPr>
              <w:t>Net income (loss)</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5"/>
            <w:shd w:val="clear" w:color="auto" w:fill="CCEEFF"/>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208"/>
              <w:spacing w:after="0"/>
              <w:rPr>
                <w:sz w:val="20"/>
                <w:szCs w:val="20"/>
                <w:color w:val="auto"/>
              </w:rPr>
            </w:pPr>
            <w:r>
              <w:rPr>
                <w:rFonts w:ascii="Arial" w:cs="Arial" w:eastAsia="Arial" w:hAnsi="Arial"/>
                <w:sz w:val="10"/>
                <w:szCs w:val="10"/>
                <w:color w:val="auto"/>
              </w:rPr>
              <w:t>—</w:t>
            </w:r>
          </w:p>
        </w:tc>
        <w:tc>
          <w:tcPr>
            <w:tcW w:w="500" w:type="dxa"/>
            <w:vAlign w:val="bottom"/>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8"/>
            <w:shd w:val="clear" w:color="auto" w:fill="CCEEFF"/>
          </w:tcPr>
          <w:p>
            <w:pPr>
              <w:jc w:val="right"/>
              <w:ind w:right="160"/>
              <w:spacing w:after="0"/>
              <w:rPr>
                <w:sz w:val="20"/>
                <w:szCs w:val="20"/>
                <w:color w:val="auto"/>
              </w:rPr>
            </w:pPr>
            <w:r>
              <w:rPr>
                <w:rFonts w:ascii="Arial" w:cs="Arial" w:eastAsia="Arial" w:hAnsi="Arial"/>
                <w:sz w:val="10"/>
                <w:szCs w:val="10"/>
                <w:color w:val="auto"/>
              </w:rPr>
              <w:t>6,717,120</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6,717,120</w:t>
            </w:r>
          </w:p>
        </w:tc>
        <w:tc>
          <w:tcPr>
            <w:tcW w:w="20" w:type="dxa"/>
            <w:vAlign w:val="bottom"/>
          </w:tcPr>
          <w:p>
            <w:pPr>
              <w:spacing w:after="0"/>
              <w:rPr>
                <w:sz w:val="9"/>
                <w:szCs w:val="9"/>
                <w:color w:val="auto"/>
              </w:rPr>
            </w:pPr>
          </w:p>
        </w:tc>
      </w:tr>
      <w:tr>
        <w:trPr>
          <w:trHeight w:val="109"/>
        </w:trPr>
        <w:tc>
          <w:tcPr>
            <w:tcW w:w="1120" w:type="dxa"/>
            <w:vAlign w:val="bottom"/>
          </w:tcPr>
          <w:p>
            <w:pPr>
              <w:spacing w:after="0" w:line="109" w:lineRule="exact"/>
              <w:rPr>
                <w:sz w:val="20"/>
                <w:szCs w:val="20"/>
                <w:color w:val="auto"/>
              </w:rPr>
            </w:pPr>
            <w:r>
              <w:rPr>
                <w:rFonts w:ascii="Arial" w:cs="Arial" w:eastAsia="Arial" w:hAnsi="Arial"/>
                <w:sz w:val="10"/>
                <w:szCs w:val="10"/>
                <w:color w:val="auto"/>
              </w:rPr>
              <w:t>Balance, December 31,</w:t>
            </w: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60" w:type="dxa"/>
            <w:vAlign w:val="bottom"/>
            <w:tcBorders>
              <w:top w:val="single" w:sz="8" w:color="auto"/>
            </w:tcBorders>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6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620" w:type="dxa"/>
            <w:vAlign w:val="bottom"/>
            <w:tcBorders>
              <w:top w:val="single" w:sz="8" w:color="auto"/>
            </w:tcBorders>
            <w:gridSpan w:val="4"/>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1120" w:type="dxa"/>
            <w:vAlign w:val="bottom"/>
          </w:tcPr>
          <w:p>
            <w:pPr>
              <w:ind w:left="180"/>
              <w:spacing w:after="0"/>
              <w:rPr>
                <w:sz w:val="20"/>
                <w:szCs w:val="20"/>
                <w:color w:val="auto"/>
              </w:rPr>
            </w:pPr>
            <w:r>
              <w:rPr>
                <w:rFonts w:ascii="Arial" w:cs="Arial" w:eastAsia="Arial" w:hAnsi="Arial"/>
                <w:sz w:val="10"/>
                <w:szCs w:val="10"/>
                <w:color w:val="auto"/>
              </w:rPr>
              <w:t>2011</w:t>
            </w: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26,874,792</w:t>
            </w:r>
          </w:p>
        </w:tc>
        <w:tc>
          <w:tcPr>
            <w:tcW w:w="80" w:type="dxa"/>
            <w:vAlign w:val="bottom"/>
          </w:tcPr>
          <w:p>
            <w:pPr>
              <w:spacing w:after="0"/>
              <w:rPr>
                <w:sz w:val="10"/>
                <w:szCs w:val="10"/>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0"/>
                <w:szCs w:val="10"/>
                <w:color w:val="auto"/>
              </w:rPr>
              <w:t>268,748</w:t>
            </w:r>
          </w:p>
        </w:tc>
        <w:tc>
          <w:tcPr>
            <w:tcW w:w="540" w:type="dxa"/>
            <w:vAlign w:val="bottom"/>
            <w:gridSpan w:val="5"/>
          </w:tcPr>
          <w:p>
            <w:pPr>
              <w:jc w:val="right"/>
              <w:ind w:right="80"/>
              <w:spacing w:after="0"/>
              <w:rPr>
                <w:sz w:val="20"/>
                <w:szCs w:val="20"/>
                <w:color w:val="auto"/>
              </w:rPr>
            </w:pPr>
            <w:r>
              <w:rPr>
                <w:rFonts w:ascii="Arial" w:cs="Arial" w:eastAsia="Arial" w:hAnsi="Arial"/>
                <w:sz w:val="10"/>
                <w:szCs w:val="10"/>
                <w:color w:val="auto"/>
                <w:w w:val="98"/>
              </w:rPr>
              <w:t>7,364,582</w:t>
            </w:r>
          </w:p>
        </w:tc>
        <w:tc>
          <w:tcPr>
            <w:tcW w:w="340" w:type="dxa"/>
            <w:vAlign w:val="bottom"/>
            <w:gridSpan w:val="4"/>
          </w:tcPr>
          <w:p>
            <w:pPr>
              <w:jc w:val="right"/>
              <w:spacing w:after="0"/>
              <w:rPr>
                <w:sz w:val="20"/>
                <w:szCs w:val="20"/>
                <w:color w:val="auto"/>
              </w:rPr>
            </w:pPr>
            <w:r>
              <w:rPr>
                <w:rFonts w:ascii="Arial" w:cs="Arial" w:eastAsia="Arial" w:hAnsi="Arial"/>
                <w:sz w:val="10"/>
                <w:szCs w:val="10"/>
                <w:color w:val="auto"/>
              </w:rPr>
              <w:t>73,646</w:t>
            </w:r>
          </w:p>
        </w:tc>
        <w:tc>
          <w:tcPr>
            <w:tcW w:w="80" w:type="dxa"/>
            <w:vAlign w:val="bottom"/>
          </w:tcPr>
          <w:p>
            <w:pPr>
              <w:spacing w:after="0"/>
              <w:rPr>
                <w:sz w:val="10"/>
                <w:szCs w:val="10"/>
                <w:color w:val="auto"/>
              </w:rPr>
            </w:pPr>
          </w:p>
        </w:tc>
        <w:tc>
          <w:tcPr>
            <w:tcW w:w="600" w:type="dxa"/>
            <w:vAlign w:val="bottom"/>
            <w:gridSpan w:val="5"/>
          </w:tcPr>
          <w:p>
            <w:pPr>
              <w:jc w:val="center"/>
              <w:ind w:right="60"/>
              <w:spacing w:after="0"/>
              <w:rPr>
                <w:sz w:val="20"/>
                <w:szCs w:val="20"/>
                <w:color w:val="auto"/>
              </w:rPr>
            </w:pPr>
            <w:r>
              <w:rPr>
                <w:rFonts w:ascii="Arial" w:cs="Arial" w:eastAsia="Arial" w:hAnsi="Arial"/>
                <w:sz w:val="10"/>
                <w:szCs w:val="10"/>
                <w:color w:val="auto"/>
                <w:w w:val="91"/>
              </w:rPr>
              <w:t>71,401,237</w:t>
            </w:r>
          </w:p>
        </w:tc>
        <w:tc>
          <w:tcPr>
            <w:tcW w:w="480" w:type="dxa"/>
            <w:vAlign w:val="bottom"/>
            <w:gridSpan w:val="5"/>
          </w:tcPr>
          <w:p>
            <w:pPr>
              <w:jc w:val="right"/>
              <w:ind w:right="80"/>
              <w:spacing w:after="0"/>
              <w:rPr>
                <w:sz w:val="20"/>
                <w:szCs w:val="20"/>
                <w:color w:val="auto"/>
              </w:rPr>
            </w:pPr>
            <w:r>
              <w:rPr>
                <w:rFonts w:ascii="Arial" w:cs="Arial" w:eastAsia="Arial" w:hAnsi="Arial"/>
                <w:sz w:val="10"/>
                <w:szCs w:val="10"/>
                <w:color w:val="auto"/>
                <w:w w:val="91"/>
              </w:rPr>
              <w:t>$714,012</w:t>
            </w:r>
          </w:p>
        </w:tc>
        <w:tc>
          <w:tcPr>
            <w:tcW w:w="540" w:type="dxa"/>
            <w:vAlign w:val="bottom"/>
            <w:gridSpan w:val="4"/>
          </w:tcPr>
          <w:p>
            <w:pPr>
              <w:jc w:val="right"/>
              <w:spacing w:after="0"/>
              <w:rPr>
                <w:sz w:val="20"/>
                <w:szCs w:val="20"/>
                <w:color w:val="auto"/>
              </w:rPr>
            </w:pPr>
            <w:r>
              <w:rPr>
                <w:rFonts w:ascii="Arial" w:cs="Arial" w:eastAsia="Arial" w:hAnsi="Arial"/>
                <w:sz w:val="10"/>
                <w:szCs w:val="10"/>
                <w:color w:val="auto"/>
                <w:w w:val="93"/>
              </w:rPr>
              <w:t>110,952,217</w:t>
            </w:r>
          </w:p>
        </w:tc>
        <w:tc>
          <w:tcPr>
            <w:tcW w:w="640" w:type="dxa"/>
            <w:vAlign w:val="bottom"/>
            <w:gridSpan w:val="6"/>
          </w:tcPr>
          <w:p>
            <w:pPr>
              <w:jc w:val="right"/>
              <w:ind w:right="80"/>
              <w:spacing w:after="0"/>
              <w:rPr>
                <w:sz w:val="20"/>
                <w:szCs w:val="20"/>
                <w:color w:val="auto"/>
              </w:rPr>
            </w:pPr>
            <w:r>
              <w:rPr>
                <w:rFonts w:ascii="Arial" w:cs="Arial" w:eastAsia="Arial" w:hAnsi="Arial"/>
                <w:sz w:val="10"/>
                <w:szCs w:val="10"/>
                <w:color w:val="auto"/>
              </w:rPr>
              <w:t>1,109,522</w:t>
            </w:r>
          </w:p>
        </w:tc>
        <w:tc>
          <w:tcPr>
            <w:tcW w:w="580" w:type="dxa"/>
            <w:vAlign w:val="bottom"/>
            <w:gridSpan w:val="5"/>
          </w:tcPr>
          <w:p>
            <w:pPr>
              <w:jc w:val="center"/>
              <w:ind w:right="40"/>
              <w:spacing w:after="0"/>
              <w:rPr>
                <w:sz w:val="20"/>
                <w:szCs w:val="20"/>
                <w:color w:val="auto"/>
              </w:rPr>
            </w:pPr>
            <w:r>
              <w:rPr>
                <w:rFonts w:ascii="Arial" w:cs="Arial" w:eastAsia="Arial" w:hAnsi="Arial"/>
                <w:sz w:val="10"/>
                <w:szCs w:val="10"/>
                <w:color w:val="auto"/>
                <w:w w:val="91"/>
              </w:rPr>
              <w:t>14,446,227</w:t>
            </w:r>
          </w:p>
        </w:tc>
        <w:tc>
          <w:tcPr>
            <w:tcW w:w="500" w:type="dxa"/>
            <w:vAlign w:val="bottom"/>
            <w:gridSpan w:val="5"/>
          </w:tcPr>
          <w:p>
            <w:pPr>
              <w:jc w:val="right"/>
              <w:ind w:right="100"/>
              <w:spacing w:after="0"/>
              <w:rPr>
                <w:sz w:val="20"/>
                <w:szCs w:val="20"/>
                <w:color w:val="auto"/>
              </w:rPr>
            </w:pPr>
            <w:r>
              <w:rPr>
                <w:rFonts w:ascii="Arial" w:cs="Arial" w:eastAsia="Arial" w:hAnsi="Arial"/>
                <w:sz w:val="10"/>
                <w:szCs w:val="10"/>
                <w:color w:val="auto"/>
              </w:rPr>
              <w:t>144,462</w:t>
            </w:r>
          </w:p>
        </w:tc>
        <w:tc>
          <w:tcPr>
            <w:tcW w:w="500" w:type="dxa"/>
            <w:vAlign w:val="bottom"/>
            <w:gridSpan w:val="4"/>
          </w:tcPr>
          <w:p>
            <w:pPr>
              <w:jc w:val="center"/>
              <w:spacing w:after="0"/>
              <w:rPr>
                <w:sz w:val="20"/>
                <w:szCs w:val="20"/>
                <w:color w:val="auto"/>
              </w:rPr>
            </w:pPr>
            <w:r>
              <w:rPr>
                <w:rFonts w:ascii="Arial" w:cs="Arial" w:eastAsia="Arial" w:hAnsi="Arial"/>
                <w:sz w:val="10"/>
                <w:szCs w:val="10"/>
                <w:color w:val="auto"/>
                <w:w w:val="95"/>
              </w:rPr>
              <w:t>63,681,176</w:t>
            </w:r>
          </w:p>
        </w:tc>
        <w:tc>
          <w:tcPr>
            <w:tcW w:w="480" w:type="dxa"/>
            <w:vAlign w:val="bottom"/>
            <w:gridSpan w:val="5"/>
          </w:tcPr>
          <w:p>
            <w:pPr>
              <w:jc w:val="right"/>
              <w:spacing w:after="0"/>
              <w:rPr>
                <w:sz w:val="20"/>
                <w:szCs w:val="20"/>
                <w:color w:val="auto"/>
              </w:rPr>
            </w:pPr>
            <w:r>
              <w:rPr>
                <w:rFonts w:ascii="Arial" w:cs="Arial" w:eastAsia="Arial" w:hAnsi="Arial"/>
                <w:sz w:val="10"/>
                <w:szCs w:val="10"/>
                <w:color w:val="auto"/>
              </w:rPr>
              <w:t>636,812</w:t>
            </w:r>
          </w:p>
        </w:tc>
        <w:tc>
          <w:tcPr>
            <w:tcW w:w="80" w:type="dxa"/>
            <w:vAlign w:val="bottom"/>
          </w:tcPr>
          <w:p>
            <w:pPr>
              <w:spacing w:after="0"/>
              <w:rPr>
                <w:sz w:val="10"/>
                <w:szCs w:val="10"/>
                <w:color w:val="auto"/>
              </w:rPr>
            </w:pP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19,694,392</w:t>
            </w:r>
          </w:p>
        </w:tc>
        <w:tc>
          <w:tcPr>
            <w:tcW w:w="480" w:type="dxa"/>
            <w:vAlign w:val="bottom"/>
            <w:gridSpan w:val="5"/>
          </w:tcPr>
          <w:p>
            <w:pPr>
              <w:jc w:val="right"/>
              <w:spacing w:after="0"/>
              <w:rPr>
                <w:sz w:val="20"/>
                <w:szCs w:val="20"/>
                <w:color w:val="auto"/>
              </w:rPr>
            </w:pPr>
            <w:r>
              <w:rPr>
                <w:rFonts w:ascii="Arial" w:cs="Arial" w:eastAsia="Arial" w:hAnsi="Arial"/>
                <w:sz w:val="10"/>
                <w:szCs w:val="10"/>
                <w:color w:val="auto"/>
              </w:rPr>
              <w:t>196,944</w:t>
            </w:r>
          </w:p>
        </w:tc>
        <w:tc>
          <w:tcPr>
            <w:tcW w:w="80" w:type="dxa"/>
            <w:vAlign w:val="bottom"/>
          </w:tcPr>
          <w:p>
            <w:pPr>
              <w:spacing w:after="0"/>
              <w:rPr>
                <w:sz w:val="10"/>
                <w:szCs w:val="10"/>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0"/>
                <w:szCs w:val="10"/>
                <w:color w:val="auto"/>
                <w:w w:val="99"/>
              </w:rPr>
              <w:t>270,000</w:t>
            </w:r>
          </w:p>
        </w:tc>
        <w:tc>
          <w:tcPr>
            <w:tcW w:w="440" w:type="dxa"/>
            <w:vAlign w:val="bottom"/>
            <w:gridSpan w:val="5"/>
          </w:tcPr>
          <w:p>
            <w:pPr>
              <w:jc w:val="right"/>
              <w:ind w:right="20"/>
              <w:spacing w:after="0"/>
              <w:rPr>
                <w:sz w:val="20"/>
                <w:szCs w:val="20"/>
                <w:color w:val="auto"/>
              </w:rPr>
            </w:pPr>
            <w:r>
              <w:rPr>
                <w:rFonts w:ascii="Arial" w:cs="Arial" w:eastAsia="Arial" w:hAnsi="Arial"/>
                <w:sz w:val="10"/>
                <w:szCs w:val="10"/>
                <w:color w:val="auto"/>
              </w:rPr>
              <w:t>(57,742)</w:t>
            </w:r>
          </w:p>
        </w:tc>
        <w:tc>
          <w:tcPr>
            <w:tcW w:w="600" w:type="dxa"/>
            <w:vAlign w:val="bottom"/>
            <w:gridSpan w:val="4"/>
          </w:tcPr>
          <w:p>
            <w:pPr>
              <w:jc w:val="right"/>
              <w:spacing w:after="0"/>
              <w:rPr>
                <w:sz w:val="20"/>
                <w:szCs w:val="20"/>
                <w:color w:val="auto"/>
              </w:rPr>
            </w:pPr>
            <w:r>
              <w:rPr>
                <w:rFonts w:ascii="Arial" w:cs="Arial" w:eastAsia="Arial" w:hAnsi="Arial"/>
                <w:sz w:val="10"/>
                <w:szCs w:val="10"/>
                <w:color w:val="auto"/>
              </w:rPr>
              <w:t>163,263,470</w:t>
            </w:r>
          </w:p>
        </w:tc>
        <w:tc>
          <w:tcPr>
            <w:tcW w:w="40" w:type="dxa"/>
            <w:vAlign w:val="bottom"/>
          </w:tcPr>
          <w:p>
            <w:pPr>
              <w:spacing w:after="0"/>
              <w:rPr>
                <w:sz w:val="10"/>
                <w:szCs w:val="10"/>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0"/>
                <w:szCs w:val="10"/>
                <w:color w:val="auto"/>
              </w:rPr>
              <w:t>(183,834,158)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w w:val="91"/>
              </w:rPr>
              <w:t>(17,484,284)</w:t>
            </w:r>
          </w:p>
        </w:tc>
        <w:tc>
          <w:tcPr>
            <w:tcW w:w="20" w:type="dxa"/>
            <w:vAlign w:val="bottom"/>
          </w:tcPr>
          <w:p>
            <w:pPr>
              <w:spacing w:after="0"/>
              <w:rPr>
                <w:sz w:val="10"/>
                <w:szCs w:val="10"/>
                <w:color w:val="auto"/>
              </w:rPr>
            </w:pPr>
          </w:p>
        </w:tc>
      </w:tr>
      <w:tr>
        <w:trPr>
          <w:trHeight w:val="108"/>
        </w:trPr>
        <w:tc>
          <w:tcPr>
            <w:tcW w:w="11520" w:type="dxa"/>
            <w:vAlign w:val="bottom"/>
            <w:tcBorders>
              <w:right w:val="single" w:sz="8" w:color="CCEEFF"/>
            </w:tcBorders>
            <w:gridSpan w:val="96"/>
            <w:shd w:val="clear" w:color="auto" w:fill="CCEEFF"/>
          </w:tcPr>
          <w:p>
            <w:pPr>
              <w:ind w:left="340"/>
              <w:spacing w:after="0" w:line="108" w:lineRule="exact"/>
              <w:rPr>
                <w:sz w:val="20"/>
                <w:szCs w:val="20"/>
                <w:color w:val="auto"/>
              </w:rPr>
            </w:pPr>
            <w:r>
              <w:rPr>
                <w:rFonts w:ascii="Arial" w:cs="Arial" w:eastAsia="Arial" w:hAnsi="Arial"/>
                <w:sz w:val="10"/>
                <w:szCs w:val="10"/>
                <w:color w:val="auto"/>
              </w:rPr>
              <w:t>Share-based</w:t>
            </w:r>
          </w:p>
        </w:tc>
        <w:tc>
          <w:tcPr>
            <w:tcW w:w="20" w:type="dxa"/>
            <w:vAlign w:val="bottom"/>
          </w:tcPr>
          <w:p>
            <w:pPr>
              <w:spacing w:after="0"/>
              <w:rPr>
                <w:sz w:val="9"/>
                <w:szCs w:val="9"/>
                <w:color w:val="auto"/>
              </w:rPr>
            </w:pPr>
          </w:p>
        </w:tc>
      </w:tr>
      <w:tr>
        <w:trPr>
          <w:trHeight w:val="122"/>
        </w:trPr>
        <w:tc>
          <w:tcPr>
            <w:tcW w:w="1340" w:type="dxa"/>
            <w:vAlign w:val="bottom"/>
            <w:gridSpan w:val="3"/>
            <w:shd w:val="clear" w:color="auto" w:fill="CCEEFF"/>
          </w:tcPr>
          <w:p>
            <w:pPr>
              <w:ind w:left="500"/>
              <w:spacing w:after="0"/>
              <w:rPr>
                <w:sz w:val="20"/>
                <w:szCs w:val="20"/>
                <w:color w:val="auto"/>
              </w:rPr>
            </w:pPr>
            <w:r>
              <w:rPr>
                <w:rFonts w:ascii="Arial" w:cs="Arial" w:eastAsia="Arial" w:hAnsi="Arial"/>
                <w:sz w:val="10"/>
                <w:szCs w:val="10"/>
                <w:color w:val="auto"/>
                <w:w w:val="96"/>
              </w:rPr>
              <w:t>compensation</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5"/>
            <w:shd w:val="clear" w:color="auto" w:fill="CCEEFF"/>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shd w:val="clear" w:color="auto" w:fill="CCEEFF"/>
          </w:tcPr>
          <w:p>
            <w:pPr>
              <w:jc w:val="right"/>
              <w:ind w:right="108"/>
              <w:spacing w:after="0"/>
              <w:rPr>
                <w:sz w:val="20"/>
                <w:szCs w:val="20"/>
                <w:color w:val="auto"/>
              </w:rPr>
            </w:pPr>
            <w:r>
              <w:rPr>
                <w:rFonts w:ascii="Arial" w:cs="Arial" w:eastAsia="Arial" w:hAnsi="Arial"/>
                <w:sz w:val="10"/>
                <w:szCs w:val="10"/>
                <w:color w:val="auto"/>
              </w:rPr>
              <w:t>838,395</w:t>
            </w:r>
          </w:p>
        </w:tc>
        <w:tc>
          <w:tcPr>
            <w:tcW w:w="700" w:type="dxa"/>
            <w:vAlign w:val="bottom"/>
            <w:gridSpan w:val="6"/>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838,395</w:t>
            </w:r>
          </w:p>
        </w:tc>
        <w:tc>
          <w:tcPr>
            <w:tcW w:w="20" w:type="dxa"/>
            <w:vAlign w:val="bottom"/>
          </w:tcPr>
          <w:p>
            <w:pPr>
              <w:spacing w:after="0"/>
              <w:rPr>
                <w:sz w:val="10"/>
                <w:szCs w:val="10"/>
                <w:color w:val="auto"/>
              </w:rPr>
            </w:pPr>
          </w:p>
        </w:tc>
      </w:tr>
      <w:tr>
        <w:trPr>
          <w:trHeight w:val="108"/>
        </w:trPr>
        <w:tc>
          <w:tcPr>
            <w:tcW w:w="11540" w:type="dxa"/>
            <w:vAlign w:val="bottom"/>
            <w:gridSpan w:val="97"/>
          </w:tcPr>
          <w:p>
            <w:pPr>
              <w:ind w:left="340"/>
              <w:spacing w:after="0" w:line="108" w:lineRule="exact"/>
              <w:rPr>
                <w:sz w:val="20"/>
                <w:szCs w:val="20"/>
                <w:color w:val="auto"/>
              </w:rPr>
            </w:pPr>
            <w:r>
              <w:rPr>
                <w:rFonts w:ascii="Arial" w:cs="Arial" w:eastAsia="Arial" w:hAnsi="Arial"/>
                <w:sz w:val="10"/>
                <w:szCs w:val="10"/>
                <w:color w:val="auto"/>
              </w:rPr>
              <w:t>Stock option</w:t>
            </w:r>
          </w:p>
        </w:tc>
      </w:tr>
      <w:tr>
        <w:trPr>
          <w:trHeight w:val="122"/>
        </w:trPr>
        <w:tc>
          <w:tcPr>
            <w:tcW w:w="1340" w:type="dxa"/>
            <w:vAlign w:val="bottom"/>
            <w:gridSpan w:val="3"/>
          </w:tcPr>
          <w:p>
            <w:pPr>
              <w:ind w:left="500"/>
              <w:spacing w:after="0"/>
              <w:rPr>
                <w:sz w:val="20"/>
                <w:szCs w:val="20"/>
                <w:color w:val="auto"/>
              </w:rPr>
            </w:pPr>
            <w:r>
              <w:rPr>
                <w:rFonts w:ascii="Arial" w:cs="Arial" w:eastAsia="Arial" w:hAnsi="Arial"/>
                <w:sz w:val="10"/>
                <w:szCs w:val="10"/>
                <w:color w:val="auto"/>
              </w:rPr>
              <w:t>exercises</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tcPr>
          <w:p>
            <w:pPr>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500" w:type="dxa"/>
            <w:vAlign w:val="bottom"/>
            <w:gridSpan w:val="4"/>
          </w:tcPr>
          <w:p>
            <w:pPr>
              <w:jc w:val="right"/>
              <w:spacing w:after="0"/>
              <w:rPr>
                <w:sz w:val="20"/>
                <w:szCs w:val="20"/>
                <w:color w:val="auto"/>
              </w:rPr>
            </w:pPr>
            <w:r>
              <w:rPr>
                <w:rFonts w:ascii="Arial" w:cs="Arial" w:eastAsia="Arial" w:hAnsi="Arial"/>
                <w:sz w:val="10"/>
                <w:szCs w:val="10"/>
                <w:color w:val="auto"/>
              </w:rPr>
              <w:t>936,514</w:t>
            </w:r>
          </w:p>
        </w:tc>
        <w:tc>
          <w:tcPr>
            <w:tcW w:w="700" w:type="dxa"/>
            <w:vAlign w:val="bottom"/>
            <w:gridSpan w:val="8"/>
          </w:tcPr>
          <w:p>
            <w:pPr>
              <w:jc w:val="right"/>
              <w:ind w:right="220"/>
              <w:spacing w:after="0"/>
              <w:rPr>
                <w:sz w:val="20"/>
                <w:szCs w:val="20"/>
                <w:color w:val="auto"/>
              </w:rPr>
            </w:pPr>
            <w:r>
              <w:rPr>
                <w:rFonts w:ascii="Arial" w:cs="Arial" w:eastAsia="Arial" w:hAnsi="Arial"/>
                <w:sz w:val="10"/>
                <w:szCs w:val="10"/>
                <w:color w:val="auto"/>
              </w:rPr>
              <w:t>9,365</w:t>
            </w:r>
          </w:p>
        </w:tc>
        <w:tc>
          <w:tcPr>
            <w:tcW w:w="36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tcPr>
          <w:p>
            <w:pPr>
              <w:jc w:val="right"/>
              <w:ind w:right="108"/>
              <w:spacing w:after="0"/>
              <w:rPr>
                <w:sz w:val="20"/>
                <w:szCs w:val="20"/>
                <w:color w:val="auto"/>
              </w:rPr>
            </w:pPr>
            <w:r>
              <w:rPr>
                <w:rFonts w:ascii="Arial" w:cs="Arial" w:eastAsia="Arial" w:hAnsi="Arial"/>
                <w:sz w:val="10"/>
                <w:szCs w:val="10"/>
                <w:color w:val="auto"/>
              </w:rPr>
              <w:t>37,461</w:t>
            </w:r>
          </w:p>
        </w:tc>
        <w:tc>
          <w:tcPr>
            <w:tcW w:w="700" w:type="dxa"/>
            <w:vAlign w:val="bottom"/>
            <w:gridSpan w:val="6"/>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color w:val="auto"/>
              </w:rPr>
              <w:t>46,826</w:t>
            </w:r>
          </w:p>
        </w:tc>
      </w:tr>
      <w:tr>
        <w:trPr>
          <w:trHeight w:val="115"/>
        </w:trPr>
        <w:tc>
          <w:tcPr>
            <w:tcW w:w="1340" w:type="dxa"/>
            <w:vAlign w:val="bottom"/>
            <w:gridSpan w:val="3"/>
            <w:shd w:val="clear" w:color="auto" w:fill="CCEEFF"/>
          </w:tcPr>
          <w:p>
            <w:pPr>
              <w:ind w:left="340"/>
              <w:spacing w:after="0"/>
              <w:rPr>
                <w:sz w:val="20"/>
                <w:szCs w:val="20"/>
                <w:color w:val="auto"/>
              </w:rPr>
            </w:pPr>
            <w:r>
              <w:rPr>
                <w:rFonts w:ascii="Arial" w:cs="Arial" w:eastAsia="Arial" w:hAnsi="Arial"/>
                <w:sz w:val="10"/>
                <w:szCs w:val="10"/>
                <w:color w:val="auto"/>
                <w:w w:val="97"/>
              </w:rPr>
              <w:t>Net income (loss)</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5"/>
            <w:shd w:val="clear" w:color="auto" w:fill="CCEEFF"/>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208"/>
              <w:spacing w:after="0"/>
              <w:rPr>
                <w:sz w:val="20"/>
                <w:szCs w:val="20"/>
                <w:color w:val="auto"/>
              </w:rPr>
            </w:pPr>
            <w:r>
              <w:rPr>
                <w:rFonts w:ascii="Arial" w:cs="Arial" w:eastAsia="Arial" w:hAnsi="Arial"/>
                <w:sz w:val="10"/>
                <w:szCs w:val="10"/>
                <w:color w:val="auto"/>
              </w:rPr>
              <w:t>—</w:t>
            </w:r>
          </w:p>
        </w:tc>
        <w:tc>
          <w:tcPr>
            <w:tcW w:w="500" w:type="dxa"/>
            <w:vAlign w:val="bottom"/>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8"/>
            <w:shd w:val="clear" w:color="auto" w:fill="CCEEFF"/>
          </w:tcPr>
          <w:p>
            <w:pPr>
              <w:jc w:val="right"/>
              <w:ind w:right="160"/>
              <w:spacing w:after="0"/>
              <w:rPr>
                <w:sz w:val="20"/>
                <w:szCs w:val="20"/>
                <w:color w:val="auto"/>
              </w:rPr>
            </w:pPr>
            <w:r>
              <w:rPr>
                <w:rFonts w:ascii="Arial" w:cs="Arial" w:eastAsia="Arial" w:hAnsi="Arial"/>
                <w:sz w:val="10"/>
                <w:szCs w:val="10"/>
                <w:color w:val="auto"/>
              </w:rPr>
              <w:t>8,361,755</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8,361,755</w:t>
            </w:r>
          </w:p>
        </w:tc>
        <w:tc>
          <w:tcPr>
            <w:tcW w:w="20" w:type="dxa"/>
            <w:vAlign w:val="bottom"/>
          </w:tcPr>
          <w:p>
            <w:pPr>
              <w:spacing w:after="0"/>
              <w:rPr>
                <w:sz w:val="9"/>
                <w:szCs w:val="9"/>
                <w:color w:val="auto"/>
              </w:rPr>
            </w:pPr>
          </w:p>
        </w:tc>
      </w:tr>
      <w:tr>
        <w:trPr>
          <w:trHeight w:val="109"/>
        </w:trPr>
        <w:tc>
          <w:tcPr>
            <w:tcW w:w="1120" w:type="dxa"/>
            <w:vAlign w:val="bottom"/>
          </w:tcPr>
          <w:p>
            <w:pPr>
              <w:spacing w:after="0" w:line="109" w:lineRule="exact"/>
              <w:rPr>
                <w:sz w:val="20"/>
                <w:szCs w:val="20"/>
                <w:color w:val="auto"/>
              </w:rPr>
            </w:pPr>
            <w:r>
              <w:rPr>
                <w:rFonts w:ascii="Arial" w:cs="Arial" w:eastAsia="Arial" w:hAnsi="Arial"/>
                <w:sz w:val="10"/>
                <w:szCs w:val="10"/>
                <w:color w:val="auto"/>
              </w:rPr>
              <w:t>Balance, December 31,</w:t>
            </w: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60" w:type="dxa"/>
            <w:vAlign w:val="bottom"/>
            <w:tcBorders>
              <w:top w:val="single" w:sz="8" w:color="auto"/>
            </w:tcBorders>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6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620" w:type="dxa"/>
            <w:vAlign w:val="bottom"/>
            <w:tcBorders>
              <w:top w:val="single" w:sz="8" w:color="auto"/>
            </w:tcBorders>
            <w:gridSpan w:val="4"/>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1120" w:type="dxa"/>
            <w:vAlign w:val="bottom"/>
          </w:tcPr>
          <w:p>
            <w:pPr>
              <w:ind w:left="180"/>
              <w:spacing w:after="0"/>
              <w:rPr>
                <w:sz w:val="20"/>
                <w:szCs w:val="20"/>
                <w:color w:val="auto"/>
              </w:rPr>
            </w:pPr>
            <w:r>
              <w:rPr>
                <w:rFonts w:ascii="Arial" w:cs="Arial" w:eastAsia="Arial" w:hAnsi="Arial"/>
                <w:sz w:val="10"/>
                <w:szCs w:val="10"/>
                <w:color w:val="auto"/>
              </w:rPr>
              <w:t>2012</w:t>
            </w: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26,874,792</w:t>
            </w:r>
          </w:p>
        </w:tc>
        <w:tc>
          <w:tcPr>
            <w:tcW w:w="80" w:type="dxa"/>
            <w:vAlign w:val="bottom"/>
          </w:tcPr>
          <w:p>
            <w:pPr>
              <w:spacing w:after="0"/>
              <w:rPr>
                <w:sz w:val="10"/>
                <w:szCs w:val="10"/>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268,748</w:t>
            </w:r>
          </w:p>
        </w:tc>
        <w:tc>
          <w:tcPr>
            <w:tcW w:w="540" w:type="dxa"/>
            <w:vAlign w:val="bottom"/>
            <w:gridSpan w:val="5"/>
          </w:tcPr>
          <w:p>
            <w:pPr>
              <w:jc w:val="right"/>
              <w:ind w:right="80"/>
              <w:spacing w:after="0"/>
              <w:rPr>
                <w:sz w:val="20"/>
                <w:szCs w:val="20"/>
                <w:color w:val="auto"/>
              </w:rPr>
            </w:pPr>
            <w:r>
              <w:rPr>
                <w:rFonts w:ascii="Arial" w:cs="Arial" w:eastAsia="Arial" w:hAnsi="Arial"/>
                <w:sz w:val="10"/>
                <w:szCs w:val="10"/>
                <w:color w:val="auto"/>
                <w:w w:val="98"/>
              </w:rPr>
              <w:t>7,364,582</w:t>
            </w:r>
          </w:p>
        </w:tc>
        <w:tc>
          <w:tcPr>
            <w:tcW w:w="340" w:type="dxa"/>
            <w:vAlign w:val="bottom"/>
            <w:gridSpan w:val="4"/>
          </w:tcPr>
          <w:p>
            <w:pPr>
              <w:jc w:val="right"/>
              <w:spacing w:after="0"/>
              <w:rPr>
                <w:sz w:val="20"/>
                <w:szCs w:val="20"/>
                <w:color w:val="auto"/>
              </w:rPr>
            </w:pPr>
            <w:r>
              <w:rPr>
                <w:rFonts w:ascii="Arial" w:cs="Arial" w:eastAsia="Arial" w:hAnsi="Arial"/>
                <w:sz w:val="10"/>
                <w:szCs w:val="10"/>
                <w:u w:val="single" w:color="auto"/>
                <w:color w:val="auto"/>
                <w:w w:val="88"/>
              </w:rPr>
              <w:t>$</w:t>
            </w:r>
            <w:r>
              <w:rPr>
                <w:rFonts w:ascii="Arial" w:cs="Arial" w:eastAsia="Arial" w:hAnsi="Arial"/>
                <w:sz w:val="10"/>
                <w:szCs w:val="10"/>
                <w:color w:val="auto"/>
                <w:w w:val="88"/>
              </w:rPr>
              <w:t>73,646</w:t>
            </w:r>
          </w:p>
        </w:tc>
        <w:tc>
          <w:tcPr>
            <w:tcW w:w="80" w:type="dxa"/>
            <w:vAlign w:val="bottom"/>
          </w:tcPr>
          <w:p>
            <w:pPr>
              <w:spacing w:after="0"/>
              <w:rPr>
                <w:sz w:val="10"/>
                <w:szCs w:val="10"/>
                <w:color w:val="auto"/>
              </w:rPr>
            </w:pPr>
          </w:p>
        </w:tc>
        <w:tc>
          <w:tcPr>
            <w:tcW w:w="600" w:type="dxa"/>
            <w:vAlign w:val="bottom"/>
            <w:gridSpan w:val="5"/>
          </w:tcPr>
          <w:p>
            <w:pPr>
              <w:jc w:val="center"/>
              <w:ind w:right="60"/>
              <w:spacing w:after="0"/>
              <w:rPr>
                <w:sz w:val="20"/>
                <w:szCs w:val="20"/>
                <w:color w:val="auto"/>
              </w:rPr>
            </w:pPr>
            <w:r>
              <w:rPr>
                <w:rFonts w:ascii="Arial" w:cs="Arial" w:eastAsia="Arial" w:hAnsi="Arial"/>
                <w:sz w:val="10"/>
                <w:szCs w:val="10"/>
                <w:color w:val="auto"/>
                <w:w w:val="91"/>
              </w:rPr>
              <w:t>71,401,237</w:t>
            </w:r>
          </w:p>
        </w:tc>
        <w:tc>
          <w:tcPr>
            <w:tcW w:w="480" w:type="dxa"/>
            <w:vAlign w:val="bottom"/>
            <w:gridSpan w:val="5"/>
          </w:tcPr>
          <w:p>
            <w:pPr>
              <w:jc w:val="right"/>
              <w:ind w:right="8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714,012</w:t>
            </w:r>
          </w:p>
        </w:tc>
        <w:tc>
          <w:tcPr>
            <w:tcW w:w="540" w:type="dxa"/>
            <w:vAlign w:val="bottom"/>
            <w:gridSpan w:val="4"/>
          </w:tcPr>
          <w:p>
            <w:pPr>
              <w:jc w:val="right"/>
              <w:spacing w:after="0"/>
              <w:rPr>
                <w:sz w:val="20"/>
                <w:szCs w:val="20"/>
                <w:color w:val="auto"/>
              </w:rPr>
            </w:pPr>
            <w:r>
              <w:rPr>
                <w:rFonts w:ascii="Arial" w:cs="Arial" w:eastAsia="Arial" w:hAnsi="Arial"/>
                <w:sz w:val="10"/>
                <w:szCs w:val="10"/>
                <w:color w:val="auto"/>
                <w:w w:val="93"/>
              </w:rPr>
              <w:t>110,952,217</w:t>
            </w:r>
          </w:p>
        </w:tc>
        <w:tc>
          <w:tcPr>
            <w:tcW w:w="640" w:type="dxa"/>
            <w:vAlign w:val="bottom"/>
            <w:gridSpan w:val="6"/>
          </w:tcPr>
          <w:p>
            <w:pPr>
              <w:jc w:val="right"/>
              <w:ind w:right="80"/>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1,109,522</w:t>
            </w:r>
          </w:p>
        </w:tc>
        <w:tc>
          <w:tcPr>
            <w:tcW w:w="580" w:type="dxa"/>
            <w:vAlign w:val="bottom"/>
            <w:gridSpan w:val="5"/>
          </w:tcPr>
          <w:p>
            <w:pPr>
              <w:jc w:val="center"/>
              <w:ind w:right="40"/>
              <w:spacing w:after="0"/>
              <w:rPr>
                <w:sz w:val="20"/>
                <w:szCs w:val="20"/>
                <w:color w:val="auto"/>
              </w:rPr>
            </w:pPr>
            <w:r>
              <w:rPr>
                <w:rFonts w:ascii="Arial" w:cs="Arial" w:eastAsia="Arial" w:hAnsi="Arial"/>
                <w:sz w:val="10"/>
                <w:szCs w:val="10"/>
                <w:color w:val="auto"/>
                <w:w w:val="91"/>
              </w:rPr>
              <w:t>14,446,227</w:t>
            </w:r>
          </w:p>
        </w:tc>
        <w:tc>
          <w:tcPr>
            <w:tcW w:w="500" w:type="dxa"/>
            <w:vAlign w:val="bottom"/>
            <w:gridSpan w:val="5"/>
          </w:tcPr>
          <w:p>
            <w:pPr>
              <w:jc w:val="right"/>
              <w:ind w:right="10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144,462</w:t>
            </w:r>
          </w:p>
        </w:tc>
        <w:tc>
          <w:tcPr>
            <w:tcW w:w="500" w:type="dxa"/>
            <w:vAlign w:val="bottom"/>
            <w:gridSpan w:val="4"/>
          </w:tcPr>
          <w:p>
            <w:pPr>
              <w:jc w:val="center"/>
              <w:spacing w:after="0"/>
              <w:rPr>
                <w:sz w:val="20"/>
                <w:szCs w:val="20"/>
                <w:color w:val="auto"/>
              </w:rPr>
            </w:pPr>
            <w:r>
              <w:rPr>
                <w:rFonts w:ascii="Arial" w:cs="Arial" w:eastAsia="Arial" w:hAnsi="Arial"/>
                <w:sz w:val="10"/>
                <w:szCs w:val="10"/>
                <w:color w:val="auto"/>
                <w:w w:val="95"/>
              </w:rPr>
              <w:t>63,681,176</w:t>
            </w:r>
          </w:p>
        </w:tc>
        <w:tc>
          <w:tcPr>
            <w:tcW w:w="480" w:type="dxa"/>
            <w:vAlign w:val="bottom"/>
            <w:gridSpan w:val="5"/>
          </w:tcPr>
          <w:p>
            <w:pPr>
              <w:jc w:val="right"/>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636,812</w:t>
            </w:r>
          </w:p>
        </w:tc>
        <w:tc>
          <w:tcPr>
            <w:tcW w:w="80" w:type="dxa"/>
            <w:vAlign w:val="bottom"/>
          </w:tcPr>
          <w:p>
            <w:pPr>
              <w:spacing w:after="0"/>
              <w:rPr>
                <w:sz w:val="10"/>
                <w:szCs w:val="10"/>
                <w:color w:val="auto"/>
              </w:rPr>
            </w:pP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20,630,906</w:t>
            </w:r>
          </w:p>
        </w:tc>
        <w:tc>
          <w:tcPr>
            <w:tcW w:w="480" w:type="dxa"/>
            <w:vAlign w:val="bottom"/>
            <w:gridSpan w:val="5"/>
          </w:tcPr>
          <w:p>
            <w:pPr>
              <w:jc w:val="right"/>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206,309</w:t>
            </w:r>
          </w:p>
        </w:tc>
        <w:tc>
          <w:tcPr>
            <w:tcW w:w="80" w:type="dxa"/>
            <w:vAlign w:val="bottom"/>
          </w:tcPr>
          <w:p>
            <w:pPr>
              <w:spacing w:after="0"/>
              <w:rPr>
                <w:sz w:val="10"/>
                <w:szCs w:val="10"/>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0"/>
                <w:szCs w:val="10"/>
                <w:color w:val="auto"/>
                <w:w w:val="99"/>
              </w:rPr>
              <w:t>270,000</w:t>
            </w:r>
          </w:p>
        </w:tc>
        <w:tc>
          <w:tcPr>
            <w:tcW w:w="440" w:type="dxa"/>
            <w:vAlign w:val="bottom"/>
            <w:gridSpan w:val="5"/>
          </w:tcPr>
          <w:p>
            <w:pPr>
              <w:jc w:val="right"/>
              <w:ind w:right="20"/>
              <w:spacing w:after="0"/>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(57,742)</w:t>
            </w:r>
          </w:p>
        </w:tc>
        <w:tc>
          <w:tcPr>
            <w:tcW w:w="600" w:type="dxa"/>
            <w:vAlign w:val="bottom"/>
            <w:gridSpan w:val="4"/>
          </w:tcPr>
          <w:p>
            <w:pPr>
              <w:jc w:val="right"/>
              <w:spacing w:after="0"/>
              <w:rPr>
                <w:sz w:val="20"/>
                <w:szCs w:val="20"/>
                <w:color w:val="auto"/>
              </w:rPr>
            </w:pPr>
            <w:r>
              <w:rPr>
                <w:rFonts w:ascii="Arial" w:cs="Arial" w:eastAsia="Arial" w:hAnsi="Arial"/>
                <w:sz w:val="10"/>
                <w:szCs w:val="10"/>
                <w:u w:val="single" w:color="auto"/>
                <w:color w:val="auto"/>
                <w:w w:val="94"/>
              </w:rPr>
              <w:t>$</w:t>
            </w:r>
            <w:r>
              <w:rPr>
                <w:rFonts w:ascii="Arial" w:cs="Arial" w:eastAsia="Arial" w:hAnsi="Arial"/>
                <w:sz w:val="10"/>
                <w:szCs w:val="10"/>
                <w:color w:val="auto"/>
                <w:w w:val="94"/>
              </w:rPr>
              <w:t>164,139,326</w:t>
            </w:r>
          </w:p>
        </w:tc>
        <w:tc>
          <w:tcPr>
            <w:tcW w:w="40" w:type="dxa"/>
            <w:vAlign w:val="bottom"/>
          </w:tcPr>
          <w:p>
            <w:pPr>
              <w:spacing w:after="0"/>
              <w:rPr>
                <w:sz w:val="10"/>
                <w:szCs w:val="10"/>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(175,472,403)</w:t>
            </w:r>
          </w:p>
        </w:tc>
        <w:tc>
          <w:tcPr>
            <w:tcW w:w="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(8,237,308)</w:t>
            </w: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
        </w:trPr>
        <w:tc>
          <w:tcPr>
            <w:tcW w:w="11520" w:type="dxa"/>
            <w:vAlign w:val="bottom"/>
            <w:tcBorders>
              <w:right w:val="single" w:sz="8" w:color="CCEEFF"/>
            </w:tcBorders>
            <w:gridSpan w:val="96"/>
            <w:shd w:val="clear" w:color="auto" w:fill="CCEEFF"/>
          </w:tcPr>
          <w:p>
            <w:pPr>
              <w:ind w:left="340"/>
              <w:spacing w:after="0" w:line="90" w:lineRule="exact"/>
              <w:rPr>
                <w:sz w:val="20"/>
                <w:szCs w:val="20"/>
                <w:color w:val="auto"/>
              </w:rPr>
            </w:pPr>
            <w:r>
              <w:rPr>
                <w:rFonts w:ascii="Arial" w:cs="Arial" w:eastAsia="Arial" w:hAnsi="Arial"/>
                <w:sz w:val="10"/>
                <w:szCs w:val="10"/>
                <w:color w:val="auto"/>
              </w:rPr>
              <w:t>Share-based</w:t>
            </w:r>
          </w:p>
        </w:tc>
        <w:tc>
          <w:tcPr>
            <w:tcW w:w="20" w:type="dxa"/>
            <w:vAlign w:val="bottom"/>
          </w:tcPr>
          <w:p>
            <w:pPr>
              <w:spacing w:after="0"/>
              <w:rPr>
                <w:sz w:val="7"/>
                <w:szCs w:val="7"/>
                <w:color w:val="auto"/>
              </w:rPr>
            </w:pPr>
          </w:p>
        </w:tc>
      </w:tr>
      <w:tr>
        <w:trPr>
          <w:trHeight w:val="115"/>
        </w:trPr>
        <w:tc>
          <w:tcPr>
            <w:tcW w:w="11520" w:type="dxa"/>
            <w:vAlign w:val="bottom"/>
            <w:tcBorders>
              <w:right w:val="single" w:sz="8" w:color="CCEEFF"/>
            </w:tcBorders>
            <w:gridSpan w:val="96"/>
            <w:shd w:val="clear" w:color="auto" w:fill="CCEEFF"/>
          </w:tcPr>
          <w:p>
            <w:pPr>
              <w:ind w:left="500"/>
              <w:spacing w:after="0"/>
              <w:rPr>
                <w:sz w:val="20"/>
                <w:szCs w:val="20"/>
                <w:color w:val="auto"/>
              </w:rPr>
            </w:pPr>
            <w:r>
              <w:rPr>
                <w:rFonts w:ascii="Arial" w:cs="Arial" w:eastAsia="Arial" w:hAnsi="Arial"/>
                <w:sz w:val="10"/>
                <w:szCs w:val="10"/>
                <w:color w:val="auto"/>
                <w:w w:val="96"/>
              </w:rPr>
              <w:t>compensation</w:t>
            </w:r>
          </w:p>
        </w:tc>
        <w:tc>
          <w:tcPr>
            <w:tcW w:w="20" w:type="dxa"/>
            <w:vAlign w:val="bottom"/>
          </w:tcPr>
          <w:p>
            <w:pPr>
              <w:spacing w:after="0"/>
              <w:rPr>
                <w:sz w:val="9"/>
                <w:szCs w:val="9"/>
                <w:color w:val="auto"/>
              </w:rPr>
            </w:pPr>
          </w:p>
        </w:tc>
      </w:tr>
      <w:tr>
        <w:trPr>
          <w:trHeight w:val="122"/>
        </w:trPr>
        <w:tc>
          <w:tcPr>
            <w:tcW w:w="1340" w:type="dxa"/>
            <w:vAlign w:val="bottom"/>
            <w:gridSpan w:val="3"/>
            <w:shd w:val="clear" w:color="auto" w:fill="CCEEFF"/>
          </w:tcPr>
          <w:p>
            <w:pPr>
              <w:ind w:left="500"/>
              <w:spacing w:after="0"/>
              <w:rPr>
                <w:sz w:val="20"/>
                <w:szCs w:val="20"/>
                <w:color w:val="auto"/>
              </w:rPr>
            </w:pPr>
            <w:r>
              <w:rPr>
                <w:rFonts w:ascii="Arial" w:cs="Arial" w:eastAsia="Arial" w:hAnsi="Arial"/>
                <w:sz w:val="10"/>
                <w:szCs w:val="10"/>
                <w:color w:val="auto"/>
              </w:rPr>
              <w:t>(unaudited)</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5"/>
            <w:shd w:val="clear" w:color="auto" w:fill="CCEEFF"/>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shd w:val="clear" w:color="auto" w:fill="CCEEFF"/>
          </w:tcPr>
          <w:p>
            <w:pPr>
              <w:jc w:val="right"/>
              <w:ind w:right="108"/>
              <w:spacing w:after="0"/>
              <w:rPr>
                <w:sz w:val="20"/>
                <w:szCs w:val="20"/>
                <w:color w:val="auto"/>
              </w:rPr>
            </w:pPr>
            <w:r>
              <w:rPr>
                <w:rFonts w:ascii="Arial" w:cs="Arial" w:eastAsia="Arial" w:hAnsi="Arial"/>
                <w:sz w:val="10"/>
                <w:szCs w:val="10"/>
                <w:color w:val="auto"/>
              </w:rPr>
              <w:t>257,625</w:t>
            </w:r>
          </w:p>
        </w:tc>
        <w:tc>
          <w:tcPr>
            <w:tcW w:w="700" w:type="dxa"/>
            <w:vAlign w:val="bottom"/>
            <w:gridSpan w:val="6"/>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257,625</w:t>
            </w:r>
          </w:p>
        </w:tc>
        <w:tc>
          <w:tcPr>
            <w:tcW w:w="20" w:type="dxa"/>
            <w:vAlign w:val="bottom"/>
          </w:tcPr>
          <w:p>
            <w:pPr>
              <w:spacing w:after="0"/>
              <w:rPr>
                <w:sz w:val="10"/>
                <w:szCs w:val="10"/>
                <w:color w:val="auto"/>
              </w:rPr>
            </w:pPr>
          </w:p>
        </w:tc>
      </w:tr>
      <w:tr>
        <w:trPr>
          <w:trHeight w:val="108"/>
        </w:trPr>
        <w:tc>
          <w:tcPr>
            <w:tcW w:w="11540" w:type="dxa"/>
            <w:vAlign w:val="bottom"/>
            <w:gridSpan w:val="97"/>
          </w:tcPr>
          <w:p>
            <w:pPr>
              <w:ind w:left="340"/>
              <w:spacing w:after="0" w:line="108" w:lineRule="exact"/>
              <w:rPr>
                <w:sz w:val="20"/>
                <w:szCs w:val="20"/>
                <w:color w:val="auto"/>
              </w:rPr>
            </w:pPr>
            <w:r>
              <w:rPr>
                <w:rFonts w:ascii="Arial" w:cs="Arial" w:eastAsia="Arial" w:hAnsi="Arial"/>
                <w:sz w:val="10"/>
                <w:szCs w:val="10"/>
                <w:color w:val="auto"/>
              </w:rPr>
              <w:t>Stock option</w:t>
            </w:r>
          </w:p>
        </w:tc>
      </w:tr>
      <w:tr>
        <w:trPr>
          <w:trHeight w:val="115"/>
        </w:trPr>
        <w:tc>
          <w:tcPr>
            <w:tcW w:w="11540" w:type="dxa"/>
            <w:vAlign w:val="bottom"/>
            <w:gridSpan w:val="97"/>
          </w:tcPr>
          <w:p>
            <w:pPr>
              <w:ind w:left="500"/>
              <w:spacing w:after="0"/>
              <w:rPr>
                <w:sz w:val="20"/>
                <w:szCs w:val="20"/>
                <w:color w:val="auto"/>
              </w:rPr>
            </w:pPr>
            <w:r>
              <w:rPr>
                <w:rFonts w:ascii="Arial" w:cs="Arial" w:eastAsia="Arial" w:hAnsi="Arial"/>
                <w:sz w:val="10"/>
                <w:szCs w:val="10"/>
                <w:color w:val="auto"/>
              </w:rPr>
              <w:t>exercises</w:t>
            </w:r>
          </w:p>
        </w:tc>
      </w:tr>
      <w:tr>
        <w:trPr>
          <w:trHeight w:val="122"/>
        </w:trPr>
        <w:tc>
          <w:tcPr>
            <w:tcW w:w="1340" w:type="dxa"/>
            <w:vAlign w:val="bottom"/>
            <w:gridSpan w:val="3"/>
          </w:tcPr>
          <w:p>
            <w:pPr>
              <w:ind w:left="500"/>
              <w:spacing w:after="0"/>
              <w:rPr>
                <w:sz w:val="20"/>
                <w:szCs w:val="20"/>
                <w:color w:val="auto"/>
              </w:rPr>
            </w:pPr>
            <w:r>
              <w:rPr>
                <w:rFonts w:ascii="Arial" w:cs="Arial" w:eastAsia="Arial" w:hAnsi="Arial"/>
                <w:sz w:val="10"/>
                <w:szCs w:val="10"/>
                <w:color w:val="auto"/>
              </w:rPr>
              <w:t>(unaudited)</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tcPr>
          <w:p>
            <w:pPr>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tcPr>
          <w:p>
            <w:pPr>
              <w:ind w:left="140"/>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16,205,193</w:t>
            </w:r>
          </w:p>
        </w:tc>
        <w:tc>
          <w:tcPr>
            <w:tcW w:w="700" w:type="dxa"/>
            <w:vAlign w:val="bottom"/>
            <w:gridSpan w:val="8"/>
          </w:tcPr>
          <w:p>
            <w:pPr>
              <w:jc w:val="right"/>
              <w:ind w:right="220"/>
              <w:spacing w:after="0"/>
              <w:rPr>
                <w:sz w:val="20"/>
                <w:szCs w:val="20"/>
                <w:color w:val="auto"/>
              </w:rPr>
            </w:pPr>
            <w:r>
              <w:rPr>
                <w:rFonts w:ascii="Arial" w:cs="Arial" w:eastAsia="Arial" w:hAnsi="Arial"/>
                <w:sz w:val="10"/>
                <w:szCs w:val="10"/>
                <w:color w:val="auto"/>
              </w:rPr>
              <w:t>162,052</w:t>
            </w:r>
          </w:p>
        </w:tc>
        <w:tc>
          <w:tcPr>
            <w:tcW w:w="36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4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7"/>
          </w:tcPr>
          <w:p>
            <w:pPr>
              <w:jc w:val="right"/>
              <w:ind w:right="108"/>
              <w:spacing w:after="0"/>
              <w:rPr>
                <w:sz w:val="20"/>
                <w:szCs w:val="20"/>
                <w:color w:val="auto"/>
              </w:rPr>
            </w:pPr>
            <w:r>
              <w:rPr>
                <w:rFonts w:ascii="Arial" w:cs="Arial" w:eastAsia="Arial" w:hAnsi="Arial"/>
                <w:sz w:val="10"/>
                <w:szCs w:val="10"/>
                <w:color w:val="auto"/>
              </w:rPr>
              <w:t>547,189</w:t>
            </w:r>
          </w:p>
        </w:tc>
        <w:tc>
          <w:tcPr>
            <w:tcW w:w="700" w:type="dxa"/>
            <w:vAlign w:val="bottom"/>
            <w:gridSpan w:val="6"/>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0"/>
                <w:szCs w:val="10"/>
                <w:color w:val="auto"/>
              </w:rPr>
              <w:t>709,241</w:t>
            </w:r>
          </w:p>
        </w:tc>
      </w:tr>
      <w:tr>
        <w:trPr>
          <w:trHeight w:val="108"/>
        </w:trPr>
        <w:tc>
          <w:tcPr>
            <w:tcW w:w="11520" w:type="dxa"/>
            <w:vAlign w:val="bottom"/>
            <w:tcBorders>
              <w:right w:val="single" w:sz="8" w:color="CCEEFF"/>
            </w:tcBorders>
            <w:gridSpan w:val="96"/>
            <w:shd w:val="clear" w:color="auto" w:fill="CCEEFF"/>
          </w:tcPr>
          <w:p>
            <w:pPr>
              <w:ind w:left="340"/>
              <w:spacing w:after="0" w:line="108" w:lineRule="exact"/>
              <w:rPr>
                <w:sz w:val="20"/>
                <w:szCs w:val="20"/>
                <w:color w:val="auto"/>
              </w:rPr>
            </w:pPr>
            <w:r>
              <w:rPr>
                <w:rFonts w:ascii="Arial" w:cs="Arial" w:eastAsia="Arial" w:hAnsi="Arial"/>
                <w:sz w:val="10"/>
                <w:szCs w:val="10"/>
                <w:color w:val="auto"/>
                <w:w w:val="97"/>
              </w:rPr>
              <w:t>Net income (loss)</w:t>
            </w:r>
          </w:p>
        </w:tc>
        <w:tc>
          <w:tcPr>
            <w:tcW w:w="20" w:type="dxa"/>
            <w:vAlign w:val="bottom"/>
          </w:tcPr>
          <w:p>
            <w:pPr>
              <w:spacing w:after="0"/>
              <w:rPr>
                <w:sz w:val="9"/>
                <w:szCs w:val="9"/>
                <w:color w:val="auto"/>
              </w:rPr>
            </w:pPr>
          </w:p>
        </w:tc>
      </w:tr>
      <w:tr>
        <w:trPr>
          <w:trHeight w:val="122"/>
        </w:trPr>
        <w:tc>
          <w:tcPr>
            <w:tcW w:w="1340" w:type="dxa"/>
            <w:vAlign w:val="bottom"/>
            <w:gridSpan w:val="3"/>
            <w:shd w:val="clear" w:color="auto" w:fill="CCEEFF"/>
          </w:tcPr>
          <w:p>
            <w:pPr>
              <w:ind w:left="500"/>
              <w:spacing w:after="0"/>
              <w:rPr>
                <w:sz w:val="20"/>
                <w:szCs w:val="20"/>
                <w:color w:val="auto"/>
              </w:rPr>
            </w:pPr>
            <w:r>
              <w:rPr>
                <w:rFonts w:ascii="Arial" w:cs="Arial" w:eastAsia="Arial" w:hAnsi="Arial"/>
                <w:sz w:val="10"/>
                <w:szCs w:val="10"/>
                <w:color w:val="auto"/>
              </w:rPr>
              <w:t>(unaudited)</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80" w:type="dxa"/>
            <w:vAlign w:val="bottom"/>
            <w:gridSpan w:val="5"/>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40" w:type="dxa"/>
            <w:vAlign w:val="bottom"/>
            <w:gridSpan w:val="5"/>
            <w:shd w:val="clear" w:color="auto" w:fill="CCEEFF"/>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208"/>
              <w:spacing w:after="0"/>
              <w:rPr>
                <w:sz w:val="20"/>
                <w:szCs w:val="20"/>
                <w:color w:val="auto"/>
              </w:rPr>
            </w:pPr>
            <w:r>
              <w:rPr>
                <w:rFonts w:ascii="Arial" w:cs="Arial" w:eastAsia="Arial" w:hAnsi="Arial"/>
                <w:sz w:val="10"/>
                <w:szCs w:val="10"/>
                <w:color w:val="auto"/>
              </w:rPr>
              <w:t>—</w:t>
            </w:r>
          </w:p>
        </w:tc>
        <w:tc>
          <w:tcPr>
            <w:tcW w:w="500" w:type="dxa"/>
            <w:vAlign w:val="bottom"/>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8"/>
            <w:shd w:val="clear" w:color="auto" w:fill="CCEEFF"/>
          </w:tcPr>
          <w:p>
            <w:pPr>
              <w:jc w:val="right"/>
              <w:ind w:right="120"/>
              <w:spacing w:after="0"/>
              <w:rPr>
                <w:sz w:val="20"/>
                <w:szCs w:val="20"/>
                <w:color w:val="auto"/>
              </w:rPr>
            </w:pPr>
            <w:r>
              <w:rPr>
                <w:rFonts w:ascii="Arial" w:cs="Arial" w:eastAsia="Arial" w:hAnsi="Arial"/>
                <w:sz w:val="10"/>
                <w:szCs w:val="10"/>
                <w:color w:val="auto"/>
              </w:rPr>
              <w:t>(3,659,834)</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(3,659,834)</w:t>
            </w:r>
          </w:p>
        </w:tc>
        <w:tc>
          <w:tcPr>
            <w:tcW w:w="20" w:type="dxa"/>
            <w:vAlign w:val="bottom"/>
          </w:tcPr>
          <w:p>
            <w:pPr>
              <w:spacing w:after="0"/>
              <w:rPr>
                <w:sz w:val="10"/>
                <w:szCs w:val="10"/>
                <w:color w:val="auto"/>
              </w:rPr>
            </w:pPr>
          </w:p>
        </w:tc>
      </w:tr>
      <w:tr>
        <w:trPr>
          <w:trHeight w:val="109"/>
        </w:trPr>
        <w:tc>
          <w:tcPr>
            <w:tcW w:w="1120" w:type="dxa"/>
            <w:vAlign w:val="bottom"/>
          </w:tcPr>
          <w:p>
            <w:pPr>
              <w:spacing w:after="0" w:line="109" w:lineRule="exact"/>
              <w:rPr>
                <w:sz w:val="20"/>
                <w:szCs w:val="20"/>
                <w:color w:val="auto"/>
              </w:rPr>
            </w:pPr>
            <w:r>
              <w:rPr>
                <w:rFonts w:ascii="Arial" w:cs="Arial" w:eastAsia="Arial" w:hAnsi="Arial"/>
                <w:sz w:val="10"/>
                <w:szCs w:val="10"/>
                <w:color w:val="auto"/>
              </w:rPr>
              <w:t>Balance, June 30, 2013</w:t>
            </w: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560" w:type="dxa"/>
            <w:vAlign w:val="bottom"/>
            <w:tcBorders>
              <w:top w:val="single" w:sz="8" w:color="auto"/>
            </w:tcBorders>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62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620" w:type="dxa"/>
            <w:vAlign w:val="bottom"/>
            <w:tcBorders>
              <w:top w:val="single" w:sz="8" w:color="auto"/>
            </w:tcBorders>
            <w:gridSpan w:val="4"/>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1120" w:type="dxa"/>
            <w:vAlign w:val="bottom"/>
          </w:tcPr>
          <w:p>
            <w:pPr>
              <w:ind w:left="180"/>
              <w:spacing w:after="0"/>
              <w:rPr>
                <w:sz w:val="20"/>
                <w:szCs w:val="20"/>
                <w:color w:val="auto"/>
              </w:rPr>
            </w:pPr>
            <w:r>
              <w:rPr>
                <w:rFonts w:ascii="Arial" w:cs="Arial" w:eastAsia="Arial" w:hAnsi="Arial"/>
                <w:sz w:val="10"/>
                <w:szCs w:val="10"/>
                <w:color w:val="auto"/>
              </w:rPr>
              <w:t>(unaudited)</w:t>
            </w: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26,874,792</w:t>
            </w:r>
          </w:p>
        </w:tc>
        <w:tc>
          <w:tcPr>
            <w:tcW w:w="80" w:type="dxa"/>
            <w:vAlign w:val="bottom"/>
          </w:tcPr>
          <w:p>
            <w:pPr>
              <w:spacing w:after="0"/>
              <w:rPr>
                <w:sz w:val="10"/>
                <w:szCs w:val="10"/>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268,748</w:t>
            </w:r>
          </w:p>
        </w:tc>
        <w:tc>
          <w:tcPr>
            <w:tcW w:w="540" w:type="dxa"/>
            <w:vAlign w:val="bottom"/>
            <w:gridSpan w:val="5"/>
          </w:tcPr>
          <w:p>
            <w:pPr>
              <w:jc w:val="right"/>
              <w:ind w:right="80"/>
              <w:spacing w:after="0"/>
              <w:rPr>
                <w:sz w:val="20"/>
                <w:szCs w:val="20"/>
                <w:color w:val="auto"/>
              </w:rPr>
            </w:pPr>
            <w:r>
              <w:rPr>
                <w:rFonts w:ascii="Arial" w:cs="Arial" w:eastAsia="Arial" w:hAnsi="Arial"/>
                <w:sz w:val="10"/>
                <w:szCs w:val="10"/>
                <w:color w:val="auto"/>
                <w:w w:val="98"/>
              </w:rPr>
              <w:t>7,364,582</w:t>
            </w:r>
          </w:p>
        </w:tc>
        <w:tc>
          <w:tcPr>
            <w:tcW w:w="340" w:type="dxa"/>
            <w:vAlign w:val="bottom"/>
            <w:gridSpan w:val="4"/>
          </w:tcPr>
          <w:p>
            <w:pPr>
              <w:jc w:val="right"/>
              <w:spacing w:after="0"/>
              <w:rPr>
                <w:sz w:val="20"/>
                <w:szCs w:val="20"/>
                <w:color w:val="auto"/>
              </w:rPr>
            </w:pPr>
            <w:r>
              <w:rPr>
                <w:rFonts w:ascii="Arial" w:cs="Arial" w:eastAsia="Arial" w:hAnsi="Arial"/>
                <w:sz w:val="10"/>
                <w:szCs w:val="10"/>
                <w:u w:val="single" w:color="auto"/>
                <w:color w:val="auto"/>
                <w:w w:val="88"/>
              </w:rPr>
              <w:t>$</w:t>
            </w:r>
            <w:r>
              <w:rPr>
                <w:rFonts w:ascii="Arial" w:cs="Arial" w:eastAsia="Arial" w:hAnsi="Arial"/>
                <w:sz w:val="10"/>
                <w:szCs w:val="10"/>
                <w:color w:val="auto"/>
                <w:w w:val="88"/>
              </w:rPr>
              <w:t>73,646</w:t>
            </w:r>
          </w:p>
        </w:tc>
        <w:tc>
          <w:tcPr>
            <w:tcW w:w="80" w:type="dxa"/>
            <w:vAlign w:val="bottom"/>
          </w:tcPr>
          <w:p>
            <w:pPr>
              <w:spacing w:after="0"/>
              <w:rPr>
                <w:sz w:val="10"/>
                <w:szCs w:val="10"/>
                <w:color w:val="auto"/>
              </w:rPr>
            </w:pPr>
          </w:p>
        </w:tc>
        <w:tc>
          <w:tcPr>
            <w:tcW w:w="600" w:type="dxa"/>
            <w:vAlign w:val="bottom"/>
            <w:gridSpan w:val="5"/>
          </w:tcPr>
          <w:p>
            <w:pPr>
              <w:jc w:val="center"/>
              <w:ind w:right="60"/>
              <w:spacing w:after="0"/>
              <w:rPr>
                <w:sz w:val="20"/>
                <w:szCs w:val="20"/>
                <w:color w:val="auto"/>
              </w:rPr>
            </w:pPr>
            <w:r>
              <w:rPr>
                <w:rFonts w:ascii="Arial" w:cs="Arial" w:eastAsia="Arial" w:hAnsi="Arial"/>
                <w:sz w:val="10"/>
                <w:szCs w:val="10"/>
                <w:color w:val="auto"/>
                <w:w w:val="91"/>
              </w:rPr>
              <w:t>71,401,237</w:t>
            </w:r>
          </w:p>
        </w:tc>
        <w:tc>
          <w:tcPr>
            <w:tcW w:w="480" w:type="dxa"/>
            <w:vAlign w:val="bottom"/>
            <w:gridSpan w:val="5"/>
          </w:tcPr>
          <w:p>
            <w:pPr>
              <w:jc w:val="right"/>
              <w:ind w:right="8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714,012</w:t>
            </w:r>
          </w:p>
        </w:tc>
        <w:tc>
          <w:tcPr>
            <w:tcW w:w="540" w:type="dxa"/>
            <w:vAlign w:val="bottom"/>
            <w:gridSpan w:val="4"/>
          </w:tcPr>
          <w:p>
            <w:pPr>
              <w:jc w:val="right"/>
              <w:spacing w:after="0"/>
              <w:rPr>
                <w:sz w:val="20"/>
                <w:szCs w:val="20"/>
                <w:color w:val="auto"/>
              </w:rPr>
            </w:pPr>
            <w:r>
              <w:rPr>
                <w:rFonts w:ascii="Arial" w:cs="Arial" w:eastAsia="Arial" w:hAnsi="Arial"/>
                <w:sz w:val="10"/>
                <w:szCs w:val="10"/>
                <w:color w:val="auto"/>
                <w:w w:val="93"/>
              </w:rPr>
              <w:t>110,952,217</w:t>
            </w:r>
          </w:p>
        </w:tc>
        <w:tc>
          <w:tcPr>
            <w:tcW w:w="640" w:type="dxa"/>
            <w:vAlign w:val="bottom"/>
            <w:gridSpan w:val="6"/>
          </w:tcPr>
          <w:p>
            <w:pPr>
              <w:jc w:val="right"/>
              <w:ind w:right="80"/>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1,109,522</w:t>
            </w:r>
          </w:p>
        </w:tc>
        <w:tc>
          <w:tcPr>
            <w:tcW w:w="580" w:type="dxa"/>
            <w:vAlign w:val="bottom"/>
            <w:gridSpan w:val="5"/>
          </w:tcPr>
          <w:p>
            <w:pPr>
              <w:jc w:val="center"/>
              <w:ind w:right="40"/>
              <w:spacing w:after="0"/>
              <w:rPr>
                <w:sz w:val="20"/>
                <w:szCs w:val="20"/>
                <w:color w:val="auto"/>
              </w:rPr>
            </w:pPr>
            <w:r>
              <w:rPr>
                <w:rFonts w:ascii="Arial" w:cs="Arial" w:eastAsia="Arial" w:hAnsi="Arial"/>
                <w:sz w:val="10"/>
                <w:szCs w:val="10"/>
                <w:color w:val="auto"/>
                <w:w w:val="91"/>
              </w:rPr>
              <w:t>14,446,227</w:t>
            </w:r>
          </w:p>
        </w:tc>
        <w:tc>
          <w:tcPr>
            <w:tcW w:w="500" w:type="dxa"/>
            <w:vAlign w:val="bottom"/>
            <w:gridSpan w:val="5"/>
          </w:tcPr>
          <w:p>
            <w:pPr>
              <w:jc w:val="right"/>
              <w:ind w:right="10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144,462</w:t>
            </w:r>
          </w:p>
        </w:tc>
        <w:tc>
          <w:tcPr>
            <w:tcW w:w="500" w:type="dxa"/>
            <w:vAlign w:val="bottom"/>
            <w:gridSpan w:val="4"/>
          </w:tcPr>
          <w:p>
            <w:pPr>
              <w:jc w:val="center"/>
              <w:spacing w:after="0"/>
              <w:rPr>
                <w:sz w:val="20"/>
                <w:szCs w:val="20"/>
                <w:color w:val="auto"/>
              </w:rPr>
            </w:pPr>
            <w:r>
              <w:rPr>
                <w:rFonts w:ascii="Arial" w:cs="Arial" w:eastAsia="Arial" w:hAnsi="Arial"/>
                <w:sz w:val="10"/>
                <w:szCs w:val="10"/>
                <w:color w:val="auto"/>
                <w:w w:val="95"/>
              </w:rPr>
              <w:t>63,681,176</w:t>
            </w:r>
          </w:p>
        </w:tc>
        <w:tc>
          <w:tcPr>
            <w:tcW w:w="480" w:type="dxa"/>
            <w:vAlign w:val="bottom"/>
            <w:gridSpan w:val="5"/>
          </w:tcPr>
          <w:p>
            <w:pPr>
              <w:jc w:val="right"/>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636,812</w:t>
            </w:r>
          </w:p>
        </w:tc>
        <w:tc>
          <w:tcPr>
            <w:tcW w:w="80" w:type="dxa"/>
            <w:vAlign w:val="bottom"/>
          </w:tcPr>
          <w:p>
            <w:pPr>
              <w:spacing w:after="0"/>
              <w:rPr>
                <w:sz w:val="10"/>
                <w:szCs w:val="10"/>
                <w:color w:val="auto"/>
              </w:rPr>
            </w:pPr>
          </w:p>
        </w:tc>
        <w:tc>
          <w:tcPr>
            <w:tcW w:w="500" w:type="dxa"/>
            <w:vAlign w:val="bottom"/>
            <w:gridSpan w:val="4"/>
          </w:tcPr>
          <w:p>
            <w:pPr>
              <w:jc w:val="right"/>
              <w:spacing w:after="0"/>
              <w:rPr>
                <w:sz w:val="20"/>
                <w:szCs w:val="20"/>
                <w:color w:val="auto"/>
              </w:rPr>
            </w:pPr>
            <w:r>
              <w:rPr>
                <w:rFonts w:ascii="Arial" w:cs="Arial" w:eastAsia="Arial" w:hAnsi="Arial"/>
                <w:sz w:val="10"/>
                <w:szCs w:val="10"/>
                <w:color w:val="auto"/>
                <w:w w:val="95"/>
              </w:rPr>
              <w:t>36,836,099</w:t>
            </w:r>
          </w:p>
        </w:tc>
        <w:tc>
          <w:tcPr>
            <w:tcW w:w="480" w:type="dxa"/>
            <w:vAlign w:val="bottom"/>
            <w:gridSpan w:val="5"/>
          </w:tcPr>
          <w:p>
            <w:pPr>
              <w:jc w:val="right"/>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368,361</w:t>
            </w:r>
          </w:p>
        </w:tc>
        <w:tc>
          <w:tcPr>
            <w:tcW w:w="80" w:type="dxa"/>
            <w:vAlign w:val="bottom"/>
          </w:tcPr>
          <w:p>
            <w:pPr>
              <w:spacing w:after="0"/>
              <w:rPr>
                <w:sz w:val="10"/>
                <w:szCs w:val="10"/>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0"/>
                <w:szCs w:val="10"/>
                <w:color w:val="auto"/>
                <w:w w:val="99"/>
              </w:rPr>
              <w:t>270,000</w:t>
            </w:r>
          </w:p>
        </w:tc>
        <w:tc>
          <w:tcPr>
            <w:tcW w:w="440" w:type="dxa"/>
            <w:vAlign w:val="bottom"/>
            <w:gridSpan w:val="5"/>
          </w:tcPr>
          <w:p>
            <w:pPr>
              <w:jc w:val="right"/>
              <w:ind w:right="20"/>
              <w:spacing w:after="0"/>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(57,742)</w:t>
            </w:r>
          </w:p>
        </w:tc>
        <w:tc>
          <w:tcPr>
            <w:tcW w:w="600" w:type="dxa"/>
            <w:vAlign w:val="bottom"/>
            <w:gridSpan w:val="4"/>
          </w:tcPr>
          <w:p>
            <w:pPr>
              <w:jc w:val="right"/>
              <w:spacing w:after="0"/>
              <w:rPr>
                <w:sz w:val="20"/>
                <w:szCs w:val="20"/>
                <w:color w:val="auto"/>
              </w:rPr>
            </w:pPr>
            <w:r>
              <w:rPr>
                <w:rFonts w:ascii="Arial" w:cs="Arial" w:eastAsia="Arial" w:hAnsi="Arial"/>
                <w:sz w:val="10"/>
                <w:szCs w:val="10"/>
                <w:u w:val="single" w:color="auto"/>
                <w:color w:val="auto"/>
                <w:w w:val="94"/>
              </w:rPr>
              <w:t>$</w:t>
            </w:r>
            <w:r>
              <w:rPr>
                <w:rFonts w:ascii="Arial" w:cs="Arial" w:eastAsia="Arial" w:hAnsi="Arial"/>
                <w:sz w:val="10"/>
                <w:szCs w:val="10"/>
                <w:color w:val="auto"/>
                <w:w w:val="94"/>
              </w:rPr>
              <w:t>164,944,140</w:t>
            </w:r>
          </w:p>
        </w:tc>
        <w:tc>
          <w:tcPr>
            <w:tcW w:w="40" w:type="dxa"/>
            <w:vAlign w:val="bottom"/>
          </w:tcPr>
          <w:p>
            <w:pPr>
              <w:spacing w:after="0"/>
              <w:rPr>
                <w:sz w:val="10"/>
                <w:szCs w:val="10"/>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(179,132,237)</w:t>
            </w:r>
          </w:p>
        </w:tc>
        <w:tc>
          <w:tcPr>
            <w:tcW w:w="80" w:type="dxa"/>
            <w:vAlign w:val="bottom"/>
            <w:gridSpan w:val="3"/>
          </w:tcPr>
          <w:p>
            <w:pPr>
              <w:jc w:val="right"/>
              <w:spacing w:after="0"/>
              <w:rPr>
                <w:sz w:val="20"/>
                <w:szCs w:val="20"/>
                <w:color w:val="auto"/>
              </w:rPr>
            </w:pPr>
            <w:r>
              <w:rPr>
                <w:rFonts w:ascii="Arial" w:cs="Arial" w:eastAsia="Arial" w:hAnsi="Arial"/>
                <w:sz w:val="10"/>
                <w:szCs w:val="10"/>
                <w:u w:val="single" w:color="auto"/>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w w:val="91"/>
              </w:rPr>
              <w:t>(10,930,276)</w:t>
            </w:r>
          </w:p>
        </w:tc>
        <w:tc>
          <w:tcPr>
            <w:tcW w:w="20" w:type="dxa"/>
            <w:vAlign w:val="bottom"/>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540"/>
          </w:cols>
          <w:pgMar w:left="220" w:top="386" w:right="1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8"/>
          </w:tcPr>
          <w:p>
            <w:pPr>
              <w:jc w:val="right"/>
              <w:ind w:right="920"/>
              <w:spacing w:after="0"/>
              <w:rPr>
                <w:sz w:val="20"/>
                <w:szCs w:val="20"/>
                <w:color w:val="auto"/>
              </w:rPr>
            </w:pPr>
            <w:r>
              <w:rPr>
                <w:rFonts w:ascii="Arial" w:cs="Arial" w:eastAsia="Arial" w:hAnsi="Arial"/>
                <w:sz w:val="10"/>
                <w:szCs w:val="10"/>
                <w:b w:val="1"/>
                <w:bCs w:val="1"/>
                <w:color w:val="auto"/>
                <w:w w:val="96"/>
              </w:rPr>
              <w:t>Year Ended December 31,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8"/>
          </w:tcPr>
          <w:p>
            <w:pPr>
              <w:jc w:val="right"/>
              <w:ind w:right="720"/>
              <w:spacing w:after="0"/>
              <w:rPr>
                <w:sz w:val="20"/>
                <w:szCs w:val="20"/>
                <w:color w:val="auto"/>
              </w:rPr>
            </w:pPr>
            <w:r>
              <w:rPr>
                <w:rFonts w:ascii="Arial" w:cs="Arial" w:eastAsia="Arial" w:hAnsi="Arial"/>
                <w:sz w:val="10"/>
                <w:szCs w:val="10"/>
                <w:b w:val="1"/>
                <w:bCs w:val="1"/>
                <w:color w:val="auto"/>
                <w:w w:val="94"/>
              </w:rPr>
              <w:t>Six Months Ended June 30,</w:t>
            </w:r>
          </w:p>
        </w:tc>
        <w:tc>
          <w:tcPr>
            <w:tcW w:w="0" w:type="dxa"/>
            <w:vAlign w:val="bottom"/>
          </w:tcPr>
          <w:p>
            <w:pPr>
              <w:spacing w:after="0"/>
              <w:rPr>
                <w:sz w:val="1"/>
                <w:szCs w:val="1"/>
                <w:color w:val="auto"/>
              </w:rPr>
            </w:pPr>
          </w:p>
        </w:tc>
      </w:tr>
      <w:tr>
        <w:trPr>
          <w:trHeight w:val="105"/>
        </w:trPr>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95"/>
              </w:rPr>
              <w:t>(unaudited)</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80"/>
              </w:rPr>
              <w:t>2013</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top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6,717,120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8,361,755</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7,866,068</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880" w:type="dxa"/>
            <w:vAlign w:val="bottom"/>
            <w:gridSpan w:val="5"/>
          </w:tcPr>
          <w:p>
            <w:pPr>
              <w:jc w:val="right"/>
              <w:ind w:right="60"/>
              <w:spacing w:after="0"/>
              <w:rPr>
                <w:sz w:val="20"/>
                <w:szCs w:val="20"/>
                <w:color w:val="auto"/>
              </w:rPr>
            </w:pPr>
            <w:r>
              <w:rPr>
                <w:rFonts w:ascii="Arial" w:cs="Arial" w:eastAsia="Arial" w:hAnsi="Arial"/>
                <w:sz w:val="14"/>
                <w:szCs w:val="14"/>
                <w:color w:val="auto"/>
              </w:rPr>
              <w:t>(3,659,834)</w:t>
            </w: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w w:val="99"/>
              </w:rPr>
              <w:t>Adjustments to reconcile net income (loss) to net cash provided by (used in) operating activities: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ind w:left="340"/>
              <w:spacing w:after="0"/>
              <w:rPr>
                <w:sz w:val="20"/>
                <w:szCs w:val="20"/>
                <w:color w:val="auto"/>
              </w:rPr>
            </w:pPr>
            <w:r>
              <w:rPr>
                <w:rFonts w:ascii="Arial" w:cs="Arial" w:eastAsia="Arial" w:hAnsi="Arial"/>
                <w:sz w:val="14"/>
                <w:szCs w:val="14"/>
                <w:color w:val="auto"/>
              </w:rPr>
              <w:t>Depreciation expense</w:t>
            </w: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1,147,300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959,930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486,952</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517,764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Share-based compensation</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4"/>
                <w:szCs w:val="14"/>
                <w:color w:val="auto"/>
              </w:rPr>
              <w:t>2,347,439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838,395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88"/>
              <w:spacing w:after="0"/>
              <w:rPr>
                <w:sz w:val="20"/>
                <w:szCs w:val="20"/>
                <w:color w:val="auto"/>
              </w:rPr>
            </w:pPr>
            <w:r>
              <w:rPr>
                <w:rFonts w:ascii="Arial" w:cs="Arial" w:eastAsia="Arial" w:hAnsi="Arial"/>
                <w:sz w:val="14"/>
                <w:szCs w:val="14"/>
                <w:color w:val="auto"/>
              </w:rPr>
              <w:t>419,198</w:t>
            </w:r>
          </w:p>
        </w:tc>
        <w:tc>
          <w:tcPr>
            <w:tcW w:w="18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257,625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ind w:left="340"/>
              <w:spacing w:after="0"/>
              <w:rPr>
                <w:sz w:val="20"/>
                <w:szCs w:val="20"/>
                <w:color w:val="auto"/>
              </w:rPr>
            </w:pPr>
            <w:r>
              <w:rPr>
                <w:rFonts w:ascii="Arial" w:cs="Arial" w:eastAsia="Arial" w:hAnsi="Arial"/>
                <w:sz w:val="14"/>
                <w:szCs w:val="14"/>
                <w:color w:val="auto"/>
              </w:rPr>
              <w:t>Fair value adjustment of warrant liability</w:t>
            </w:r>
          </w:p>
        </w:tc>
        <w:tc>
          <w:tcPr>
            <w:tcW w:w="180" w:type="dxa"/>
            <w:vAlign w:val="bottom"/>
          </w:tcPr>
          <w:p>
            <w:pPr>
              <w:spacing w:after="0"/>
              <w:rPr>
                <w:sz w:val="14"/>
                <w:szCs w:val="14"/>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4"/>
                <w:szCs w:val="14"/>
                <w:color w:val="auto"/>
              </w:rPr>
              <w:t>(1,459,435)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(150,695)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71,953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12,551,066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1,351,650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48"/>
              <w:spacing w:after="0"/>
              <w:rPr>
                <w:sz w:val="20"/>
                <w:szCs w:val="20"/>
                <w:color w:val="auto"/>
              </w:rPr>
            </w:pPr>
            <w:r>
              <w:rPr>
                <w:rFonts w:ascii="Arial" w:cs="Arial" w:eastAsia="Arial" w:hAnsi="Arial"/>
                <w:sz w:val="14"/>
                <w:szCs w:val="14"/>
                <w:color w:val="auto"/>
              </w:rPr>
              <w:t>(2,405,069)</w:t>
            </w:r>
          </w:p>
        </w:tc>
        <w:tc>
          <w:tcPr>
            <w:tcW w:w="18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color w:val="auto"/>
              </w:rPr>
              <w:t>(2,106,842)</w:t>
            </w: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4"/>
                <w:szCs w:val="14"/>
                <w:color w:val="auto"/>
              </w:rPr>
              <w:t>76,876</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(91,160)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48"/>
              <w:spacing w:after="0"/>
              <w:rPr>
                <w:sz w:val="20"/>
                <w:szCs w:val="20"/>
                <w:color w:val="auto"/>
              </w:rPr>
            </w:pPr>
            <w:r>
              <w:rPr>
                <w:rFonts w:ascii="Arial" w:cs="Arial" w:eastAsia="Arial" w:hAnsi="Arial"/>
                <w:sz w:val="14"/>
                <w:szCs w:val="14"/>
                <w:color w:val="auto"/>
              </w:rPr>
              <w:t>(59,180)</w:t>
            </w:r>
          </w:p>
        </w:tc>
        <w:tc>
          <w:tcPr>
            <w:tcW w:w="18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66,925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ind w:left="68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4"/>
                <w:szCs w:val="14"/>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4"/>
                <w:szCs w:val="14"/>
                <w:color w:val="auto"/>
              </w:rPr>
              <w:t>(513)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177,321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177,321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40"/>
              <w:spacing w:after="0"/>
              <w:rPr>
                <w:sz w:val="20"/>
                <w:szCs w:val="20"/>
                <w:color w:val="auto"/>
              </w:rPr>
            </w:pPr>
            <w:r>
              <w:rPr>
                <w:rFonts w:ascii="Arial" w:cs="Arial" w:eastAsia="Arial" w:hAnsi="Arial"/>
                <w:sz w:val="14"/>
                <w:szCs w:val="14"/>
                <w:color w:val="auto"/>
              </w:rPr>
              <w:t>(133,782)</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780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94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4"/>
                <w:szCs w:val="14"/>
                <w:color w:val="auto"/>
                <w:w w:val="98"/>
              </w:rPr>
              <w:t>(10,271,048)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(7,312,331)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48"/>
              <w:spacing w:after="0"/>
              <w:rPr>
                <w:sz w:val="20"/>
                <w:szCs w:val="20"/>
                <w:color w:val="auto"/>
              </w:rPr>
            </w:pPr>
            <w:r>
              <w:rPr>
                <w:rFonts w:ascii="Arial" w:cs="Arial" w:eastAsia="Arial" w:hAnsi="Arial"/>
                <w:sz w:val="14"/>
                <w:szCs w:val="14"/>
                <w:color w:val="auto"/>
              </w:rPr>
              <w:t>(6,090,373)</w:t>
            </w:r>
          </w:p>
        </w:tc>
        <w:tc>
          <w:tcPr>
            <w:tcW w:w="18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color w:val="auto"/>
              </w:rPr>
              <w:t>(1,620,329)</w:t>
            </w: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Lease exit liability</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40"/>
              <w:spacing w:after="0"/>
              <w:rPr>
                <w:sz w:val="20"/>
                <w:szCs w:val="20"/>
                <w:color w:val="auto"/>
              </w:rPr>
            </w:pPr>
            <w:r>
              <w:rPr>
                <w:rFonts w:ascii="Arial" w:cs="Arial" w:eastAsia="Arial" w:hAnsi="Arial"/>
                <w:sz w:val="14"/>
                <w:szCs w:val="14"/>
                <w:color w:val="auto"/>
              </w:rPr>
              <w:t>(447,019)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(533,560)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48"/>
              <w:spacing w:after="0"/>
              <w:rPr>
                <w:sz w:val="20"/>
                <w:szCs w:val="20"/>
                <w:color w:val="auto"/>
              </w:rPr>
            </w:pPr>
            <w:r>
              <w:rPr>
                <w:rFonts w:ascii="Arial" w:cs="Arial" w:eastAsia="Arial" w:hAnsi="Arial"/>
                <w:sz w:val="14"/>
                <w:szCs w:val="14"/>
                <w:color w:val="auto"/>
              </w:rPr>
              <w:t>(260,855)</w:t>
            </w:r>
          </w:p>
        </w:tc>
        <w:tc>
          <w:tcPr>
            <w:tcW w:w="18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(307,403)</w:t>
            </w:r>
          </w:p>
        </w:tc>
        <w:tc>
          <w:tcPr>
            <w:tcW w:w="0" w:type="dxa"/>
            <w:vAlign w:val="bottom"/>
          </w:tcPr>
          <w:p>
            <w:pPr>
              <w:spacing w:after="0"/>
              <w:rPr>
                <w:sz w:val="1"/>
                <w:szCs w:val="1"/>
                <w:color w:val="auto"/>
              </w:rPr>
            </w:pPr>
          </w:p>
        </w:tc>
      </w:tr>
      <w:tr>
        <w:trPr>
          <w:trHeight w:val="167"/>
        </w:trPr>
        <w:tc>
          <w:tcPr>
            <w:tcW w:w="5940" w:type="dxa"/>
            <w:vAlign w:val="bottom"/>
          </w:tcPr>
          <w:p>
            <w:pPr>
              <w:ind w:left="68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272,988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185,200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174,738</w:t>
            </w:r>
          </w:p>
        </w:tc>
        <w:tc>
          <w:tcPr>
            <w:tcW w:w="18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color w:val="auto"/>
              </w:rPr>
              <w:t>(295,995)</w:t>
            </w: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40"/>
              <w:spacing w:after="0"/>
              <w:rPr>
                <w:sz w:val="20"/>
                <w:szCs w:val="20"/>
                <w:color w:val="auto"/>
              </w:rPr>
            </w:pPr>
            <w:r>
              <w:rPr>
                <w:rFonts w:ascii="Arial" w:cs="Arial" w:eastAsia="Arial" w:hAnsi="Arial"/>
                <w:sz w:val="14"/>
                <w:szCs w:val="14"/>
                <w:color w:val="auto"/>
              </w:rPr>
              <w:t>(4,275,976)</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w w:val="98"/>
              </w:rPr>
              <w:t>(10,810,089)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48"/>
              <w:spacing w:after="0"/>
              <w:rPr>
                <w:sz w:val="20"/>
                <w:szCs w:val="20"/>
                <w:color w:val="auto"/>
              </w:rPr>
            </w:pPr>
            <w:r>
              <w:rPr>
                <w:rFonts w:ascii="Arial" w:cs="Arial" w:eastAsia="Arial" w:hAnsi="Arial"/>
                <w:sz w:val="14"/>
                <w:szCs w:val="14"/>
                <w:color w:val="auto"/>
                <w:w w:val="98"/>
              </w:rPr>
              <w:t>(18,623,512)</w:t>
            </w:r>
          </w:p>
        </w:tc>
        <w:tc>
          <w:tcPr>
            <w:tcW w:w="18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(6,771,928)</w:t>
            </w:r>
          </w:p>
        </w:tc>
        <w:tc>
          <w:tcPr>
            <w:tcW w:w="0" w:type="dxa"/>
            <w:vAlign w:val="bottom"/>
          </w:tcPr>
          <w:p>
            <w:pPr>
              <w:spacing w:after="0"/>
              <w:rPr>
                <w:sz w:val="1"/>
                <w:szCs w:val="1"/>
                <w:color w:val="auto"/>
              </w:rPr>
            </w:pPr>
          </w:p>
        </w:tc>
      </w:tr>
      <w:tr>
        <w:trPr>
          <w:trHeight w:val="167"/>
        </w:trPr>
        <w:tc>
          <w:tcPr>
            <w:tcW w:w="5940" w:type="dxa"/>
            <w:vAlign w:val="bottom"/>
          </w:tcPr>
          <w:p>
            <w:pPr>
              <w:ind w:left="680"/>
              <w:spacing w:after="0"/>
              <w:rPr>
                <w:sz w:val="20"/>
                <w:szCs w:val="20"/>
                <w:color w:val="auto"/>
              </w:rPr>
            </w:pPr>
            <w:r>
              <w:rPr>
                <w:rFonts w:ascii="Arial" w:cs="Arial" w:eastAsia="Arial" w:hAnsi="Arial"/>
                <w:sz w:val="14"/>
                <w:szCs w:val="14"/>
                <w:color w:val="auto"/>
              </w:rPr>
              <w:t>Deferred rent</w:t>
            </w: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232,324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440,815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355,831</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52,921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4"/>
                <w:szCs w:val="14"/>
                <w:color w:val="auto"/>
              </w:rPr>
              <w:t>6,757,340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(6,581,989)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48"/>
              <w:spacing w:after="0"/>
              <w:rPr>
                <w:sz w:val="20"/>
                <w:szCs w:val="20"/>
                <w:color w:val="auto"/>
              </w:rPr>
            </w:pPr>
            <w:r>
              <w:rPr>
                <w:rFonts w:ascii="Arial" w:cs="Arial" w:eastAsia="Arial" w:hAnsi="Arial"/>
                <w:sz w:val="14"/>
                <w:szCs w:val="14"/>
                <w:color w:val="auto"/>
                <w:w w:val="98"/>
              </w:rPr>
              <w:t>(17,958,881)</w:t>
            </w:r>
          </w:p>
        </w:tc>
        <w:tc>
          <w:tcPr>
            <w:tcW w:w="18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(13,795,143)</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40"/>
              <w:spacing w:after="0"/>
              <w:rPr>
                <w:sz w:val="20"/>
                <w:szCs w:val="20"/>
                <w:color w:val="auto"/>
              </w:rPr>
            </w:pPr>
            <w:r>
              <w:rPr>
                <w:rFonts w:ascii="Arial" w:cs="Arial" w:eastAsia="Arial" w:hAnsi="Arial"/>
                <w:sz w:val="14"/>
                <w:szCs w:val="14"/>
                <w:color w:val="auto"/>
              </w:rPr>
              <w:t>(500,213)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(940,043)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48"/>
              <w:spacing w:after="0"/>
              <w:rPr>
                <w:sz w:val="20"/>
                <w:szCs w:val="20"/>
                <w:color w:val="auto"/>
              </w:rPr>
            </w:pPr>
            <w:r>
              <w:rPr>
                <w:rFonts w:ascii="Arial" w:cs="Arial" w:eastAsia="Arial" w:hAnsi="Arial"/>
                <w:sz w:val="14"/>
                <w:szCs w:val="14"/>
                <w:color w:val="auto"/>
              </w:rPr>
              <w:t>(245,063)</w:t>
            </w:r>
          </w:p>
        </w:tc>
        <w:tc>
          <w:tcPr>
            <w:tcW w:w="18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(876,290)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4"/>
                <w:szCs w:val="14"/>
                <w:color w:val="auto"/>
              </w:rPr>
              <w:t>(500,213)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(940,043)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48"/>
              <w:spacing w:after="0"/>
              <w:rPr>
                <w:sz w:val="20"/>
                <w:szCs w:val="20"/>
                <w:color w:val="auto"/>
              </w:rPr>
            </w:pPr>
            <w:r>
              <w:rPr>
                <w:rFonts w:ascii="Arial" w:cs="Arial" w:eastAsia="Arial" w:hAnsi="Arial"/>
                <w:sz w:val="14"/>
                <w:szCs w:val="14"/>
                <w:color w:val="auto"/>
              </w:rPr>
              <w:t>(245,063)</w:t>
            </w:r>
          </w:p>
        </w:tc>
        <w:tc>
          <w:tcPr>
            <w:tcW w:w="18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color w:val="auto"/>
              </w:rPr>
              <w:t>(876,290)</w:t>
            </w:r>
          </w:p>
        </w:tc>
        <w:tc>
          <w:tcPr>
            <w:tcW w:w="0" w:type="dxa"/>
            <w:vAlign w:val="bottom"/>
          </w:tcPr>
          <w:p>
            <w:pPr>
              <w:spacing w:after="0"/>
              <w:rPr>
                <w:sz w:val="1"/>
                <w:szCs w:val="1"/>
                <w:color w:val="auto"/>
              </w:rPr>
            </w:pPr>
          </w:p>
        </w:tc>
      </w:tr>
      <w:tr>
        <w:trPr>
          <w:trHeight w:val="85"/>
        </w:trPr>
        <w:tc>
          <w:tcPr>
            <w:tcW w:w="5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Proceeds from issuance of preferred stock</w:t>
            </w: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12,014,816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4"/>
                <w:szCs w:val="14"/>
                <w:color w:val="auto"/>
              </w:rPr>
              <w:t>70,400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46,826</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88"/>
              <w:spacing w:after="0"/>
              <w:rPr>
                <w:sz w:val="20"/>
                <w:szCs w:val="20"/>
                <w:color w:val="auto"/>
              </w:rPr>
            </w:pPr>
            <w:r>
              <w:rPr>
                <w:rFonts w:ascii="Arial" w:cs="Arial" w:eastAsia="Arial" w:hAnsi="Arial"/>
                <w:sz w:val="14"/>
                <w:szCs w:val="14"/>
                <w:color w:val="auto"/>
              </w:rPr>
              <w:t>34,747</w:t>
            </w:r>
          </w:p>
        </w:tc>
        <w:tc>
          <w:tcPr>
            <w:tcW w:w="18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709,241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12,085,216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46,826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34,747</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709,241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4"/>
                <w:szCs w:val="14"/>
                <w:color w:val="auto"/>
              </w:rPr>
              <w:t>18,342,343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(7,475,206)</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jc w:val="right"/>
              <w:ind w:right="448"/>
              <w:spacing w:after="0"/>
              <w:rPr>
                <w:sz w:val="20"/>
                <w:szCs w:val="20"/>
                <w:color w:val="auto"/>
              </w:rPr>
            </w:pPr>
            <w:r>
              <w:rPr>
                <w:rFonts w:ascii="Arial" w:cs="Arial" w:eastAsia="Arial" w:hAnsi="Arial"/>
                <w:sz w:val="14"/>
                <w:szCs w:val="14"/>
                <w:color w:val="auto"/>
                <w:w w:val="98"/>
              </w:rPr>
              <w:t>(18,169,197)</w:t>
            </w:r>
          </w:p>
        </w:tc>
        <w:tc>
          <w:tcPr>
            <w:tcW w:w="18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(13,962,192)</w:t>
            </w:r>
          </w:p>
        </w:tc>
        <w:tc>
          <w:tcPr>
            <w:tcW w:w="0" w:type="dxa"/>
            <w:vAlign w:val="bottom"/>
          </w:tcPr>
          <w:p>
            <w:pPr>
              <w:spacing w:after="0"/>
              <w:rPr>
                <w:sz w:val="1"/>
                <w:szCs w:val="1"/>
                <w:color w:val="auto"/>
              </w:rPr>
            </w:pP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36,876,018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4"/>
                <w:szCs w:val="14"/>
                <w:color w:val="auto"/>
              </w:rPr>
              <w:t>55,218,361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right"/>
              <w:ind w:right="488"/>
              <w:spacing w:after="0"/>
              <w:rPr>
                <w:sz w:val="20"/>
                <w:szCs w:val="20"/>
                <w:color w:val="auto"/>
              </w:rPr>
            </w:pPr>
            <w:r>
              <w:rPr>
                <w:rFonts w:ascii="Arial" w:cs="Arial" w:eastAsia="Arial" w:hAnsi="Arial"/>
                <w:sz w:val="14"/>
                <w:szCs w:val="14"/>
                <w:color w:val="auto"/>
              </w:rPr>
              <w:t>55,218,361</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47,743,155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040" w:type="dxa"/>
            <w:vAlign w:val="bottom"/>
            <w:gridSpan w:val="5"/>
            <w:shd w:val="clear" w:color="auto" w:fill="CCEEFF"/>
          </w:tcPr>
          <w:p>
            <w:pPr>
              <w:jc w:val="right"/>
              <w:ind w:right="300"/>
              <w:spacing w:after="0"/>
              <w:rPr>
                <w:sz w:val="20"/>
                <w:szCs w:val="20"/>
                <w:color w:val="auto"/>
              </w:rPr>
            </w:pPr>
            <w:r>
              <w:rPr>
                <w:rFonts w:ascii="Arial" w:cs="Arial" w:eastAsia="Arial" w:hAnsi="Arial"/>
                <w:sz w:val="14"/>
                <w:szCs w:val="14"/>
                <w:color w:val="auto"/>
              </w:rPr>
              <w:t>55,218,361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47,743,155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5"/>
            <w:shd w:val="clear" w:color="auto" w:fill="CCEEFF"/>
          </w:tcPr>
          <w:p>
            <w:pPr>
              <w:jc w:val="right"/>
              <w:ind w:right="488"/>
              <w:spacing w:after="0"/>
              <w:rPr>
                <w:sz w:val="20"/>
                <w:szCs w:val="20"/>
                <w:color w:val="auto"/>
              </w:rPr>
            </w:pPr>
            <w:r>
              <w:rPr>
                <w:rFonts w:ascii="Arial" w:cs="Arial" w:eastAsia="Arial" w:hAnsi="Arial"/>
                <w:sz w:val="14"/>
                <w:szCs w:val="14"/>
                <w:color w:val="auto"/>
              </w:rPr>
              <w:t>37,049,164</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33,780,963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60"/>
          </w:cols>
          <w:pgMar w:left="220" w:top="387" w:right="21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Nature of Operations</w:t>
      </w:r>
    </w:p>
    <w:p>
      <w:pPr>
        <w:spacing w:after="0" w:line="134" w:lineRule="exact"/>
        <w:rPr>
          <w:sz w:val="20"/>
          <w:szCs w:val="20"/>
          <w:color w:val="auto"/>
        </w:rPr>
      </w:pPr>
    </w:p>
    <w:p>
      <w:pPr>
        <w:ind w:right="100" w:firstLine="802"/>
        <w:spacing w:after="0" w:line="305" w:lineRule="auto"/>
        <w:rPr>
          <w:sz w:val="20"/>
          <w:szCs w:val="20"/>
          <w:color w:val="auto"/>
        </w:rPr>
      </w:pPr>
      <w:r>
        <w:rPr>
          <w:rFonts w:ascii="Arial" w:cs="Arial" w:eastAsia="Arial" w:hAnsi="Arial"/>
          <w:sz w:val="12"/>
          <w:szCs w:val="12"/>
          <w:color w:val="auto"/>
        </w:rPr>
        <w:t>MacroGenics, Inc. (the “Company”) was incorporated in Delaware on August 14, 2000. The Company is a clinical-stage biopharmaceutical company focused on discovering and developing innovative monoclonal antibody-based therapeutics for the treatment of cancer and autoimmune diseases. The Company generates its pipeline of product candidates from its proprietary suite of next-generation antibody technology platforms which it believes improve the performance of monoclonal antibodies and antibody-derived molecules. These product candidates, which the Company has identified through its understanding of disease biology and immune-mediated mechanisms may address disease-specific challenges which are not currently being met by existing therapies. The Company creates both differentiated molecules that are directed to novel cancer targets, as well as “bio-betters” which are drugs designed to improve upon marketed medicines.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2" w:lineRule="exact"/>
        <w:rPr>
          <w:sz w:val="20"/>
          <w:szCs w:val="20"/>
          <w:color w:val="auto"/>
        </w:rPr>
      </w:pPr>
    </w:p>
    <w:p>
      <w:pPr>
        <w:ind w:right="40" w:firstLine="802"/>
        <w:spacing w:after="0" w:line="255" w:lineRule="auto"/>
        <w:rPr>
          <w:sz w:val="20"/>
          <w:szCs w:val="20"/>
          <w:color w:val="auto"/>
        </w:rPr>
      </w:pPr>
      <w:r>
        <w:rPr>
          <w:rFonts w:ascii="Arial" w:cs="Arial" w:eastAsia="Arial" w:hAnsi="Arial"/>
          <w:sz w:val="14"/>
          <w:szCs w:val="14"/>
          <w:color w:val="auto"/>
        </w:rPr>
        <w:t>The consolidated financial statements include the accounts of MacroGenics, Inc. and its wholly owned subsidiary, MacroGenics West, Inc.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 group, in deciding how to allocate resources and assessing performance. The Company views its operations and manages its business in one segment, which is developing monoclonal antibody-based therapeutics for cancer, autoimmune and infectious diseases.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Principals of consolidation</w:t>
      </w:r>
    </w:p>
    <w:p>
      <w:pPr>
        <w:spacing w:after="0" w:line="132" w:lineRule="exact"/>
        <w:rPr>
          <w:sz w:val="20"/>
          <w:szCs w:val="20"/>
          <w:color w:val="auto"/>
        </w:rPr>
      </w:pPr>
    </w:p>
    <w:p>
      <w:pPr>
        <w:ind w:right="140" w:firstLine="802"/>
        <w:spacing w:after="0" w:line="267" w:lineRule="auto"/>
        <w:rPr>
          <w:sz w:val="20"/>
          <w:szCs w:val="20"/>
          <w:color w:val="auto"/>
        </w:rPr>
      </w:pPr>
      <w:r>
        <w:rPr>
          <w:rFonts w:ascii="Arial" w:cs="Arial" w:eastAsia="Arial" w:hAnsi="Arial"/>
          <w:sz w:val="14"/>
          <w:szCs w:val="14"/>
          <w:color w:val="auto"/>
        </w:rPr>
        <w:t>The accompanying consolidated financial statements include the accounts of the Company and its wholly-owned subsidiary, MacroGenics West, Inc. All intercompany balances and transactions have been eliminated in consolidation.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2"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The preparation of the financial statements in accordance with U.S.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convertible preferred stock and common stock, preferred stock warrant liability, income taxes, pre-clinical study and clinical trial accruals and other contingencies. Management bases its estimates on historical experience or on various other assumptions that it believes to be reasonable under the circumstances. Actual results could differ from these estimates.</w:t>
      </w:r>
    </w:p>
    <w:p>
      <w:pPr>
        <w:spacing w:after="0" w:line="114"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In addition, the Company utilizes estimates and assumptions in determining the fair value of its common stock. The Company granted stock options at exercise prices not less than the fair value of its common stock as determined by the board of directors, with input from management. Management uses contemporaneous valuations in estimating the fair value of its common stock. The board of directors has determined the estimated fair value of the common stock based on a number of objective and subjective factors, including external market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40"/>
          </w:cols>
          <w:pgMar w:left="220" w:top="387" w:right="2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considerations affecting the biotechnology industry and the historic prices at which the Company sold shares of its preferred stock.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Interim Financial Information</w:t>
      </w:r>
    </w:p>
    <w:p>
      <w:pPr>
        <w:spacing w:after="0" w:line="132"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The accompanying unaudited interim consolidated balance sheet as of June 30, 2013, the consolidated statements of operations and comprehensive income and cash flows for the six months ended June 30, 2013 and 2012, the consolidated statement of changes in stockholders’ equity (deficit) for the six months ended June 30, 2013, and the related interim information contained within the notes to the consolidated financial statements have been prepared in accordance with the rules and regulations of the Securities and Exchange Commission (SEC) for interim financial information. In the opinion of management, the unaudited interim consolidated financial statements reflect all adjustments, consisting of normal and recurring adjustments, necessary for the fair presentation of the Company’s financial position at June 30, 2013 and results of its operations and its cash flows for the six months ended June 30, 2013 and 2012. The results for the six months ended June 30, 2013 are not necessarily indicative of future results. All references to June 30, 2013 or to the six months ended June 30, 2013 and 2012 in the notes to the consolidated financial statements are unaudited.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Pro Forma Balance Sheet Presentation</w:t>
      </w:r>
    </w:p>
    <w:p>
      <w:pPr>
        <w:spacing w:after="0" w:line="132" w:lineRule="exact"/>
        <w:rPr>
          <w:sz w:val="20"/>
          <w:szCs w:val="20"/>
          <w:color w:val="auto"/>
        </w:rPr>
      </w:pPr>
    </w:p>
    <w:p>
      <w:pPr>
        <w:ind w:right="80" w:firstLine="802"/>
        <w:spacing w:after="0" w:line="258" w:lineRule="auto"/>
        <w:rPr>
          <w:sz w:val="20"/>
          <w:szCs w:val="20"/>
          <w:color w:val="auto"/>
        </w:rPr>
      </w:pPr>
      <w:r>
        <w:rPr>
          <w:rFonts w:ascii="Arial" w:cs="Arial" w:eastAsia="Arial" w:hAnsi="Arial"/>
          <w:sz w:val="14"/>
          <w:szCs w:val="14"/>
          <w:color w:val="auto"/>
        </w:rPr>
        <w:t>The unaudited pro forma balance sheet as of June 30, 2013, reflects the expected automatic conversion of the outstanding shares of Series A-1, Series A-2, Series B, Series C, Series D, and Series D-2 convertible preferred stock into shares of common stock as though the completion of the Company’s initial public offering (IPO) had occurred on June 30, 2013. The shares of common stock issued in the IPO and any related estimated net proceeds are excluded from such pro forma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2" w:lineRule="exact"/>
        <w:rPr>
          <w:sz w:val="20"/>
          <w:szCs w:val="20"/>
          <w:color w:val="auto"/>
        </w:rPr>
      </w:pPr>
    </w:p>
    <w:p>
      <w:pPr>
        <w:ind w:right="160" w:firstLine="802"/>
        <w:spacing w:after="0" w:line="258" w:lineRule="auto"/>
        <w:rPr>
          <w:sz w:val="20"/>
          <w:szCs w:val="20"/>
          <w:color w:val="auto"/>
        </w:rPr>
      </w:pPr>
      <w:r>
        <w:rPr>
          <w:rFonts w:ascii="Arial" w:cs="Arial" w:eastAsia="Arial" w:hAnsi="Arial"/>
          <w:sz w:val="14"/>
          <w:szCs w:val="14"/>
          <w:color w:val="auto"/>
        </w:rPr>
        <w:t>The Company considers all investments in highly liquid financial instruments with an original maturity of three months or less at the date of purchase to be cash equivalents. Cash and cash equivalents consist of certificates of deposit and investment in money market funds with commercial banks and financial institutions. Cash equivalents are stated at amortized cost, plus accrued interest, which approximates fair value.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32" w:lineRule="exact"/>
        <w:rPr>
          <w:sz w:val="20"/>
          <w:szCs w:val="20"/>
          <w:color w:val="auto"/>
        </w:rPr>
      </w:pPr>
    </w:p>
    <w:p>
      <w:pPr>
        <w:ind w:right="340" w:firstLine="802"/>
        <w:spacing w:after="0" w:line="267" w:lineRule="auto"/>
        <w:rPr>
          <w:sz w:val="20"/>
          <w:szCs w:val="20"/>
          <w:color w:val="auto"/>
        </w:rPr>
      </w:pPr>
      <w:r>
        <w:rPr>
          <w:rFonts w:ascii="Arial" w:cs="Arial" w:eastAsia="Arial" w:hAnsi="Arial"/>
          <w:sz w:val="14"/>
          <w:szCs w:val="14"/>
          <w:color w:val="auto"/>
        </w:rPr>
        <w:t>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spacing w:after="0" w:line="101" w:lineRule="exact"/>
        <w:rPr>
          <w:sz w:val="20"/>
          <w:szCs w:val="20"/>
          <w:color w:val="auto"/>
        </w:rPr>
      </w:pPr>
    </w:p>
    <w:p>
      <w:pPr>
        <w:jc w:val="both"/>
        <w:ind w:right="180" w:firstLine="802"/>
        <w:spacing w:after="0" w:line="258" w:lineRule="auto"/>
        <w:rPr>
          <w:sz w:val="20"/>
          <w:szCs w:val="20"/>
          <w:color w:val="auto"/>
        </w:rPr>
      </w:pPr>
      <w:r>
        <w:rPr>
          <w:rFonts w:ascii="Arial" w:cs="Arial" w:eastAsia="Arial" w:hAnsi="Arial"/>
          <w:sz w:val="14"/>
          <w:szCs w:val="14"/>
          <w:color w:val="auto"/>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2011, December 31, 2012, and June 30, 2013, as the Company has a history of collecting on all outstanding accounts.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32" w:lineRule="exact"/>
        <w:rPr>
          <w:sz w:val="20"/>
          <w:szCs w:val="20"/>
          <w:color w:val="auto"/>
        </w:rPr>
      </w:pPr>
    </w:p>
    <w:p>
      <w:pPr>
        <w:ind w:right="300" w:firstLine="802"/>
        <w:spacing w:after="0" w:line="267" w:lineRule="auto"/>
        <w:rPr>
          <w:sz w:val="20"/>
          <w:szCs w:val="20"/>
          <w:color w:val="auto"/>
        </w:rPr>
      </w:pPr>
      <w:r>
        <w:rPr>
          <w:rFonts w:ascii="Arial" w:cs="Arial" w:eastAsia="Arial" w:hAnsi="Arial"/>
          <w:sz w:val="14"/>
          <w:szCs w:val="14"/>
          <w:color w:val="auto"/>
        </w:rPr>
        <w:t>The Company is required to maintain certificates of deposit that serve as collateral for various operating leases and corporate credit card accounts. Amounts classified as restricted cash on the consolidated balance sheets are $582,171 at December 31, 2011 and $404,850 at December 31, 2012 and June 30, 2013.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60"/>
          </w:cols>
          <w:pgMar w:left="220" w:top="387" w:right="21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2"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 xml:space="preserve">The fair market values of the financial instruments included in the financial statements, which include cash equivalents and money market accounts, approximate their carrying values at December 31, 2012 and 2011, due to their short-term maturities. The Company accounts for recurring and non-recurring fair value measurements in accordance with Accounting Standards Codification 820, </w:t>
      </w:r>
      <w:r>
        <w:rPr>
          <w:rFonts w:ascii="Arial" w:cs="Arial" w:eastAsia="Arial" w:hAnsi="Arial"/>
          <w:sz w:val="14"/>
          <w:szCs w:val="14"/>
          <w:i w:val="1"/>
          <w:iCs w:val="1"/>
          <w:color w:val="auto"/>
        </w:rPr>
        <w:t xml:space="preserve">Fair Value Measurements and Disclosures </w:t>
      </w:r>
      <w:r>
        <w:rPr>
          <w:rFonts w:ascii="Arial" w:cs="Arial" w:eastAsia="Arial" w:hAnsi="Arial"/>
          <w:sz w:val="14"/>
          <w:szCs w:val="14"/>
          <w:color w:val="auto"/>
        </w:rPr>
        <w:t>(ASC 820). ASC 820 defines fair value, establishes a fair value hierarchy for assets and liabilities measured at fair value, and requires expanded disclosures about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44" w:lineRule="exact"/>
        <w:rPr>
          <w:sz w:val="20"/>
          <w:szCs w:val="20"/>
          <w:color w:val="auto"/>
        </w:rPr>
      </w:pPr>
    </w:p>
    <w:p>
      <w:pPr>
        <w:ind w:left="1240" w:hanging="327"/>
        <w:spacing w:after="0"/>
        <w:tabs>
          <w:tab w:leader="none" w:pos="12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Level 1 – Fair value is determined by using unadjusted quoted prices that are available in active markets for identical assets and liabilities.</w:t>
      </w:r>
    </w:p>
    <w:p>
      <w:pPr>
        <w:spacing w:after="0" w:line="162" w:lineRule="exact"/>
        <w:rPr>
          <w:rFonts w:ascii="Arial" w:cs="Arial" w:eastAsia="Arial" w:hAnsi="Arial"/>
          <w:sz w:val="14"/>
          <w:szCs w:val="14"/>
          <w:color w:val="auto"/>
        </w:rPr>
      </w:pPr>
    </w:p>
    <w:p>
      <w:pPr>
        <w:ind w:left="1240" w:right="160" w:hanging="327"/>
        <w:spacing w:after="0" w:line="258" w:lineRule="auto"/>
        <w:tabs>
          <w:tab w:leader="none" w:pos="12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138" w:lineRule="exact"/>
        <w:rPr>
          <w:rFonts w:ascii="Arial" w:cs="Arial" w:eastAsia="Arial" w:hAnsi="Arial"/>
          <w:sz w:val="14"/>
          <w:szCs w:val="14"/>
          <w:color w:val="auto"/>
        </w:rPr>
      </w:pPr>
    </w:p>
    <w:p>
      <w:pPr>
        <w:ind w:left="1240" w:right="100" w:hanging="327"/>
        <w:spacing w:after="0" w:line="267" w:lineRule="auto"/>
        <w:tabs>
          <w:tab w:leader="none" w:pos="12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Company evaluates financial assets and liabilities subject to fair value measurements on a recurring basis to determine the appropriate level at which to classify them each reporting period.</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This determination requires the Company to make subjective judgments as to the significance of inputs used in determining fair value and where such inputs lie within the ASC 820 hierarchy.</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Financial assets and liabilities subject to fair value measurements as of December 31, 2011, December 31, 2012 and June 30, 2013,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gridSpan w:val="13"/>
          </w:tcPr>
          <w:p>
            <w:pPr>
              <w:jc w:val="right"/>
              <w:ind w:right="620"/>
              <w:spacing w:after="0"/>
              <w:rPr>
                <w:sz w:val="20"/>
                <w:szCs w:val="20"/>
                <w:color w:val="auto"/>
              </w:rPr>
            </w:pPr>
            <w:r>
              <w:rPr>
                <w:rFonts w:ascii="Arial" w:cs="Arial" w:eastAsia="Arial" w:hAnsi="Arial"/>
                <w:sz w:val="10"/>
                <w:szCs w:val="10"/>
                <w:b w:val="1"/>
                <w:bCs w:val="1"/>
                <w:color w:val="auto"/>
                <w:w w:val="96"/>
              </w:rPr>
              <w:t>Fair Value Measurements at December 31, 2011</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5"/>
            <w:vMerge w:val="restart"/>
          </w:tcPr>
          <w:p>
            <w:pPr>
              <w:jc w:val="center"/>
              <w:ind w:right="16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gridSpan w:val="4"/>
          </w:tcPr>
          <w:p>
            <w:pPr>
              <w:jc w:val="right"/>
              <w:ind w:right="140"/>
              <w:spacing w:after="0" w:line="94" w:lineRule="exact"/>
              <w:rPr>
                <w:sz w:val="20"/>
                <w:szCs w:val="20"/>
                <w:color w:val="auto"/>
              </w:rPr>
            </w:pPr>
            <w:r>
              <w:rPr>
                <w:rFonts w:ascii="Arial" w:cs="Arial" w:eastAsia="Arial" w:hAnsi="Arial"/>
                <w:sz w:val="10"/>
                <w:szCs w:val="10"/>
                <w:b w:val="1"/>
                <w:bCs w:val="1"/>
                <w:color w:val="auto"/>
                <w:w w:val="85"/>
              </w:rPr>
              <w:t>Quoted Prices in</w:t>
            </w: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Active Markets for</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6"/>
          </w:tcPr>
          <w:p>
            <w:pPr>
              <w:jc w:val="center"/>
              <w:ind w:right="400"/>
              <w:spacing w:after="0"/>
              <w:rPr>
                <w:sz w:val="20"/>
                <w:szCs w:val="20"/>
                <w:color w:val="auto"/>
              </w:rPr>
            </w:pPr>
            <w:r>
              <w:rPr>
                <w:rFonts w:ascii="Arial" w:cs="Arial" w:eastAsia="Arial" w:hAnsi="Arial"/>
                <w:sz w:val="10"/>
                <w:szCs w:val="10"/>
                <w:b w:val="1"/>
                <w:bCs w:val="1"/>
                <w:color w:val="auto"/>
                <w:w w:val="96"/>
              </w:rPr>
              <w:t>Significant Other</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26"/>
        </w:trPr>
        <w:tc>
          <w:tcPr>
            <w:tcW w:w="3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vMerge w:val="restart"/>
          </w:tcPr>
          <w:p>
            <w:pPr>
              <w:jc w:val="right"/>
              <w:ind w:right="940"/>
              <w:spacing w:after="0"/>
              <w:rPr>
                <w:sz w:val="20"/>
                <w:szCs w:val="20"/>
                <w:color w:val="auto"/>
              </w:rPr>
            </w:pPr>
            <w:r>
              <w:rPr>
                <w:rFonts w:ascii="Arial" w:cs="Arial" w:eastAsia="Arial" w:hAnsi="Arial"/>
                <w:sz w:val="10"/>
                <w:szCs w:val="10"/>
                <w:b w:val="1"/>
                <w:bCs w:val="1"/>
                <w:color w:val="auto"/>
                <w:w w:val="91"/>
              </w:rPr>
              <w:t>Total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1"/>
              </w:rPr>
              <w:t>Identical Assets</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6"/>
          </w:tcPr>
          <w:p>
            <w:pPr>
              <w:jc w:val="center"/>
              <w:ind w:right="400"/>
              <w:spacing w:after="0"/>
              <w:rPr>
                <w:sz w:val="20"/>
                <w:szCs w:val="20"/>
                <w:color w:val="auto"/>
              </w:rPr>
            </w:pPr>
            <w:r>
              <w:rPr>
                <w:rFonts w:ascii="Arial" w:cs="Arial" w:eastAsia="Arial" w:hAnsi="Arial"/>
                <w:sz w:val="10"/>
                <w:szCs w:val="10"/>
                <w:b w:val="1"/>
                <w:bCs w:val="1"/>
                <w:color w:val="auto"/>
                <w:w w:val="93"/>
              </w:rPr>
              <w:t>Observable Inputs</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4"/>
          </w:tcPr>
          <w:p>
            <w:pPr>
              <w:jc w:val="center"/>
              <w:ind w:right="320"/>
              <w:spacing w:after="0"/>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96"/>
        </w:trPr>
        <w:tc>
          <w:tcPr>
            <w:tcW w:w="38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ind w:right="232"/>
              <w:spacing w:after="0" w:line="95" w:lineRule="exact"/>
              <w:rPr>
                <w:sz w:val="20"/>
                <w:szCs w:val="20"/>
                <w:color w:val="auto"/>
              </w:rPr>
            </w:pPr>
            <w:r>
              <w:rPr>
                <w:rFonts w:ascii="Arial" w:cs="Arial" w:eastAsia="Arial" w:hAnsi="Arial"/>
                <w:sz w:val="10"/>
                <w:szCs w:val="10"/>
                <w:b w:val="1"/>
                <w:bCs w:val="1"/>
                <w:color w:val="auto"/>
                <w:w w:val="94"/>
              </w:rPr>
              <w:t>Level 1</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3"/>
          </w:tcPr>
          <w:p>
            <w:pPr>
              <w:jc w:val="center"/>
              <w:ind w:right="212"/>
              <w:spacing w:after="0" w:line="95" w:lineRule="exact"/>
              <w:rPr>
                <w:sz w:val="20"/>
                <w:szCs w:val="20"/>
                <w:color w:val="auto"/>
              </w:rPr>
            </w:pPr>
            <w:r>
              <w:rPr>
                <w:rFonts w:ascii="Arial" w:cs="Arial" w:eastAsia="Arial" w:hAnsi="Arial"/>
                <w:sz w:val="10"/>
                <w:szCs w:val="10"/>
                <w:b w:val="1"/>
                <w:bCs w:val="1"/>
                <w:color w:val="auto"/>
                <w:w w:val="94"/>
              </w:rPr>
              <w:t>Level 2</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ind w:right="92"/>
              <w:spacing w:after="0" w:line="95" w:lineRule="exact"/>
              <w:rPr>
                <w:sz w:val="20"/>
                <w:szCs w:val="20"/>
                <w:color w:val="auto"/>
              </w:rPr>
            </w:pPr>
            <w:r>
              <w:rPr>
                <w:rFonts w:ascii="Arial" w:cs="Arial" w:eastAsia="Arial" w:hAnsi="Arial"/>
                <w:sz w:val="10"/>
                <w:szCs w:val="10"/>
                <w:b w:val="1"/>
                <w:bCs w:val="1"/>
                <w:color w:val="auto"/>
                <w:w w:val="94"/>
              </w:rPr>
              <w:t>Level 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w w:val="91"/>
              </w:rPr>
              <w:t>31,049,050</w:t>
            </w:r>
          </w:p>
        </w:tc>
        <w:tc>
          <w:tcPr>
            <w:tcW w:w="660" w:type="dxa"/>
            <w:vAlign w:val="bottom"/>
          </w:tcPr>
          <w:p>
            <w:pPr>
              <w:spacing w:after="0"/>
              <w:rPr>
                <w:sz w:val="14"/>
                <w:szCs w:val="14"/>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31,049,050</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7"/>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Money market funds</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24,169,311</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60" w:type="dxa"/>
            <w:vAlign w:val="bottom"/>
            <w:gridSpan w:val="6"/>
            <w:shd w:val="clear" w:color="auto" w:fill="CCEEFF"/>
          </w:tcPr>
          <w:p>
            <w:pPr>
              <w:jc w:val="right"/>
              <w:ind w:right="340"/>
              <w:spacing w:after="0"/>
              <w:rPr>
                <w:sz w:val="20"/>
                <w:szCs w:val="20"/>
                <w:color w:val="auto"/>
              </w:rPr>
            </w:pPr>
            <w:r>
              <w:rPr>
                <w:rFonts w:ascii="Arial" w:cs="Arial" w:eastAsia="Arial" w:hAnsi="Arial"/>
                <w:sz w:val="14"/>
                <w:szCs w:val="14"/>
                <w:color w:val="auto"/>
              </w:rPr>
              <w:t>24,169,311</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8"/>
        </w:trPr>
        <w:tc>
          <w:tcPr>
            <w:tcW w:w="384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582,171</w:t>
            </w:r>
          </w:p>
        </w:tc>
        <w:tc>
          <w:tcPr>
            <w:tcW w:w="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582,171</w:t>
            </w:r>
          </w:p>
        </w:tc>
        <w:tc>
          <w:tcPr>
            <w:tcW w:w="6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55,800,532</w:t>
            </w:r>
          </w:p>
        </w:tc>
        <w:tc>
          <w:tcPr>
            <w:tcW w:w="6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31,631,221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6"/>
            <w:shd w:val="clear" w:color="auto" w:fill="CCEEFF"/>
          </w:tcPr>
          <w:p>
            <w:pPr>
              <w:jc w:val="right"/>
              <w:ind w:right="340"/>
              <w:spacing w:after="0"/>
              <w:rPr>
                <w:sz w:val="20"/>
                <w:szCs w:val="20"/>
                <w:color w:val="auto"/>
              </w:rPr>
            </w:pPr>
            <w:r>
              <w:rPr>
                <w:rFonts w:ascii="Arial" w:cs="Arial" w:eastAsia="Arial" w:hAnsi="Arial"/>
                <w:sz w:val="14"/>
                <w:szCs w:val="14"/>
                <w:color w:val="auto"/>
              </w:rPr>
              <w:t>24,169,311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color w:val="auto"/>
              </w:rPr>
              <w:t>Liabilities:</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84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Preferred stock warrant liability</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gridSpan w:val="4"/>
            <w:shd w:val="clear" w:color="auto" w:fill="CCEEFF"/>
          </w:tcPr>
          <w:p>
            <w:pPr>
              <w:jc w:val="right"/>
              <w:ind w:right="620"/>
              <w:spacing w:after="0"/>
              <w:rPr>
                <w:sz w:val="20"/>
                <w:szCs w:val="20"/>
                <w:color w:val="auto"/>
              </w:rPr>
            </w:pPr>
            <w:r>
              <w:rPr>
                <w:rFonts w:ascii="Arial" w:cs="Arial" w:eastAsia="Arial" w:hAnsi="Arial"/>
                <w:sz w:val="14"/>
                <w:szCs w:val="14"/>
                <w:color w:val="auto"/>
              </w:rPr>
              <w:t>(203,642)</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(203,642)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840" w:type="dxa"/>
            <w:vAlign w:val="bottom"/>
          </w:tcPr>
          <w:p>
            <w:pPr>
              <w:spacing w:after="0"/>
              <w:rPr>
                <w:sz w:val="22"/>
                <w:szCs w:val="22"/>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4"/>
                <w:szCs w:val="14"/>
                <w:color w:val="auto"/>
              </w:rPr>
              <w:t>F-10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7" w:right="21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15"/>
          </w:tcPr>
          <w:p>
            <w:pPr>
              <w:ind w:left="40"/>
              <w:spacing w:after="0"/>
              <w:rPr>
                <w:sz w:val="20"/>
                <w:szCs w:val="20"/>
                <w:color w:val="auto"/>
              </w:rPr>
            </w:pPr>
            <w:r>
              <w:rPr>
                <w:rFonts w:ascii="Arial" w:cs="Arial" w:eastAsia="Arial" w:hAnsi="Arial"/>
                <w:sz w:val="10"/>
                <w:szCs w:val="10"/>
                <w:b w:val="1"/>
                <w:bCs w:val="1"/>
                <w:color w:val="auto"/>
                <w:w w:val="95"/>
              </w:rPr>
              <w:t>Fair Value Measurements at December 31, 2012</w:t>
            </w: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ind w:right="14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94"/>
        </w:trPr>
        <w:tc>
          <w:tcPr>
            <w:tcW w:w="3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10"/>
          </w:tcPr>
          <w:p>
            <w:pPr>
              <w:jc w:val="right"/>
              <w:ind w:right="580"/>
              <w:spacing w:after="0" w:line="94" w:lineRule="exact"/>
              <w:rPr>
                <w:sz w:val="20"/>
                <w:szCs w:val="20"/>
                <w:color w:val="auto"/>
              </w:rPr>
            </w:pPr>
            <w:r>
              <w:rPr>
                <w:rFonts w:ascii="Arial" w:cs="Arial" w:eastAsia="Arial" w:hAnsi="Arial"/>
                <w:sz w:val="10"/>
                <w:szCs w:val="10"/>
                <w:b w:val="1"/>
                <w:bCs w:val="1"/>
                <w:color w:val="auto"/>
                <w:w w:val="82"/>
              </w:rPr>
              <w:t>Quoted Prices in</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gridSpan w:val="11"/>
          </w:tcPr>
          <w:p>
            <w:pPr>
              <w:jc w:val="center"/>
              <w:ind w:right="520"/>
              <w:spacing w:after="0"/>
              <w:rPr>
                <w:sz w:val="20"/>
                <w:szCs w:val="20"/>
                <w:color w:val="auto"/>
              </w:rPr>
            </w:pPr>
            <w:r>
              <w:rPr>
                <w:rFonts w:ascii="Arial" w:cs="Arial" w:eastAsia="Arial" w:hAnsi="Arial"/>
                <w:sz w:val="10"/>
                <w:szCs w:val="10"/>
                <w:b w:val="1"/>
                <w:bCs w:val="1"/>
                <w:color w:val="auto"/>
                <w:w w:val="96"/>
              </w:rPr>
              <w:t>Active Markets for</w:t>
            </w:r>
          </w:p>
        </w:tc>
        <w:tc>
          <w:tcPr>
            <w:tcW w:w="320" w:type="dxa"/>
            <w:vAlign w:val="bottom"/>
          </w:tcPr>
          <w:p>
            <w:pPr>
              <w:spacing w:after="0"/>
              <w:rPr>
                <w:sz w:val="9"/>
                <w:szCs w:val="9"/>
                <w:color w:val="auto"/>
              </w:rPr>
            </w:pPr>
          </w:p>
        </w:tc>
        <w:tc>
          <w:tcPr>
            <w:tcW w:w="980" w:type="dxa"/>
            <w:vAlign w:val="bottom"/>
            <w:gridSpan w:val="8"/>
          </w:tcPr>
          <w:p>
            <w:pPr>
              <w:jc w:val="center"/>
              <w:ind w:right="80"/>
              <w:spacing w:after="0"/>
              <w:rPr>
                <w:sz w:val="20"/>
                <w:szCs w:val="20"/>
                <w:color w:val="auto"/>
              </w:rPr>
            </w:pPr>
            <w:r>
              <w:rPr>
                <w:rFonts w:ascii="Arial" w:cs="Arial" w:eastAsia="Arial" w:hAnsi="Arial"/>
                <w:sz w:val="10"/>
                <w:szCs w:val="10"/>
                <w:b w:val="1"/>
                <w:bCs w:val="1"/>
                <w:color w:val="auto"/>
                <w:w w:val="96"/>
              </w:rPr>
              <w:t>Significant Other</w:t>
            </w:r>
          </w:p>
        </w:tc>
        <w:tc>
          <w:tcPr>
            <w:tcW w:w="740" w:type="dxa"/>
            <w:vAlign w:val="bottom"/>
          </w:tcPr>
          <w:p>
            <w:pPr>
              <w:spacing w:after="0"/>
              <w:rPr>
                <w:sz w:val="9"/>
                <w:szCs w:val="9"/>
                <w:color w:val="auto"/>
              </w:rPr>
            </w:pPr>
          </w:p>
        </w:tc>
        <w:tc>
          <w:tcPr>
            <w:tcW w:w="7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8"/>
            <w:vMerge w:val="restart"/>
          </w:tcPr>
          <w:p>
            <w:pPr>
              <w:jc w:val="right"/>
              <w:ind w:right="1080"/>
              <w:spacing w:after="0"/>
              <w:rPr>
                <w:sz w:val="20"/>
                <w:szCs w:val="20"/>
                <w:color w:val="auto"/>
              </w:rPr>
            </w:pPr>
            <w:r>
              <w:rPr>
                <w:rFonts w:ascii="Arial" w:cs="Arial" w:eastAsia="Arial" w:hAnsi="Arial"/>
                <w:sz w:val="10"/>
                <w:szCs w:val="10"/>
                <w:b w:val="1"/>
                <w:bCs w:val="1"/>
                <w:color w:val="auto"/>
                <w:w w:val="91"/>
              </w:rPr>
              <w:t>Total</w:t>
            </w:r>
          </w:p>
        </w:tc>
        <w:tc>
          <w:tcPr>
            <w:tcW w:w="1400" w:type="dxa"/>
            <w:vAlign w:val="bottom"/>
            <w:gridSpan w:val="11"/>
          </w:tcPr>
          <w:p>
            <w:pPr>
              <w:jc w:val="center"/>
              <w:ind w:right="500"/>
              <w:spacing w:after="0"/>
              <w:rPr>
                <w:sz w:val="20"/>
                <w:szCs w:val="20"/>
                <w:color w:val="auto"/>
              </w:rPr>
            </w:pPr>
            <w:r>
              <w:rPr>
                <w:rFonts w:ascii="Arial" w:cs="Arial" w:eastAsia="Arial" w:hAnsi="Arial"/>
                <w:sz w:val="10"/>
                <w:szCs w:val="10"/>
                <w:b w:val="1"/>
                <w:bCs w:val="1"/>
                <w:color w:val="auto"/>
                <w:w w:val="91"/>
              </w:rPr>
              <w:t>Identical Assets</w:t>
            </w:r>
          </w:p>
        </w:tc>
        <w:tc>
          <w:tcPr>
            <w:tcW w:w="320" w:type="dxa"/>
            <w:vAlign w:val="bottom"/>
          </w:tcPr>
          <w:p>
            <w:pPr>
              <w:spacing w:after="0"/>
              <w:rPr>
                <w:sz w:val="10"/>
                <w:szCs w:val="10"/>
                <w:color w:val="auto"/>
              </w:rPr>
            </w:pPr>
          </w:p>
        </w:tc>
        <w:tc>
          <w:tcPr>
            <w:tcW w:w="980" w:type="dxa"/>
            <w:vAlign w:val="bottom"/>
            <w:gridSpan w:val="8"/>
          </w:tcPr>
          <w:p>
            <w:pPr>
              <w:jc w:val="center"/>
              <w:ind w:right="80"/>
              <w:spacing w:after="0"/>
              <w:rPr>
                <w:sz w:val="20"/>
                <w:szCs w:val="20"/>
                <w:color w:val="auto"/>
              </w:rPr>
            </w:pPr>
            <w:r>
              <w:rPr>
                <w:rFonts w:ascii="Arial" w:cs="Arial" w:eastAsia="Arial" w:hAnsi="Arial"/>
                <w:sz w:val="10"/>
                <w:szCs w:val="10"/>
                <w:b w:val="1"/>
                <w:bCs w:val="1"/>
                <w:color w:val="auto"/>
                <w:w w:val="93"/>
              </w:rPr>
              <w:t>Observable Inputs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8"/>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5"/>
          </w:tcPr>
          <w:p>
            <w:pPr>
              <w:jc w:val="center"/>
              <w:ind w:right="232"/>
              <w:spacing w:after="0" w:line="95" w:lineRule="exact"/>
              <w:rPr>
                <w:sz w:val="20"/>
                <w:szCs w:val="20"/>
                <w:color w:val="auto"/>
              </w:rPr>
            </w:pPr>
            <w:r>
              <w:rPr>
                <w:rFonts w:ascii="Arial" w:cs="Arial" w:eastAsia="Arial" w:hAnsi="Arial"/>
                <w:sz w:val="10"/>
                <w:szCs w:val="10"/>
                <w:b w:val="1"/>
                <w:bCs w:val="1"/>
                <w:color w:val="auto"/>
                <w:w w:val="94"/>
              </w:rPr>
              <w:t>Level 1</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jc w:val="center"/>
              <w:ind w:right="60"/>
              <w:spacing w:after="0" w:line="95" w:lineRule="exact"/>
              <w:rPr>
                <w:sz w:val="20"/>
                <w:szCs w:val="20"/>
                <w:color w:val="auto"/>
              </w:rPr>
            </w:pPr>
            <w:r>
              <w:rPr>
                <w:rFonts w:ascii="Arial" w:cs="Arial" w:eastAsia="Arial" w:hAnsi="Arial"/>
                <w:sz w:val="10"/>
                <w:szCs w:val="10"/>
                <w:b w:val="1"/>
                <w:bCs w:val="1"/>
                <w:color w:val="auto"/>
                <w:w w:val="94"/>
              </w:rPr>
              <w:t>Level 2</w:t>
            </w: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94"/>
              </w:rPr>
              <w:t>Level 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600" w:type="dxa"/>
            <w:vAlign w:val="bottom"/>
            <w:gridSpan w:val="9"/>
          </w:tcPr>
          <w:p>
            <w:pPr>
              <w:jc w:val="right"/>
              <w:ind w:right="80"/>
              <w:spacing w:after="0"/>
              <w:rPr>
                <w:sz w:val="20"/>
                <w:szCs w:val="20"/>
                <w:color w:val="auto"/>
              </w:rPr>
            </w:pPr>
            <w:r>
              <w:rPr>
                <w:rFonts w:ascii="Arial" w:cs="Arial" w:eastAsia="Arial" w:hAnsi="Arial"/>
                <w:sz w:val="14"/>
                <w:szCs w:val="14"/>
                <w:color w:val="auto"/>
              </w:rPr>
              <w:t>$18,695,197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6"/>
          </w:tcPr>
          <w:p>
            <w:pPr>
              <w:jc w:val="right"/>
              <w:spacing w:after="0"/>
              <w:rPr>
                <w:sz w:val="20"/>
                <w:szCs w:val="20"/>
                <w:color w:val="auto"/>
              </w:rPr>
            </w:pPr>
            <w:r>
              <w:rPr>
                <w:rFonts w:ascii="Arial" w:cs="Arial" w:eastAsia="Arial" w:hAnsi="Arial"/>
                <w:sz w:val="14"/>
                <w:szCs w:val="14"/>
                <w:color w:val="auto"/>
                <w:w w:val="88"/>
              </w:rPr>
              <w:t>18,695,197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Money market funds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7"/>
            <w:shd w:val="clear" w:color="auto" w:fill="CCEEFF"/>
          </w:tcPr>
          <w:p>
            <w:pPr>
              <w:jc w:val="right"/>
              <w:ind w:right="80"/>
              <w:spacing w:after="0"/>
              <w:rPr>
                <w:sz w:val="20"/>
                <w:szCs w:val="20"/>
                <w:color w:val="auto"/>
              </w:rPr>
            </w:pPr>
            <w:r>
              <w:rPr>
                <w:rFonts w:ascii="Arial" w:cs="Arial" w:eastAsia="Arial" w:hAnsi="Arial"/>
                <w:sz w:val="14"/>
                <w:szCs w:val="14"/>
                <w:color w:val="auto"/>
                <w:w w:val="82"/>
              </w:rPr>
              <w:t>29,047,958</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w w:val="88"/>
              </w:rPr>
              <w:t>29,047,958</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0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7"/>
          </w:tcPr>
          <w:p>
            <w:pPr>
              <w:jc w:val="right"/>
              <w:ind w:right="80"/>
              <w:spacing w:after="0"/>
              <w:rPr>
                <w:sz w:val="20"/>
                <w:szCs w:val="20"/>
                <w:color w:val="auto"/>
              </w:rPr>
            </w:pPr>
            <w:r>
              <w:rPr>
                <w:rFonts w:ascii="Arial" w:cs="Arial" w:eastAsia="Arial" w:hAnsi="Arial"/>
                <w:sz w:val="14"/>
                <w:szCs w:val="14"/>
                <w:color w:val="auto"/>
              </w:rPr>
              <w:t>404,850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6"/>
          </w:tcPr>
          <w:p>
            <w:pPr>
              <w:jc w:val="right"/>
              <w:spacing w:after="0"/>
              <w:rPr>
                <w:sz w:val="20"/>
                <w:szCs w:val="20"/>
                <w:color w:val="auto"/>
              </w:rPr>
            </w:pPr>
            <w:r>
              <w:rPr>
                <w:rFonts w:ascii="Arial" w:cs="Arial" w:eastAsia="Arial" w:hAnsi="Arial"/>
                <w:sz w:val="14"/>
                <w:szCs w:val="14"/>
                <w:color w:val="auto"/>
              </w:rPr>
              <w:t>404,850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600" w:type="dxa"/>
            <w:vAlign w:val="bottom"/>
            <w:gridSpan w:val="9"/>
            <w:shd w:val="clear" w:color="auto" w:fill="CCEEFF"/>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48,148,005</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w w:val="88"/>
              </w:rPr>
              <w:t>48,148,005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Liabilities:</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Preferred stock warrant liability</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7"/>
            <w:shd w:val="clear" w:color="auto" w:fill="CCEEFF"/>
          </w:tcPr>
          <w:p>
            <w:pPr>
              <w:jc w:val="right"/>
              <w:ind w:right="20"/>
              <w:spacing w:after="0"/>
              <w:rPr>
                <w:sz w:val="20"/>
                <w:szCs w:val="20"/>
                <w:color w:val="auto"/>
              </w:rPr>
            </w:pPr>
            <w:r>
              <w:rPr>
                <w:rFonts w:ascii="Arial" w:cs="Arial" w:eastAsia="Arial" w:hAnsi="Arial"/>
                <w:sz w:val="14"/>
                <w:szCs w:val="14"/>
                <w:color w:val="auto"/>
              </w:rPr>
              <w:t>(52,947)</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(52,947)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9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11"/>
          </w:tcPr>
          <w:p>
            <w:pPr>
              <w:ind w:left="20"/>
              <w:spacing w:after="0"/>
              <w:rPr>
                <w:sz w:val="20"/>
                <w:szCs w:val="20"/>
                <w:color w:val="auto"/>
              </w:rPr>
            </w:pPr>
            <w:r>
              <w:rPr>
                <w:rFonts w:ascii="Arial" w:cs="Arial" w:eastAsia="Arial" w:hAnsi="Arial"/>
                <w:sz w:val="10"/>
                <w:szCs w:val="10"/>
                <w:b w:val="1"/>
                <w:bCs w:val="1"/>
                <w:color w:val="auto"/>
                <w:w w:val="93"/>
              </w:rPr>
              <w:t>Fair Value Measurements at June 30, 2013</w:t>
            </w:r>
          </w:p>
        </w:tc>
        <w:tc>
          <w:tcPr>
            <w:tcW w:w="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4"/>
            <w:vMerge w:val="restart"/>
          </w:tcPr>
          <w:p>
            <w:pPr>
              <w:jc w:val="center"/>
              <w:ind w:right="14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94"/>
        </w:trPr>
        <w:tc>
          <w:tcPr>
            <w:tcW w:w="3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8"/>
          </w:tcPr>
          <w:p>
            <w:pPr>
              <w:jc w:val="center"/>
              <w:ind w:right="400"/>
              <w:spacing w:after="0" w:line="94" w:lineRule="exact"/>
              <w:rPr>
                <w:sz w:val="20"/>
                <w:szCs w:val="20"/>
                <w:color w:val="auto"/>
              </w:rPr>
            </w:pPr>
            <w:r>
              <w:rPr>
                <w:rFonts w:ascii="Arial" w:cs="Arial" w:eastAsia="Arial" w:hAnsi="Arial"/>
                <w:sz w:val="10"/>
                <w:szCs w:val="10"/>
                <w:b w:val="1"/>
                <w:bCs w:val="1"/>
                <w:color w:val="auto"/>
                <w:w w:val="93"/>
              </w:rPr>
              <w:t>Quoted Prices in</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9"/>
          </w:tcPr>
          <w:p>
            <w:pPr>
              <w:jc w:val="center"/>
              <w:ind w:right="320"/>
              <w:spacing w:after="0"/>
              <w:rPr>
                <w:sz w:val="20"/>
                <w:szCs w:val="20"/>
                <w:color w:val="auto"/>
              </w:rPr>
            </w:pPr>
            <w:r>
              <w:rPr>
                <w:rFonts w:ascii="Arial" w:cs="Arial" w:eastAsia="Arial" w:hAnsi="Arial"/>
                <w:sz w:val="10"/>
                <w:szCs w:val="10"/>
                <w:b w:val="1"/>
                <w:bCs w:val="1"/>
                <w:color w:val="auto"/>
                <w:w w:val="99"/>
              </w:rPr>
              <w:t>Active Markets for</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7"/>
          </w:tcPr>
          <w:p>
            <w:pPr>
              <w:jc w:val="center"/>
              <w:spacing w:after="0"/>
              <w:rPr>
                <w:sz w:val="20"/>
                <w:szCs w:val="20"/>
                <w:color w:val="auto"/>
              </w:rPr>
            </w:pPr>
            <w:r>
              <w:rPr>
                <w:rFonts w:ascii="Arial" w:cs="Arial" w:eastAsia="Arial" w:hAnsi="Arial"/>
                <w:sz w:val="10"/>
                <w:szCs w:val="10"/>
                <w:b w:val="1"/>
                <w:bCs w:val="1"/>
                <w:color w:val="auto"/>
                <w:w w:val="94"/>
              </w:rPr>
              <w:t>Significant Other</w:t>
            </w:r>
          </w:p>
        </w:tc>
        <w:tc>
          <w:tcPr>
            <w:tcW w:w="740" w:type="dxa"/>
            <w:vAlign w:val="bottom"/>
          </w:tcPr>
          <w:p>
            <w:pPr>
              <w:spacing w:after="0"/>
              <w:rPr>
                <w:sz w:val="9"/>
                <w:szCs w:val="9"/>
                <w:color w:val="auto"/>
              </w:rPr>
            </w:pPr>
          </w:p>
        </w:tc>
        <w:tc>
          <w:tcPr>
            <w:tcW w:w="7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restart"/>
          </w:tcPr>
          <w:p>
            <w:pPr>
              <w:jc w:val="right"/>
              <w:ind w:right="800"/>
              <w:spacing w:after="0"/>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7"/>
          </w:tcPr>
          <w:p>
            <w:pPr>
              <w:jc w:val="center"/>
              <w:ind w:right="420"/>
              <w:spacing w:after="0"/>
              <w:rPr>
                <w:sz w:val="20"/>
                <w:szCs w:val="20"/>
                <w:color w:val="auto"/>
              </w:rPr>
            </w:pPr>
            <w:r>
              <w:rPr>
                <w:rFonts w:ascii="Arial" w:cs="Arial" w:eastAsia="Arial" w:hAnsi="Arial"/>
                <w:sz w:val="10"/>
                <w:szCs w:val="10"/>
                <w:b w:val="1"/>
                <w:bCs w:val="1"/>
                <w:color w:val="auto"/>
                <w:w w:val="91"/>
              </w:rPr>
              <w:t>Identical Assets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7"/>
          </w:tcPr>
          <w:p>
            <w:pPr>
              <w:jc w:val="center"/>
              <w:spacing w:after="0"/>
              <w:rPr>
                <w:sz w:val="20"/>
                <w:szCs w:val="20"/>
                <w:color w:val="auto"/>
              </w:rPr>
            </w:pPr>
            <w:r>
              <w:rPr>
                <w:rFonts w:ascii="Arial" w:cs="Arial" w:eastAsia="Arial" w:hAnsi="Arial"/>
                <w:sz w:val="10"/>
                <w:szCs w:val="10"/>
                <w:b w:val="1"/>
                <w:bCs w:val="1"/>
                <w:color w:val="auto"/>
                <w:w w:val="96"/>
              </w:rPr>
              <w:t>Observable Inputs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4"/>
          </w:tcPr>
          <w:p>
            <w:pPr>
              <w:jc w:val="center"/>
              <w:ind w:right="260"/>
              <w:spacing w:after="0" w:line="95" w:lineRule="exact"/>
              <w:rPr>
                <w:sz w:val="20"/>
                <w:szCs w:val="20"/>
                <w:color w:val="auto"/>
              </w:rPr>
            </w:pPr>
            <w:r>
              <w:rPr>
                <w:rFonts w:ascii="Arial" w:cs="Arial" w:eastAsia="Arial" w:hAnsi="Arial"/>
                <w:sz w:val="10"/>
                <w:szCs w:val="10"/>
                <w:b w:val="1"/>
                <w:bCs w:val="1"/>
                <w:color w:val="auto"/>
                <w:w w:val="94"/>
              </w:rPr>
              <w:t>Level 1</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5"/>
          </w:tcPr>
          <w:p>
            <w:pPr>
              <w:jc w:val="center"/>
              <w:ind w:right="280"/>
              <w:spacing w:after="0" w:line="95" w:lineRule="exact"/>
              <w:rPr>
                <w:sz w:val="20"/>
                <w:szCs w:val="20"/>
                <w:color w:val="auto"/>
              </w:rPr>
            </w:pPr>
            <w:r>
              <w:rPr>
                <w:rFonts w:ascii="Arial" w:cs="Arial" w:eastAsia="Arial" w:hAnsi="Arial"/>
                <w:sz w:val="10"/>
                <w:szCs w:val="10"/>
                <w:b w:val="1"/>
                <w:bCs w:val="1"/>
                <w:color w:val="auto"/>
                <w:w w:val="94"/>
              </w:rPr>
              <w:t>Level 2</w:t>
            </w:r>
          </w:p>
        </w:tc>
        <w:tc>
          <w:tcPr>
            <w:tcW w:w="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94"/>
              </w:rPr>
              <w:t>Level 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5"/>
          </w:tcPr>
          <w:p>
            <w:pPr>
              <w:jc w:val="right"/>
              <w:spacing w:after="0"/>
              <w:rPr>
                <w:sz w:val="20"/>
                <w:szCs w:val="20"/>
                <w:color w:val="auto"/>
              </w:rPr>
            </w:pPr>
            <w:r>
              <w:rPr>
                <w:rFonts w:ascii="Arial" w:cs="Arial" w:eastAsia="Arial" w:hAnsi="Arial"/>
                <w:sz w:val="14"/>
                <w:szCs w:val="14"/>
                <w:color w:val="auto"/>
                <w:w w:val="96"/>
              </w:rPr>
              <w:t>4,733,549</w:t>
            </w:r>
          </w:p>
        </w:tc>
        <w:tc>
          <w:tcPr>
            <w:tcW w:w="56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8"/>
          </w:tcPr>
          <w:p>
            <w:pPr>
              <w:jc w:val="right"/>
              <w:ind w:right="320"/>
              <w:spacing w:after="0"/>
              <w:rPr>
                <w:sz w:val="20"/>
                <w:szCs w:val="20"/>
                <w:color w:val="auto"/>
              </w:rPr>
            </w:pPr>
            <w:r>
              <w:rPr>
                <w:rFonts w:ascii="Arial" w:cs="Arial" w:eastAsia="Arial" w:hAnsi="Arial"/>
                <w:sz w:val="14"/>
                <w:szCs w:val="14"/>
                <w:color w:val="auto"/>
              </w:rPr>
              <w:t>4,733,549</w:t>
            </w:r>
          </w:p>
        </w:tc>
        <w:tc>
          <w:tcPr>
            <w:tcW w:w="6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Money market funds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85"/>
              </w:rPr>
              <w:t>29,047,414</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8"/>
            <w:shd w:val="clear" w:color="auto" w:fill="CCEEFF"/>
          </w:tcPr>
          <w:p>
            <w:pPr>
              <w:jc w:val="right"/>
              <w:ind w:right="320"/>
              <w:spacing w:after="0"/>
              <w:rPr>
                <w:sz w:val="20"/>
                <w:szCs w:val="20"/>
                <w:color w:val="auto"/>
              </w:rPr>
            </w:pPr>
            <w:r>
              <w:rPr>
                <w:rFonts w:ascii="Arial" w:cs="Arial" w:eastAsia="Arial" w:hAnsi="Arial"/>
                <w:sz w:val="14"/>
                <w:szCs w:val="14"/>
                <w:color w:val="auto"/>
              </w:rPr>
              <w:t>29,047,414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0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5"/>
          </w:tcPr>
          <w:p>
            <w:pPr>
              <w:jc w:val="right"/>
              <w:spacing w:after="0"/>
              <w:rPr>
                <w:sz w:val="20"/>
                <w:szCs w:val="20"/>
                <w:color w:val="auto"/>
              </w:rPr>
            </w:pPr>
            <w:r>
              <w:rPr>
                <w:rFonts w:ascii="Arial" w:cs="Arial" w:eastAsia="Arial" w:hAnsi="Arial"/>
                <w:sz w:val="14"/>
                <w:szCs w:val="14"/>
                <w:color w:val="auto"/>
              </w:rPr>
              <w:t>404,850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8"/>
          </w:tcPr>
          <w:p>
            <w:pPr>
              <w:jc w:val="right"/>
              <w:ind w:right="320"/>
              <w:spacing w:after="0"/>
              <w:rPr>
                <w:sz w:val="20"/>
                <w:szCs w:val="20"/>
                <w:color w:val="auto"/>
              </w:rPr>
            </w:pPr>
            <w:r>
              <w:rPr>
                <w:rFonts w:ascii="Arial" w:cs="Arial" w:eastAsia="Arial" w:hAnsi="Arial"/>
                <w:sz w:val="14"/>
                <w:szCs w:val="14"/>
                <w:color w:val="auto"/>
              </w:rPr>
              <w:t>404,850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4"/>
                <w:szCs w:val="14"/>
                <w:u w:val="single" w:color="auto"/>
                <w:color w:val="auto"/>
                <w:w w:val="87"/>
              </w:rPr>
              <w:t>$</w:t>
            </w:r>
            <w:r>
              <w:rPr>
                <w:rFonts w:ascii="Arial" w:cs="Arial" w:eastAsia="Arial" w:hAnsi="Arial"/>
                <w:sz w:val="14"/>
                <w:szCs w:val="14"/>
                <w:color w:val="auto"/>
                <w:w w:val="87"/>
              </w:rPr>
              <w:t>34,185,813</w:t>
            </w:r>
          </w:p>
        </w:tc>
        <w:tc>
          <w:tcPr>
            <w:tcW w:w="5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8"/>
            <w:shd w:val="clear" w:color="auto" w:fill="CCEEFF"/>
          </w:tcPr>
          <w:p>
            <w:pPr>
              <w:jc w:val="right"/>
              <w:ind w:right="320"/>
              <w:spacing w:after="0"/>
              <w:rPr>
                <w:sz w:val="20"/>
                <w:szCs w:val="20"/>
                <w:color w:val="auto"/>
              </w:rPr>
            </w:pPr>
            <w:r>
              <w:rPr>
                <w:rFonts w:ascii="Arial" w:cs="Arial" w:eastAsia="Arial" w:hAnsi="Arial"/>
                <w:sz w:val="14"/>
                <w:szCs w:val="14"/>
                <w:color w:val="auto"/>
              </w:rPr>
              <w:t>34,185,813</w:t>
            </w:r>
          </w:p>
        </w:tc>
        <w:tc>
          <w:tcPr>
            <w:tcW w:w="6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Liabilities:</w:t>
            </w: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Preferred stock warrant liability</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6"/>
            <w:shd w:val="clear" w:color="auto" w:fill="CCEEFF"/>
          </w:tcPr>
          <w:p>
            <w:pPr>
              <w:jc w:val="right"/>
              <w:ind w:right="520"/>
              <w:spacing w:after="0"/>
              <w:rPr>
                <w:sz w:val="20"/>
                <w:szCs w:val="20"/>
                <w:color w:val="auto"/>
              </w:rPr>
            </w:pPr>
            <w:r>
              <w:rPr>
                <w:rFonts w:ascii="Arial" w:cs="Arial" w:eastAsia="Arial" w:hAnsi="Arial"/>
                <w:sz w:val="14"/>
                <w:szCs w:val="14"/>
                <w:color w:val="auto"/>
              </w:rPr>
              <w:t>(124,900)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(124,900)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 of December 31, 2012, the Company transferred its money market funds from Level 2 to Level 1 because the inputs are now based upon a quoted market price.</w:t>
      </w:r>
    </w:p>
    <w:p>
      <w:pPr>
        <w:spacing w:after="0" w:line="132" w:lineRule="exact"/>
        <w:rPr>
          <w:sz w:val="20"/>
          <w:szCs w:val="20"/>
          <w:color w:val="auto"/>
        </w:rPr>
      </w:pPr>
    </w:p>
    <w:p>
      <w:pPr>
        <w:ind w:right="100" w:firstLine="802"/>
        <w:spacing w:after="0" w:line="267" w:lineRule="auto"/>
        <w:rPr>
          <w:sz w:val="20"/>
          <w:szCs w:val="20"/>
          <w:color w:val="auto"/>
        </w:rPr>
      </w:pPr>
      <w:r>
        <w:rPr>
          <w:rFonts w:ascii="Arial" w:cs="Arial" w:eastAsia="Arial" w:hAnsi="Arial"/>
          <w:sz w:val="14"/>
          <w:szCs w:val="14"/>
          <w:color w:val="auto"/>
        </w:rPr>
        <w:t>The Company’s Level 1 securities primarily consist of restricted cash, cash equivalents and money market funds. The Company determines the estimated fair value for its Level 1 securities using quoted (unadjusted) prices for identical assets or liabilities in active markets.</w:t>
      </w:r>
    </w:p>
    <w:p>
      <w:pPr>
        <w:spacing w:after="0" w:line="101" w:lineRule="exact"/>
        <w:rPr>
          <w:sz w:val="20"/>
          <w:szCs w:val="20"/>
          <w:color w:val="auto"/>
        </w:rPr>
      </w:pPr>
    </w:p>
    <w:p>
      <w:pPr>
        <w:ind w:right="20" w:firstLine="802"/>
        <w:spacing w:after="0" w:line="351" w:lineRule="auto"/>
        <w:rPr>
          <w:sz w:val="20"/>
          <w:szCs w:val="20"/>
          <w:color w:val="auto"/>
        </w:rPr>
      </w:pPr>
      <w:r>
        <w:rPr>
          <w:rFonts w:ascii="Arial" w:cs="Arial" w:eastAsia="Arial" w:hAnsi="Arial"/>
          <w:sz w:val="12"/>
          <w:szCs w:val="12"/>
          <w:color w:val="auto"/>
        </w:rPr>
        <w:t>The Company determines the estimated fair value for its Level 2 securities using the following methods: quoted prices for similar assets/liabilities in active markets, inputs other than quoted prices that are observable for the asset/liability (e.g., interest rates, yield curves volatilities, default rates, etc.) and inputs that are derived principally from or corroborated by other observable market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60"/>
          </w:cols>
          <w:pgMar w:left="220" w:top="387" w:right="21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580" w:firstLine="802"/>
        <w:spacing w:after="0" w:line="267" w:lineRule="auto"/>
        <w:rPr>
          <w:sz w:val="20"/>
          <w:szCs w:val="20"/>
          <w:color w:val="auto"/>
        </w:rPr>
      </w:pPr>
      <w:r>
        <w:rPr>
          <w:rFonts w:ascii="Arial" w:cs="Arial" w:eastAsia="Arial" w:hAnsi="Arial"/>
          <w:sz w:val="14"/>
          <w:szCs w:val="14"/>
          <w:color w:val="auto"/>
        </w:rPr>
        <w:t>The following table presents information about the Company’s preferred stock warrant liability, which was the only financial instrument measured at fair value on a recurring basis using significant unobservable inputs (Level 3) as defined in ASC 820 as of December 31, 2011, December 31, 2012, and June 30, 2013:</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6"/>
              </w:rPr>
              <w:t>December 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2012</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2"/>
              </w:rPr>
              <w:t>June 30, 2013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5"/>
              </w:rPr>
              <w:t>(unaudited)</w:t>
            </w:r>
          </w:p>
        </w:tc>
        <w:tc>
          <w:tcPr>
            <w:tcW w:w="2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4"/>
            <w:shd w:val="clear" w:color="auto" w:fill="CCEEFF"/>
          </w:tcPr>
          <w:p>
            <w:pPr>
              <w:jc w:val="right"/>
              <w:ind w:right="488"/>
              <w:spacing w:after="0"/>
              <w:rPr>
                <w:sz w:val="20"/>
                <w:szCs w:val="20"/>
                <w:color w:val="auto"/>
              </w:rPr>
            </w:pPr>
            <w:r>
              <w:rPr>
                <w:rFonts w:ascii="Arial" w:cs="Arial" w:eastAsia="Arial" w:hAnsi="Arial"/>
                <w:sz w:val="14"/>
                <w:szCs w:val="14"/>
                <w:color w:val="auto"/>
                <w:w w:val="97"/>
              </w:rPr>
              <w:t>(1,663,077)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w w:val="96"/>
              </w:rPr>
              <w:t>(203,642)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ind w:left="320"/>
              <w:spacing w:after="0"/>
              <w:rPr>
                <w:sz w:val="20"/>
                <w:szCs w:val="20"/>
                <w:color w:val="auto"/>
              </w:rPr>
            </w:pPr>
            <w:r>
              <w:rPr>
                <w:rFonts w:ascii="Arial" w:cs="Arial" w:eastAsia="Arial" w:hAnsi="Arial"/>
                <w:sz w:val="14"/>
                <w:szCs w:val="14"/>
                <w:color w:val="auto"/>
              </w:rPr>
              <w:t>Total unrealized gains (losses) included in earnings</w:t>
            </w:r>
          </w:p>
        </w:tc>
        <w:tc>
          <w:tcPr>
            <w:tcW w:w="14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1,459,435</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150,695</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(71,953)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Balance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4"/>
            <w:shd w:val="clear" w:color="auto" w:fill="CCEEFF"/>
          </w:tcPr>
          <w:p>
            <w:pPr>
              <w:jc w:val="right"/>
              <w:ind w:right="488"/>
              <w:spacing w:after="0"/>
              <w:rPr>
                <w:sz w:val="20"/>
                <w:szCs w:val="20"/>
                <w:color w:val="auto"/>
              </w:rPr>
            </w:pPr>
            <w:r>
              <w:rPr>
                <w:rFonts w:ascii="Arial" w:cs="Arial" w:eastAsia="Arial" w:hAnsi="Arial"/>
                <w:sz w:val="14"/>
                <w:szCs w:val="14"/>
                <w:color w:val="auto"/>
              </w:rPr>
              <w:t>(203,642)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(52,947)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firstLine="802"/>
        <w:spacing w:after="0" w:line="305" w:lineRule="auto"/>
        <w:rPr>
          <w:sz w:val="20"/>
          <w:szCs w:val="20"/>
          <w:color w:val="auto"/>
        </w:rPr>
      </w:pPr>
      <w:r>
        <w:rPr>
          <w:rFonts w:ascii="Arial" w:cs="Arial" w:eastAsia="Arial" w:hAnsi="Arial"/>
          <w:sz w:val="12"/>
          <w:szCs w:val="12"/>
          <w:color w:val="auto"/>
        </w:rPr>
        <w:t>In order to estimate the fair value of the preferred stock purchase warrants, the business enterprise value was established based on a discounted cash flow model (income approach). The Company utilized an option pricing method to value the shares using a contingent claims analysis, which applies a series of call options whose inputs reflect the liquidation preferences and conversion behavior of the different classes of equity. After the equity value of the business enterprise was determined, the total equity value is allocated to the various equity instruments such as preferred stock, stock options and preferred stock purchase warrants. Key management estimates relate to the time period to liquidation and conversion behavior of a particular class of stockholders. The business enterprise value includes assumptions related to product approval, market penetration and costs to develop the product. Significant changes to these assumptions would result in increases/decreases to the fair value of the outstanding warrants.</w:t>
      </w:r>
    </w:p>
    <w:p>
      <w:pPr>
        <w:spacing w:after="0" w:line="84" w:lineRule="exact"/>
        <w:rPr>
          <w:sz w:val="20"/>
          <w:szCs w:val="20"/>
          <w:color w:val="auto"/>
        </w:rPr>
      </w:pPr>
    </w:p>
    <w:p>
      <w:pPr>
        <w:ind w:right="380" w:firstLine="802"/>
        <w:spacing w:after="0" w:line="267" w:lineRule="auto"/>
        <w:rPr>
          <w:sz w:val="20"/>
          <w:szCs w:val="20"/>
          <w:color w:val="auto"/>
        </w:rPr>
      </w:pPr>
      <w:r>
        <w:rPr>
          <w:rFonts w:ascii="Arial" w:cs="Arial" w:eastAsia="Arial" w:hAnsi="Arial"/>
          <w:sz w:val="14"/>
          <w:szCs w:val="14"/>
          <w:color w:val="auto"/>
        </w:rPr>
        <w:t>The total unrealized gains (losses) on the preferred stock warrants included in earnings is included as a component of other income (expense) in the consolidated statement of operations and comprehensive income.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32" w:lineRule="exact"/>
        <w:rPr>
          <w:sz w:val="20"/>
          <w:szCs w:val="20"/>
          <w:color w:val="auto"/>
        </w:rPr>
      </w:pPr>
    </w:p>
    <w:p>
      <w:pPr>
        <w:ind w:right="180" w:firstLine="802"/>
        <w:spacing w:after="0" w:line="267" w:lineRule="auto"/>
        <w:rPr>
          <w:sz w:val="20"/>
          <w:szCs w:val="20"/>
          <w:color w:val="auto"/>
        </w:rPr>
      </w:pPr>
      <w:r>
        <w:rPr>
          <w:rFonts w:ascii="Arial" w:cs="Arial" w:eastAsia="Arial" w:hAnsi="Arial"/>
          <w:sz w:val="14"/>
          <w:szCs w:val="14"/>
          <w:color w:val="auto"/>
        </w:rPr>
        <w:t>Substantially all of the Company’s cash and cash equivalents are maintained with major financial institutions in the United States. Deposits held with banks may exceed the amount of insurance provided on such deposits. Generally, these deposits may be redeemed upon demand and, therefore, bear minimal risk.</w:t>
      </w:r>
    </w:p>
    <w:p>
      <w:pPr>
        <w:spacing w:after="0" w:line="101"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principally of cash and cash equivalents, and accounts receivable. The counterparties are various corporations, financial institutions and government agencies of high credit standing.</w:t>
      </w:r>
    </w:p>
    <w:p>
      <w:pPr>
        <w:spacing w:after="0" w:line="101" w:lineRule="exact"/>
        <w:rPr>
          <w:sz w:val="20"/>
          <w:szCs w:val="20"/>
          <w:color w:val="auto"/>
        </w:rPr>
      </w:pPr>
    </w:p>
    <w:p>
      <w:pPr>
        <w:ind w:right="480" w:firstLine="802"/>
        <w:spacing w:after="0" w:line="321" w:lineRule="auto"/>
        <w:rPr>
          <w:sz w:val="20"/>
          <w:szCs w:val="20"/>
          <w:color w:val="auto"/>
        </w:rPr>
      </w:pPr>
      <w:r>
        <w:rPr>
          <w:rFonts w:ascii="Arial" w:cs="Arial" w:eastAsia="Arial" w:hAnsi="Arial"/>
          <w:sz w:val="12"/>
          <w:szCs w:val="12"/>
          <w:color w:val="auto"/>
        </w:rPr>
        <w:t>For the years ended December 31, 2011 and 2012, and the quarter ended June 30, 2013, all of the Company’s grant revenue was related to contracts and research grants received from U.S. government agencies. Collaborations with Eli Lilly &amp; Co. (Eli Lilly), Boehringer Ingelheim GmbH (Boehringer), Pfizer, Inc. (Pfizer), and Les Laboratoires Servier and Institut de Recherches Servier (collectively, Servier) account for all other revenue. All outstanding receivables are due from Eli Lilly, Boehringer, Pfizer, and U.S. government agencies.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60"/>
          </w:cols>
          <w:pgMar w:left="220" w:top="386" w:right="21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represents the percentage of all significant revenue earned in the years ended December 31, 2011 and 2012 as well as in the six month period ended June 30, 2013:</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center"/>
              <w:ind w:left="97"/>
              <w:spacing w:after="0"/>
              <w:rPr>
                <w:sz w:val="20"/>
                <w:szCs w:val="20"/>
                <w:color w:val="auto"/>
              </w:rPr>
            </w:pPr>
            <w:r>
              <w:rPr>
                <w:rFonts w:ascii="Arial" w:cs="Arial" w:eastAsia="Arial" w:hAnsi="Arial"/>
                <w:sz w:val="10"/>
                <w:szCs w:val="10"/>
                <w:b w:val="1"/>
                <w:bCs w:val="1"/>
                <w:color w:val="auto"/>
                <w:w w:val="89"/>
              </w:rPr>
              <w:t>June 30,</w:t>
            </w:r>
          </w:p>
        </w:tc>
      </w:tr>
      <w:tr>
        <w:trPr>
          <w:trHeight w:val="105"/>
        </w:trPr>
        <w:tc>
          <w:tcPr>
            <w:tcW w:w="5360" w:type="dxa"/>
            <w:vAlign w:val="bottom"/>
          </w:tcPr>
          <w:p>
            <w:pPr>
              <w:spacing w:after="0"/>
              <w:rPr>
                <w:sz w:val="9"/>
                <w:szCs w:val="9"/>
                <w:color w:val="auto"/>
              </w:rPr>
            </w:pPr>
          </w:p>
        </w:tc>
        <w:tc>
          <w:tcPr>
            <w:tcW w:w="220" w:type="dxa"/>
            <w:vAlign w:val="bottom"/>
          </w:tcPr>
          <w:p>
            <w:pPr>
              <w:spacing w:after="0" w:line="105" w:lineRule="exact"/>
              <w:rPr>
                <w:sz w:val="20"/>
                <w:szCs w:val="20"/>
                <w:color w:val="auto"/>
              </w:rPr>
            </w:pPr>
            <w:r>
              <w:rPr>
                <w:rFonts w:ascii="Arial" w:cs="Arial" w:eastAsia="Arial" w:hAnsi="Arial"/>
                <w:sz w:val="10"/>
                <w:szCs w:val="10"/>
                <w:b w:val="1"/>
                <w:bCs w:val="1"/>
                <w:color w:val="auto"/>
                <w:w w:val="89"/>
              </w:rPr>
              <w:t>2011</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440" w:type="dxa"/>
            <w:vAlign w:val="bottom"/>
          </w:tcPr>
          <w:p>
            <w:pPr>
              <w:spacing w:after="0"/>
              <w:rPr>
                <w:sz w:val="9"/>
                <w:szCs w:val="9"/>
                <w:color w:val="auto"/>
              </w:rPr>
            </w:pPr>
          </w:p>
        </w:tc>
        <w:tc>
          <w:tcPr>
            <w:tcW w:w="1000" w:type="dxa"/>
            <w:vAlign w:val="bottom"/>
          </w:tcPr>
          <w:p>
            <w:pPr>
              <w:jc w:val="center"/>
              <w:ind w:left="97"/>
              <w:spacing w:after="0" w:line="105" w:lineRule="exact"/>
              <w:rPr>
                <w:sz w:val="20"/>
                <w:szCs w:val="20"/>
                <w:color w:val="auto"/>
              </w:rPr>
            </w:pPr>
            <w:r>
              <w:rPr>
                <w:rFonts w:ascii="Arial" w:cs="Arial" w:eastAsia="Arial" w:hAnsi="Arial"/>
                <w:sz w:val="10"/>
                <w:szCs w:val="10"/>
                <w:b w:val="1"/>
                <w:bCs w:val="1"/>
                <w:color w:val="auto"/>
                <w:w w:val="89"/>
              </w:rPr>
              <w:t>2013</w:t>
            </w:r>
          </w:p>
        </w:tc>
      </w:tr>
      <w:tr>
        <w:trPr>
          <w:trHeight w:val="105"/>
        </w:trPr>
        <w:tc>
          <w:tcPr>
            <w:tcW w:w="53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jc w:val="center"/>
              <w:ind w:left="97"/>
              <w:spacing w:after="0" w:line="105" w:lineRule="exact"/>
              <w:rPr>
                <w:sz w:val="20"/>
                <w:szCs w:val="20"/>
                <w:color w:val="auto"/>
              </w:rPr>
            </w:pPr>
            <w:r>
              <w:rPr>
                <w:rFonts w:ascii="Arial" w:cs="Arial" w:eastAsia="Arial" w:hAnsi="Arial"/>
                <w:sz w:val="10"/>
                <w:szCs w:val="10"/>
                <w:b w:val="1"/>
                <w:bCs w:val="1"/>
                <w:color w:val="auto"/>
                <w:w w:val="95"/>
              </w:rPr>
              <w:t>(unaudited)</w:t>
            </w:r>
          </w:p>
        </w:tc>
      </w:tr>
      <w:tr>
        <w:trPr>
          <w:trHeight w:val="167"/>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Eli Lilly</w:t>
            </w:r>
          </w:p>
        </w:tc>
        <w:tc>
          <w:tcPr>
            <w:tcW w:w="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54.0%</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48.9%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5360" w:type="dxa"/>
            <w:vAlign w:val="bottom"/>
          </w:tcPr>
          <w:p>
            <w:pPr>
              <w:spacing w:after="0"/>
              <w:rPr>
                <w:sz w:val="20"/>
                <w:szCs w:val="20"/>
                <w:color w:val="auto"/>
              </w:rPr>
            </w:pPr>
            <w:r>
              <w:rPr>
                <w:rFonts w:ascii="Arial" w:cs="Arial" w:eastAsia="Arial" w:hAnsi="Arial"/>
                <w:sz w:val="14"/>
                <w:szCs w:val="14"/>
                <w:color w:val="auto"/>
              </w:rPr>
              <w:t>Boehringer</w:t>
            </w:r>
          </w:p>
        </w:tc>
        <w:tc>
          <w:tcPr>
            <w:tcW w:w="280" w:type="dxa"/>
            <w:vAlign w:val="bottom"/>
            <w:gridSpan w:val="2"/>
          </w:tcPr>
          <w:p>
            <w:pPr>
              <w:spacing w:after="0"/>
              <w:rPr>
                <w:sz w:val="20"/>
                <w:szCs w:val="20"/>
                <w:color w:val="auto"/>
              </w:rPr>
            </w:pPr>
            <w:r>
              <w:rPr>
                <w:rFonts w:ascii="Arial" w:cs="Arial" w:eastAsia="Arial" w:hAnsi="Arial"/>
                <w:sz w:val="14"/>
                <w:szCs w:val="14"/>
                <w:color w:val="auto"/>
                <w:w w:val="95"/>
              </w:rPr>
              <w:t>15.6</w:t>
            </w:r>
          </w:p>
        </w:tc>
        <w:tc>
          <w:tcPr>
            <w:tcW w:w="64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18.4</w:t>
            </w:r>
          </w:p>
        </w:tc>
        <w:tc>
          <w:tcPr>
            <w:tcW w:w="1000" w:type="dxa"/>
            <w:vAlign w:val="bottom"/>
          </w:tcPr>
          <w:p>
            <w:pPr>
              <w:jc w:val="right"/>
              <w:ind w:right="97"/>
              <w:spacing w:after="0"/>
              <w:rPr>
                <w:sz w:val="20"/>
                <w:szCs w:val="20"/>
                <w:color w:val="auto"/>
              </w:rPr>
            </w:pPr>
            <w:r>
              <w:rPr>
                <w:rFonts w:ascii="Arial" w:cs="Arial" w:eastAsia="Arial" w:hAnsi="Arial"/>
                <w:sz w:val="14"/>
                <w:szCs w:val="14"/>
                <w:color w:val="auto"/>
              </w:rPr>
              <w:t>19.7</w:t>
            </w:r>
          </w:p>
        </w:tc>
      </w:tr>
      <w:tr>
        <w:trPr>
          <w:trHeight w:val="167"/>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Pfizer</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10.8</w:t>
            </w:r>
          </w:p>
        </w:tc>
        <w:tc>
          <w:tcPr>
            <w:tcW w:w="6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8.7</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rPr>
              <w:t>9.8</w:t>
            </w:r>
          </w:p>
        </w:tc>
      </w:tr>
      <w:tr>
        <w:trPr>
          <w:trHeight w:val="167"/>
        </w:trPr>
        <w:tc>
          <w:tcPr>
            <w:tcW w:w="5360" w:type="dxa"/>
            <w:vAlign w:val="bottom"/>
          </w:tcPr>
          <w:p>
            <w:pPr>
              <w:spacing w:after="0"/>
              <w:rPr>
                <w:sz w:val="20"/>
                <w:szCs w:val="20"/>
                <w:color w:val="auto"/>
              </w:rPr>
            </w:pPr>
            <w:r>
              <w:rPr>
                <w:rFonts w:ascii="Arial" w:cs="Arial" w:eastAsia="Arial" w:hAnsi="Arial"/>
                <w:sz w:val="14"/>
                <w:szCs w:val="14"/>
                <w:color w:val="auto"/>
              </w:rPr>
              <w:t>Servier</w:t>
            </w: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17.3</w:t>
            </w:r>
          </w:p>
        </w:tc>
        <w:tc>
          <w:tcPr>
            <w:tcW w:w="1000" w:type="dxa"/>
            <w:vAlign w:val="bottom"/>
          </w:tcPr>
          <w:p>
            <w:pPr>
              <w:jc w:val="right"/>
              <w:ind w:right="97"/>
              <w:spacing w:after="0"/>
              <w:rPr>
                <w:sz w:val="20"/>
                <w:szCs w:val="20"/>
                <w:color w:val="auto"/>
              </w:rPr>
            </w:pPr>
            <w:r>
              <w:rPr>
                <w:rFonts w:ascii="Arial" w:cs="Arial" w:eastAsia="Arial" w:hAnsi="Arial"/>
                <w:sz w:val="14"/>
                <w:szCs w:val="14"/>
                <w:color w:val="auto"/>
              </w:rPr>
              <w:t>47.6</w:t>
            </w:r>
          </w:p>
        </w:tc>
      </w:tr>
      <w:tr>
        <w:trPr>
          <w:trHeight w:val="167"/>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Gilead Sciences, Inc.</w:t>
            </w:r>
          </w:p>
        </w:tc>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rPr>
              <w:t>16.4</w:t>
            </w:r>
          </w:p>
        </w:tc>
      </w:tr>
      <w:tr>
        <w:trPr>
          <w:trHeight w:val="173"/>
        </w:trPr>
        <w:tc>
          <w:tcPr>
            <w:tcW w:w="5360" w:type="dxa"/>
            <w:vAlign w:val="bottom"/>
          </w:tcPr>
          <w:p>
            <w:pPr>
              <w:spacing w:after="0"/>
              <w:rPr>
                <w:sz w:val="20"/>
                <w:szCs w:val="20"/>
                <w:color w:val="auto"/>
              </w:rPr>
            </w:pPr>
            <w:r>
              <w:rPr>
                <w:rFonts w:ascii="Arial" w:cs="Arial" w:eastAsia="Arial" w:hAnsi="Arial"/>
                <w:sz w:val="14"/>
                <w:szCs w:val="14"/>
                <w:color w:val="auto"/>
              </w:rPr>
              <w:t>Government Agencies</w:t>
            </w:r>
          </w:p>
        </w:tc>
        <w:tc>
          <w:tcPr>
            <w:tcW w:w="280" w:type="dxa"/>
            <w:vAlign w:val="bottom"/>
            <w:gridSpan w:val="2"/>
          </w:tcPr>
          <w:p>
            <w:pPr>
              <w:spacing w:after="0"/>
              <w:rPr>
                <w:sz w:val="20"/>
                <w:szCs w:val="20"/>
                <w:color w:val="auto"/>
              </w:rPr>
            </w:pPr>
            <w:r>
              <w:rPr>
                <w:rFonts w:ascii="Arial" w:cs="Arial" w:eastAsia="Arial" w:hAnsi="Arial"/>
                <w:sz w:val="14"/>
                <w:szCs w:val="14"/>
                <w:color w:val="auto"/>
                <w:w w:val="95"/>
              </w:rPr>
              <w:t>17.7</w:t>
            </w:r>
          </w:p>
        </w:tc>
        <w:tc>
          <w:tcPr>
            <w:tcW w:w="640" w:type="dxa"/>
            <w:vAlign w:val="bottom"/>
          </w:tcPr>
          <w:p>
            <w:pPr>
              <w:spacing w:after="0"/>
              <w:rPr>
                <w:sz w:val="15"/>
                <w:szCs w:val="15"/>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6.5</w:t>
            </w:r>
          </w:p>
        </w:tc>
        <w:tc>
          <w:tcPr>
            <w:tcW w:w="1000" w:type="dxa"/>
            <w:vAlign w:val="bottom"/>
          </w:tcPr>
          <w:p>
            <w:pPr>
              <w:jc w:val="right"/>
              <w:ind w:right="97"/>
              <w:spacing w:after="0"/>
              <w:rPr>
                <w:sz w:val="20"/>
                <w:szCs w:val="20"/>
                <w:color w:val="auto"/>
              </w:rPr>
            </w:pPr>
            <w:r>
              <w:rPr>
                <w:rFonts w:ascii="Arial" w:cs="Arial" w:eastAsia="Arial" w:hAnsi="Arial"/>
                <w:sz w:val="14"/>
                <w:szCs w:val="14"/>
                <w:color w:val="auto"/>
              </w:rPr>
              <w:t>4.3</w:t>
            </w:r>
          </w:p>
        </w:tc>
      </w:tr>
    </w:tbl>
    <w:p>
      <w:pPr>
        <w:spacing w:after="0" w:line="11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represents the percentage of all significant accounts receivable balances as of December 31, 2011, December 31, 2012 and June 30, 2013:</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r>
      <w:tr>
        <w:trPr>
          <w:trHeight w:val="105"/>
        </w:trPr>
        <w:tc>
          <w:tcPr>
            <w:tcW w:w="5360" w:type="dxa"/>
            <w:vAlign w:val="bottom"/>
          </w:tcPr>
          <w:p>
            <w:pPr>
              <w:spacing w:after="0"/>
              <w:rPr>
                <w:sz w:val="9"/>
                <w:szCs w:val="9"/>
                <w:color w:val="auto"/>
              </w:rPr>
            </w:pPr>
          </w:p>
        </w:tc>
        <w:tc>
          <w:tcPr>
            <w:tcW w:w="220" w:type="dxa"/>
            <w:vAlign w:val="bottom"/>
          </w:tcPr>
          <w:p>
            <w:pPr>
              <w:spacing w:after="0" w:line="105" w:lineRule="exact"/>
              <w:rPr>
                <w:sz w:val="20"/>
                <w:szCs w:val="20"/>
                <w:color w:val="auto"/>
              </w:rPr>
            </w:pPr>
            <w:r>
              <w:rPr>
                <w:rFonts w:ascii="Arial" w:cs="Arial" w:eastAsia="Arial" w:hAnsi="Arial"/>
                <w:sz w:val="10"/>
                <w:szCs w:val="10"/>
                <w:b w:val="1"/>
                <w:bCs w:val="1"/>
                <w:color w:val="auto"/>
                <w:w w:val="89"/>
              </w:rPr>
              <w:t>2011</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440" w:type="dxa"/>
            <w:vAlign w:val="bottom"/>
          </w:tcPr>
          <w:p>
            <w:pPr>
              <w:spacing w:after="0"/>
              <w:rPr>
                <w:sz w:val="9"/>
                <w:szCs w:val="9"/>
                <w:color w:val="auto"/>
              </w:rPr>
            </w:pPr>
          </w:p>
        </w:tc>
        <w:tc>
          <w:tcPr>
            <w:tcW w:w="780" w:type="dxa"/>
            <w:vAlign w:val="bottom"/>
            <w:gridSpan w:val="2"/>
          </w:tcPr>
          <w:p>
            <w:pPr>
              <w:jc w:val="center"/>
              <w:ind w:left="314"/>
              <w:spacing w:after="0" w:line="105" w:lineRule="exact"/>
              <w:rPr>
                <w:sz w:val="20"/>
                <w:szCs w:val="20"/>
                <w:color w:val="auto"/>
              </w:rPr>
            </w:pPr>
            <w:r>
              <w:rPr>
                <w:rFonts w:ascii="Arial" w:cs="Arial" w:eastAsia="Arial" w:hAnsi="Arial"/>
                <w:sz w:val="10"/>
                <w:szCs w:val="10"/>
                <w:b w:val="1"/>
                <w:bCs w:val="1"/>
                <w:color w:val="auto"/>
                <w:w w:val="89"/>
              </w:rPr>
              <w:t>2013</w:t>
            </w:r>
          </w:p>
        </w:tc>
        <w:tc>
          <w:tcPr>
            <w:tcW w:w="220" w:type="dxa"/>
            <w:vAlign w:val="bottom"/>
          </w:tcPr>
          <w:p>
            <w:pPr>
              <w:spacing w:after="0"/>
              <w:rPr>
                <w:sz w:val="9"/>
                <w:szCs w:val="9"/>
                <w:color w:val="auto"/>
              </w:rPr>
            </w:pPr>
          </w:p>
        </w:tc>
      </w:tr>
      <w:tr>
        <w:trPr>
          <w:trHeight w:val="105"/>
        </w:trPr>
        <w:tc>
          <w:tcPr>
            <w:tcW w:w="53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73"/>
              </w:rPr>
              <w:t>(unaudited)</w:t>
            </w:r>
          </w:p>
        </w:tc>
        <w:tc>
          <w:tcPr>
            <w:tcW w:w="220" w:type="dxa"/>
            <w:vAlign w:val="bottom"/>
          </w:tcPr>
          <w:p>
            <w:pPr>
              <w:spacing w:after="0"/>
              <w:rPr>
                <w:sz w:val="9"/>
                <w:szCs w:val="9"/>
                <w:color w:val="auto"/>
              </w:rPr>
            </w:pPr>
          </w:p>
        </w:tc>
      </w:tr>
      <w:tr>
        <w:trPr>
          <w:trHeight w:val="167"/>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Eli Lilly</w:t>
            </w:r>
          </w:p>
        </w:tc>
        <w:tc>
          <w:tcPr>
            <w:tcW w:w="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10.6%</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28.2%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r>
      <w:tr>
        <w:trPr>
          <w:trHeight w:val="167"/>
        </w:trPr>
        <w:tc>
          <w:tcPr>
            <w:tcW w:w="5360" w:type="dxa"/>
            <w:vAlign w:val="bottom"/>
          </w:tcPr>
          <w:p>
            <w:pPr>
              <w:spacing w:after="0"/>
              <w:rPr>
                <w:sz w:val="20"/>
                <w:szCs w:val="20"/>
                <w:color w:val="auto"/>
              </w:rPr>
            </w:pPr>
            <w:r>
              <w:rPr>
                <w:rFonts w:ascii="Arial" w:cs="Arial" w:eastAsia="Arial" w:hAnsi="Arial"/>
                <w:sz w:val="14"/>
                <w:szCs w:val="14"/>
                <w:color w:val="auto"/>
              </w:rPr>
              <w:t>Boehringer</w:t>
            </w:r>
          </w:p>
        </w:tc>
        <w:tc>
          <w:tcPr>
            <w:tcW w:w="280" w:type="dxa"/>
            <w:vAlign w:val="bottom"/>
            <w:gridSpan w:val="2"/>
          </w:tcPr>
          <w:p>
            <w:pPr>
              <w:spacing w:after="0"/>
              <w:rPr>
                <w:sz w:val="20"/>
                <w:szCs w:val="20"/>
                <w:color w:val="auto"/>
              </w:rPr>
            </w:pPr>
            <w:r>
              <w:rPr>
                <w:rFonts w:ascii="Arial" w:cs="Arial" w:eastAsia="Arial" w:hAnsi="Arial"/>
                <w:sz w:val="14"/>
                <w:szCs w:val="14"/>
                <w:color w:val="auto"/>
                <w:w w:val="95"/>
              </w:rPr>
              <w:t>40.1</w:t>
            </w:r>
          </w:p>
        </w:tc>
        <w:tc>
          <w:tcPr>
            <w:tcW w:w="64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18.0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2.8</w:t>
            </w:r>
          </w:p>
        </w:tc>
      </w:tr>
      <w:tr>
        <w:trPr>
          <w:trHeight w:val="167"/>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Pfizer</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28.0</w:t>
            </w:r>
          </w:p>
        </w:tc>
        <w:tc>
          <w:tcPr>
            <w:tcW w:w="6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45.4</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14.3</w:t>
            </w:r>
          </w:p>
        </w:tc>
      </w:tr>
      <w:tr>
        <w:trPr>
          <w:trHeight w:val="167"/>
        </w:trPr>
        <w:tc>
          <w:tcPr>
            <w:tcW w:w="5360" w:type="dxa"/>
            <w:vAlign w:val="bottom"/>
          </w:tcPr>
          <w:p>
            <w:pPr>
              <w:spacing w:after="0"/>
              <w:rPr>
                <w:sz w:val="20"/>
                <w:szCs w:val="20"/>
                <w:color w:val="auto"/>
              </w:rPr>
            </w:pPr>
            <w:r>
              <w:rPr>
                <w:rFonts w:ascii="Arial" w:cs="Arial" w:eastAsia="Arial" w:hAnsi="Arial"/>
                <w:sz w:val="14"/>
                <w:szCs w:val="14"/>
                <w:color w:val="auto"/>
              </w:rPr>
              <w:t>Gilead Sciences, Inc.</w:t>
            </w: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25.7</w:t>
            </w:r>
          </w:p>
        </w:tc>
      </w:tr>
      <w:tr>
        <w:trPr>
          <w:trHeight w:val="167"/>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Servier</w:t>
            </w:r>
          </w:p>
        </w:tc>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r>
      <w:tr>
        <w:trPr>
          <w:trHeight w:val="173"/>
        </w:trPr>
        <w:tc>
          <w:tcPr>
            <w:tcW w:w="5360" w:type="dxa"/>
            <w:vAlign w:val="bottom"/>
          </w:tcPr>
          <w:p>
            <w:pPr>
              <w:spacing w:after="0"/>
              <w:rPr>
                <w:sz w:val="20"/>
                <w:szCs w:val="20"/>
                <w:color w:val="auto"/>
              </w:rPr>
            </w:pPr>
            <w:r>
              <w:rPr>
                <w:rFonts w:ascii="Arial" w:cs="Arial" w:eastAsia="Arial" w:hAnsi="Arial"/>
                <w:sz w:val="14"/>
                <w:szCs w:val="14"/>
                <w:color w:val="auto"/>
              </w:rPr>
              <w:t>Government Agencies</w:t>
            </w:r>
          </w:p>
        </w:tc>
        <w:tc>
          <w:tcPr>
            <w:tcW w:w="280" w:type="dxa"/>
            <w:vAlign w:val="bottom"/>
            <w:gridSpan w:val="2"/>
          </w:tcPr>
          <w:p>
            <w:pPr>
              <w:spacing w:after="0"/>
              <w:rPr>
                <w:sz w:val="20"/>
                <w:szCs w:val="20"/>
                <w:color w:val="auto"/>
              </w:rPr>
            </w:pPr>
            <w:r>
              <w:rPr>
                <w:rFonts w:ascii="Arial" w:cs="Arial" w:eastAsia="Arial" w:hAnsi="Arial"/>
                <w:sz w:val="14"/>
                <w:szCs w:val="14"/>
                <w:color w:val="auto"/>
                <w:w w:val="95"/>
              </w:rPr>
              <w:t>21.3</w:t>
            </w:r>
          </w:p>
        </w:tc>
        <w:tc>
          <w:tcPr>
            <w:tcW w:w="640" w:type="dxa"/>
            <w:vAlign w:val="bottom"/>
          </w:tcPr>
          <w:p>
            <w:pPr>
              <w:spacing w:after="0"/>
              <w:rPr>
                <w:sz w:val="15"/>
                <w:szCs w:val="15"/>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color w:val="auto"/>
              </w:rPr>
              <w:t>8.4</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1.7</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32" w:lineRule="exact"/>
        <w:rPr>
          <w:sz w:val="20"/>
          <w:szCs w:val="20"/>
          <w:color w:val="auto"/>
        </w:rPr>
      </w:pPr>
    </w:p>
    <w:p>
      <w:pPr>
        <w:jc w:val="both"/>
        <w:ind w:right="60" w:firstLine="802"/>
        <w:spacing w:after="0" w:line="258" w:lineRule="auto"/>
        <w:rPr>
          <w:sz w:val="20"/>
          <w:szCs w:val="20"/>
          <w:color w:val="auto"/>
        </w:rPr>
      </w:pPr>
      <w:r>
        <w:rPr>
          <w:rFonts w:ascii="Arial" w:cs="Arial" w:eastAsia="Arial" w:hAnsi="Arial"/>
          <w:sz w:val="14"/>
          <w:szCs w:val="14"/>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estimated useful lives:</w:t>
      </w:r>
    </w:p>
    <w:p>
      <w:pPr>
        <w:sectPr>
          <w:pgSz w:w="11900" w:h="16838" w:orient="portrait"/>
          <w:cols w:equalWidth="0" w:num="1">
            <w:col w:w="11460"/>
          </w:cols>
          <w:pgMar w:left="220" w:top="386" w:right="219" w:bottom="1440" w:gutter="0" w:footer="0" w:header="0"/>
        </w:sectPr>
      </w:pPr>
    </w:p>
    <w:p>
      <w:pPr>
        <w:spacing w:after="0" w:line="13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Computer equipment</w:t>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Software</w:t>
      </w:r>
    </w:p>
    <w:p>
      <w:pPr>
        <w:spacing w:after="0" w:line="6"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Furniture</w:t>
      </w:r>
    </w:p>
    <w:p>
      <w:pPr>
        <w:spacing w:after="0" w:line="6"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Laboratory and office equipment</w:t>
      </w:r>
    </w:p>
    <w:p>
      <w:pPr>
        <w:spacing w:after="0" w:line="2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3 years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3 years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10 years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 years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Shorter of lease term or useful life</w:t>
      </w:r>
    </w:p>
    <w:p>
      <w:pPr>
        <w:spacing w:after="0" w:line="149" w:lineRule="exact"/>
        <w:rPr>
          <w:sz w:val="20"/>
          <w:szCs w:val="20"/>
          <w:color w:val="auto"/>
        </w:rPr>
      </w:pPr>
    </w:p>
    <w:p>
      <w:pPr>
        <w:sectPr>
          <w:pgSz w:w="11900" w:h="16838" w:orient="portrait"/>
          <w:cols w:equalWidth="0" w:num="2">
            <w:col w:w="5480" w:space="720"/>
            <w:col w:w="5260"/>
          </w:cols>
          <w:pgMar w:left="220" w:top="386" w:right="21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32"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 xml:space="preserve">The Company assesses the recoverability of its long-lived assets in accordance with the provisions of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60"/>
          </w:cols>
          <w:pgMar w:left="220" w:top="386" w:right="219" w:bottom="1440" w:gutter="0" w:footer="0" w:header="0"/>
          <w:type w:val="continuous"/>
        </w:sectPr>
      </w:pPr>
    </w:p>
    <w:bookmarkStart w:id="175" w:name="page176"/>
    <w:bookmarkEnd w:id="1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460"/>
        <w:spacing w:after="0" w:line="267" w:lineRule="auto"/>
        <w:rPr>
          <w:sz w:val="20"/>
          <w:szCs w:val="20"/>
          <w:color w:val="auto"/>
        </w:rPr>
      </w:pPr>
      <w:r>
        <w:rPr>
          <w:rFonts w:ascii="Arial" w:cs="Arial" w:eastAsia="Arial" w:hAnsi="Arial"/>
          <w:sz w:val="14"/>
          <w:szCs w:val="14"/>
          <w:color w:val="auto"/>
        </w:rPr>
        <w:t>group exceeds the estimated fair value of the asset group. Assets to be disposed of are reported at the lower of the carrying amount or fair value, less costs to sell. As of December 31, 2011 and 2012, and June 30, 2013, the Company determined that there were no impaired assets and had no assets held-for-sale.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2" w:lineRule="exact"/>
        <w:rPr>
          <w:sz w:val="20"/>
          <w:szCs w:val="20"/>
          <w:color w:val="auto"/>
        </w:rPr>
      </w:pPr>
    </w:p>
    <w:p>
      <w:pPr>
        <w:ind w:right="40" w:firstLine="802"/>
        <w:spacing w:after="0" w:line="302" w:lineRule="auto"/>
        <w:rPr>
          <w:sz w:val="20"/>
          <w:szCs w:val="20"/>
          <w:color w:val="auto"/>
        </w:rPr>
      </w:pPr>
      <w:r>
        <w:rPr>
          <w:rFonts w:ascii="Arial" w:cs="Arial" w:eastAsia="Arial" w:hAnsi="Arial"/>
          <w:sz w:val="12"/>
          <w:szCs w:val="12"/>
          <w:color w:val="auto"/>
        </w:rPr>
        <w:t>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as income in the period that such tax rate changes are enacted. The measurement of a deferred tax asset is reduced, if necessary, by a valuation allowance if it is more likely than not that some portion or all of the deferred tax asset will not be realized. Financial statement recognition of a tax position taken or expected to be taken in a tax return is determined based on a more-likely-than-not threshold of that position being sustained. If the tax position meets this threshold, the benefit to be recognized is measured as the largest amount that is more than 50% likely to be realized upon ultimate settlement. The Company’s policy is to record interest and penalties related to uncertain tax positions as a component of income tax expense.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Revenue Recognition</w:t>
      </w:r>
    </w:p>
    <w:p>
      <w:pPr>
        <w:spacing w:after="0" w:line="132" w:lineRule="exact"/>
        <w:rPr>
          <w:sz w:val="20"/>
          <w:szCs w:val="20"/>
          <w:color w:val="auto"/>
        </w:rPr>
      </w:pPr>
    </w:p>
    <w:p>
      <w:pPr>
        <w:ind w:right="20" w:firstLine="802"/>
        <w:spacing w:after="0" w:line="294" w:lineRule="auto"/>
        <w:rPr>
          <w:sz w:val="20"/>
          <w:szCs w:val="20"/>
          <w:color w:val="auto"/>
        </w:rPr>
      </w:pPr>
      <w:r>
        <w:rPr>
          <w:rFonts w:ascii="Arial" w:cs="Arial" w:eastAsia="Arial" w:hAnsi="Arial"/>
          <w:sz w:val="12"/>
          <w:szCs w:val="12"/>
          <w:color w:val="auto"/>
        </w:rPr>
        <w:t>The Company enters into collaboration and license agreements with collaborators for the development of monoclonal antibody-based therapeutics to treat cancer and other complex diseases. The terms of these agreements contain multiple deliverables which may include (i) licenses, or options to obtain licenses, to the Company’s technological platforms, such as its Fc Optimization and Dual-Affinity Re-Targeting, or DART, technologies, (ii) rights to future technological improvements, (iii) research and development activities to be performed on behalf of the collaborator or as part of the collaboration, and</w:t>
      </w:r>
    </w:p>
    <w:p>
      <w:pPr>
        <w:ind w:right="140" w:firstLine="4"/>
        <w:spacing w:after="0" w:line="299" w:lineRule="auto"/>
        <w:tabs>
          <w:tab w:leader="none" w:pos="23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 xml:space="preserve">the manufacture of pre-clinical or clinical materials for the collaborator. Payments to the Company under these agreements may include nonrefundable license fees, option fees, exercise fees, payments for research and development activities, payments for the manufacture of pre-clinical or clinical materials, license maintenance payments, payments based upon the achievement of certain milestones and royalties on product sales. Other benefits to the Company of these agreements include the right to sell products resulting from the collaborative efforts of the parties in specific geographic territories. The Company follows the provisions of the Financial Accounting Standards Board (FASB) Accounting Standards Codification (ASC) Topic 605-25, </w:t>
      </w:r>
      <w:r>
        <w:rPr>
          <w:rFonts w:ascii="Arial" w:cs="Arial" w:eastAsia="Arial" w:hAnsi="Arial"/>
          <w:sz w:val="12"/>
          <w:szCs w:val="12"/>
          <w:i w:val="1"/>
          <w:iCs w:val="1"/>
          <w:color w:val="auto"/>
        </w:rPr>
        <w:t>Revenue Recognition – Multiple-Element Arrangements</w:t>
      </w:r>
      <w:r>
        <w:rPr>
          <w:rFonts w:ascii="Arial" w:cs="Arial" w:eastAsia="Arial" w:hAnsi="Arial"/>
          <w:sz w:val="12"/>
          <w:szCs w:val="12"/>
          <w:color w:val="auto"/>
        </w:rPr>
        <w:t xml:space="preserve">, and ASC Topic 605-28, </w:t>
      </w:r>
      <w:r>
        <w:rPr>
          <w:rFonts w:ascii="Arial" w:cs="Arial" w:eastAsia="Arial" w:hAnsi="Arial"/>
          <w:sz w:val="12"/>
          <w:szCs w:val="12"/>
          <w:i w:val="1"/>
          <w:iCs w:val="1"/>
          <w:color w:val="auto"/>
        </w:rPr>
        <w:t>Revenue Recognition–Milestone Method</w:t>
      </w:r>
      <w:r>
        <w:rPr>
          <w:rFonts w:ascii="Arial" w:cs="Arial" w:eastAsia="Arial" w:hAnsi="Arial"/>
          <w:sz w:val="12"/>
          <w:szCs w:val="12"/>
          <w:color w:val="auto"/>
        </w:rPr>
        <w:t>, in accounting for these agreements. In order to account for these agreements, the Company must identify the deliverables included within the agreement and evaluate which deliverables represent separate units of accounting based on the achievement of certain criteria, including whether the delivered element has stand-alone value to the collaborator. The consideration received is allocated among the separate units of accounting, and the applicable revenue recognition criteria are applied to each of the separate units.</w:t>
      </w:r>
    </w:p>
    <w:p>
      <w:pPr>
        <w:spacing w:after="0" w:line="86" w:lineRule="exact"/>
        <w:rPr>
          <w:sz w:val="20"/>
          <w:szCs w:val="20"/>
          <w:color w:val="auto"/>
        </w:rPr>
      </w:pPr>
    </w:p>
    <w:p>
      <w:pPr>
        <w:ind w:firstLine="802"/>
        <w:spacing w:after="0" w:line="255" w:lineRule="auto"/>
        <w:rPr>
          <w:sz w:val="20"/>
          <w:szCs w:val="20"/>
          <w:color w:val="auto"/>
        </w:rPr>
      </w:pPr>
      <w:r>
        <w:rPr>
          <w:rFonts w:ascii="Arial" w:cs="Arial" w:eastAsia="Arial" w:hAnsi="Arial"/>
          <w:sz w:val="14"/>
          <w:szCs w:val="14"/>
          <w:color w:val="auto"/>
        </w:rPr>
        <w:t>For the periods presented, the Company had the following two types of agreements with the parties identified below: 1) exclusive development and commercialization licenses to use the Company’s technology and/or certain other intellectual property to develop compounds against specified targets (referred to herein as exclusive licenses); and 2) Option/research agreements to secure on established terms, development and commercialization licenses to anticancer and other therapeutic product candidates to collaborator selected targets developed by the Company during an option period (referred to herein as right-to-develop agreements).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There are no performance, cancellation, termination or refund provisions in any of the arrangements that contain material financial consequences to the Company.</w:t>
      </w:r>
    </w:p>
    <w:p>
      <w:pPr>
        <w:spacing w:after="0" w:line="12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60"/>
          </w:cols>
          <w:pgMar w:left="220" w:top="386" w:right="21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Exclusive Licenses</w:t>
      </w:r>
    </w:p>
    <w:p>
      <w:pPr>
        <w:spacing w:after="0" w:line="132" w:lineRule="exact"/>
        <w:rPr>
          <w:sz w:val="20"/>
          <w:szCs w:val="20"/>
          <w:color w:val="auto"/>
        </w:rPr>
      </w:pPr>
    </w:p>
    <w:p>
      <w:pPr>
        <w:ind w:right="20" w:firstLine="802"/>
        <w:spacing w:after="0" w:line="258" w:lineRule="auto"/>
        <w:rPr>
          <w:sz w:val="20"/>
          <w:szCs w:val="20"/>
          <w:color w:val="auto"/>
        </w:rPr>
      </w:pPr>
      <w:r>
        <w:rPr>
          <w:rFonts w:ascii="Arial" w:cs="Arial" w:eastAsia="Arial" w:hAnsi="Arial"/>
          <w:sz w:val="14"/>
          <w:szCs w:val="14"/>
          <w:color w:val="auto"/>
        </w:rPr>
        <w:t>The deliverables under an exclusive license agreement generally include the exclusive license to the Company’s DART technology with respect to a specified antigen target, and may also include deliverables related to rights to future technological improvements, research and pre-clinical development activities to be performed on behalf of the collaborator. In some cases the Company may have an option to participate in the co-development of product candidates that result from such agreements.</w:t>
      </w:r>
    </w:p>
    <w:p>
      <w:pPr>
        <w:spacing w:after="0" w:line="108" w:lineRule="exact"/>
        <w:rPr>
          <w:sz w:val="20"/>
          <w:szCs w:val="20"/>
          <w:color w:val="auto"/>
        </w:rPr>
      </w:pPr>
    </w:p>
    <w:p>
      <w:pPr>
        <w:ind w:right="120" w:firstLine="802"/>
        <w:spacing w:after="0" w:line="305" w:lineRule="auto"/>
        <w:rPr>
          <w:sz w:val="20"/>
          <w:szCs w:val="20"/>
          <w:color w:val="auto"/>
        </w:rPr>
      </w:pPr>
      <w:r>
        <w:rPr>
          <w:rFonts w:ascii="Arial" w:cs="Arial" w:eastAsia="Arial" w:hAnsi="Arial"/>
          <w:sz w:val="12"/>
          <w:szCs w:val="12"/>
          <w:color w:val="auto"/>
        </w:rPr>
        <w:t>Generally, exclusive license agreements contain nonrefundable terms for payments and, depending on the terms of the agreement, provide that the Company will (i) at the collaborator’s request, provide research and pre-clinical development services at negotiated prices which are generally consistent with what other third parties would charge, (ii) earn payments upon the achievement of certain milestones, (iii) earn royalty payments, and (iv) in some cases grant the Company an option to participate in the development and commercialization of products that result from such agreements. Royalty rates may vary over the royalty term depending on the Company’s intellectual property rights and whether the Company exercises any co-development and co-commercialization rights. The Company may provide technical assistance and share any technology improvements with its collaborators during the term of the collaboration agreements.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Company does not directly control when any collaborator will achieve milestones or become liable for royalty payments.</w:t>
      </w:r>
    </w:p>
    <w:p>
      <w:pPr>
        <w:spacing w:after="0" w:line="132" w:lineRule="exact"/>
        <w:rPr>
          <w:sz w:val="20"/>
          <w:szCs w:val="20"/>
          <w:color w:val="auto"/>
        </w:rPr>
      </w:pPr>
    </w:p>
    <w:p>
      <w:pPr>
        <w:ind w:firstLine="802"/>
        <w:spacing w:after="0" w:line="300" w:lineRule="auto"/>
        <w:rPr>
          <w:sz w:val="20"/>
          <w:szCs w:val="20"/>
          <w:color w:val="auto"/>
        </w:rPr>
      </w:pPr>
      <w:r>
        <w:rPr>
          <w:rFonts w:ascii="Arial" w:cs="Arial" w:eastAsia="Arial" w:hAnsi="Arial"/>
          <w:sz w:val="12"/>
          <w:szCs w:val="12"/>
          <w:color w:val="auto"/>
        </w:rPr>
        <w:t>In determining the units of accounting, management evaluates whether the exclusive license has stand-alone value from the undelivered elements to the collaborator based on the consideration of the relevant facts and circumstances for each arrangement. Factors considered in this determination include the research and development capabilities of the partner and the availability of technology platform and product research expertise in the general marketplace. If the Company concludes that the license has stand-alone value and therefore will be accounted for as a separate unit of accounting, the Company then determines the estimated selling prices of the license and all other units of accounting based on market conditions, similar arrangements entered into by third parties, and entity-specific factors such as the terms of the Company’s previous collaboration agreements, recent pre-clinical and clinical testing results of therapeutic product candidates that use the Company’s technology platforms, the Company’s pricing practices and pricing objectives, the likelihood that technological improvements will be made, the likelihood that technological improvements made will be used by the Company’s collaborators and the nature of the research services to be performed on behalf of its collaborators and market rates for similar services.</w:t>
      </w:r>
    </w:p>
    <w:p>
      <w:pPr>
        <w:spacing w:after="0" w:line="88" w:lineRule="exact"/>
        <w:rPr>
          <w:sz w:val="20"/>
          <w:szCs w:val="20"/>
          <w:color w:val="auto"/>
        </w:rPr>
      </w:pPr>
    </w:p>
    <w:p>
      <w:pPr>
        <w:ind w:right="20" w:firstLine="802"/>
        <w:spacing w:after="0" w:line="300" w:lineRule="auto"/>
        <w:rPr>
          <w:sz w:val="20"/>
          <w:szCs w:val="20"/>
          <w:color w:val="auto"/>
        </w:rPr>
      </w:pPr>
      <w:r>
        <w:rPr>
          <w:rFonts w:ascii="Arial" w:cs="Arial" w:eastAsia="Arial" w:hAnsi="Arial"/>
          <w:sz w:val="12"/>
          <w:szCs w:val="12"/>
          <w:color w:val="auto"/>
        </w:rPr>
        <w:t xml:space="preserve">Upfront payments on exclusive licenses are deferred if facts and circumstances dictate that the license does not have stand-alone value. Prior to the adoption of Accounting Standards Update (ASU) No. 2009-13,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on January 1, 2011, the Company determined that its licenses lacked stand-alone value because it did not have vendor-specific objective evidence of selling price (“VSOE”), and were combined with other elements of the arrangement and any amounts associated with the license were deferred and amortized over a certain period, which the Company refers to as the Company’s period of substantial involvement. In making the determination of the length of the period over which to defer revenue for contracts entered in to prior to the adoption of ASU No. 2009-13, significant judgment and estimation is used by the Company and can have an impact on the amount of revenue recognized in a given period. Historically, the Company’s involvement with the development of a collaborator’s product candidate has been significant at the early stages of development, and lessens as it progresses into clinical trials. Accordingly, the Company generally estimates this period of substantial involvement to begin at the inception of the collaboration agreement and conclude at the end of the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60"/>
          </w:cols>
          <w:pgMar w:left="220" w:top="387" w:right="21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jc w:val="both"/>
        <w:ind w:right="160"/>
        <w:spacing w:after="0" w:line="294" w:lineRule="auto"/>
        <w:rPr>
          <w:sz w:val="20"/>
          <w:szCs w:val="20"/>
          <w:color w:val="auto"/>
        </w:rPr>
      </w:pPr>
      <w:r>
        <w:rPr>
          <w:rFonts w:ascii="Arial" w:cs="Arial" w:eastAsia="Arial" w:hAnsi="Arial"/>
          <w:sz w:val="12"/>
          <w:szCs w:val="12"/>
          <w:color w:val="auto"/>
        </w:rPr>
        <w:t>Company’s substantial involvement. ASU No. 2009-13 amends the criteria for separating and allocating consideration in a multiple element arrangement by modifying the fair value requirements for revenue recognition and eliminating the use of the residual value method. The selling prices of deliverables under an arrangement may be derived using third-party evidence (“TPE”), or a best estimate of selling price (“BESP”), if VSOE is not available. The objective of BESP is to determine the price at which the Company would transact a sale if the element within the license agreement was sold on a standalone basis.</w:t>
      </w:r>
    </w:p>
    <w:p>
      <w:pPr>
        <w:ind w:right="160"/>
        <w:spacing w:after="0" w:line="297" w:lineRule="auto"/>
        <w:rPr>
          <w:sz w:val="20"/>
          <w:szCs w:val="20"/>
          <w:color w:val="auto"/>
        </w:rPr>
      </w:pPr>
      <w:r>
        <w:rPr>
          <w:rFonts w:ascii="Arial" w:cs="Arial" w:eastAsia="Arial" w:hAnsi="Arial"/>
          <w:sz w:val="12"/>
          <w:szCs w:val="12"/>
          <w:color w:val="auto"/>
        </w:rPr>
        <w:t>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the BESP, management considers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the Company’s control.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Management exercises significant judgment in determining whether a deliverable is a separate unit of accounting.</w:t>
      </w:r>
    </w:p>
    <w:p>
      <w:pPr>
        <w:spacing w:after="0" w:line="91" w:lineRule="exact"/>
        <w:rPr>
          <w:sz w:val="20"/>
          <w:szCs w:val="20"/>
          <w:color w:val="auto"/>
        </w:rPr>
      </w:pPr>
    </w:p>
    <w:p>
      <w:pPr>
        <w:ind w:right="140" w:firstLine="802"/>
        <w:spacing w:after="0" w:line="311" w:lineRule="auto"/>
        <w:rPr>
          <w:sz w:val="20"/>
          <w:szCs w:val="20"/>
          <w:color w:val="auto"/>
        </w:rPr>
      </w:pPr>
      <w:r>
        <w:rPr>
          <w:rFonts w:ascii="Arial" w:cs="Arial" w:eastAsia="Arial" w:hAnsi="Arial"/>
          <w:sz w:val="12"/>
          <w:szCs w:val="12"/>
          <w:color w:val="auto"/>
        </w:rPr>
        <w:t>In determining the separate units of accounting, the Company evaluated whether the exclusive license had standalone value to the collaborator based on consideration of the relevant facts and circumstances for each arrangement. Factors considered in this determination included the research and development capabilities of the collaborator and the availability of relevant research expertise in the marketplace. In addition, the Company considered whether or not (i) the collaborator could use the license for its intended purpose without the receipt of the remaining deliverables, (ii) the value of the license was dependent on the undelivered items and (iii) the collaborator or other vendors could provide the undelivered items.</w:t>
      </w:r>
    </w:p>
    <w:p>
      <w:pPr>
        <w:spacing w:after="0" w:line="79" w:lineRule="exact"/>
        <w:rPr>
          <w:sz w:val="20"/>
          <w:szCs w:val="20"/>
          <w:color w:val="auto"/>
        </w:rPr>
      </w:pPr>
    </w:p>
    <w:p>
      <w:pPr>
        <w:ind w:right="40" w:firstLine="802"/>
        <w:spacing w:after="0" w:line="305" w:lineRule="auto"/>
        <w:rPr>
          <w:sz w:val="20"/>
          <w:szCs w:val="20"/>
          <w:color w:val="auto"/>
        </w:rPr>
      </w:pPr>
      <w:r>
        <w:rPr>
          <w:rFonts w:ascii="Arial" w:cs="Arial" w:eastAsia="Arial" w:hAnsi="Arial"/>
          <w:sz w:val="12"/>
          <w:szCs w:val="12"/>
          <w:color w:val="auto"/>
        </w:rPr>
        <w:t>The Company reassesses its periods of substantial involvement over which the Company amortizes its upfront license fees and makes adjustments as appropriate. In the event a collaborator elects to discontinue development of a specific product candidate under a single target license, but retains its right to use the Company’s technology to develop an alternative product candidate to the same target or a target substitute, the Company would cease amortization of any remaining portion of the upfront fee until there is substantial pre-clinical activity on another product candidate and its remaining period of substantial involvement can be estimated. In the event that a single target license were to be terminated, the Company would recognize as revenue any portion of the upfront fee that had not previously been recorded as revenue, but was classified as deferred revenue, at the date of such termination or through the remaining substantial involvement in the wind down of the agreement.</w:t>
      </w:r>
    </w:p>
    <w:p>
      <w:pPr>
        <w:spacing w:after="0" w:line="84" w:lineRule="exact"/>
        <w:rPr>
          <w:sz w:val="20"/>
          <w:szCs w:val="20"/>
          <w:color w:val="auto"/>
        </w:rPr>
      </w:pPr>
    </w:p>
    <w:p>
      <w:pPr>
        <w:ind w:right="260" w:firstLine="802"/>
        <w:spacing w:after="0" w:line="267" w:lineRule="auto"/>
        <w:rPr>
          <w:sz w:val="20"/>
          <w:szCs w:val="20"/>
          <w:color w:val="auto"/>
        </w:rPr>
      </w:pPr>
      <w:r>
        <w:rPr>
          <w:rFonts w:ascii="Arial" w:cs="Arial" w:eastAsia="Arial" w:hAnsi="Arial"/>
          <w:sz w:val="14"/>
          <w:szCs w:val="14"/>
          <w:color w:val="auto"/>
        </w:rPr>
        <w:t>Upfront payments on exclusive licenses may be recognized upon delivery of the license if facts and circumstances dictate that the license has stand-alone value from the undelivered elements, which generally include rights to future technological improvements, research services and the manufacture of pre-clinical and clinical materials.</w:t>
      </w:r>
    </w:p>
    <w:p>
      <w:pPr>
        <w:spacing w:after="0" w:line="101"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The Company recognizes revenue related to research and pre-clinical development services that represent separate units of accounting as they are performed, as long as there is persuasive evidence of an arrangement, the fee is fixed or determinable, and collection of the related receivable is probable. The Company recognizes revenue related to the rights to future technological improvements over the estimated term of the applicable license.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40"/>
          </w:cols>
          <w:pgMar w:left="220" w:top="387" w:right="2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300" w:firstLine="802"/>
        <w:spacing w:after="0" w:line="258" w:lineRule="auto"/>
        <w:rPr>
          <w:sz w:val="20"/>
          <w:szCs w:val="20"/>
          <w:color w:val="auto"/>
        </w:rPr>
      </w:pPr>
      <w:r>
        <w:rPr>
          <w:rFonts w:ascii="Arial" w:cs="Arial" w:eastAsia="Arial" w:hAnsi="Arial"/>
          <w:sz w:val="14"/>
          <w:szCs w:val="14"/>
          <w:color w:val="auto"/>
        </w:rPr>
        <w:t>The Company typically performs research activities and pre-clinical development services, including generating and engineering product candidates, on behalf of its licensees during the early evaluation and pre-clinical testing stages of drug development under its exclusive licenses. The Company records amounts received for research materials produced or services performed as revenue from collaborative research.</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Company’s license agreements have milestone payments which for reporting purposes are aggregated into three categories: (i) development milestones, (ii) regulatory milestones, and</w:t>
      </w:r>
    </w:p>
    <w:p>
      <w:pPr>
        <w:spacing w:after="0" w:line="35" w:lineRule="exact"/>
        <w:rPr>
          <w:sz w:val="20"/>
          <w:szCs w:val="20"/>
          <w:color w:val="auto"/>
        </w:rPr>
      </w:pPr>
    </w:p>
    <w:p>
      <w:pPr>
        <w:ind w:right="460" w:firstLine="4"/>
        <w:spacing w:after="0" w:line="253" w:lineRule="auto"/>
        <w:tabs>
          <w:tab w:leader="none" w:pos="23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sales milestones. Development milestones are typically payable when a product candidate initiates or advances into different clinical trial phases. Regulatory milestones are typically payable upon submission for marketing approval with the FDA or other countries’ regulatory authorities or on receipt of actual marketing approvals for the compound or for additional indications. Sales milestones are typically payable when annual sales reach certain levels.</w:t>
      </w:r>
    </w:p>
    <w:p>
      <w:pPr>
        <w:spacing w:after="0" w:line="112"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At the inception of each agreement that includes milestone payments, the Company evaluates whether each milestone is substantive and at risk to both parties on the basis of the contingent nature of the milestone.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w:t>
      </w:r>
    </w:p>
    <w:p>
      <w:pPr>
        <w:spacing w:after="0" w:line="114" w:lineRule="exact"/>
        <w:rPr>
          <w:sz w:val="20"/>
          <w:szCs w:val="20"/>
          <w:color w:val="auto"/>
        </w:rPr>
      </w:pPr>
    </w:p>
    <w:p>
      <w:pPr>
        <w:ind w:right="100" w:firstLine="802"/>
        <w:spacing w:after="0" w:line="311" w:lineRule="auto"/>
        <w:rPr>
          <w:sz w:val="20"/>
          <w:szCs w:val="20"/>
          <w:color w:val="auto"/>
        </w:rPr>
      </w:pPr>
      <w:r>
        <w:rPr>
          <w:rFonts w:ascii="Arial" w:cs="Arial" w:eastAsia="Arial" w:hAnsi="Arial"/>
          <w:sz w:val="12"/>
          <w:szCs w:val="12"/>
          <w:color w:val="auto"/>
        </w:rPr>
        <w:t>Non-refundable development and regulatory milestones that are expected to be achieved as a result of the Company’s efforts during the period of substantial involvement are considered substantive and are recognized as revenue upon the achievement of the milestone, assuming all other revenue recognition criteria are met. Milestones that are not 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Right-to-Develop Agreements</w:t>
      </w:r>
    </w:p>
    <w:p>
      <w:pPr>
        <w:spacing w:after="0" w:line="132" w:lineRule="exact"/>
        <w:rPr>
          <w:sz w:val="20"/>
          <w:szCs w:val="20"/>
          <w:color w:val="auto"/>
        </w:rPr>
      </w:pPr>
    </w:p>
    <w:p>
      <w:pPr>
        <w:ind w:right="60" w:firstLine="802"/>
        <w:spacing w:after="0" w:line="311" w:lineRule="auto"/>
        <w:rPr>
          <w:sz w:val="20"/>
          <w:szCs w:val="20"/>
          <w:color w:val="auto"/>
        </w:rPr>
      </w:pPr>
      <w:r>
        <w:rPr>
          <w:rFonts w:ascii="Arial" w:cs="Arial" w:eastAsia="Arial" w:hAnsi="Arial"/>
          <w:sz w:val="12"/>
          <w:szCs w:val="12"/>
          <w:color w:val="auto"/>
        </w:rPr>
        <w:t>The Company’s right-to-develop agreements provide collaborators with an exclusive option to obtain licenses to develop and commercialize in specified geographic territories product candidates developed by the Company under agreed upon research and pre-clinical development product programs. The product candidates resulting from each program are all directed to a specific target selected by the collaborator. Under these agreements, fees may be due to the Company (i) at the inception of the arrangement (referred to as “upfront” fees or payments), (ii) the selection of a target for a program, (iii) upon the exercise of an option to acquire a development and commercialization license (referred to as exercise fees or payments earned) for a program, or (iv) some combination of all of these fees.</w:t>
      </w:r>
    </w:p>
    <w:p>
      <w:pPr>
        <w:spacing w:after="0" w:line="79" w:lineRule="exact"/>
        <w:rPr>
          <w:sz w:val="20"/>
          <w:szCs w:val="20"/>
          <w:color w:val="auto"/>
        </w:rPr>
      </w:pPr>
    </w:p>
    <w:p>
      <w:pPr>
        <w:ind w:right="20" w:firstLine="802"/>
        <w:spacing w:after="0" w:line="311" w:lineRule="auto"/>
        <w:rPr>
          <w:sz w:val="20"/>
          <w:szCs w:val="20"/>
          <w:color w:val="auto"/>
        </w:rPr>
      </w:pPr>
      <w:r>
        <w:rPr>
          <w:rFonts w:ascii="Arial" w:cs="Arial" w:eastAsia="Arial" w:hAnsi="Arial"/>
          <w:sz w:val="12"/>
          <w:szCs w:val="12"/>
          <w:color w:val="auto"/>
        </w:rPr>
        <w:t>The accounting for right-to-develop agreements is dependent on the nature of the options granted to the collaborator. Options are considered substantive if, at the inception of a right-to-develop agreement, the Company is at risk as to whether the collaborator will choose to exercise the options to secure development and commercialization licenses. Factors that are considered in evaluating whether options are substantive include the overall objective of the arrangement, the benefit the collaborator might obtain from the agreement without exercising the options, the cost to exercise the options relative to the total upfront consideration, and the additional financial commitments imposed on the collaborator as a result of exercising the options.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60"/>
          </w:cols>
          <w:pgMar w:left="220" w:top="387" w:right="21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firstLine="802"/>
        <w:spacing w:after="0" w:line="295" w:lineRule="auto"/>
        <w:rPr>
          <w:sz w:val="20"/>
          <w:szCs w:val="20"/>
          <w:color w:val="auto"/>
        </w:rPr>
      </w:pPr>
      <w:r>
        <w:rPr>
          <w:rFonts w:ascii="Arial" w:cs="Arial" w:eastAsia="Arial" w:hAnsi="Arial"/>
          <w:sz w:val="12"/>
          <w:szCs w:val="12"/>
          <w:color w:val="auto"/>
        </w:rPr>
        <w:t>For right-to-develop agreements where the options to secure development and commercialization licenses to a product program are considered substantive, the Company does not consider the development and commercialization licenses to be a deliverable at the inception of the agreement. For those right-to-develop agreements entered into prior to the adoption of ASU No. 2009-13 where the options to secure development and commercialization licenses are considered substantive, the Company has deferred the upfront payments received and recognizes this revenue over the period during which the collaborator could elect to exercise options for development and commercialization licenses. These periods are specific to each collaboration agreement. If a collaborator selects a target for a product program, any substantive option fee is deferred and recognized over the life of the option, generally 12 months. Subsequent to the adoption of ASU No. 2009-13, the Company’s evaluation of whether the option is substantive is consistent with pre-adoption of ASU No. 2009-13. How the Company determines the selling price of the option is the only difference between pre and post adoption of ASU No. 2009-13. Post adoption of ASU No. 2009-13, the selling prices of deliverables under an arrangement may be derived using TPE or a BESP, if VSOE is not available. The objective of BESP is to determine the price at which the Company would transact a sale if the element within the right-to-develop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right-to-develop agreement. In validating the BESP, management considers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the Company’s control.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Management exercises significant judgment in determining whether a deliverable is a separate unit of accounting.</w:t>
      </w:r>
    </w:p>
    <w:p>
      <w:pPr>
        <w:spacing w:after="0" w:line="89" w:lineRule="exact"/>
        <w:rPr>
          <w:sz w:val="20"/>
          <w:szCs w:val="20"/>
          <w:color w:val="auto"/>
        </w:rPr>
      </w:pPr>
    </w:p>
    <w:p>
      <w:pPr>
        <w:ind w:right="260" w:firstLine="802"/>
        <w:spacing w:after="0" w:line="302" w:lineRule="auto"/>
        <w:rPr>
          <w:sz w:val="20"/>
          <w:szCs w:val="20"/>
          <w:color w:val="auto"/>
        </w:rPr>
      </w:pPr>
      <w:r>
        <w:rPr>
          <w:rFonts w:ascii="Arial" w:cs="Arial" w:eastAsia="Arial" w:hAnsi="Arial"/>
          <w:sz w:val="12"/>
          <w:szCs w:val="12"/>
          <w:color w:val="auto"/>
        </w:rPr>
        <w:t>If a collaborator exercises an option and acquires a development and commercialization license to a product program, the Company attributes the exercise fee to the development and commercialization license. Upon exercise of an option to acquire a development and commercialization license, the Company would also attribute any remaining deferred option fee to the development and commercialization license and apply the multiple-element revenue recognition criteria to the development and commercialization license and any other deliverables to determine the appropriate revenue recognition, which will be consistent with the Company’s accounting policy for upfront payments on exclusive licenses. In the event a right-to-develop agreement were to be terminated, the Company would recognize as revenue any portion of the upfront fee that had not previously been recorded as revenue, but was classified as deferred revenue, at the date of such termination. None of the Company’s right-to-develop agreements have been determined to contain substantive options.</w:t>
      </w:r>
    </w:p>
    <w:p>
      <w:pPr>
        <w:spacing w:after="0" w:line="86" w:lineRule="exact"/>
        <w:rPr>
          <w:sz w:val="20"/>
          <w:szCs w:val="20"/>
          <w:color w:val="auto"/>
        </w:rPr>
      </w:pPr>
    </w:p>
    <w:p>
      <w:pPr>
        <w:ind w:right="100" w:firstLine="802"/>
        <w:spacing w:after="0" w:line="321" w:lineRule="auto"/>
        <w:rPr>
          <w:sz w:val="20"/>
          <w:szCs w:val="20"/>
          <w:color w:val="auto"/>
        </w:rPr>
      </w:pPr>
      <w:r>
        <w:rPr>
          <w:rFonts w:ascii="Arial" w:cs="Arial" w:eastAsia="Arial" w:hAnsi="Arial"/>
          <w:sz w:val="12"/>
          <w:szCs w:val="12"/>
          <w:color w:val="auto"/>
        </w:rPr>
        <w:t>For right-to-develop agreements where the options to secure development and commercialization licenses to product programs are not considered substantive, the Company considers the development and commercialization licenses to be a deliverable at the inception of the agreement and applies the multiple-element revenue recognition criteria to determine the appropriate revenue recognition. The Company does not directly control when any collaborator will exercise its options for development and commercialization licenses.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60"/>
          </w:cols>
          <w:pgMar w:left="220" w:top="387" w:right="21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32" w:lineRule="exact"/>
        <w:rPr>
          <w:sz w:val="20"/>
          <w:szCs w:val="20"/>
          <w:color w:val="auto"/>
        </w:rPr>
      </w:pPr>
    </w:p>
    <w:p>
      <w:pPr>
        <w:ind w:right="100" w:firstLine="802"/>
        <w:spacing w:after="0" w:line="255" w:lineRule="auto"/>
        <w:rPr>
          <w:sz w:val="20"/>
          <w:szCs w:val="20"/>
          <w:color w:val="auto"/>
        </w:rPr>
      </w:pPr>
      <w:r>
        <w:rPr>
          <w:rFonts w:ascii="Arial" w:cs="Arial" w:eastAsia="Arial" w:hAnsi="Arial"/>
          <w:sz w:val="14"/>
          <w:szCs w:val="14"/>
          <w:color w:val="auto"/>
        </w:rPr>
        <w:t>Research and development expenditures are expensed as incurred. Research and development costs primarily consist of employee related expenses, including salaries and benefits, expenses incurred under agreements with contract research organizations, investigative sites and consultants that conduct the Company’s clinical trials, the cost of acquiring and manufacturing clinical trial materials and other allocated expenses, license fees for and milestone payments related to in-licensed products and technologies, stock-based compensation expense, and costs associated with non-clinical activities and regulatory approvals.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Income (Loss)</w:t>
      </w:r>
    </w:p>
    <w:p>
      <w:pPr>
        <w:spacing w:after="0" w:line="132" w:lineRule="exact"/>
        <w:rPr>
          <w:sz w:val="20"/>
          <w:szCs w:val="20"/>
          <w:color w:val="auto"/>
        </w:rPr>
      </w:pPr>
    </w:p>
    <w:p>
      <w:pPr>
        <w:ind w:right="220" w:firstLine="802"/>
        <w:spacing w:after="0" w:line="321" w:lineRule="auto"/>
        <w:rPr>
          <w:sz w:val="20"/>
          <w:szCs w:val="20"/>
          <w:color w:val="auto"/>
        </w:rPr>
      </w:pPr>
      <w:r>
        <w:rPr>
          <w:rFonts w:ascii="Arial" w:cs="Arial" w:eastAsia="Arial" w:hAnsi="Arial"/>
          <w:sz w:val="12"/>
          <w:szCs w:val="12"/>
          <w:color w:val="auto"/>
        </w:rPr>
        <w:t xml:space="preserve">Effective January 1, 2012, the Company adopted FASB’s Accounting Standards Update 2011-05, </w:t>
      </w:r>
      <w:r>
        <w:rPr>
          <w:rFonts w:ascii="Arial" w:cs="Arial" w:eastAsia="Arial" w:hAnsi="Arial"/>
          <w:sz w:val="12"/>
          <w:szCs w:val="12"/>
          <w:i w:val="1"/>
          <w:iCs w:val="1"/>
          <w:color w:val="auto"/>
        </w:rPr>
        <w:t>Presentation of Comprehensive Income</w:t>
      </w:r>
      <w:r>
        <w:rPr>
          <w:rFonts w:ascii="Arial" w:cs="Arial" w:eastAsia="Arial" w:hAnsi="Arial"/>
          <w:sz w:val="12"/>
          <w:szCs w:val="12"/>
          <w:color w:val="auto"/>
        </w:rPr>
        <w:t xml:space="preserve">. ASC 220, </w:t>
      </w:r>
      <w:r>
        <w:rPr>
          <w:rFonts w:ascii="Arial" w:cs="Arial" w:eastAsia="Arial" w:hAnsi="Arial"/>
          <w:sz w:val="12"/>
          <w:szCs w:val="12"/>
          <w:i w:val="1"/>
          <w:iCs w:val="1"/>
          <w:color w:val="auto"/>
        </w:rPr>
        <w:t>Comprehensive Income</w:t>
      </w:r>
      <w:r>
        <w:rPr>
          <w:rFonts w:ascii="Arial" w:cs="Arial" w:eastAsia="Arial" w:hAnsi="Arial"/>
          <w:sz w:val="12"/>
          <w:szCs w:val="12"/>
          <w:color w:val="auto"/>
        </w:rPr>
        <w:t>, requires the presentation of the comprehensive income (loss) and its components, as part of the consolidated financial statements. Comprehensive income (loss) is comprised of the net income (loss) and other changes in equity that are excluded from net income (loss). Comprehensive income (loss) equals net income (loss) for the years ended December 31, 2011 and 2012, and for the quarter ended June 30, 2013.</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2" w:lineRule="exact"/>
        <w:rPr>
          <w:sz w:val="20"/>
          <w:szCs w:val="20"/>
          <w:color w:val="auto"/>
        </w:rPr>
      </w:pPr>
    </w:p>
    <w:p>
      <w:pPr>
        <w:ind w:right="100" w:firstLine="802"/>
        <w:spacing w:after="0" w:line="351" w:lineRule="auto"/>
        <w:rPr>
          <w:sz w:val="20"/>
          <w:szCs w:val="20"/>
          <w:color w:val="auto"/>
        </w:rPr>
      </w:pPr>
      <w:r>
        <w:rPr>
          <w:rFonts w:ascii="Arial" w:cs="Arial" w:eastAsia="Arial" w:hAnsi="Arial"/>
          <w:sz w:val="12"/>
          <w:szCs w:val="12"/>
          <w:color w:val="auto"/>
        </w:rPr>
        <w:t xml:space="preserve">Stock-based payments are accounted for in accordance with the provisions of ASC 718, </w:t>
      </w:r>
      <w:r>
        <w:rPr>
          <w:rFonts w:ascii="Arial" w:cs="Arial" w:eastAsia="Arial" w:hAnsi="Arial"/>
          <w:sz w:val="12"/>
          <w:szCs w:val="12"/>
          <w:i w:val="1"/>
          <w:iCs w:val="1"/>
          <w:color w:val="auto"/>
        </w:rPr>
        <w:t>Compensation – Stock Compensation</w:t>
      </w:r>
      <w:r>
        <w:rPr>
          <w:rFonts w:ascii="Arial" w:cs="Arial" w:eastAsia="Arial" w:hAnsi="Arial"/>
          <w:sz w:val="12"/>
          <w:szCs w:val="12"/>
          <w:color w:val="auto"/>
        </w:rPr>
        <w:t>. The fair value of stock-based payments is estimated, on the date of grant, using the Black-Scholes model. The resulting fair value is recognized ratably over the requisite service period, which is generally the vesting period of the option.</w:t>
      </w:r>
    </w:p>
    <w:p>
      <w:pPr>
        <w:spacing w:after="0" w:line="56" w:lineRule="exact"/>
        <w:rPr>
          <w:sz w:val="20"/>
          <w:szCs w:val="20"/>
          <w:color w:val="auto"/>
        </w:rPr>
      </w:pPr>
    </w:p>
    <w:p>
      <w:pPr>
        <w:ind w:right="140" w:firstLine="802"/>
        <w:spacing w:after="0" w:line="351" w:lineRule="auto"/>
        <w:rPr>
          <w:sz w:val="20"/>
          <w:szCs w:val="20"/>
          <w:color w:val="auto"/>
        </w:rPr>
      </w:pPr>
      <w:r>
        <w:rPr>
          <w:rFonts w:ascii="Arial" w:cs="Arial" w:eastAsia="Arial" w:hAnsi="Arial"/>
          <w:sz w:val="12"/>
          <w:szCs w:val="12"/>
          <w:color w:val="auto"/>
        </w:rPr>
        <w:t>For all time-vesting awards granted, expense is amortized using the straight-line attribution method. For awards that contain a performance condition, expense is amortized using the accelerated attribution method. Recognition of stock-based compensation expense is based on the value of the portion of stock-based awards that is ultimately expected to vest during the period.</w:t>
      </w:r>
    </w:p>
    <w:p>
      <w:pPr>
        <w:spacing w:after="0" w:line="56"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The Company utilizes the Black-Scholes model for estimating fair value of its stock options granted. Option valuation models, including the Black-Scholes model, require the input of highly subjective assumptions, and changes in the assumptions used can materially affect the grant-date fair value of an award. These assumptions include the risk-free rate of interest, expected dividend yield, expected volatility and the expected life of the award.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Per Share</w:t>
      </w:r>
    </w:p>
    <w:p>
      <w:pPr>
        <w:spacing w:after="0" w:line="132"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Income (loss) per share is calculated under the two-class method under which all earnings (distributed and undistributed) are allocated to each class of common stock and participating securities based on their respective rights to receive dividends. In the event that the Board of Directors shall declare a dividend payable in cash or other property on the then-outstanding shares of common stock, the holders of the Series A-1, A-2, B, C, D, and D-2 convertible preferred stock shall be entitled to receive the amount of dividends per share of Preferred Stock that would be payable on the largest number of whole shares of Common Stock into which each share of Preferred Stock could then be converted. Therefore, the Series A-1, A-2, B, C, D and D-2 are participating securities.</w:t>
      </w:r>
    </w:p>
    <w:p>
      <w:pPr>
        <w:spacing w:after="0" w:line="79" w:lineRule="exact"/>
        <w:rPr>
          <w:sz w:val="20"/>
          <w:szCs w:val="20"/>
          <w:color w:val="auto"/>
        </w:rPr>
      </w:pPr>
    </w:p>
    <w:p>
      <w:pPr>
        <w:jc w:val="both"/>
        <w:ind w:right="280" w:firstLine="802"/>
        <w:spacing w:after="0" w:line="321" w:lineRule="auto"/>
        <w:rPr>
          <w:sz w:val="20"/>
          <w:szCs w:val="20"/>
          <w:color w:val="auto"/>
        </w:rPr>
      </w:pPr>
      <w:r>
        <w:rPr>
          <w:rFonts w:ascii="Arial" w:cs="Arial" w:eastAsia="Arial" w:hAnsi="Arial"/>
          <w:sz w:val="12"/>
          <w:szCs w:val="12"/>
          <w:color w:val="auto"/>
        </w:rPr>
        <w:t>Basic net income (loss) per common share is determined by dividing the net income (loss) allocable to common stockholders by the weighted-average number of common shares outstanding during the period, without consideration of common stock equivalents. Diluted net income (loss) per share is computed by dividing the net income (loss) allocable to common stockholders by the weighted-average number of common stock equivalents outstanding for the period. The treasury stock method is used to determine the dilutive effect of the Company’s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40"/>
          </w:cols>
          <w:pgMar w:left="220" w:top="386" w:right="2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stock option grants and the if-converted method is used to determine the dilutive effect of the Company’s Series A-1, A-2, B, C, D, and D-2 convertible preferred stock.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6"/>
              </w:rPr>
              <w:t>Year Ended December 31,</w:t>
            </w:r>
          </w:p>
        </w:tc>
        <w:tc>
          <w:tcPr>
            <w:tcW w:w="66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5"/>
              </w:rPr>
              <w:t>Six Months Ended June 30,</w:t>
            </w:r>
          </w:p>
        </w:tc>
        <w:tc>
          <w:tcPr>
            <w:tcW w:w="6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3"/>
          </w:tcPr>
          <w:p>
            <w:pPr>
              <w:jc w:val="right"/>
              <w:spacing w:after="0" w:line="105" w:lineRule="exact"/>
              <w:rPr>
                <w:sz w:val="20"/>
                <w:szCs w:val="20"/>
                <w:color w:val="auto"/>
              </w:rPr>
            </w:pPr>
            <w:r>
              <w:rPr>
                <w:rFonts w:ascii="Arial" w:cs="Arial" w:eastAsia="Arial" w:hAnsi="Arial"/>
                <w:sz w:val="10"/>
                <w:szCs w:val="10"/>
                <w:b w:val="1"/>
                <w:bCs w:val="1"/>
                <w:color w:val="auto"/>
              </w:rPr>
              <w:t>2011</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w w:val="78"/>
              </w:rPr>
              <w:t>2012</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gridSpan w:val="4"/>
          </w:tcPr>
          <w:p>
            <w:pPr>
              <w:ind w:left="100"/>
              <w:spacing w:after="0" w:line="105" w:lineRule="exact"/>
              <w:rPr>
                <w:sz w:val="20"/>
                <w:szCs w:val="20"/>
                <w:color w:val="auto"/>
              </w:rPr>
            </w:pPr>
            <w:r>
              <w:rPr>
                <w:rFonts w:ascii="Arial" w:cs="Arial" w:eastAsia="Arial" w:hAnsi="Arial"/>
                <w:sz w:val="10"/>
                <w:szCs w:val="10"/>
                <w:b w:val="1"/>
                <w:bCs w:val="1"/>
                <w:color w:val="auto"/>
                <w:w w:val="89"/>
              </w:rPr>
              <w:t>2012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52"/>
              <w:spacing w:after="0"/>
              <w:rPr>
                <w:sz w:val="20"/>
                <w:szCs w:val="20"/>
                <w:color w:val="auto"/>
              </w:rPr>
            </w:pPr>
            <w:r>
              <w:rPr>
                <w:rFonts w:ascii="Arial" w:cs="Arial" w:eastAsia="Arial" w:hAnsi="Arial"/>
                <w:sz w:val="10"/>
                <w:szCs w:val="10"/>
                <w:b w:val="1"/>
                <w:bCs w:val="1"/>
                <w:color w:val="auto"/>
              </w:rPr>
              <w:t>(Unaudited)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Arial" w:cs="Arial" w:eastAsia="Arial" w:hAnsi="Arial"/>
                <w:sz w:val="8"/>
                <w:szCs w:val="8"/>
                <w:b w:val="1"/>
                <w:bCs w:val="1"/>
                <w:color w:val="auto"/>
                <w:w w:val="78"/>
              </w:rPr>
              <w:t>2013</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Income (Loss) per Share</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6,717,120</w:t>
            </w:r>
          </w:p>
        </w:tc>
        <w:tc>
          <w:tcPr>
            <w:tcW w:w="160" w:type="dxa"/>
            <w:vAlign w:val="bottom"/>
          </w:tcPr>
          <w:p>
            <w:pPr>
              <w:spacing w:after="0"/>
              <w:rPr>
                <w:sz w:val="14"/>
                <w:szCs w:val="14"/>
                <w:color w:val="auto"/>
              </w:rPr>
            </w:pPr>
          </w:p>
        </w:tc>
        <w:tc>
          <w:tcPr>
            <w:tcW w:w="38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w:t>
            </w:r>
          </w:p>
        </w:tc>
        <w:tc>
          <w:tcPr>
            <w:tcW w:w="920" w:type="dxa"/>
            <w:vAlign w:val="bottom"/>
            <w:gridSpan w:val="4"/>
          </w:tcPr>
          <w:p>
            <w:pPr>
              <w:jc w:val="right"/>
              <w:ind w:right="92"/>
              <w:spacing w:after="0"/>
              <w:rPr>
                <w:sz w:val="20"/>
                <w:szCs w:val="20"/>
                <w:color w:val="auto"/>
              </w:rPr>
            </w:pPr>
            <w:r>
              <w:rPr>
                <w:rFonts w:ascii="Arial" w:cs="Arial" w:eastAsia="Arial" w:hAnsi="Arial"/>
                <w:sz w:val="14"/>
                <w:szCs w:val="14"/>
                <w:color w:val="auto"/>
              </w:rPr>
              <w:t>8,361,755</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rPr>
              <w:t>7,866,068</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(3,659,837)</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Undistributed earnings allocated to participating securities</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4"/>
                <w:szCs w:val="14"/>
                <w:color w:val="auto"/>
              </w:rPr>
              <w:t>(6,717,120)</w:t>
            </w:r>
          </w:p>
        </w:tc>
        <w:tc>
          <w:tcPr>
            <w:tcW w:w="38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76"/>
              </w:rPr>
              <w:t>$</w:t>
            </w:r>
          </w:p>
        </w:tc>
        <w:tc>
          <w:tcPr>
            <w:tcW w:w="920" w:type="dxa"/>
            <w:vAlign w:val="bottom"/>
            <w:gridSpan w:val="4"/>
            <w:shd w:val="clear" w:color="auto" w:fill="CCEEFF"/>
          </w:tcPr>
          <w:p>
            <w:pPr>
              <w:jc w:val="right"/>
              <w:ind w:right="32"/>
              <w:spacing w:after="0"/>
              <w:rPr>
                <w:sz w:val="20"/>
                <w:szCs w:val="20"/>
                <w:color w:val="auto"/>
              </w:rPr>
            </w:pPr>
            <w:r>
              <w:rPr>
                <w:rFonts w:ascii="Arial" w:cs="Arial" w:eastAsia="Arial" w:hAnsi="Arial"/>
                <w:sz w:val="14"/>
                <w:szCs w:val="14"/>
                <w:color w:val="auto"/>
              </w:rPr>
              <w:t>(8,361,755)</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shd w:val="clear" w:color="auto" w:fill="CCEEFF"/>
          </w:tcPr>
          <w:p>
            <w:pPr>
              <w:jc w:val="right"/>
              <w:ind w:right="8"/>
              <w:spacing w:after="0"/>
              <w:rPr>
                <w:sz w:val="20"/>
                <w:szCs w:val="20"/>
                <w:color w:val="auto"/>
              </w:rPr>
            </w:pPr>
            <w:r>
              <w:rPr>
                <w:rFonts w:ascii="Arial" w:cs="Arial" w:eastAsia="Arial" w:hAnsi="Arial"/>
                <w:sz w:val="14"/>
                <w:szCs w:val="14"/>
                <w:color w:val="auto"/>
              </w:rPr>
              <w:t>(7,829,583)</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(loss) allocable to common shares</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rPr>
              <w:t>36,485</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(3,659,837)</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weighted average common shares outstanding</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9"/>
              </w:rPr>
              <w:t>19,254,567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92"/>
              <w:spacing w:after="0"/>
              <w:rPr>
                <w:sz w:val="20"/>
                <w:szCs w:val="20"/>
                <w:color w:val="auto"/>
              </w:rPr>
            </w:pPr>
            <w:r>
              <w:rPr>
                <w:rFonts w:ascii="Arial" w:cs="Arial" w:eastAsia="Arial" w:hAnsi="Arial"/>
                <w:sz w:val="14"/>
                <w:szCs w:val="14"/>
                <w:color w:val="auto"/>
              </w:rPr>
              <w:t>20,337,513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7"/>
            <w:shd w:val="clear" w:color="auto" w:fill="CCEEFF"/>
          </w:tcPr>
          <w:p>
            <w:pPr>
              <w:jc w:val="right"/>
              <w:ind w:right="48"/>
              <w:spacing w:after="0"/>
              <w:rPr>
                <w:sz w:val="20"/>
                <w:szCs w:val="20"/>
                <w:color w:val="auto"/>
              </w:rPr>
            </w:pPr>
            <w:r>
              <w:rPr>
                <w:rFonts w:ascii="Arial" w:cs="Arial" w:eastAsia="Arial" w:hAnsi="Arial"/>
                <w:sz w:val="14"/>
                <w:szCs w:val="14"/>
                <w:color w:val="auto"/>
                <w:w w:val="96"/>
              </w:rPr>
              <w:t>20,106,584</w:t>
            </w:r>
          </w:p>
        </w:tc>
        <w:tc>
          <w:tcPr>
            <w:tcW w:w="5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52"/>
              <w:spacing w:after="0"/>
              <w:rPr>
                <w:sz w:val="20"/>
                <w:szCs w:val="20"/>
                <w:color w:val="auto"/>
              </w:rPr>
            </w:pPr>
            <w:r>
              <w:rPr>
                <w:rFonts w:ascii="Arial" w:cs="Arial" w:eastAsia="Arial" w:hAnsi="Arial"/>
                <w:sz w:val="14"/>
                <w:szCs w:val="14"/>
                <w:color w:val="auto"/>
                <w:w w:val="94"/>
              </w:rPr>
              <w:t>22,237,823</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Basic earnings per common share</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rPr>
              <w:t>0.00</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earnings per common share</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6,717,120</w:t>
            </w:r>
          </w:p>
        </w:tc>
        <w:tc>
          <w:tcPr>
            <w:tcW w:w="160" w:type="dxa"/>
            <w:vAlign w:val="bottom"/>
          </w:tcPr>
          <w:p>
            <w:pPr>
              <w:spacing w:after="0"/>
              <w:rPr>
                <w:sz w:val="14"/>
                <w:szCs w:val="14"/>
                <w:color w:val="auto"/>
              </w:rPr>
            </w:pPr>
          </w:p>
        </w:tc>
        <w:tc>
          <w:tcPr>
            <w:tcW w:w="38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w:t>
            </w:r>
          </w:p>
        </w:tc>
        <w:tc>
          <w:tcPr>
            <w:tcW w:w="920" w:type="dxa"/>
            <w:vAlign w:val="bottom"/>
            <w:gridSpan w:val="4"/>
          </w:tcPr>
          <w:p>
            <w:pPr>
              <w:jc w:val="right"/>
              <w:ind w:right="92"/>
              <w:spacing w:after="0"/>
              <w:rPr>
                <w:sz w:val="20"/>
                <w:szCs w:val="20"/>
                <w:color w:val="auto"/>
              </w:rPr>
            </w:pPr>
            <w:r>
              <w:rPr>
                <w:rFonts w:ascii="Arial" w:cs="Arial" w:eastAsia="Arial" w:hAnsi="Arial"/>
                <w:sz w:val="14"/>
                <w:szCs w:val="14"/>
                <w:color w:val="auto"/>
              </w:rPr>
              <w:t>8,361,755</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rPr>
              <w:t>7,866,068</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(3,659,837)</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Undistributed earnings allocated to participating securities</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4"/>
                <w:szCs w:val="14"/>
                <w:color w:val="auto"/>
              </w:rPr>
              <w:t>(6,717,120)</w:t>
            </w:r>
          </w:p>
        </w:tc>
        <w:tc>
          <w:tcPr>
            <w:tcW w:w="38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76"/>
              </w:rPr>
              <w:t>$</w:t>
            </w:r>
          </w:p>
        </w:tc>
        <w:tc>
          <w:tcPr>
            <w:tcW w:w="920" w:type="dxa"/>
            <w:vAlign w:val="bottom"/>
            <w:gridSpan w:val="4"/>
            <w:shd w:val="clear" w:color="auto" w:fill="CCEEFF"/>
          </w:tcPr>
          <w:p>
            <w:pPr>
              <w:jc w:val="right"/>
              <w:ind w:right="32"/>
              <w:spacing w:after="0"/>
              <w:rPr>
                <w:sz w:val="20"/>
                <w:szCs w:val="20"/>
                <w:color w:val="auto"/>
              </w:rPr>
            </w:pPr>
            <w:r>
              <w:rPr>
                <w:rFonts w:ascii="Arial" w:cs="Arial" w:eastAsia="Arial" w:hAnsi="Arial"/>
                <w:sz w:val="14"/>
                <w:szCs w:val="14"/>
                <w:color w:val="auto"/>
              </w:rPr>
              <w:t>(8,361,755)</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shd w:val="clear" w:color="auto" w:fill="CCEEFF"/>
          </w:tcPr>
          <w:p>
            <w:pPr>
              <w:jc w:val="right"/>
              <w:ind w:right="8"/>
              <w:spacing w:after="0"/>
              <w:rPr>
                <w:sz w:val="20"/>
                <w:szCs w:val="20"/>
                <w:color w:val="auto"/>
              </w:rPr>
            </w:pPr>
            <w:r>
              <w:rPr>
                <w:rFonts w:ascii="Arial" w:cs="Arial" w:eastAsia="Arial" w:hAnsi="Arial"/>
                <w:sz w:val="14"/>
                <w:szCs w:val="14"/>
                <w:color w:val="auto"/>
              </w:rPr>
              <w:t>(7,829,583)</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(loss) allocable to common shares</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rPr>
              <w:t>36,485</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(3,659,837)</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weighted average common shares outstanding</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9"/>
              </w:rPr>
              <w:t>19,254,567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92"/>
              <w:spacing w:after="0"/>
              <w:rPr>
                <w:sz w:val="20"/>
                <w:szCs w:val="20"/>
                <w:color w:val="auto"/>
              </w:rPr>
            </w:pPr>
            <w:r>
              <w:rPr>
                <w:rFonts w:ascii="Arial" w:cs="Arial" w:eastAsia="Arial" w:hAnsi="Arial"/>
                <w:sz w:val="14"/>
                <w:szCs w:val="14"/>
                <w:color w:val="auto"/>
              </w:rPr>
              <w:t>20,337,513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7"/>
            <w:shd w:val="clear" w:color="auto" w:fill="CCEEFF"/>
          </w:tcPr>
          <w:p>
            <w:pPr>
              <w:jc w:val="right"/>
              <w:ind w:right="48"/>
              <w:spacing w:after="0"/>
              <w:rPr>
                <w:sz w:val="20"/>
                <w:szCs w:val="20"/>
                <w:color w:val="auto"/>
              </w:rPr>
            </w:pPr>
            <w:r>
              <w:rPr>
                <w:rFonts w:ascii="Arial" w:cs="Arial" w:eastAsia="Arial" w:hAnsi="Arial"/>
                <w:sz w:val="14"/>
                <w:szCs w:val="14"/>
                <w:color w:val="auto"/>
                <w:w w:val="96"/>
              </w:rPr>
              <w:t>20,106,584</w:t>
            </w:r>
          </w:p>
        </w:tc>
        <w:tc>
          <w:tcPr>
            <w:tcW w:w="5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52"/>
              <w:spacing w:after="0"/>
              <w:rPr>
                <w:sz w:val="20"/>
                <w:szCs w:val="20"/>
                <w:color w:val="auto"/>
              </w:rPr>
            </w:pPr>
            <w:r>
              <w:rPr>
                <w:rFonts w:ascii="Arial" w:cs="Arial" w:eastAsia="Arial" w:hAnsi="Arial"/>
                <w:sz w:val="14"/>
                <w:szCs w:val="14"/>
                <w:color w:val="auto"/>
                <w:w w:val="94"/>
              </w:rPr>
              <w:t>22,237,823</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Effect of dilutive securities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w w:val="87"/>
              </w:rPr>
              <w:t>381,045,990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weighted average common shares outstanding</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9"/>
              </w:rPr>
              <w:t>19,254,567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92"/>
              <w:spacing w:after="0"/>
              <w:rPr>
                <w:sz w:val="20"/>
                <w:szCs w:val="20"/>
                <w:color w:val="auto"/>
              </w:rPr>
            </w:pPr>
            <w:r>
              <w:rPr>
                <w:rFonts w:ascii="Arial" w:cs="Arial" w:eastAsia="Arial" w:hAnsi="Arial"/>
                <w:sz w:val="14"/>
                <w:szCs w:val="14"/>
                <w:color w:val="auto"/>
              </w:rPr>
              <w:t>20,337,513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7"/>
            <w:shd w:val="clear" w:color="auto" w:fill="CCEEFF"/>
          </w:tcPr>
          <w:p>
            <w:pPr>
              <w:jc w:val="right"/>
              <w:ind w:right="48"/>
              <w:spacing w:after="0"/>
              <w:rPr>
                <w:sz w:val="20"/>
                <w:szCs w:val="20"/>
                <w:color w:val="auto"/>
              </w:rPr>
            </w:pPr>
            <w:r>
              <w:rPr>
                <w:rFonts w:ascii="Arial" w:cs="Arial" w:eastAsia="Arial" w:hAnsi="Arial"/>
                <w:sz w:val="14"/>
                <w:szCs w:val="14"/>
                <w:color w:val="auto"/>
                <w:w w:val="87"/>
              </w:rPr>
              <w:t>401,152,574</w:t>
            </w:r>
          </w:p>
        </w:tc>
        <w:tc>
          <w:tcPr>
            <w:tcW w:w="5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52"/>
              <w:spacing w:after="0"/>
              <w:rPr>
                <w:sz w:val="20"/>
                <w:szCs w:val="20"/>
                <w:color w:val="auto"/>
              </w:rPr>
            </w:pPr>
            <w:r>
              <w:rPr>
                <w:rFonts w:ascii="Arial" w:cs="Arial" w:eastAsia="Arial" w:hAnsi="Arial"/>
                <w:sz w:val="14"/>
                <w:szCs w:val="14"/>
                <w:color w:val="auto"/>
                <w:w w:val="94"/>
              </w:rPr>
              <w:t>22,237,823</w:t>
            </w:r>
          </w:p>
        </w:tc>
        <w:tc>
          <w:tcPr>
            <w:tcW w:w="0" w:type="dxa"/>
            <w:vAlign w:val="bottom"/>
          </w:tcPr>
          <w:p>
            <w:pPr>
              <w:spacing w:after="0"/>
              <w:rPr>
                <w:sz w:val="1"/>
                <w:szCs w:val="1"/>
                <w:color w:val="auto"/>
              </w:rPr>
            </w:pPr>
          </w:p>
        </w:tc>
      </w:tr>
      <w:tr>
        <w:trPr>
          <w:trHeight w:val="173"/>
        </w:trPr>
        <w:tc>
          <w:tcPr>
            <w:tcW w:w="4780" w:type="dxa"/>
            <w:vAlign w:val="bottom"/>
            <w:gridSpan w:val="2"/>
          </w:tcPr>
          <w:p>
            <w:pPr>
              <w:spacing w:after="0"/>
              <w:rPr>
                <w:sz w:val="20"/>
                <w:szCs w:val="20"/>
                <w:color w:val="auto"/>
              </w:rPr>
            </w:pPr>
            <w:r>
              <w:rPr>
                <w:rFonts w:ascii="Arial" w:cs="Arial" w:eastAsia="Arial" w:hAnsi="Arial"/>
                <w:sz w:val="14"/>
                <w:szCs w:val="14"/>
                <w:color w:val="auto"/>
              </w:rPr>
              <w:t>Diluted income per common share</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7"/>
          </w:tcPr>
          <w:p>
            <w:pPr>
              <w:jc w:val="right"/>
              <w:ind w:right="48"/>
              <w:spacing w:after="0"/>
              <w:rPr>
                <w:sz w:val="20"/>
                <w:szCs w:val="20"/>
                <w:color w:val="auto"/>
              </w:rPr>
            </w:pPr>
            <w:r>
              <w:rPr>
                <w:rFonts w:ascii="Arial" w:cs="Arial" w:eastAsia="Arial" w:hAnsi="Arial"/>
                <w:sz w:val="14"/>
                <w:szCs w:val="14"/>
                <w:color w:val="auto"/>
              </w:rPr>
              <w:t>0.00</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85"/>
        </w:trPr>
        <w:tc>
          <w:tcPr>
            <w:tcW w:w="9280" w:type="dxa"/>
            <w:vAlign w:val="bottom"/>
            <w:gridSpan w:val="19"/>
          </w:tcPr>
          <w:p>
            <w:pPr>
              <w:ind w:left="800"/>
              <w:spacing w:after="0"/>
              <w:rPr>
                <w:sz w:val="20"/>
                <w:szCs w:val="20"/>
                <w:color w:val="auto"/>
              </w:rPr>
            </w:pPr>
            <w:r>
              <w:rPr>
                <w:rFonts w:ascii="Arial" w:cs="Arial" w:eastAsia="Arial" w:hAnsi="Arial"/>
                <w:sz w:val="14"/>
                <w:szCs w:val="14"/>
                <w:color w:val="auto"/>
                <w:w w:val="88"/>
              </w:rPr>
              <w:t>The following common stock equivalents were excluded in the calculation of diluted net income (loss) per share because their effect would be anti-dilutive: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2"/>
              </w:rPr>
              <w:t>December 31,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gridSpan w:val="5"/>
          </w:tcPr>
          <w:p>
            <w:pPr>
              <w:spacing w:after="0"/>
              <w:rPr>
                <w:sz w:val="20"/>
                <w:szCs w:val="20"/>
                <w:color w:val="auto"/>
              </w:rPr>
            </w:pPr>
            <w:r>
              <w:rPr>
                <w:rFonts w:ascii="Arial" w:cs="Arial" w:eastAsia="Arial" w:hAnsi="Arial"/>
                <w:sz w:val="10"/>
                <w:szCs w:val="10"/>
                <w:b w:val="1"/>
                <w:bCs w:val="1"/>
                <w:color w:val="auto"/>
              </w:rPr>
              <w:t>June 30,</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8"/>
              </w:rPr>
              <w:t>2012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2012</w:t>
            </w:r>
          </w:p>
        </w:tc>
        <w:tc>
          <w:tcPr>
            <w:tcW w:w="3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80" w:type="dxa"/>
            <w:vAlign w:val="bottom"/>
            <w:tcBorders>
              <w:top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0"/>
                <w:szCs w:val="10"/>
                <w:b w:val="1"/>
                <w:bCs w:val="1"/>
                <w:color w:val="auto"/>
                <w:w w:val="89"/>
              </w:rPr>
              <w:t>2013</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3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Series A-1 Preferred Stock</w:t>
            </w:r>
          </w:p>
        </w:tc>
        <w:tc>
          <w:tcPr>
            <w:tcW w:w="2020" w:type="dxa"/>
            <w:vAlign w:val="bottom"/>
            <w:gridSpan w:val="6"/>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40,478,808</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6"/>
            <w:shd w:val="clear" w:color="auto" w:fill="CCEEFF"/>
          </w:tcPr>
          <w:p>
            <w:pPr>
              <w:jc w:val="right"/>
              <w:ind w:right="412"/>
              <w:spacing w:after="0" w:line="157" w:lineRule="exact"/>
              <w:rPr>
                <w:sz w:val="20"/>
                <w:szCs w:val="20"/>
                <w:color w:val="auto"/>
              </w:rPr>
            </w:pPr>
            <w:r>
              <w:rPr>
                <w:rFonts w:ascii="Arial" w:cs="Arial" w:eastAsia="Arial" w:hAnsi="Arial"/>
                <w:sz w:val="14"/>
                <w:szCs w:val="14"/>
                <w:color w:val="auto"/>
              </w:rPr>
              <w:t>40,478,808</w:t>
            </w:r>
          </w:p>
        </w:tc>
        <w:tc>
          <w:tcPr>
            <w:tcW w:w="58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1380" w:type="dxa"/>
            <w:vAlign w:val="bottom"/>
            <w:gridSpan w:val="8"/>
            <w:shd w:val="clear" w:color="auto" w:fill="CCEEFF"/>
          </w:tcPr>
          <w:p>
            <w:pPr>
              <w:jc w:val="right"/>
              <w:ind w:right="52"/>
              <w:spacing w:after="0" w:line="157" w:lineRule="exact"/>
              <w:rPr>
                <w:sz w:val="20"/>
                <w:szCs w:val="20"/>
                <w:color w:val="auto"/>
              </w:rPr>
            </w:pPr>
            <w:r>
              <w:rPr>
                <w:rFonts w:ascii="Arial" w:cs="Arial" w:eastAsia="Arial" w:hAnsi="Arial"/>
                <w:sz w:val="14"/>
                <w:szCs w:val="14"/>
                <w:color w:val="auto"/>
              </w:rPr>
              <w:t>40,478,808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Series A-2 Preferred Stock</w:t>
            </w:r>
          </w:p>
        </w:tc>
        <w:tc>
          <w:tcPr>
            <w:tcW w:w="2020" w:type="dxa"/>
            <w:vAlign w:val="bottom"/>
            <w:gridSpan w:val="6"/>
          </w:tcPr>
          <w:p>
            <w:pPr>
              <w:jc w:val="right"/>
              <w:ind w:right="80"/>
              <w:spacing w:after="0"/>
              <w:rPr>
                <w:sz w:val="20"/>
                <w:szCs w:val="20"/>
                <w:color w:val="auto"/>
              </w:rPr>
            </w:pPr>
            <w:r>
              <w:rPr>
                <w:rFonts w:ascii="Arial" w:cs="Arial" w:eastAsia="Arial" w:hAnsi="Arial"/>
                <w:sz w:val="14"/>
                <w:szCs w:val="14"/>
                <w:color w:val="auto"/>
              </w:rPr>
              <w:t>7,364,582</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6"/>
          </w:tcPr>
          <w:p>
            <w:pPr>
              <w:jc w:val="right"/>
              <w:ind w:right="412"/>
              <w:spacing w:after="0"/>
              <w:rPr>
                <w:sz w:val="20"/>
                <w:szCs w:val="20"/>
                <w:color w:val="auto"/>
              </w:rPr>
            </w:pPr>
            <w:r>
              <w:rPr>
                <w:rFonts w:ascii="Arial" w:cs="Arial" w:eastAsia="Arial" w:hAnsi="Arial"/>
                <w:sz w:val="14"/>
                <w:szCs w:val="14"/>
                <w:color w:val="auto"/>
              </w:rPr>
              <w:t>7,364,582</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tcPr>
          <w:p>
            <w:pPr>
              <w:jc w:val="right"/>
              <w:ind w:right="52"/>
              <w:spacing w:after="0"/>
              <w:rPr>
                <w:sz w:val="20"/>
                <w:szCs w:val="20"/>
                <w:color w:val="auto"/>
              </w:rPr>
            </w:pPr>
            <w:r>
              <w:rPr>
                <w:rFonts w:ascii="Arial" w:cs="Arial" w:eastAsia="Arial" w:hAnsi="Arial"/>
                <w:sz w:val="14"/>
                <w:szCs w:val="14"/>
                <w:color w:val="auto"/>
              </w:rPr>
              <w:t>7,364,582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Series B Preferred Stock</w:t>
            </w:r>
          </w:p>
        </w:tc>
        <w:tc>
          <w:tcPr>
            <w:tcW w:w="202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81,404,537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6"/>
            <w:shd w:val="clear" w:color="auto" w:fill="CCEEFF"/>
          </w:tcPr>
          <w:p>
            <w:pPr>
              <w:jc w:val="right"/>
              <w:ind w:right="412"/>
              <w:spacing w:after="0"/>
              <w:rPr>
                <w:sz w:val="20"/>
                <w:szCs w:val="20"/>
                <w:color w:val="auto"/>
              </w:rPr>
            </w:pPr>
            <w:r>
              <w:rPr>
                <w:rFonts w:ascii="Arial" w:cs="Arial" w:eastAsia="Arial" w:hAnsi="Arial"/>
                <w:sz w:val="14"/>
                <w:szCs w:val="14"/>
                <w:color w:val="auto"/>
              </w:rPr>
              <w:t>81,404,537</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shd w:val="clear" w:color="auto" w:fill="CCEEFF"/>
          </w:tcPr>
          <w:p>
            <w:pPr>
              <w:jc w:val="right"/>
              <w:ind w:right="52"/>
              <w:spacing w:after="0"/>
              <w:rPr>
                <w:sz w:val="20"/>
                <w:szCs w:val="20"/>
                <w:color w:val="auto"/>
              </w:rPr>
            </w:pPr>
            <w:r>
              <w:rPr>
                <w:rFonts w:ascii="Arial" w:cs="Arial" w:eastAsia="Arial" w:hAnsi="Arial"/>
                <w:sz w:val="14"/>
                <w:szCs w:val="14"/>
                <w:color w:val="auto"/>
              </w:rPr>
              <w:t>81,404,537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Series C Preferred Stock</w:t>
            </w:r>
          </w:p>
        </w:tc>
        <w:tc>
          <w:tcPr>
            <w:tcW w:w="2020" w:type="dxa"/>
            <w:vAlign w:val="bottom"/>
            <w:gridSpan w:val="6"/>
          </w:tcPr>
          <w:p>
            <w:pPr>
              <w:jc w:val="right"/>
              <w:ind w:right="80"/>
              <w:spacing w:after="0"/>
              <w:rPr>
                <w:sz w:val="20"/>
                <w:szCs w:val="20"/>
                <w:color w:val="auto"/>
              </w:rPr>
            </w:pPr>
            <w:r>
              <w:rPr>
                <w:rFonts w:ascii="Arial" w:cs="Arial" w:eastAsia="Arial" w:hAnsi="Arial"/>
                <w:sz w:val="14"/>
                <w:szCs w:val="14"/>
                <w:color w:val="auto"/>
              </w:rPr>
              <w:t>110,952,217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6"/>
          </w:tcPr>
          <w:p>
            <w:pPr>
              <w:jc w:val="right"/>
              <w:ind w:right="412"/>
              <w:spacing w:after="0"/>
              <w:rPr>
                <w:sz w:val="20"/>
                <w:szCs w:val="20"/>
                <w:color w:val="auto"/>
              </w:rPr>
            </w:pPr>
            <w:r>
              <w:rPr>
                <w:rFonts w:ascii="Arial" w:cs="Arial" w:eastAsia="Arial" w:hAnsi="Arial"/>
                <w:sz w:val="14"/>
                <w:szCs w:val="14"/>
                <w:color w:val="auto"/>
              </w:rPr>
              <w:t>110,952,217</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tcPr>
          <w:p>
            <w:pPr>
              <w:jc w:val="right"/>
              <w:ind w:right="52"/>
              <w:spacing w:after="0"/>
              <w:rPr>
                <w:sz w:val="20"/>
                <w:szCs w:val="20"/>
                <w:color w:val="auto"/>
              </w:rPr>
            </w:pPr>
            <w:r>
              <w:rPr>
                <w:rFonts w:ascii="Arial" w:cs="Arial" w:eastAsia="Arial" w:hAnsi="Arial"/>
                <w:sz w:val="14"/>
                <w:szCs w:val="14"/>
                <w:color w:val="auto"/>
              </w:rPr>
              <w:t>110,952,217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Series D Preferred Stock</w:t>
            </w:r>
          </w:p>
        </w:tc>
        <w:tc>
          <w:tcPr>
            <w:tcW w:w="202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14,446,227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6"/>
            <w:shd w:val="clear" w:color="auto" w:fill="CCEEFF"/>
          </w:tcPr>
          <w:p>
            <w:pPr>
              <w:jc w:val="right"/>
              <w:ind w:right="412"/>
              <w:spacing w:after="0"/>
              <w:rPr>
                <w:sz w:val="20"/>
                <w:szCs w:val="20"/>
                <w:color w:val="auto"/>
              </w:rPr>
            </w:pPr>
            <w:r>
              <w:rPr>
                <w:rFonts w:ascii="Arial" w:cs="Arial" w:eastAsia="Arial" w:hAnsi="Arial"/>
                <w:sz w:val="14"/>
                <w:szCs w:val="14"/>
                <w:color w:val="auto"/>
              </w:rPr>
              <w:t>14,446,227</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shd w:val="clear" w:color="auto" w:fill="CCEEFF"/>
          </w:tcPr>
          <w:p>
            <w:pPr>
              <w:jc w:val="right"/>
              <w:ind w:right="52"/>
              <w:spacing w:after="0"/>
              <w:rPr>
                <w:sz w:val="20"/>
                <w:szCs w:val="20"/>
                <w:color w:val="auto"/>
              </w:rPr>
            </w:pPr>
            <w:r>
              <w:rPr>
                <w:rFonts w:ascii="Arial" w:cs="Arial" w:eastAsia="Arial" w:hAnsi="Arial"/>
                <w:sz w:val="14"/>
                <w:szCs w:val="14"/>
                <w:color w:val="auto"/>
              </w:rPr>
              <w:t>14,446,227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Series D-2 Preferred Stock</w:t>
            </w:r>
          </w:p>
        </w:tc>
        <w:tc>
          <w:tcPr>
            <w:tcW w:w="2020" w:type="dxa"/>
            <w:vAlign w:val="bottom"/>
            <w:gridSpan w:val="6"/>
          </w:tcPr>
          <w:p>
            <w:pPr>
              <w:jc w:val="right"/>
              <w:ind w:right="80"/>
              <w:spacing w:after="0"/>
              <w:rPr>
                <w:sz w:val="20"/>
                <w:szCs w:val="20"/>
                <w:color w:val="auto"/>
              </w:rPr>
            </w:pPr>
            <w:r>
              <w:rPr>
                <w:rFonts w:ascii="Arial" w:cs="Arial" w:eastAsia="Arial" w:hAnsi="Arial"/>
                <w:sz w:val="14"/>
                <w:szCs w:val="14"/>
                <w:color w:val="auto"/>
              </w:rPr>
              <w:t>63,681,176</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6"/>
          </w:tcPr>
          <w:p>
            <w:pPr>
              <w:jc w:val="right"/>
              <w:ind w:right="412"/>
              <w:spacing w:after="0"/>
              <w:rPr>
                <w:sz w:val="20"/>
                <w:szCs w:val="20"/>
                <w:color w:val="auto"/>
              </w:rPr>
            </w:pPr>
            <w:r>
              <w:rPr>
                <w:rFonts w:ascii="Arial" w:cs="Arial" w:eastAsia="Arial" w:hAnsi="Arial"/>
                <w:sz w:val="14"/>
                <w:szCs w:val="14"/>
                <w:color w:val="auto"/>
              </w:rPr>
              <w:t>63,681,176</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tcPr>
          <w:p>
            <w:pPr>
              <w:jc w:val="right"/>
              <w:ind w:right="52"/>
              <w:spacing w:after="0"/>
              <w:rPr>
                <w:sz w:val="20"/>
                <w:szCs w:val="20"/>
                <w:color w:val="auto"/>
              </w:rPr>
            </w:pPr>
            <w:r>
              <w:rPr>
                <w:rFonts w:ascii="Arial" w:cs="Arial" w:eastAsia="Arial" w:hAnsi="Arial"/>
                <w:sz w:val="14"/>
                <w:szCs w:val="14"/>
                <w:color w:val="auto"/>
              </w:rPr>
              <w:t>63,681,176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Warrants to Purchase Series D-2 Preferred Stock</w:t>
            </w:r>
          </w:p>
        </w:tc>
        <w:tc>
          <w:tcPr>
            <w:tcW w:w="202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3,394,035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6"/>
            <w:shd w:val="clear" w:color="auto" w:fill="CCEEFF"/>
          </w:tcPr>
          <w:p>
            <w:pPr>
              <w:jc w:val="right"/>
              <w:ind w:right="412"/>
              <w:spacing w:after="0"/>
              <w:rPr>
                <w:sz w:val="20"/>
                <w:szCs w:val="20"/>
                <w:color w:val="auto"/>
              </w:rPr>
            </w:pPr>
            <w:r>
              <w:rPr>
                <w:rFonts w:ascii="Arial" w:cs="Arial" w:eastAsia="Arial" w:hAnsi="Arial"/>
                <w:sz w:val="14"/>
                <w:szCs w:val="14"/>
                <w:color w:val="auto"/>
              </w:rPr>
              <w:t>3,394,035</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shd w:val="clear" w:color="auto" w:fill="CCEEFF"/>
          </w:tcPr>
          <w:p>
            <w:pPr>
              <w:jc w:val="right"/>
              <w:ind w:right="52"/>
              <w:spacing w:after="0"/>
              <w:rPr>
                <w:sz w:val="20"/>
                <w:szCs w:val="20"/>
                <w:color w:val="auto"/>
              </w:rPr>
            </w:pPr>
            <w:r>
              <w:rPr>
                <w:rFonts w:ascii="Arial" w:cs="Arial" w:eastAsia="Arial" w:hAnsi="Arial"/>
                <w:sz w:val="14"/>
                <w:szCs w:val="14"/>
                <w:color w:val="auto"/>
              </w:rPr>
              <w:t>3,394,035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Stock options</w:t>
            </w:r>
          </w:p>
        </w:tc>
        <w:tc>
          <w:tcPr>
            <w:tcW w:w="2020" w:type="dxa"/>
            <w:vAlign w:val="bottom"/>
            <w:gridSpan w:val="6"/>
          </w:tcPr>
          <w:p>
            <w:pPr>
              <w:jc w:val="right"/>
              <w:ind w:right="80"/>
              <w:spacing w:after="0"/>
              <w:rPr>
                <w:sz w:val="20"/>
                <w:szCs w:val="20"/>
                <w:color w:val="auto"/>
              </w:rPr>
            </w:pPr>
            <w:r>
              <w:rPr>
                <w:rFonts w:ascii="Arial" w:cs="Arial" w:eastAsia="Arial" w:hAnsi="Arial"/>
                <w:sz w:val="14"/>
                <w:szCs w:val="14"/>
                <w:color w:val="auto"/>
              </w:rPr>
              <w:t>54,170,532</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6"/>
          </w:tcPr>
          <w:p>
            <w:pPr>
              <w:jc w:val="right"/>
              <w:ind w:right="412"/>
              <w:spacing w:after="0"/>
              <w:rPr>
                <w:sz w:val="20"/>
                <w:szCs w:val="20"/>
                <w:color w:val="auto"/>
              </w:rPr>
            </w:pPr>
            <w:r>
              <w:rPr>
                <w:rFonts w:ascii="Arial" w:cs="Arial" w:eastAsia="Arial" w:hAnsi="Arial"/>
                <w:sz w:val="14"/>
                <w:szCs w:val="14"/>
                <w:color w:val="auto"/>
              </w:rPr>
              <w:t>61,009,584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80" w:type="dxa"/>
            <w:vAlign w:val="bottom"/>
            <w:gridSpan w:val="8"/>
          </w:tcPr>
          <w:p>
            <w:pPr>
              <w:jc w:val="right"/>
              <w:ind w:right="52"/>
              <w:spacing w:after="0"/>
              <w:rPr>
                <w:sz w:val="20"/>
                <w:szCs w:val="20"/>
                <w:color w:val="auto"/>
              </w:rPr>
            </w:pPr>
            <w:r>
              <w:rPr>
                <w:rFonts w:ascii="Arial" w:cs="Arial" w:eastAsia="Arial" w:hAnsi="Arial"/>
                <w:sz w:val="14"/>
                <w:szCs w:val="14"/>
                <w:color w:val="auto"/>
              </w:rPr>
              <w:t>51,879,146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0" w:firstLine="802"/>
        <w:spacing w:after="0" w:line="253" w:lineRule="auto"/>
        <w:rPr>
          <w:sz w:val="20"/>
          <w:szCs w:val="20"/>
          <w:color w:val="auto"/>
        </w:rPr>
      </w:pPr>
      <w:r>
        <w:rPr>
          <w:rFonts w:ascii="Arial" w:cs="Arial" w:eastAsia="Arial" w:hAnsi="Arial"/>
          <w:sz w:val="14"/>
          <w:szCs w:val="14"/>
          <w:color w:val="auto"/>
        </w:rPr>
        <w:t>The pro forma net income (loss) per share is computed using the weighted-average number of common shares outstanding and assumes the conversion of all outstanding shares of the Company’s Series A-1, A-2, B, C, D, and D-2 convertible preferred stock into shares of common stock upon completion of the Company’s planned IPO, as if they had converted at the beginning of the period. The Company believes the unaudited pro forma net income (loss) per share provides material information to investors, as the conversion of the Company’s Series A-1, A-2, B, C, D, and D-2 convertible preferred stock to common stock is expected to occur upon the closing of an IPO, and the disclosure of pro forma net income (loss) per share thus provides an indication of net income (loss) per share that is comparable to what will be reported by the Company as a public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60"/>
          </w:cols>
          <w:pgMar w:left="220" w:top="386" w:right="21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Year Ended</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4"/>
              </w:rPr>
              <w:t>Six Months Ended</w:t>
            </w:r>
          </w:p>
        </w:tc>
      </w:tr>
      <w:tr>
        <w:trPr>
          <w:trHeight w:val="115"/>
        </w:trPr>
        <w:tc>
          <w:tcPr>
            <w:tcW w:w="8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December 31,</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4"/>
              </w:rPr>
              <w:t>June 30,</w:t>
            </w:r>
          </w:p>
        </w:tc>
      </w:tr>
      <w:tr>
        <w:trPr>
          <w:trHeight w:val="126"/>
        </w:trPr>
        <w:tc>
          <w:tcPr>
            <w:tcW w:w="8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2012</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2013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6"/>
        </w:trPr>
        <w:tc>
          <w:tcPr>
            <w:tcW w:w="8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180"/>
              <w:spacing w:after="0"/>
              <w:rPr>
                <w:sz w:val="20"/>
                <w:szCs w:val="20"/>
                <w:color w:val="auto"/>
              </w:rPr>
            </w:pPr>
            <w:r>
              <w:rPr>
                <w:rFonts w:ascii="Arial" w:cs="Arial" w:eastAsia="Arial" w:hAnsi="Arial"/>
                <w:sz w:val="10"/>
                <w:szCs w:val="10"/>
                <w:b w:val="1"/>
                <w:bCs w:val="1"/>
                <w:color w:val="auto"/>
              </w:rPr>
              <w:t>(unaudited)</w:t>
            </w: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Pro forma net income (loss) per common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20" w:type="dxa"/>
            <w:vAlign w:val="bottom"/>
          </w:tcPr>
          <w:p>
            <w:pPr>
              <w:spacing w:after="0"/>
              <w:rPr>
                <w:sz w:val="20"/>
                <w:szCs w:val="20"/>
                <w:color w:val="auto"/>
              </w:rPr>
            </w:pPr>
            <w:r>
              <w:rPr>
                <w:rFonts w:ascii="Arial" w:cs="Arial" w:eastAsia="Arial" w:hAnsi="Arial"/>
                <w:sz w:val="14"/>
                <w:szCs w:val="14"/>
                <w:color w:val="auto"/>
              </w:rPr>
              <w:t>Numerator: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used to compute pro forma net income (loss) per common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20" w:type="dxa"/>
            <w:vAlign w:val="bottom"/>
          </w:tcPr>
          <w:p>
            <w:pPr>
              <w:ind w:left="34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8,361,755</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(3,659,837)</w:t>
            </w:r>
          </w:p>
        </w:tc>
      </w:tr>
      <w:tr>
        <w:trPr>
          <w:trHeight w:val="167"/>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8,512,450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(3,587,884)</w:t>
            </w:r>
          </w:p>
        </w:tc>
      </w:tr>
      <w:tr>
        <w:trPr>
          <w:trHeight w:val="167"/>
        </w:trPr>
        <w:tc>
          <w:tcPr>
            <w:tcW w:w="8820" w:type="dxa"/>
            <w:vAlign w:val="bottom"/>
          </w:tcPr>
          <w:p>
            <w:pPr>
              <w:spacing w:after="0"/>
              <w:rPr>
                <w:sz w:val="20"/>
                <w:szCs w:val="20"/>
                <w:color w:val="auto"/>
              </w:rPr>
            </w:pPr>
            <w:r>
              <w:rPr>
                <w:rFonts w:ascii="Arial" w:cs="Arial" w:eastAsia="Arial" w:hAnsi="Arial"/>
                <w:sz w:val="14"/>
                <w:szCs w:val="14"/>
                <w:color w:val="auto"/>
              </w:rPr>
              <w:t>Denominator: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number of common shares, used to calculate net income (loss) per common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20" w:type="dxa"/>
            <w:vAlign w:val="bottom"/>
          </w:tcPr>
          <w:p>
            <w:pPr>
              <w:ind w:left="34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20,337,513</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22,237,823</w:t>
            </w:r>
          </w:p>
        </w:tc>
      </w:tr>
      <w:tr>
        <w:trPr>
          <w:trHeight w:val="167"/>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84,817,352</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22,237,823</w:t>
            </w:r>
          </w:p>
        </w:tc>
      </w:tr>
      <w:tr>
        <w:trPr>
          <w:trHeight w:val="168"/>
        </w:trPr>
        <w:tc>
          <w:tcPr>
            <w:tcW w:w="8820" w:type="dxa"/>
            <w:vAlign w:val="bottom"/>
          </w:tcPr>
          <w:p>
            <w:pPr>
              <w:spacing w:after="0"/>
              <w:rPr>
                <w:sz w:val="20"/>
                <w:szCs w:val="20"/>
                <w:color w:val="auto"/>
              </w:rPr>
            </w:pPr>
            <w:r>
              <w:rPr>
                <w:rFonts w:ascii="Arial" w:cs="Arial" w:eastAsia="Arial" w:hAnsi="Arial"/>
                <w:sz w:val="14"/>
                <w:szCs w:val="14"/>
                <w:color w:val="auto"/>
              </w:rPr>
              <w:t>Add: Pro forma adjustments to reflect assumed weighted-average effect of conversion of Series A convertible preferred stock</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2"/>
              </w:rPr>
              <w:t>318,327,547</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318,327,547</w:t>
            </w:r>
          </w:p>
        </w:tc>
      </w:tr>
      <w:tr>
        <w:trPr>
          <w:trHeight w:val="167"/>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number of common shares used in calculating pro forma net income (loss) per common share:</w:t>
            </w: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8820" w:type="dxa"/>
            <w:vAlign w:val="bottom"/>
          </w:tcPr>
          <w:p>
            <w:pPr>
              <w:ind w:left="34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2"/>
              </w:rPr>
              <w:t>338,665,060</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340,565,370</w:t>
            </w:r>
          </w:p>
        </w:tc>
      </w:tr>
      <w:tr>
        <w:trPr>
          <w:trHeight w:val="167"/>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403,144,899</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340,565,370</w:t>
            </w:r>
          </w:p>
        </w:tc>
      </w:tr>
      <w:tr>
        <w:trPr>
          <w:trHeight w:val="167"/>
        </w:trPr>
        <w:tc>
          <w:tcPr>
            <w:tcW w:w="8820" w:type="dxa"/>
            <w:vAlign w:val="bottom"/>
          </w:tcPr>
          <w:p>
            <w:pPr>
              <w:spacing w:after="0"/>
              <w:rPr>
                <w:sz w:val="20"/>
                <w:szCs w:val="20"/>
                <w:color w:val="auto"/>
              </w:rPr>
            </w:pPr>
            <w:r>
              <w:rPr>
                <w:rFonts w:ascii="Arial" w:cs="Arial" w:eastAsia="Arial" w:hAnsi="Arial"/>
                <w:sz w:val="14"/>
                <w:szCs w:val="14"/>
                <w:color w:val="auto"/>
              </w:rPr>
              <w:t>Pro forma net income (loss) per common share: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r>
      <w:tr>
        <w:trPr>
          <w:trHeight w:val="167"/>
        </w:trPr>
        <w:tc>
          <w:tcPr>
            <w:tcW w:w="8820" w:type="dxa"/>
            <w:vAlign w:val="bottom"/>
          </w:tcPr>
          <w:p>
            <w:pPr>
              <w:ind w:left="34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r>
      <w:tr>
        <w:trPr>
          <w:trHeight w:val="20"/>
        </w:trPr>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 Adopted</w:t>
      </w:r>
    </w:p>
    <w:p>
      <w:pPr>
        <w:spacing w:after="0" w:line="132" w:lineRule="exact"/>
        <w:rPr>
          <w:sz w:val="20"/>
          <w:szCs w:val="20"/>
          <w:color w:val="auto"/>
        </w:rPr>
      </w:pPr>
    </w:p>
    <w:p>
      <w:pPr>
        <w:ind w:right="40" w:firstLine="802"/>
        <w:spacing w:after="0" w:line="253" w:lineRule="auto"/>
        <w:rPr>
          <w:sz w:val="20"/>
          <w:szCs w:val="20"/>
          <w:color w:val="auto"/>
        </w:rPr>
      </w:pPr>
      <w:r>
        <w:rPr>
          <w:rFonts w:ascii="Arial" w:cs="Arial" w:eastAsia="Arial" w:hAnsi="Arial"/>
          <w:sz w:val="14"/>
          <w:szCs w:val="14"/>
          <w:color w:val="auto"/>
        </w:rPr>
        <w:t>In May 2011, the Financial Accounting Standards Board (FASB) issued ASU No. 2011-04, which amended ASC Topic 820 to achieve common fair value measurements and disclosure requirements in U.S. GAAP and International Financial Reporting Standards (IFRS). The amendments in ASU No. 2011-05 result in common fair value measurement and disclosure requirements in U.S. GAAP and IFRSs. Consequently, the amendments change the wording used to describe many of the requirements in U.S. GAAP for measuring fair value and for disclosing information about fair value measurements. This amendment is effective for fiscal years, beginning after December 15, 2011. The adoption of this amendment did not have a material impact on the Company’s consolidated financial statements for the year ended December 31, 2012.</w:t>
      </w:r>
    </w:p>
    <w:p>
      <w:pPr>
        <w:spacing w:after="0" w:line="113" w:lineRule="exact"/>
        <w:rPr>
          <w:sz w:val="20"/>
          <w:szCs w:val="20"/>
          <w:color w:val="auto"/>
        </w:rPr>
      </w:pPr>
    </w:p>
    <w:p>
      <w:pPr>
        <w:ind w:right="200" w:firstLine="802"/>
        <w:spacing w:after="0" w:line="305" w:lineRule="auto"/>
        <w:rPr>
          <w:sz w:val="20"/>
          <w:szCs w:val="20"/>
          <w:color w:val="auto"/>
        </w:rPr>
      </w:pPr>
      <w:r>
        <w:rPr>
          <w:rFonts w:ascii="Arial" w:cs="Arial" w:eastAsia="Arial" w:hAnsi="Arial"/>
          <w:sz w:val="12"/>
          <w:szCs w:val="12"/>
          <w:color w:val="auto"/>
        </w:rPr>
        <w:t>In June 2011, the FASB issued ASU No. 2011-05, which amended ASC Topic 220 regarding presentation of comprehensive income. The amendments in ASU No. 2011-05 require that all nonowner changes in stockholders’ equity be presented either in a single continuous statement of comprehensive income or in two separate but consecutive statements. In the two-statement approach, the first statement should present total net income and its components followed consecutively by a second statement that should present total other comprehensive income, the components of other comprehensive income, and the total of comprehensive income. This amendment is effective for fiscal years, beginning after December 15, 2011. The adoption of this amendment did not have a material impact on the Company’s consolidated financial statements for the year ended December 31, 2012.</w:t>
      </w:r>
    </w:p>
    <w:p>
      <w:pPr>
        <w:spacing w:after="0" w:line="84" w:lineRule="exact"/>
        <w:rPr>
          <w:sz w:val="20"/>
          <w:szCs w:val="20"/>
          <w:color w:val="auto"/>
        </w:rPr>
      </w:pPr>
    </w:p>
    <w:p>
      <w:pPr>
        <w:ind w:right="660" w:firstLine="802"/>
        <w:spacing w:after="0" w:line="267" w:lineRule="auto"/>
        <w:rPr>
          <w:sz w:val="20"/>
          <w:szCs w:val="20"/>
          <w:color w:val="auto"/>
        </w:rPr>
      </w:pPr>
      <w:r>
        <w:rPr>
          <w:rFonts w:ascii="Arial" w:cs="Arial" w:eastAsia="Arial" w:hAnsi="Arial"/>
          <w:sz w:val="14"/>
          <w:szCs w:val="14"/>
          <w:color w:val="auto"/>
        </w:rPr>
        <w:t>The Company has evaluated all ASUs through the date the consolidated financials were issued and believes that the adoption of these will not have a material impact on the Company’s consolidated financial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60"/>
          </w:cols>
          <w:pgMar w:left="220" w:top="386" w:right="21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Property and Equipment</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Property and equipment consists of the following:</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2"/>
              </w:rPr>
              <w:t>December 31,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June 30,</w:t>
            </w:r>
          </w:p>
        </w:tc>
      </w:tr>
      <w:tr>
        <w:trPr>
          <w:trHeight w:val="105"/>
        </w:trPr>
        <w:tc>
          <w:tcPr>
            <w:tcW w:w="4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56"/>
              <w:spacing w:after="0" w:line="105" w:lineRule="exact"/>
              <w:rPr>
                <w:sz w:val="20"/>
                <w:szCs w:val="20"/>
                <w:color w:val="auto"/>
              </w:rPr>
            </w:pPr>
            <w:r>
              <w:rPr>
                <w:rFonts w:ascii="Arial" w:cs="Arial" w:eastAsia="Arial" w:hAnsi="Arial"/>
                <w:sz w:val="10"/>
                <w:szCs w:val="10"/>
                <w:b w:val="1"/>
                <w:bCs w:val="1"/>
                <w:color w:val="auto"/>
                <w:w w:val="98"/>
              </w:rPr>
              <w:t>2013</w:t>
            </w:r>
          </w:p>
        </w:tc>
        <w:tc>
          <w:tcPr>
            <w:tcW w:w="80" w:type="dxa"/>
            <w:vAlign w:val="bottom"/>
          </w:tcPr>
          <w:p>
            <w:pPr>
              <w:spacing w:after="0"/>
              <w:rPr>
                <w:sz w:val="9"/>
                <w:szCs w:val="9"/>
                <w:color w:val="auto"/>
              </w:rPr>
            </w:pPr>
          </w:p>
        </w:tc>
      </w:tr>
      <w:tr>
        <w:trPr>
          <w:trHeight w:val="105"/>
        </w:trPr>
        <w:tc>
          <w:tcPr>
            <w:tcW w:w="4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99"/>
              </w:rPr>
              <w:t>(unaudited)</w:t>
            </w: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Computer equipment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1,951,246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4"/>
            <w:shd w:val="clear" w:color="auto" w:fill="CCEEFF"/>
          </w:tcPr>
          <w:p>
            <w:pPr>
              <w:jc w:val="right"/>
              <w:ind w:right="840"/>
              <w:spacing w:after="0"/>
              <w:rPr>
                <w:sz w:val="20"/>
                <w:szCs w:val="20"/>
                <w:color w:val="auto"/>
              </w:rPr>
            </w:pPr>
            <w:r>
              <w:rPr>
                <w:rFonts w:ascii="Arial" w:cs="Arial" w:eastAsia="Arial" w:hAnsi="Arial"/>
                <w:sz w:val="14"/>
                <w:szCs w:val="14"/>
                <w:color w:val="auto"/>
              </w:rPr>
              <w:t>2,003,706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2,129,966</w:t>
            </w:r>
          </w:p>
        </w:tc>
        <w:tc>
          <w:tcPr>
            <w:tcW w:w="80" w:type="dxa"/>
            <w:vAlign w:val="bottom"/>
            <w:shd w:val="clear" w:color="auto" w:fill="CCEEFF"/>
          </w:tcPr>
          <w:p>
            <w:pPr>
              <w:spacing w:after="0"/>
              <w:rPr>
                <w:sz w:val="14"/>
                <w:szCs w:val="14"/>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color w:val="auto"/>
              </w:rPr>
              <w:t>Software</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4"/>
                <w:szCs w:val="14"/>
                <w:color w:val="auto"/>
              </w:rPr>
              <w:t>1,323,081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840"/>
              <w:spacing w:after="0"/>
              <w:rPr>
                <w:sz w:val="20"/>
                <w:szCs w:val="20"/>
                <w:color w:val="auto"/>
              </w:rPr>
            </w:pPr>
            <w:r>
              <w:rPr>
                <w:rFonts w:ascii="Arial" w:cs="Arial" w:eastAsia="Arial" w:hAnsi="Arial"/>
                <w:sz w:val="14"/>
                <w:szCs w:val="14"/>
                <w:color w:val="auto"/>
              </w:rPr>
              <w:t>1,323,081</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1,323,081</w:t>
            </w:r>
          </w:p>
        </w:tc>
        <w:tc>
          <w:tcPr>
            <w:tcW w:w="80" w:type="dxa"/>
            <w:vAlign w:val="bottom"/>
          </w:tcPr>
          <w:p>
            <w:pPr>
              <w:spacing w:after="0"/>
              <w:rPr>
                <w:sz w:val="14"/>
                <w:szCs w:val="14"/>
                <w:color w:val="auto"/>
              </w:rPr>
            </w:pP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Furniture</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599,650</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jc w:val="right"/>
              <w:ind w:right="840"/>
              <w:spacing w:after="0"/>
              <w:rPr>
                <w:sz w:val="20"/>
                <w:szCs w:val="20"/>
                <w:color w:val="auto"/>
              </w:rPr>
            </w:pPr>
            <w:r>
              <w:rPr>
                <w:rFonts w:ascii="Arial" w:cs="Arial" w:eastAsia="Arial" w:hAnsi="Arial"/>
                <w:sz w:val="14"/>
                <w:szCs w:val="14"/>
                <w:color w:val="auto"/>
              </w:rPr>
              <w:t>599,650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599,650</w:t>
            </w:r>
          </w:p>
        </w:tc>
        <w:tc>
          <w:tcPr>
            <w:tcW w:w="80" w:type="dxa"/>
            <w:vAlign w:val="bottom"/>
            <w:shd w:val="clear" w:color="auto" w:fill="CCEEFF"/>
          </w:tcPr>
          <w:p>
            <w:pPr>
              <w:spacing w:after="0"/>
              <w:rPr>
                <w:sz w:val="14"/>
                <w:szCs w:val="14"/>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color w:val="auto"/>
              </w:rPr>
              <w:t>Lab equipment</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4"/>
                <w:szCs w:val="14"/>
                <w:color w:val="auto"/>
              </w:rPr>
              <w:t>7,910,207</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840"/>
              <w:spacing w:after="0"/>
              <w:rPr>
                <w:sz w:val="20"/>
                <w:szCs w:val="20"/>
                <w:color w:val="auto"/>
              </w:rPr>
            </w:pPr>
            <w:r>
              <w:rPr>
                <w:rFonts w:ascii="Arial" w:cs="Arial" w:eastAsia="Arial" w:hAnsi="Arial"/>
                <w:sz w:val="14"/>
                <w:szCs w:val="14"/>
                <w:color w:val="auto"/>
              </w:rPr>
              <w:t>8,747,790</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9,485,756</w:t>
            </w:r>
          </w:p>
        </w:tc>
        <w:tc>
          <w:tcPr>
            <w:tcW w:w="80" w:type="dxa"/>
            <w:vAlign w:val="bottom"/>
          </w:tcPr>
          <w:p>
            <w:pPr>
              <w:spacing w:after="0"/>
              <w:rPr>
                <w:sz w:val="14"/>
                <w:szCs w:val="14"/>
                <w:color w:val="auto"/>
              </w:rPr>
            </w:pP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Office equipment</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51,360</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jc w:val="right"/>
              <w:ind w:right="840"/>
              <w:spacing w:after="0"/>
              <w:rPr>
                <w:sz w:val="20"/>
                <w:szCs w:val="20"/>
                <w:color w:val="auto"/>
              </w:rPr>
            </w:pPr>
            <w:r>
              <w:rPr>
                <w:rFonts w:ascii="Arial" w:cs="Arial" w:eastAsia="Arial" w:hAnsi="Arial"/>
                <w:sz w:val="14"/>
                <w:szCs w:val="14"/>
                <w:color w:val="auto"/>
              </w:rPr>
              <w:t>51,360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51,360</w:t>
            </w:r>
          </w:p>
        </w:tc>
        <w:tc>
          <w:tcPr>
            <w:tcW w:w="80" w:type="dxa"/>
            <w:vAlign w:val="bottom"/>
            <w:shd w:val="clear" w:color="auto" w:fill="CCEEFF"/>
          </w:tcPr>
          <w:p>
            <w:pPr>
              <w:spacing w:after="0"/>
              <w:rPr>
                <w:sz w:val="14"/>
                <w:szCs w:val="14"/>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color w:val="auto"/>
              </w:rPr>
              <w:t>Leasehold improvements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4,831,706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840"/>
              <w:spacing w:after="0"/>
              <w:rPr>
                <w:sz w:val="20"/>
                <w:szCs w:val="20"/>
                <w:color w:val="auto"/>
              </w:rPr>
            </w:pPr>
            <w:r>
              <w:rPr>
                <w:rFonts w:ascii="Arial" w:cs="Arial" w:eastAsia="Arial" w:hAnsi="Arial"/>
                <w:sz w:val="14"/>
                <w:szCs w:val="14"/>
                <w:color w:val="auto"/>
              </w:rPr>
              <w:t>4,881,706</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4,893,770</w:t>
            </w:r>
          </w:p>
        </w:tc>
        <w:tc>
          <w:tcPr>
            <w:tcW w:w="80" w:type="dxa"/>
            <w:vAlign w:val="bottom"/>
          </w:tcPr>
          <w:p>
            <w:pPr>
              <w:spacing w:after="0"/>
              <w:rPr>
                <w:sz w:val="14"/>
                <w:szCs w:val="14"/>
                <w:color w:val="auto"/>
              </w:rPr>
            </w:pPr>
          </w:p>
        </w:tc>
      </w:tr>
      <w:tr>
        <w:trPr>
          <w:trHeight w:val="21"/>
        </w:trPr>
        <w:tc>
          <w:tcPr>
            <w:tcW w:w="4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7"/>
        </w:trPr>
        <w:tc>
          <w:tcPr>
            <w:tcW w:w="4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Property and equipment</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16,667,250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jc w:val="right"/>
              <w:ind w:right="840"/>
              <w:spacing w:after="0"/>
              <w:rPr>
                <w:sz w:val="20"/>
                <w:szCs w:val="20"/>
                <w:color w:val="auto"/>
              </w:rPr>
            </w:pPr>
            <w:r>
              <w:rPr>
                <w:rFonts w:ascii="Arial" w:cs="Arial" w:eastAsia="Arial" w:hAnsi="Arial"/>
                <w:sz w:val="14"/>
                <w:szCs w:val="14"/>
                <w:color w:val="auto"/>
                <w:w w:val="94"/>
              </w:rPr>
              <w:t>17,607,293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18,483,583</w:t>
            </w:r>
          </w:p>
        </w:tc>
        <w:tc>
          <w:tcPr>
            <w:tcW w:w="80" w:type="dxa"/>
            <w:vAlign w:val="bottom"/>
            <w:shd w:val="clear" w:color="auto" w:fill="CCEEFF"/>
          </w:tcPr>
          <w:p>
            <w:pPr>
              <w:spacing w:after="0"/>
              <w:rPr>
                <w:sz w:val="14"/>
                <w:szCs w:val="14"/>
                <w:color w:val="auto"/>
              </w:rPr>
            </w:pPr>
          </w:p>
        </w:tc>
      </w:tr>
      <w:tr>
        <w:trPr>
          <w:trHeight w:val="167"/>
        </w:trPr>
        <w:tc>
          <w:tcPr>
            <w:tcW w:w="406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4"/>
                <w:szCs w:val="14"/>
                <w:color w:val="auto"/>
                <w:w w:val="90"/>
              </w:rPr>
              <w:t>(13,379,567)</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800"/>
              <w:spacing w:after="0"/>
              <w:rPr>
                <w:sz w:val="20"/>
                <w:szCs w:val="20"/>
                <w:color w:val="auto"/>
              </w:rPr>
            </w:pPr>
            <w:r>
              <w:rPr>
                <w:rFonts w:ascii="Arial" w:cs="Arial" w:eastAsia="Arial" w:hAnsi="Arial"/>
                <w:sz w:val="14"/>
                <w:szCs w:val="14"/>
                <w:color w:val="auto"/>
                <w:w w:val="88"/>
              </w:rPr>
              <w:t>(14,339,497)</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(14,857,261)</w:t>
            </w:r>
          </w:p>
        </w:tc>
      </w:tr>
      <w:tr>
        <w:trPr>
          <w:trHeight w:val="21"/>
        </w:trPr>
        <w:tc>
          <w:tcPr>
            <w:tcW w:w="4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7"/>
        </w:trPr>
        <w:tc>
          <w:tcPr>
            <w:tcW w:w="4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Property and equipment, net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3,287,683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gridSpan w:val="4"/>
            <w:shd w:val="clear" w:color="auto" w:fill="CCEEFF"/>
          </w:tcPr>
          <w:p>
            <w:pPr>
              <w:jc w:val="right"/>
              <w:ind w:right="840"/>
              <w:spacing w:after="0"/>
              <w:rPr>
                <w:sz w:val="20"/>
                <w:szCs w:val="20"/>
                <w:color w:val="auto"/>
              </w:rPr>
            </w:pPr>
            <w:r>
              <w:rPr>
                <w:rFonts w:ascii="Arial" w:cs="Arial" w:eastAsia="Arial" w:hAnsi="Arial"/>
                <w:sz w:val="14"/>
                <w:szCs w:val="14"/>
                <w:color w:val="auto"/>
              </w:rPr>
              <w:t>3,267,796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3,626,322</w:t>
            </w:r>
          </w:p>
        </w:tc>
        <w:tc>
          <w:tcPr>
            <w:tcW w:w="80" w:type="dxa"/>
            <w:vAlign w:val="bottom"/>
            <w:shd w:val="clear" w:color="auto" w:fill="CCEEFF"/>
          </w:tcPr>
          <w:p>
            <w:pPr>
              <w:spacing w:after="0"/>
              <w:rPr>
                <w:sz w:val="14"/>
                <w:szCs w:val="14"/>
                <w:color w:val="auto"/>
              </w:rPr>
            </w:pPr>
          </w:p>
        </w:tc>
      </w:tr>
      <w:tr>
        <w:trPr>
          <w:trHeight w:val="20"/>
        </w:trPr>
        <w:tc>
          <w:tcPr>
            <w:tcW w:w="4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8" w:lineRule="exact"/>
        <w:rPr>
          <w:sz w:val="20"/>
          <w:szCs w:val="20"/>
          <w:color w:val="auto"/>
        </w:rPr>
      </w:pPr>
    </w:p>
    <w:p>
      <w:pPr>
        <w:ind w:right="420" w:firstLine="802"/>
        <w:spacing w:after="0" w:line="267" w:lineRule="auto"/>
        <w:rPr>
          <w:sz w:val="20"/>
          <w:szCs w:val="20"/>
          <w:color w:val="auto"/>
        </w:rPr>
      </w:pPr>
      <w:r>
        <w:rPr>
          <w:rFonts w:ascii="Arial" w:cs="Arial" w:eastAsia="Arial" w:hAnsi="Arial"/>
          <w:sz w:val="14"/>
          <w:szCs w:val="14"/>
          <w:color w:val="auto"/>
        </w:rPr>
        <w:t>Depreciation and amortization expense for the years ended December 31, 2011 and 2012, was $1,147,300 and $959,930, respectively, and $486,952 and $517,764 for the six months ended June 30, 2012 and 2013,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Stockholders’ Equity (Deficit)</w:t>
      </w:r>
    </w:p>
    <w:p>
      <w:pPr>
        <w:spacing w:after="0" w:line="134" w:lineRule="exact"/>
        <w:rPr>
          <w:sz w:val="20"/>
          <w:szCs w:val="20"/>
          <w:color w:val="auto"/>
        </w:rPr>
      </w:pPr>
    </w:p>
    <w:p>
      <w:pPr>
        <w:jc w:val="both"/>
        <w:ind w:right="240" w:firstLine="802"/>
        <w:spacing w:after="0" w:line="267" w:lineRule="auto"/>
        <w:rPr>
          <w:sz w:val="20"/>
          <w:szCs w:val="20"/>
          <w:color w:val="auto"/>
        </w:rPr>
      </w:pPr>
      <w:r>
        <w:rPr>
          <w:rFonts w:ascii="Arial" w:cs="Arial" w:eastAsia="Arial" w:hAnsi="Arial"/>
          <w:sz w:val="14"/>
          <w:szCs w:val="14"/>
          <w:color w:val="auto"/>
        </w:rPr>
        <w:t>During 2002 and 2003, the Company issued a total of 34,239,374 shares of Series A-1 and Series A-2 convertible preferred stock (Series A preferred stock) for $1.00 per share resulting in net proceeds of approximately $34,000,000.</w:t>
      </w:r>
    </w:p>
    <w:p>
      <w:pPr>
        <w:spacing w:after="0" w:line="101" w:lineRule="exact"/>
        <w:rPr>
          <w:sz w:val="20"/>
          <w:szCs w:val="20"/>
          <w:color w:val="auto"/>
        </w:rPr>
      </w:pPr>
    </w:p>
    <w:p>
      <w:pPr>
        <w:jc w:val="both"/>
        <w:ind w:right="220" w:firstLine="802"/>
        <w:spacing w:after="0" w:line="258" w:lineRule="auto"/>
        <w:rPr>
          <w:sz w:val="20"/>
          <w:szCs w:val="20"/>
          <w:color w:val="auto"/>
        </w:rPr>
      </w:pPr>
      <w:r>
        <w:rPr>
          <w:rFonts w:ascii="Arial" w:cs="Arial" w:eastAsia="Arial" w:hAnsi="Arial"/>
          <w:sz w:val="14"/>
          <w:szCs w:val="14"/>
          <w:color w:val="auto"/>
        </w:rPr>
        <w:t>On October 12, 2004, the Company entered into a series of transactions raising $30,261,672, net of related offering costs of approximately $238,000, from the sale of 71,401,237 shares of its Series B convertible preferred stock (Series B preferred stock). In connection with the Series B preferred stock offering, 13,604,016 shares of common stock were allocated to holders of Series A-1 preferred stock as an anti-dilution measure but remained unissued at December 31, 2012.</w:t>
      </w:r>
    </w:p>
    <w:p>
      <w:pPr>
        <w:spacing w:after="0" w:line="108" w:lineRule="exact"/>
        <w:rPr>
          <w:sz w:val="20"/>
          <w:szCs w:val="20"/>
          <w:color w:val="auto"/>
        </w:rPr>
      </w:pPr>
    </w:p>
    <w:p>
      <w:pPr>
        <w:jc w:val="both"/>
        <w:ind w:right="160" w:firstLine="802"/>
        <w:spacing w:after="0" w:line="258" w:lineRule="auto"/>
        <w:rPr>
          <w:sz w:val="20"/>
          <w:szCs w:val="20"/>
          <w:color w:val="auto"/>
        </w:rPr>
      </w:pPr>
      <w:r>
        <w:rPr>
          <w:rFonts w:ascii="Arial" w:cs="Arial" w:eastAsia="Arial" w:hAnsi="Arial"/>
          <w:sz w:val="14"/>
          <w:szCs w:val="14"/>
          <w:color w:val="auto"/>
        </w:rPr>
        <w:t>On May 16, 2006, the Company raised $44,898,754, net of related offering costs of $101,246, from the sale of 110,952,217 shares of its Series C convertible preferred stock (Series C preferred stock). In connection with the Series C preferred stock offering, 10,003,300 shares of common stock were allocated to holders of Series B preferred stock as an anti-dilution measure but remained unissued at December 31, 2012.</w:t>
      </w:r>
    </w:p>
    <w:p>
      <w:pPr>
        <w:spacing w:after="0" w:line="108"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On July 16, 2008, the Company issued 12,466,039 shares of its Series D convertible preferred stock (Series D preferred stock) in exchange for all of the outstanding capital stock and convertible notes payable of Raven Biotechnologies, Inc. (Raven). Subsequently, in March 2011 a settlement was reached with the former Raven stockholders bringing the total Series D preferred stock issued in connection with the Raven acquisition to 14,446,227 shares.</w:t>
      </w:r>
    </w:p>
    <w:p>
      <w:pPr>
        <w:spacing w:after="0" w:line="108" w:lineRule="exact"/>
        <w:rPr>
          <w:sz w:val="20"/>
          <w:szCs w:val="20"/>
          <w:color w:val="auto"/>
        </w:rPr>
      </w:pPr>
    </w:p>
    <w:p>
      <w:pPr>
        <w:ind w:right="200" w:firstLine="802"/>
        <w:spacing w:after="0" w:line="267" w:lineRule="auto"/>
        <w:rPr>
          <w:sz w:val="20"/>
          <w:szCs w:val="20"/>
          <w:color w:val="auto"/>
        </w:rPr>
      </w:pPr>
      <w:r>
        <w:rPr>
          <w:rFonts w:ascii="Arial" w:cs="Arial" w:eastAsia="Arial" w:hAnsi="Arial"/>
          <w:sz w:val="14"/>
          <w:szCs w:val="14"/>
          <w:color w:val="auto"/>
        </w:rPr>
        <w:t>On September 19, 2008, the Company raised $24,843,211, net of related offering costs of $156,788, from the sale of 38,337,678 shares of its Series D-2 convertible preferred stock (Series D-2 preferred stock). The Company also issued preferred stock warrants for the purchase of 2,875,327 shares of Series D-2 preferred stock.</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20" w:top="387" w:right="25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The preferred stock warrants are exercisable at any time prior to September 2018, but expire upon an IPO, and have a stated exercise price of $0.65 per warrant. On May 16, 2010, the Company exercised a put notice to Lilly in accordance with the Series D-2 preferred stock purchase agreement, resulting in the issuance of 6,916,110 shares of Series D-2 preferred stock and a warrant to purchase 518,708 additional shares of Series D-2 preferred stock.</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On January 11, 2011, the Company raised gross proceeds for $12,016,500 from the sale of 18,427,388 shares of its Series D-2 preferred stock. Issuance costs associated with the sale were not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material.</w:t>
      </w:r>
    </w:p>
    <w:p>
      <w:pPr>
        <w:spacing w:after="0" w:line="126"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Due to certain provisions in the Series D-2 convertible preferred stock warrant agreement, these warrants are required to be classified as a liability. Management believes that the circumstances requiring cash settlement of the award are remote. The Series D-2 preferred stock warrant liability is recorded at fair value, which is adjusted at the end of each reporting period using the Option-Pricing Method, with changes in value recorded as “Changes in fair value of preferred stock purchase warrant liability” in the accompanying consolidated statements of operations.</w:t>
      </w:r>
    </w:p>
    <w:p>
      <w:pPr>
        <w:spacing w:after="0" w:line="73" w:lineRule="exact"/>
        <w:rPr>
          <w:sz w:val="20"/>
          <w:szCs w:val="20"/>
          <w:color w:val="auto"/>
        </w:rPr>
      </w:pPr>
    </w:p>
    <w:p>
      <w:pPr>
        <w:ind w:right="40" w:firstLine="802"/>
        <w:spacing w:after="0" w:line="300" w:lineRule="auto"/>
        <w:rPr>
          <w:sz w:val="20"/>
          <w:szCs w:val="20"/>
          <w:color w:val="auto"/>
        </w:rPr>
      </w:pPr>
      <w:r>
        <w:rPr>
          <w:rFonts w:ascii="Arial" w:cs="Arial" w:eastAsia="Arial" w:hAnsi="Arial"/>
          <w:sz w:val="12"/>
          <w:szCs w:val="12"/>
          <w:color w:val="auto"/>
        </w:rPr>
        <w:t>Holders of the Series A-1, Series A-2, Series B, Series C, Series D and Series D-2 preferred stock are entitled to vote, together with the common stockholders as one class, on all matters as to which common stockholders are entitled to vote. In any such vote, each share of Series A, Series B, Series C and Series D preferred stock shall entitle the holder to the number of votes per share that equals the number of shares of common stock into which each such share of preferred stock is then convertible. For so long as at least four million shares of each of the Series A, Series B and Series C preferred stock remain outstanding, the holders of each of the Series A, Series B and Series C preferred stock, each voting as a separate class, shall each be entitled to elect two members of the Board of Directors of the Company. The holders of a majority of the common stock, voting as a separate class, shall have the right to elect one member of the Board of Directors of the Company. The holders of a majority of the common stock and the holders of at least 66 2/3% of the preferred stock, each voting separately as a single class (and on an as-if-converted basis to common stock with respect to the preferred stock), shall be entitled to elect all remaining members of the Board of Directors.</w:t>
      </w:r>
    </w:p>
    <w:p>
      <w:pPr>
        <w:spacing w:after="0" w:line="88"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Dividends are noncumulative and accrue on the Series A-1, Series A-2, Series B, Series C, Series D and Series D-2 preferred stock at a rate of $0.08, $0.0341, $0.0324 and $0.0522 per annum, respectively, and are payable when and as declared by the Board of Directors. Dividends must be declared so that the Series A, Series B, Series C and Series D preferred stock are paid in like-kind and participate equally to those of the Series D-2 preferred and common stock. No dividends have been declared and none are accrued at December 31, 2012 and 2011.</w:t>
      </w:r>
    </w:p>
    <w:p>
      <w:pPr>
        <w:spacing w:after="0" w:line="73"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The Company’s Series A-1, Series A-2, Series B, Series C, Series D and Series D-2 preferred stock are initially convertible into 1.506, 1.00, 1.14, 1.00, 1.00 and 1.00 shares, respectively, of common stock at the option of the holder. The conversion ratio of certain series of preferred stock is subject to change in the event specified dilutive transactions occur. These dilutive events are considered to be the sale of common stock at a per share price less than the applicable preferred stock conversion price. There are no anti-dilution protections for the Series A-2 preferred stock and no adjustment to the Series A-1 preferred stock conversion price is made if a common stock issuance is at a price per share greater than the conversion price of the Series C preferred stock. The conversion price shall be $0.66, $1.00, $0.37, $0.41, $0.65 and $0.65 for each share of Series A-1, A-2, Series B, Series C, Series D and Series D-2 convertible preferred stock, respectively. The Company has reserved 321,592,828 shares of common stock for the potential conversion of the Series A-1, Series A-2, Series B, Series C, Series D and Series D-2 preferred stock.</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Each share of Series A-1, Series A-2, Series B, Series C, Series D and Series D-2 preferred stock automatically converts into shares of the Company’s common stock upon closing of a firm</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commitment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60"/>
          </w:cols>
          <w:pgMar w:left="220" w:top="387" w:right="21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underwritten public offering of common stock registered under the Securities Act of 1933 at a price of at least $1.96 per share (adjusted to reflect stock splits, stock dividends, stock combinations, recapitalizations and like occurrences), and which generates net proceeds to the Company of at least $40 million. The holders of two-thirds of the Series A-1, Series A-2, Series B, Series C, Series D and Series D-2 preferred stock, voting together as a single class, but separately from the common stockholders, shall have the right to elect to convert all outstanding shares of Series A-1, Series A-2, Series B, Series C, Series D and Series D-2 preferred stock into shares of common stock.</w:t>
      </w:r>
    </w:p>
    <w:p>
      <w:pPr>
        <w:spacing w:after="0" w:line="110" w:lineRule="exact"/>
        <w:rPr>
          <w:sz w:val="20"/>
          <w:szCs w:val="20"/>
          <w:color w:val="auto"/>
        </w:rPr>
      </w:pPr>
    </w:p>
    <w:p>
      <w:pPr>
        <w:ind w:right="120" w:firstLine="802"/>
        <w:spacing w:after="0" w:line="255" w:lineRule="auto"/>
        <w:rPr>
          <w:sz w:val="20"/>
          <w:szCs w:val="20"/>
          <w:color w:val="auto"/>
        </w:rPr>
      </w:pPr>
      <w:r>
        <w:rPr>
          <w:rFonts w:ascii="Arial" w:cs="Arial" w:eastAsia="Arial" w:hAnsi="Arial"/>
          <w:sz w:val="14"/>
          <w:szCs w:val="14"/>
          <w:color w:val="auto"/>
        </w:rPr>
        <w:t xml:space="preserve">In liquidation, the holders of Series D-2 preferred stock are entitled to receive $0.65 per share prior to any distribution to the holders of any Series C and Series D preferred stock. The holders of Series C and Series D preferred stock are entitled to receive $0.41 and $0.65 per share, respectively,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prior to any distribution to the holders of any Series B preferred stock. The holders of Series B preferred stock are entitled to receive $0.37 per share prior to any distribution to the holders of any shares of Series A preferred stock. The holders of Series A preferred stock are entitled to receive $0.66 per share prior to the holders of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Shared-Based Payments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Plan</w:t>
      </w:r>
    </w:p>
    <w:p>
      <w:pPr>
        <w:spacing w:after="0" w:line="132" w:lineRule="exact"/>
        <w:rPr>
          <w:sz w:val="20"/>
          <w:szCs w:val="20"/>
          <w:color w:val="auto"/>
        </w:rPr>
      </w:pPr>
    </w:p>
    <w:p>
      <w:pPr>
        <w:ind w:right="100" w:firstLine="802"/>
        <w:spacing w:after="0" w:line="351" w:lineRule="auto"/>
        <w:rPr>
          <w:sz w:val="20"/>
          <w:szCs w:val="20"/>
          <w:color w:val="auto"/>
        </w:rPr>
      </w:pPr>
      <w:r>
        <w:rPr>
          <w:rFonts w:ascii="Arial" w:cs="Arial" w:eastAsia="Arial" w:hAnsi="Arial"/>
          <w:sz w:val="12"/>
          <w:szCs w:val="12"/>
          <w:color w:val="auto"/>
        </w:rPr>
        <w:t>The Company’s 2000 Stock Option and Incentive Plan (the 2000 Plan) allowed for the grant of awards in respect of an aggregate of 2,454,222 shares, which was increased to 2,821,664 shares of the Company’s common stock in the form of incentive stock options, non-qualified stock options, stock appreciation rights, restricted stock and restricted stock units and other performance awards.</w:t>
      </w:r>
    </w:p>
    <w:p>
      <w:pPr>
        <w:spacing w:after="0" w:line="56" w:lineRule="exact"/>
        <w:rPr>
          <w:sz w:val="20"/>
          <w:szCs w:val="20"/>
          <w:color w:val="auto"/>
        </w:rPr>
      </w:pPr>
    </w:p>
    <w:p>
      <w:pPr>
        <w:ind w:firstLine="802"/>
        <w:spacing w:after="0" w:line="252" w:lineRule="auto"/>
        <w:rPr>
          <w:sz w:val="20"/>
          <w:szCs w:val="20"/>
          <w:color w:val="auto"/>
        </w:rPr>
      </w:pPr>
      <w:r>
        <w:rPr>
          <w:rFonts w:ascii="Arial" w:cs="Arial" w:eastAsia="Arial" w:hAnsi="Arial"/>
          <w:sz w:val="14"/>
          <w:szCs w:val="14"/>
          <w:color w:val="auto"/>
        </w:rPr>
        <w:t>Effective February 2003, the Company implemented the 2003 Equity Incentive Plan (the 2003 Plan), and it was amended and approved by the Company’s stockholders in 2005. The 2003 Plan originally allowed for the grant of awards in respect of an aggregate of 38,517,360 shares of the Company’s common stock. During the year ended December 31, 2006, the maximum number of shares of common stock authorized to be issued by the Company under the 2003 Plan was increased by 8,650,000 shares to 47,167,360. During the year ended December 31, 2008, the maximum number of shares of common stock authorized to be issued by the Company under the 2003 Plan was increased by 14,000,000 shares to 61,167,360. During the year ended December 31, 2010, the maximum number of shares of common stock authorized to be issued by the Company under the 2003 Plan was increased by 10,000,000 shares to 71,167,360. During the year ended December 31, 2012, the maximum number of shares of common stock authorized to be issued by the Company under the 2003 Plan was increased by 10,250,000 shares to 81,417,360. As of December 31, 2012, a total of 12,417,150 shares were available for issuance under the 2003 Plan.</w:t>
      </w:r>
    </w:p>
    <w:p>
      <w:pPr>
        <w:spacing w:after="0" w:line="112" w:lineRule="exact"/>
        <w:rPr>
          <w:sz w:val="20"/>
          <w:szCs w:val="20"/>
          <w:color w:val="auto"/>
        </w:rPr>
      </w:pPr>
    </w:p>
    <w:p>
      <w:pPr>
        <w:ind w:right="1940" w:firstLine="802"/>
        <w:spacing w:after="0" w:line="436" w:lineRule="auto"/>
        <w:rPr>
          <w:sz w:val="20"/>
          <w:szCs w:val="20"/>
          <w:color w:val="auto"/>
        </w:rPr>
      </w:pPr>
      <w:r>
        <w:rPr>
          <w:rFonts w:ascii="Arial" w:cs="Arial" w:eastAsia="Arial" w:hAnsi="Arial"/>
          <w:sz w:val="14"/>
          <w:szCs w:val="14"/>
          <w:color w:val="auto"/>
        </w:rPr>
        <w:t xml:space="preserve">Stock options granted under the 2003 Plan may be either incentive stock options as defined by the Internal Revenue Code (IRC), or non-qualified stock options. </w:t>
      </w:r>
      <w:r>
        <w:rPr>
          <w:rFonts w:ascii="Arial" w:cs="Arial" w:eastAsia="Arial" w:hAnsi="Arial"/>
          <w:sz w:val="14"/>
          <w:szCs w:val="14"/>
          <w:b w:val="1"/>
          <w:bCs w:val="1"/>
          <w:i w:val="1"/>
          <w:iCs w:val="1"/>
          <w:color w:val="auto"/>
        </w:rPr>
        <w:t>Stock Option Exchange</w:t>
      </w:r>
    </w:p>
    <w:p>
      <w:pPr>
        <w:jc w:val="both"/>
        <w:ind w:right="100" w:firstLine="802"/>
        <w:spacing w:after="0" w:line="255" w:lineRule="auto"/>
        <w:rPr>
          <w:sz w:val="20"/>
          <w:szCs w:val="20"/>
          <w:color w:val="auto"/>
        </w:rPr>
      </w:pPr>
      <w:r>
        <w:rPr>
          <w:rFonts w:ascii="Arial" w:cs="Arial" w:eastAsia="Arial" w:hAnsi="Arial"/>
          <w:sz w:val="14"/>
          <w:szCs w:val="14"/>
          <w:color w:val="auto"/>
        </w:rPr>
        <w:t>On March 16, 2011 (Exchange Date), the Company modified certain outstanding options with exercise prices of $0.10 and $0.25 (Original Options). These Original Options were canceled and replaced with options having an exercise price of $0.05 (Replacement Options), reflecting the current fair market value of the Company’s common stock on the Exchange Date. Original Options submitted for exchange were replaced on a one-for-one basis with Replacement Options. Additionally, the Replacement Options retain all terms and conditions of the Original Options except for the reduction to the exercise price as described above.</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Total compensation associated with the Replacement Options consisted of the grant-date fair value of the Original Options for which the requisite service period is expected to be rendered (or has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already been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40"/>
          </w:cols>
          <w:pgMar w:left="220" w:top="387" w:right="23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260"/>
        <w:spacing w:after="0" w:line="351" w:lineRule="auto"/>
        <w:rPr>
          <w:sz w:val="20"/>
          <w:szCs w:val="20"/>
          <w:color w:val="auto"/>
        </w:rPr>
      </w:pPr>
      <w:r>
        <w:rPr>
          <w:rFonts w:ascii="Arial" w:cs="Arial" w:eastAsia="Arial" w:hAnsi="Arial"/>
          <w:sz w:val="12"/>
          <w:szCs w:val="12"/>
          <w:color w:val="auto"/>
        </w:rPr>
        <w:t>rendered) at the Exchange Date, plus the incremental cost associated with the modification of terms. The incremental compensation expense was measured as the excess of the fair value of the Replacement Options over the fair value of the Original Options re-measured as of the Exchange Date. A total of 36,081,455 Original Options were exchanged for Replacement Options.</w:t>
      </w:r>
    </w:p>
    <w:p>
      <w:pPr>
        <w:spacing w:after="0" w:line="5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following stock-based compensation amounts were recognized for the years ended December 31, 2011 and 2012 and the six month periods ended June 30, 2012 and 2013:</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2011</w:t>
            </w:r>
          </w:p>
        </w:tc>
        <w:tc>
          <w:tcPr>
            <w:tcW w:w="160" w:type="dxa"/>
            <w:vAlign w:val="bottom"/>
          </w:tcPr>
          <w:p>
            <w:pPr>
              <w:spacing w:after="0"/>
              <w:rPr>
                <w:sz w:val="10"/>
                <w:szCs w:val="10"/>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2"/>
              </w:rPr>
              <w:t>December 31,</w:t>
            </w:r>
          </w:p>
        </w:tc>
        <w:tc>
          <w:tcPr>
            <w:tcW w:w="2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9"/>
              </w:rPr>
              <w:t>2012</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9"/>
              </w:rPr>
              <w:t>2012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280" w:type="dxa"/>
            <w:vAlign w:val="bottom"/>
            <w:gridSpan w:val="2"/>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9"/>
              </w:rPr>
              <w:t>2013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96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95"/>
              </w:rPr>
              <w:t>(unaudited)</w:t>
            </w:r>
          </w:p>
        </w:tc>
        <w:tc>
          <w:tcPr>
            <w:tcW w:w="2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gridSpan w:val="5"/>
            <w:shd w:val="clear" w:color="auto" w:fill="CCEEFF"/>
          </w:tcPr>
          <w:p>
            <w:pPr>
              <w:jc w:val="right"/>
              <w:ind w:right="500"/>
              <w:spacing w:after="0"/>
              <w:rPr>
                <w:sz w:val="20"/>
                <w:szCs w:val="20"/>
                <w:color w:val="auto"/>
              </w:rPr>
            </w:pPr>
            <w:r>
              <w:rPr>
                <w:rFonts w:ascii="Arial" w:cs="Arial" w:eastAsia="Arial" w:hAnsi="Arial"/>
                <w:sz w:val="14"/>
                <w:szCs w:val="14"/>
                <w:color w:val="auto"/>
              </w:rPr>
              <w:t>1,018,935</w:t>
            </w:r>
          </w:p>
        </w:tc>
        <w:tc>
          <w:tcPr>
            <w:tcW w:w="220" w:type="dxa"/>
            <w:vAlign w:val="bottom"/>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w w:val="86"/>
              </w:rPr>
              <w:t>471,809</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0"/>
              </w:rPr>
              <w:t>235,904</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172,393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1,328,504</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4"/>
                <w:szCs w:val="14"/>
                <w:color w:val="auto"/>
                <w:w w:val="86"/>
              </w:rPr>
              <w:t>366,586</w:t>
            </w:r>
          </w:p>
        </w:tc>
        <w:tc>
          <w:tcPr>
            <w:tcW w:w="2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183,294</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85,232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2,347,439</w:t>
            </w:r>
          </w:p>
        </w:tc>
        <w:tc>
          <w:tcPr>
            <w:tcW w:w="5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w w:val="86"/>
              </w:rPr>
              <w:t>838,395</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0"/>
              </w:rPr>
              <w:t>419,198</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257,625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Employee Stock Options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fair value of each option award is estimated on the date of grant using the Black-Scholes option-pricing model using the assumptions in the following table:</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4"/>
          </w:tcPr>
          <w:p>
            <w:pPr>
              <w:jc w:val="right"/>
              <w:ind w:right="980"/>
              <w:spacing w:after="0"/>
              <w:rPr>
                <w:sz w:val="20"/>
                <w:szCs w:val="20"/>
                <w:color w:val="auto"/>
              </w:rPr>
            </w:pPr>
            <w:r>
              <w:rPr>
                <w:rFonts w:ascii="Arial" w:cs="Arial" w:eastAsia="Arial" w:hAnsi="Arial"/>
                <w:sz w:val="10"/>
                <w:szCs w:val="10"/>
                <w:b w:val="1"/>
                <w:bCs w:val="1"/>
                <w:color w:val="auto"/>
                <w:w w:val="92"/>
              </w:rPr>
              <w:t>December 31,</w:t>
            </w:r>
          </w:p>
        </w:tc>
        <w:tc>
          <w:tcPr>
            <w:tcW w:w="1020" w:type="dxa"/>
            <w:vAlign w:val="bottom"/>
          </w:tcPr>
          <w:p>
            <w:pPr>
              <w:jc w:val="center"/>
              <w:ind w:left="277"/>
              <w:spacing w:after="0"/>
              <w:rPr>
                <w:sz w:val="20"/>
                <w:szCs w:val="20"/>
                <w:color w:val="auto"/>
              </w:rPr>
            </w:pPr>
            <w:r>
              <w:rPr>
                <w:rFonts w:ascii="Arial" w:cs="Arial" w:eastAsia="Arial" w:hAnsi="Arial"/>
                <w:sz w:val="10"/>
                <w:szCs w:val="10"/>
                <w:b w:val="1"/>
                <w:bCs w:val="1"/>
                <w:color w:val="auto"/>
                <w:w w:val="89"/>
              </w:rPr>
              <w:t>June 30,</w:t>
            </w:r>
          </w:p>
        </w:tc>
      </w:tr>
      <w:tr>
        <w:trPr>
          <w:trHeight w:val="105"/>
        </w:trPr>
        <w:tc>
          <w:tcPr>
            <w:tcW w:w="3480" w:type="dxa"/>
            <w:vAlign w:val="bottom"/>
          </w:tcPr>
          <w:p>
            <w:pPr>
              <w:spacing w:after="0"/>
              <w:rPr>
                <w:sz w:val="9"/>
                <w:szCs w:val="9"/>
                <w:color w:val="auto"/>
              </w:rPr>
            </w:pPr>
          </w:p>
        </w:tc>
        <w:tc>
          <w:tcPr>
            <w:tcW w:w="170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2011</w:t>
            </w:r>
          </w:p>
        </w:tc>
        <w:tc>
          <w:tcPr>
            <w:tcW w:w="2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2012</w:t>
            </w:r>
          </w:p>
        </w:tc>
        <w:tc>
          <w:tcPr>
            <w:tcW w:w="520" w:type="dxa"/>
            <w:vAlign w:val="bottom"/>
          </w:tcPr>
          <w:p>
            <w:pPr>
              <w:spacing w:after="0"/>
              <w:rPr>
                <w:sz w:val="9"/>
                <w:szCs w:val="9"/>
                <w:color w:val="auto"/>
              </w:rPr>
            </w:pPr>
          </w:p>
        </w:tc>
        <w:tc>
          <w:tcPr>
            <w:tcW w:w="1020" w:type="dxa"/>
            <w:vAlign w:val="bottom"/>
          </w:tcPr>
          <w:p>
            <w:pPr>
              <w:jc w:val="center"/>
              <w:ind w:left="277"/>
              <w:spacing w:after="0" w:line="105" w:lineRule="exact"/>
              <w:rPr>
                <w:sz w:val="20"/>
                <w:szCs w:val="20"/>
                <w:color w:val="auto"/>
              </w:rPr>
            </w:pPr>
            <w:r>
              <w:rPr>
                <w:rFonts w:ascii="Arial" w:cs="Arial" w:eastAsia="Arial" w:hAnsi="Arial"/>
                <w:sz w:val="10"/>
                <w:szCs w:val="10"/>
                <w:b w:val="1"/>
                <w:bCs w:val="1"/>
                <w:color w:val="auto"/>
                <w:w w:val="89"/>
              </w:rPr>
              <w:t>2013</w:t>
            </w:r>
          </w:p>
        </w:tc>
      </w:tr>
      <w:tr>
        <w:trPr>
          <w:trHeight w:val="105"/>
        </w:trPr>
        <w:tc>
          <w:tcPr>
            <w:tcW w:w="3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jc w:val="center"/>
              <w:ind w:left="277"/>
              <w:spacing w:after="0" w:line="105" w:lineRule="exact"/>
              <w:rPr>
                <w:sz w:val="20"/>
                <w:szCs w:val="20"/>
                <w:color w:val="auto"/>
              </w:rPr>
            </w:pPr>
            <w:r>
              <w:rPr>
                <w:rFonts w:ascii="Arial" w:cs="Arial" w:eastAsia="Arial" w:hAnsi="Arial"/>
                <w:sz w:val="10"/>
                <w:szCs w:val="10"/>
                <w:b w:val="1"/>
                <w:bCs w:val="1"/>
                <w:color w:val="auto"/>
                <w:w w:val="95"/>
              </w:rPr>
              <w:t>(unaudited)</w:t>
            </w:r>
          </w:p>
        </w:tc>
      </w:tr>
      <w:tr>
        <w:trPr>
          <w:trHeight w:val="167"/>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1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 %</w:t>
            </w:r>
          </w:p>
        </w:tc>
      </w:tr>
      <w:tr>
        <w:trPr>
          <w:trHeight w:val="167"/>
        </w:trPr>
        <w:tc>
          <w:tcPr>
            <w:tcW w:w="3480" w:type="dxa"/>
            <w:vAlign w:val="bottom"/>
          </w:tcPr>
          <w:p>
            <w:pPr>
              <w:spacing w:after="0"/>
              <w:rPr>
                <w:sz w:val="20"/>
                <w:szCs w:val="20"/>
                <w:color w:val="auto"/>
              </w:rPr>
            </w:pPr>
            <w:r>
              <w:rPr>
                <w:rFonts w:ascii="Arial" w:cs="Arial" w:eastAsia="Arial" w:hAnsi="Arial"/>
                <w:sz w:val="14"/>
                <w:szCs w:val="14"/>
                <w:color w:val="auto"/>
              </w:rPr>
              <w:t>Expected volatility</w:t>
            </w:r>
          </w:p>
        </w:tc>
        <w:tc>
          <w:tcPr>
            <w:tcW w:w="1920" w:type="dxa"/>
            <w:vAlign w:val="bottom"/>
            <w:gridSpan w:val="3"/>
          </w:tcPr>
          <w:p>
            <w:pPr>
              <w:jc w:val="right"/>
              <w:ind w:right="80"/>
              <w:spacing w:after="0"/>
              <w:rPr>
                <w:sz w:val="20"/>
                <w:szCs w:val="20"/>
                <w:color w:val="auto"/>
              </w:rPr>
            </w:pPr>
            <w:r>
              <w:rPr>
                <w:rFonts w:ascii="Arial" w:cs="Arial" w:eastAsia="Arial" w:hAnsi="Arial"/>
                <w:sz w:val="14"/>
                <w:szCs w:val="14"/>
                <w:color w:val="auto"/>
              </w:rPr>
              <w:t>62%</w:t>
            </w:r>
          </w:p>
        </w:tc>
        <w:tc>
          <w:tcPr>
            <w:tcW w:w="1600" w:type="dxa"/>
            <w:vAlign w:val="bottom"/>
            <w:gridSpan w:val="4"/>
          </w:tcPr>
          <w:p>
            <w:pPr>
              <w:jc w:val="right"/>
              <w:ind w:right="400"/>
              <w:spacing w:after="0"/>
              <w:rPr>
                <w:sz w:val="20"/>
                <w:szCs w:val="20"/>
                <w:color w:val="auto"/>
              </w:rPr>
            </w:pPr>
            <w:r>
              <w:rPr>
                <w:rFonts w:ascii="Arial" w:cs="Arial" w:eastAsia="Arial" w:hAnsi="Arial"/>
                <w:sz w:val="14"/>
                <w:szCs w:val="14"/>
                <w:color w:val="auto"/>
              </w:rPr>
              <w:t>51%</w:t>
            </w:r>
          </w:p>
        </w:tc>
        <w:tc>
          <w:tcPr>
            <w:tcW w:w="1020" w:type="dxa"/>
            <w:vAlign w:val="bottom"/>
          </w:tcPr>
          <w:p>
            <w:pPr>
              <w:jc w:val="right"/>
              <w:ind w:right="17"/>
              <w:spacing w:after="0"/>
              <w:rPr>
                <w:sz w:val="20"/>
                <w:szCs w:val="20"/>
                <w:color w:val="auto"/>
              </w:rPr>
            </w:pPr>
            <w:r>
              <w:rPr>
                <w:rFonts w:ascii="Arial" w:cs="Arial" w:eastAsia="Arial" w:hAnsi="Arial"/>
                <w:sz w:val="14"/>
                <w:szCs w:val="14"/>
                <w:color w:val="auto"/>
              </w:rPr>
              <w:t>58%</w:t>
            </w:r>
          </w:p>
        </w:tc>
      </w:tr>
      <w:tr>
        <w:trPr>
          <w:trHeight w:val="167"/>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1.35%</w:t>
            </w:r>
          </w:p>
        </w:tc>
        <w:tc>
          <w:tcPr>
            <w:tcW w:w="160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1.18%</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1.76%</w:t>
            </w:r>
          </w:p>
        </w:tc>
      </w:tr>
      <w:tr>
        <w:trPr>
          <w:trHeight w:val="167"/>
        </w:trPr>
        <w:tc>
          <w:tcPr>
            <w:tcW w:w="3480" w:type="dxa"/>
            <w:vAlign w:val="bottom"/>
          </w:tcPr>
          <w:p>
            <w:pPr>
              <w:spacing w:after="0"/>
              <w:rPr>
                <w:sz w:val="20"/>
                <w:szCs w:val="20"/>
                <w:color w:val="auto"/>
              </w:rPr>
            </w:pPr>
            <w:r>
              <w:rPr>
                <w:rFonts w:ascii="Arial" w:cs="Arial" w:eastAsia="Arial" w:hAnsi="Arial"/>
                <w:sz w:val="14"/>
                <w:szCs w:val="14"/>
                <w:color w:val="auto"/>
              </w:rPr>
              <w:t>Expected average life of options</w:t>
            </w:r>
          </w:p>
        </w:tc>
        <w:tc>
          <w:tcPr>
            <w:tcW w:w="1920" w:type="dxa"/>
            <w:vAlign w:val="bottom"/>
            <w:gridSpan w:val="3"/>
          </w:tcPr>
          <w:p>
            <w:pPr>
              <w:jc w:val="right"/>
              <w:ind w:right="80"/>
              <w:spacing w:after="0"/>
              <w:rPr>
                <w:sz w:val="20"/>
                <w:szCs w:val="20"/>
                <w:color w:val="auto"/>
              </w:rPr>
            </w:pPr>
            <w:r>
              <w:rPr>
                <w:rFonts w:ascii="Arial" w:cs="Arial" w:eastAsia="Arial" w:hAnsi="Arial"/>
                <w:sz w:val="14"/>
                <w:szCs w:val="14"/>
                <w:color w:val="auto"/>
              </w:rPr>
              <w:t>7 years</w:t>
            </w:r>
          </w:p>
        </w:tc>
        <w:tc>
          <w:tcPr>
            <w:tcW w:w="64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color w:val="auto"/>
              </w:rPr>
              <w:t>7 years</w:t>
            </w:r>
          </w:p>
        </w:tc>
        <w:tc>
          <w:tcPr>
            <w:tcW w:w="1020" w:type="dxa"/>
            <w:vAlign w:val="bottom"/>
          </w:tcPr>
          <w:p>
            <w:pPr>
              <w:jc w:val="right"/>
              <w:ind w:right="17"/>
              <w:spacing w:after="0"/>
              <w:rPr>
                <w:sz w:val="20"/>
                <w:szCs w:val="20"/>
                <w:color w:val="auto"/>
              </w:rPr>
            </w:pPr>
            <w:r>
              <w:rPr>
                <w:rFonts w:ascii="Arial" w:cs="Arial" w:eastAsia="Arial" w:hAnsi="Arial"/>
                <w:sz w:val="14"/>
                <w:szCs w:val="14"/>
                <w:color w:val="auto"/>
              </w:rPr>
              <w:t>7 years</w:t>
            </w:r>
          </w:p>
        </w:tc>
      </w:tr>
      <w:tr>
        <w:trPr>
          <w:trHeight w:val="167"/>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Fair market value of common stock at:</w:t>
            </w:r>
          </w:p>
        </w:tc>
        <w:tc>
          <w:tcPr>
            <w:tcW w:w="1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0.05</w:t>
            </w:r>
          </w:p>
        </w:tc>
        <w:tc>
          <w:tcPr>
            <w:tcW w:w="160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   0.08</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    0.14</w:t>
            </w:r>
          </w:p>
        </w:tc>
      </w:tr>
      <w:tr>
        <w:trPr>
          <w:trHeight w:val="173"/>
        </w:trPr>
        <w:tc>
          <w:tcPr>
            <w:tcW w:w="3480" w:type="dxa"/>
            <w:vAlign w:val="bottom"/>
          </w:tcPr>
          <w:p>
            <w:pPr>
              <w:spacing w:after="0"/>
              <w:rPr>
                <w:sz w:val="20"/>
                <w:szCs w:val="20"/>
                <w:color w:val="auto"/>
              </w:rPr>
            </w:pPr>
            <w:r>
              <w:rPr>
                <w:rFonts w:ascii="Arial" w:cs="Arial" w:eastAsia="Arial" w:hAnsi="Arial"/>
                <w:sz w:val="14"/>
                <w:szCs w:val="14"/>
                <w:color w:val="auto"/>
              </w:rPr>
              <w:t>Expected Forfeiture Rate</w:t>
            </w:r>
          </w:p>
        </w:tc>
        <w:tc>
          <w:tcPr>
            <w:tcW w:w="1920" w:type="dxa"/>
            <w:vAlign w:val="bottom"/>
            <w:gridSpan w:val="3"/>
          </w:tcPr>
          <w:p>
            <w:pPr>
              <w:jc w:val="right"/>
              <w:ind w:right="80"/>
              <w:spacing w:after="0"/>
              <w:rPr>
                <w:sz w:val="20"/>
                <w:szCs w:val="20"/>
                <w:color w:val="auto"/>
              </w:rPr>
            </w:pPr>
            <w:r>
              <w:rPr>
                <w:rFonts w:ascii="Arial" w:cs="Arial" w:eastAsia="Arial" w:hAnsi="Arial"/>
                <w:sz w:val="14"/>
                <w:szCs w:val="14"/>
                <w:color w:val="auto"/>
              </w:rPr>
              <w:t>5.58%</w:t>
            </w:r>
          </w:p>
        </w:tc>
        <w:tc>
          <w:tcPr>
            <w:tcW w:w="1600" w:type="dxa"/>
            <w:vAlign w:val="bottom"/>
            <w:gridSpan w:val="4"/>
          </w:tcPr>
          <w:p>
            <w:pPr>
              <w:jc w:val="right"/>
              <w:ind w:right="400"/>
              <w:spacing w:after="0"/>
              <w:rPr>
                <w:sz w:val="20"/>
                <w:szCs w:val="20"/>
                <w:color w:val="auto"/>
              </w:rPr>
            </w:pPr>
            <w:r>
              <w:rPr>
                <w:rFonts w:ascii="Arial" w:cs="Arial" w:eastAsia="Arial" w:hAnsi="Arial"/>
                <w:sz w:val="14"/>
                <w:szCs w:val="14"/>
                <w:color w:val="auto"/>
              </w:rPr>
              <w:t>5.57%</w:t>
            </w:r>
          </w:p>
        </w:tc>
        <w:tc>
          <w:tcPr>
            <w:tcW w:w="1020" w:type="dxa"/>
            <w:vAlign w:val="bottom"/>
          </w:tcPr>
          <w:p>
            <w:pPr>
              <w:jc w:val="right"/>
              <w:ind w:right="17"/>
              <w:spacing w:after="0"/>
              <w:rPr>
                <w:sz w:val="20"/>
                <w:szCs w:val="20"/>
                <w:color w:val="auto"/>
              </w:rPr>
            </w:pPr>
            <w:r>
              <w:rPr>
                <w:rFonts w:ascii="Arial" w:cs="Arial" w:eastAsia="Arial" w:hAnsi="Arial"/>
                <w:sz w:val="14"/>
                <w:szCs w:val="14"/>
                <w:color w:val="auto"/>
              </w:rPr>
              <w:t>5.06%</w:t>
            </w:r>
          </w:p>
        </w:tc>
      </w:tr>
    </w:tbl>
    <w:p>
      <w:pPr>
        <w:spacing w:after="0" w:line="110" w:lineRule="exact"/>
        <w:rPr>
          <w:sz w:val="20"/>
          <w:szCs w:val="20"/>
          <w:color w:val="auto"/>
        </w:rPr>
      </w:pPr>
    </w:p>
    <w:p>
      <w:pPr>
        <w:ind w:firstLine="802"/>
        <w:spacing w:after="0" w:line="301" w:lineRule="auto"/>
        <w:rPr>
          <w:sz w:val="20"/>
          <w:szCs w:val="20"/>
          <w:color w:val="auto"/>
        </w:rPr>
      </w:pPr>
      <w:r>
        <w:rPr>
          <w:rFonts w:ascii="Arial" w:cs="Arial" w:eastAsia="Arial" w:hAnsi="Arial"/>
          <w:sz w:val="12"/>
          <w:szCs w:val="12"/>
          <w:b w:val="1"/>
          <w:bCs w:val="1"/>
          <w:color w:val="auto"/>
        </w:rPr>
        <w:t xml:space="preserve">Fair Value of Common Stock – </w:t>
      </w:r>
      <w:r>
        <w:rPr>
          <w:rFonts w:ascii="Arial" w:cs="Arial" w:eastAsia="Arial" w:hAnsi="Arial"/>
          <w:sz w:val="12"/>
          <w:szCs w:val="12"/>
          <w:color w:val="auto"/>
        </w:rPr>
        <w:t>Given the lack of an active public market for the Company’s common stock, the Company’s Board of Directors determined the fair value of the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Board of Directors made determinations of fair value based, in part, upon contemporaneous valuations to determine fair value. In the absence of a public market, and as a clinical-stage company with no significant revenues, the Company believes that it is appropriate to consider a range of factors to determine the fair market value of the common stock at each grant date. The factors include: (1) the achievement of clinical and operational milestones by the Company; (2) the status of strategic relationships with collaborators; (3) the significant risks associated with the Company’s stage of development; (4) capital market conditions for life science companies, particularly similarly situated, privately held, early-stage life science companies; (5) the Company’s available cash, financial condition and results of operations; (6) the most recent sales of the Company’s preferred stock and (7) the preferential rights of the outstanding preferred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2"/>
          <w:szCs w:val="12"/>
          <w:i w:val="1"/>
          <w:iCs w:val="1"/>
          <w:color w:val="auto"/>
        </w:rPr>
        <w:t>Valuation of Privately-Held Company Equity</w:t>
      </w:r>
      <w:r>
        <w:rPr>
          <w:rFonts w:ascii="Arial" w:cs="Arial" w:eastAsia="Arial" w:hAnsi="Arial"/>
          <w:sz w:val="12"/>
          <w:szCs w:val="12"/>
          <w:color w:val="auto"/>
        </w:rPr>
        <w:t xml:space="preserve"> </w:t>
      </w:r>
      <w:r>
        <w:rPr>
          <w:rFonts w:ascii="Arial" w:cs="Arial" w:eastAsia="Arial" w:hAnsi="Arial"/>
          <w:sz w:val="12"/>
          <w:szCs w:val="12"/>
          <w:i w:val="1"/>
          <w:iCs w:val="1"/>
          <w:color w:val="auto"/>
        </w:rPr>
        <w:t>Securities Issued as Compensation</w:t>
      </w:r>
      <w:r>
        <w:rPr>
          <w:rFonts w:ascii="Arial" w:cs="Arial" w:eastAsia="Arial" w:hAnsi="Arial"/>
          <w:sz w:val="12"/>
          <w:szCs w:val="12"/>
          <w:color w:val="auto"/>
        </w:rPr>
        <w:t>.</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20" w:top="387" w:right="25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4" w:lineRule="exact"/>
        <w:rPr>
          <w:sz w:val="20"/>
          <w:szCs w:val="20"/>
          <w:color w:val="auto"/>
        </w:rPr>
      </w:pPr>
    </w:p>
    <w:p>
      <w:pPr>
        <w:jc w:val="both"/>
        <w:ind w:right="80" w:firstLine="802"/>
        <w:spacing w:after="0" w:line="259" w:lineRule="auto"/>
        <w:rPr>
          <w:sz w:val="20"/>
          <w:szCs w:val="20"/>
          <w:color w:val="auto"/>
        </w:rPr>
      </w:pPr>
      <w:r>
        <w:rPr>
          <w:rFonts w:ascii="Arial" w:cs="Arial" w:eastAsia="Arial" w:hAnsi="Arial"/>
          <w:sz w:val="14"/>
          <w:szCs w:val="14"/>
          <w:b w:val="1"/>
          <w:bCs w:val="1"/>
          <w:color w:val="auto"/>
        </w:rPr>
        <w:t xml:space="preserve">Expected Volatility </w:t>
      </w:r>
      <w:r>
        <w:rPr>
          <w:rFonts w:ascii="Arial" w:cs="Arial" w:eastAsia="Arial" w:hAnsi="Arial"/>
          <w:sz w:val="14"/>
          <w:szCs w:val="14"/>
          <w:color w:val="auto"/>
        </w:rPr>
        <w:t>– Volatility is a measure of the amount by which a financial variable such as a share price has fluctuated (historical volatility) or is expected to fluctuate (expected volatility)</w:t>
      </w:r>
      <w:r>
        <w:rPr>
          <w:rFonts w:ascii="Arial" w:cs="Arial" w:eastAsia="Arial" w:hAnsi="Arial"/>
          <w:sz w:val="14"/>
          <w:szCs w:val="14"/>
          <w:b w:val="1"/>
          <w:bCs w:val="1"/>
          <w:color w:val="auto"/>
        </w:rPr>
        <w:t xml:space="preserve"> </w:t>
      </w:r>
      <w:r>
        <w:rPr>
          <w:rFonts w:ascii="Arial" w:cs="Arial" w:eastAsia="Arial" w:hAnsi="Arial"/>
          <w:sz w:val="14"/>
          <w:szCs w:val="14"/>
          <w:color w:val="auto"/>
        </w:rPr>
        <w:t>during a period. The Company does not maintain an internal market for its shares and its shares are not traded publicly. The Company has been able to identify several public entities of similar size, complexity and stage of development; accordingly, historical volatility has been calculated using the volatility of these companies.</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Expected Dividend Yield </w:t>
      </w:r>
      <w:r>
        <w:rPr>
          <w:rFonts w:ascii="Arial" w:cs="Arial" w:eastAsia="Arial" w:hAnsi="Arial"/>
          <w:sz w:val="14"/>
          <w:szCs w:val="14"/>
          <w:color w:val="auto"/>
        </w:rPr>
        <w:t>– The Company has never declared or paid dividends and has no plans to do so in the foreseeable future.</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 xml:space="preserve">Risk-Free Interest Rate </w:t>
      </w:r>
      <w:r>
        <w:rPr>
          <w:rFonts w:ascii="Arial" w:cs="Arial" w:eastAsia="Arial" w:hAnsi="Arial"/>
          <w:sz w:val="12"/>
          <w:szCs w:val="12"/>
          <w:color w:val="auto"/>
        </w:rPr>
        <w:t>– This is the U.S. Treasury rate for the week of each option grant during the year, having a term that most closely resembles the expected life of the option.</w:t>
      </w:r>
    </w:p>
    <w:p>
      <w:pPr>
        <w:spacing w:after="0" w:line="155" w:lineRule="exact"/>
        <w:rPr>
          <w:sz w:val="20"/>
          <w:szCs w:val="20"/>
          <w:color w:val="auto"/>
        </w:rPr>
      </w:pPr>
    </w:p>
    <w:p>
      <w:pPr>
        <w:ind w:firstLine="802"/>
        <w:spacing w:after="0" w:line="270" w:lineRule="auto"/>
        <w:rPr>
          <w:sz w:val="20"/>
          <w:szCs w:val="20"/>
          <w:color w:val="auto"/>
        </w:rPr>
      </w:pPr>
      <w:r>
        <w:rPr>
          <w:rFonts w:ascii="Arial" w:cs="Arial" w:eastAsia="Arial" w:hAnsi="Arial"/>
          <w:sz w:val="14"/>
          <w:szCs w:val="14"/>
          <w:b w:val="1"/>
          <w:bCs w:val="1"/>
          <w:color w:val="auto"/>
        </w:rPr>
        <w:t xml:space="preserve">Expected Term </w:t>
      </w:r>
      <w:r>
        <w:rPr>
          <w:rFonts w:ascii="Arial" w:cs="Arial" w:eastAsia="Arial" w:hAnsi="Arial"/>
          <w:sz w:val="14"/>
          <w:szCs w:val="14"/>
          <w:color w:val="auto"/>
        </w:rPr>
        <w:t>– This is the period of time that the options granted are expected to remain unexercised. Options granted have a maximum term of ten years. The Company estimates the expected</w:t>
      </w:r>
      <w:r>
        <w:rPr>
          <w:rFonts w:ascii="Arial" w:cs="Arial" w:eastAsia="Arial" w:hAnsi="Arial"/>
          <w:sz w:val="14"/>
          <w:szCs w:val="14"/>
          <w:b w:val="1"/>
          <w:bCs w:val="1"/>
          <w:color w:val="auto"/>
        </w:rPr>
        <w:t xml:space="preserve"> </w:t>
      </w:r>
      <w:r>
        <w:rPr>
          <w:rFonts w:ascii="Arial" w:cs="Arial" w:eastAsia="Arial" w:hAnsi="Arial"/>
          <w:sz w:val="14"/>
          <w:szCs w:val="14"/>
          <w:color w:val="auto"/>
        </w:rPr>
        <w:t>life of the option term to be seven years. The Company uses a simplified method to calculate the average expected term.</w:t>
      </w:r>
    </w:p>
    <w:p>
      <w:pPr>
        <w:spacing w:after="0" w:line="97" w:lineRule="exact"/>
        <w:rPr>
          <w:sz w:val="20"/>
          <w:szCs w:val="20"/>
          <w:color w:val="auto"/>
        </w:rPr>
      </w:pPr>
    </w:p>
    <w:p>
      <w:pPr>
        <w:ind w:right="220" w:firstLine="802"/>
        <w:spacing w:after="0" w:line="355" w:lineRule="auto"/>
        <w:rPr>
          <w:sz w:val="20"/>
          <w:szCs w:val="20"/>
          <w:color w:val="auto"/>
        </w:rPr>
      </w:pPr>
      <w:r>
        <w:rPr>
          <w:rFonts w:ascii="Arial" w:cs="Arial" w:eastAsia="Arial" w:hAnsi="Arial"/>
          <w:sz w:val="12"/>
          <w:szCs w:val="12"/>
          <w:b w:val="1"/>
          <w:bCs w:val="1"/>
          <w:color w:val="auto"/>
        </w:rPr>
        <w:t xml:space="preserve">Expected Forfeiture Rate </w:t>
      </w:r>
      <w:r>
        <w:rPr>
          <w:rFonts w:ascii="Arial" w:cs="Arial" w:eastAsia="Arial" w:hAnsi="Arial"/>
          <w:sz w:val="12"/>
          <w:szCs w:val="12"/>
          <w:color w:val="auto"/>
        </w:rPr>
        <w:t>– The forfeiture rate is the estimated percentage of options granted that is expected to be forfeited or canceled on an annual basis before becoming fully vested.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estimates the forfeiture rate based on turnover data with further consideration given to the class of the employees to whom the options were granted.</w:t>
      </w:r>
    </w:p>
    <w:p>
      <w:pPr>
        <w:spacing w:after="0" w:line="53" w:lineRule="exact"/>
        <w:rPr>
          <w:sz w:val="20"/>
          <w:szCs w:val="20"/>
          <w:color w:val="auto"/>
        </w:rPr>
      </w:pPr>
    </w:p>
    <w:p>
      <w:pPr>
        <w:ind w:right="40" w:firstLine="802"/>
        <w:spacing w:after="0" w:line="267" w:lineRule="auto"/>
        <w:rPr>
          <w:sz w:val="20"/>
          <w:szCs w:val="20"/>
          <w:color w:val="auto"/>
        </w:rPr>
      </w:pPr>
      <w:r>
        <w:rPr>
          <w:rFonts w:ascii="Arial" w:cs="Arial" w:eastAsia="Arial" w:hAnsi="Arial"/>
          <w:sz w:val="14"/>
          <w:szCs w:val="14"/>
          <w:color w:val="auto"/>
        </w:rPr>
        <w:t xml:space="preserve">Equity instruments issued to non-employees are accounted for under the provisions of ASC 505-50, </w:t>
      </w:r>
      <w:r>
        <w:rPr>
          <w:rFonts w:ascii="Arial" w:cs="Arial" w:eastAsia="Arial" w:hAnsi="Arial"/>
          <w:sz w:val="14"/>
          <w:szCs w:val="14"/>
          <w:i w:val="1"/>
          <w:iCs w:val="1"/>
          <w:color w:val="auto"/>
        </w:rPr>
        <w:t>Equity Based Payments to Non-Employees</w:t>
      </w:r>
      <w:r>
        <w:rPr>
          <w:rFonts w:ascii="Arial" w:cs="Arial" w:eastAsia="Arial" w:hAnsi="Arial"/>
          <w:sz w:val="14"/>
          <w:szCs w:val="14"/>
          <w:color w:val="auto"/>
        </w:rPr>
        <w:t>. Accordingly, the estimated fair value of the equity instrument is recorded on the earlier of the performance commitment date or the date the services required are completed.</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Information with respect to stock options granted to employees and non-employees from January 1, 2012 through June 30, 2013 was as follows:</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800" w:type="dxa"/>
            <w:vAlign w:val="bottom"/>
          </w:tcPr>
          <w:p>
            <w:pPr>
              <w:jc w:val="right"/>
              <w:ind w:right="95"/>
              <w:spacing w:after="0"/>
              <w:rPr>
                <w:sz w:val="20"/>
                <w:szCs w:val="20"/>
                <w:color w:val="auto"/>
              </w:rPr>
            </w:pPr>
            <w:r>
              <w:rPr>
                <w:rFonts w:ascii="Arial" w:cs="Arial" w:eastAsia="Arial" w:hAnsi="Arial"/>
                <w:sz w:val="10"/>
                <w:szCs w:val="10"/>
                <w:b w:val="1"/>
                <w:bCs w:val="1"/>
                <w:color w:val="auto"/>
              </w:rPr>
              <w:t>Number of</w:t>
            </w:r>
          </w:p>
        </w:tc>
        <w:tc>
          <w:tcPr>
            <w:tcW w:w="88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7"/>
              </w:rPr>
              <w:t>Exercise</w:t>
            </w:r>
          </w:p>
        </w:tc>
        <w:tc>
          <w:tcPr>
            <w:tcW w:w="880" w:type="dxa"/>
            <w:vAlign w:val="bottom"/>
          </w:tcPr>
          <w:p>
            <w:pPr>
              <w:spacing w:after="0"/>
              <w:rPr>
                <w:sz w:val="10"/>
                <w:szCs w:val="10"/>
                <w:color w:val="auto"/>
              </w:rPr>
            </w:pPr>
          </w:p>
        </w:tc>
        <w:tc>
          <w:tcPr>
            <w:tcW w:w="1720" w:type="dxa"/>
            <w:vAlign w:val="bottom"/>
            <w:gridSpan w:val="3"/>
          </w:tcPr>
          <w:p>
            <w:pPr>
              <w:jc w:val="center"/>
              <w:ind w:right="880"/>
              <w:spacing w:after="0"/>
              <w:rPr>
                <w:sz w:val="20"/>
                <w:szCs w:val="20"/>
                <w:color w:val="auto"/>
              </w:rPr>
            </w:pPr>
            <w:r>
              <w:rPr>
                <w:rFonts w:ascii="Arial" w:cs="Arial" w:eastAsia="Arial" w:hAnsi="Arial"/>
                <w:sz w:val="10"/>
                <w:szCs w:val="10"/>
                <w:b w:val="1"/>
                <w:bCs w:val="1"/>
                <w:color w:val="auto"/>
                <w:w w:val="96"/>
              </w:rPr>
              <w:t>Estimated Option</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Intrinsic</w:t>
            </w:r>
          </w:p>
        </w:tc>
      </w:tr>
      <w:tr>
        <w:trPr>
          <w:trHeight w:val="126"/>
        </w:trPr>
        <w:tc>
          <w:tcPr>
            <w:tcW w:w="4720" w:type="dxa"/>
            <w:vAlign w:val="bottom"/>
          </w:tcPr>
          <w:p>
            <w:pPr>
              <w:spacing w:after="0"/>
              <w:rPr>
                <w:sz w:val="20"/>
                <w:szCs w:val="20"/>
                <w:color w:val="auto"/>
              </w:rPr>
            </w:pPr>
            <w:r>
              <w:rPr>
                <w:rFonts w:ascii="Arial" w:cs="Arial" w:eastAsia="Arial" w:hAnsi="Arial"/>
                <w:sz w:val="10"/>
                <w:szCs w:val="10"/>
                <w:b w:val="1"/>
                <w:bCs w:val="1"/>
                <w:color w:val="auto"/>
              </w:rPr>
              <w:t>Grant Date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6"/>
              </w:rPr>
              <w:t>Options Granted</w:t>
            </w:r>
          </w:p>
        </w:tc>
        <w:tc>
          <w:tcPr>
            <w:tcW w:w="8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b w:val="1"/>
                <w:bCs w:val="1"/>
                <w:color w:val="auto"/>
                <w:w w:val="89"/>
              </w:rPr>
              <w:t>Price</w:t>
            </w:r>
          </w:p>
        </w:tc>
        <w:tc>
          <w:tcPr>
            <w:tcW w:w="8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74"/>
              <w:spacing w:after="0"/>
              <w:rPr>
                <w:sz w:val="20"/>
                <w:szCs w:val="20"/>
                <w:color w:val="auto"/>
              </w:rPr>
            </w:pPr>
            <w:r>
              <w:rPr>
                <w:rFonts w:ascii="Arial" w:cs="Arial" w:eastAsia="Arial" w:hAnsi="Arial"/>
                <w:sz w:val="10"/>
                <w:szCs w:val="10"/>
                <w:b w:val="1"/>
                <w:bCs w:val="1"/>
                <w:color w:val="auto"/>
              </w:rPr>
              <w:t>Fair Value</w:t>
            </w:r>
          </w:p>
        </w:tc>
        <w:tc>
          <w:tcPr>
            <w:tcW w:w="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Value</w:t>
            </w:r>
          </w:p>
        </w:tc>
        <w:tc>
          <w:tcPr>
            <w:tcW w:w="80" w:type="dxa"/>
            <w:vAlign w:val="bottom"/>
          </w:tcPr>
          <w:p>
            <w:pPr>
              <w:spacing w:after="0"/>
              <w:rPr>
                <w:sz w:val="10"/>
                <w:szCs w:val="10"/>
                <w:color w:val="auto"/>
              </w:rPr>
            </w:pPr>
          </w:p>
        </w:tc>
      </w:tr>
      <w:tr>
        <w:trPr>
          <w:trHeight w:val="158"/>
        </w:trPr>
        <w:tc>
          <w:tcPr>
            <w:tcW w:w="47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01/08/2012</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2,119,225</w:t>
            </w:r>
          </w:p>
        </w:tc>
        <w:tc>
          <w:tcPr>
            <w:tcW w:w="94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0.05</w:t>
            </w:r>
          </w:p>
        </w:tc>
        <w:tc>
          <w:tcPr>
            <w:tcW w:w="102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880"/>
              <w:spacing w:after="0" w:line="157" w:lineRule="exact"/>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w:t>
            </w:r>
          </w:p>
        </w:tc>
      </w:tr>
      <w:tr>
        <w:trPr>
          <w:trHeight w:val="167"/>
        </w:trPr>
        <w:tc>
          <w:tcPr>
            <w:tcW w:w="4720" w:type="dxa"/>
            <w:vAlign w:val="bottom"/>
          </w:tcPr>
          <w:p>
            <w:pPr>
              <w:spacing w:after="0"/>
              <w:rPr>
                <w:sz w:val="20"/>
                <w:szCs w:val="20"/>
                <w:color w:val="auto"/>
              </w:rPr>
            </w:pPr>
            <w:r>
              <w:rPr>
                <w:rFonts w:ascii="Arial" w:cs="Arial" w:eastAsia="Arial" w:hAnsi="Arial"/>
                <w:sz w:val="14"/>
                <w:szCs w:val="14"/>
                <w:color w:val="auto"/>
              </w:rPr>
              <w:t>03/14/2012</w:t>
            </w:r>
          </w:p>
        </w:tc>
        <w:tc>
          <w:tcPr>
            <w:tcW w:w="800" w:type="dxa"/>
            <w:vAlign w:val="bottom"/>
          </w:tcPr>
          <w:p>
            <w:pPr>
              <w:jc w:val="right"/>
              <w:spacing w:after="0"/>
              <w:rPr>
                <w:sz w:val="20"/>
                <w:szCs w:val="20"/>
                <w:color w:val="auto"/>
              </w:rPr>
            </w:pPr>
            <w:r>
              <w:rPr>
                <w:rFonts w:ascii="Arial" w:cs="Arial" w:eastAsia="Arial" w:hAnsi="Arial"/>
                <w:sz w:val="14"/>
                <w:szCs w:val="14"/>
                <w:color w:val="auto"/>
              </w:rPr>
              <w:t>5,878,000</w:t>
            </w:r>
          </w:p>
        </w:tc>
        <w:tc>
          <w:tcPr>
            <w:tcW w:w="94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0.05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8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r>
      <w:tr>
        <w:trPr>
          <w:trHeight w:val="167"/>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06/13/2012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81,000</w:t>
            </w:r>
          </w:p>
        </w:tc>
        <w:tc>
          <w:tcPr>
            <w:tcW w:w="94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r>
      <w:tr>
        <w:trPr>
          <w:trHeight w:val="167"/>
        </w:trPr>
        <w:tc>
          <w:tcPr>
            <w:tcW w:w="4720" w:type="dxa"/>
            <w:vAlign w:val="bottom"/>
          </w:tcPr>
          <w:p>
            <w:pPr>
              <w:spacing w:after="0"/>
              <w:rPr>
                <w:sz w:val="20"/>
                <w:szCs w:val="20"/>
                <w:color w:val="auto"/>
              </w:rPr>
            </w:pPr>
            <w:r>
              <w:rPr>
                <w:rFonts w:ascii="Arial" w:cs="Arial" w:eastAsia="Arial" w:hAnsi="Arial"/>
                <w:sz w:val="14"/>
                <w:szCs w:val="14"/>
                <w:color w:val="auto"/>
              </w:rPr>
              <w:t>09/19/2012</w:t>
            </w:r>
          </w:p>
        </w:tc>
        <w:tc>
          <w:tcPr>
            <w:tcW w:w="800" w:type="dxa"/>
            <w:vAlign w:val="bottom"/>
          </w:tcPr>
          <w:p>
            <w:pPr>
              <w:jc w:val="right"/>
              <w:spacing w:after="0"/>
              <w:rPr>
                <w:sz w:val="20"/>
                <w:szCs w:val="20"/>
                <w:color w:val="auto"/>
              </w:rPr>
            </w:pPr>
            <w:r>
              <w:rPr>
                <w:rFonts w:ascii="Arial" w:cs="Arial" w:eastAsia="Arial" w:hAnsi="Arial"/>
                <w:sz w:val="14"/>
                <w:szCs w:val="14"/>
                <w:color w:val="auto"/>
              </w:rPr>
              <w:t>150,400</w:t>
            </w:r>
          </w:p>
        </w:tc>
        <w:tc>
          <w:tcPr>
            <w:tcW w:w="94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0.05</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8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r>
      <w:tr>
        <w:trPr>
          <w:trHeight w:val="167"/>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11/08/2012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c>
          <w:tcPr>
            <w:tcW w:w="94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r>
      <w:tr>
        <w:trPr>
          <w:trHeight w:val="167"/>
        </w:trPr>
        <w:tc>
          <w:tcPr>
            <w:tcW w:w="4720" w:type="dxa"/>
            <w:vAlign w:val="bottom"/>
          </w:tcPr>
          <w:p>
            <w:pPr>
              <w:spacing w:after="0"/>
              <w:rPr>
                <w:sz w:val="20"/>
                <w:szCs w:val="20"/>
                <w:color w:val="auto"/>
              </w:rPr>
            </w:pPr>
            <w:r>
              <w:rPr>
                <w:rFonts w:ascii="Arial" w:cs="Arial" w:eastAsia="Arial" w:hAnsi="Arial"/>
                <w:sz w:val="14"/>
                <w:szCs w:val="14"/>
                <w:color w:val="auto"/>
              </w:rPr>
              <w:t>01/06/2013</w:t>
            </w:r>
          </w:p>
        </w:tc>
        <w:tc>
          <w:tcPr>
            <w:tcW w:w="800" w:type="dxa"/>
            <w:vAlign w:val="bottom"/>
          </w:tcPr>
          <w:p>
            <w:pPr>
              <w:jc w:val="right"/>
              <w:spacing w:after="0"/>
              <w:rPr>
                <w:sz w:val="20"/>
                <w:szCs w:val="20"/>
                <w:color w:val="auto"/>
              </w:rPr>
            </w:pPr>
            <w:r>
              <w:rPr>
                <w:rFonts w:ascii="Arial" w:cs="Arial" w:eastAsia="Arial" w:hAnsi="Arial"/>
                <w:sz w:val="14"/>
                <w:szCs w:val="14"/>
                <w:color w:val="auto"/>
              </w:rPr>
              <w:t>6,332,100</w:t>
            </w:r>
          </w:p>
        </w:tc>
        <w:tc>
          <w:tcPr>
            <w:tcW w:w="94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0.08</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80"/>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r>
      <w:tr>
        <w:trPr>
          <w:trHeight w:val="167"/>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03/08/2013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263,000</w:t>
            </w:r>
          </w:p>
        </w:tc>
        <w:tc>
          <w:tcPr>
            <w:tcW w:w="940" w:type="dxa"/>
            <w:vAlign w:val="bottom"/>
            <w:gridSpan w:val="2"/>
            <w:shd w:val="clear" w:color="auto" w:fill="CCEEFF"/>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r>
      <w:tr>
        <w:trPr>
          <w:trHeight w:val="173"/>
        </w:trPr>
        <w:tc>
          <w:tcPr>
            <w:tcW w:w="4720" w:type="dxa"/>
            <w:vAlign w:val="bottom"/>
          </w:tcPr>
          <w:p>
            <w:pPr>
              <w:spacing w:after="0"/>
              <w:rPr>
                <w:sz w:val="20"/>
                <w:szCs w:val="20"/>
                <w:color w:val="auto"/>
              </w:rPr>
            </w:pPr>
            <w:r>
              <w:rPr>
                <w:rFonts w:ascii="Arial" w:cs="Arial" w:eastAsia="Arial" w:hAnsi="Arial"/>
                <w:sz w:val="14"/>
                <w:szCs w:val="14"/>
                <w:color w:val="auto"/>
              </w:rPr>
              <w:t>06/19/2013</w:t>
            </w:r>
          </w:p>
        </w:tc>
        <w:tc>
          <w:tcPr>
            <w:tcW w:w="800" w:type="dxa"/>
            <w:vAlign w:val="bottom"/>
          </w:tcPr>
          <w:p>
            <w:pPr>
              <w:jc w:val="right"/>
              <w:spacing w:after="0"/>
              <w:rPr>
                <w:sz w:val="20"/>
                <w:szCs w:val="20"/>
                <w:color w:val="auto"/>
              </w:rPr>
            </w:pPr>
            <w:r>
              <w:rPr>
                <w:rFonts w:ascii="Arial" w:cs="Arial" w:eastAsia="Arial" w:hAnsi="Arial"/>
                <w:sz w:val="14"/>
                <w:szCs w:val="14"/>
                <w:color w:val="auto"/>
              </w:rPr>
              <w:t>1,117,000</w:t>
            </w:r>
          </w:p>
        </w:tc>
        <w:tc>
          <w:tcPr>
            <w:tcW w:w="94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0.14</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80"/>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r>
      <w:tr>
        <w:trPr>
          <w:trHeight w:val="274"/>
        </w:trPr>
        <w:tc>
          <w:tcPr>
            <w:tcW w:w="4720" w:type="dxa"/>
            <w:vAlign w:val="bottom"/>
          </w:tcPr>
          <w:p>
            <w:pPr>
              <w:spacing w:after="0"/>
              <w:rPr>
                <w:sz w:val="23"/>
                <w:szCs w:val="23"/>
                <w:color w:val="auto"/>
              </w:rPr>
            </w:pPr>
          </w:p>
        </w:tc>
        <w:tc>
          <w:tcPr>
            <w:tcW w:w="800" w:type="dxa"/>
            <w:vAlign w:val="bottom"/>
          </w:tcPr>
          <w:p>
            <w:pPr>
              <w:jc w:val="right"/>
              <w:ind w:right="395"/>
              <w:spacing w:after="0"/>
              <w:rPr>
                <w:sz w:val="20"/>
                <w:szCs w:val="20"/>
                <w:color w:val="auto"/>
              </w:rPr>
            </w:pPr>
            <w:r>
              <w:rPr>
                <w:rFonts w:ascii="Arial" w:cs="Arial" w:eastAsia="Arial" w:hAnsi="Arial"/>
                <w:sz w:val="14"/>
                <w:szCs w:val="14"/>
                <w:color w:val="auto"/>
              </w:rPr>
              <w:t>F-26</w:t>
            </w: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1420"/>
          </w:cols>
          <w:pgMar w:left="220" w:top="387" w:right="25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summarizes stock option activity under the Plan during the period then ended:</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Weighted-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2"/>
          </w:tcPr>
          <w:p>
            <w:pPr>
              <w:jc w:val="center"/>
              <w:ind w:right="1080"/>
              <w:spacing w:after="0"/>
              <w:rPr>
                <w:sz w:val="20"/>
                <w:szCs w:val="20"/>
                <w:color w:val="auto"/>
              </w:rPr>
            </w:pPr>
            <w:r>
              <w:rPr>
                <w:rFonts w:ascii="Arial" w:cs="Arial" w:eastAsia="Arial" w:hAnsi="Arial"/>
                <w:sz w:val="10"/>
                <w:szCs w:val="10"/>
                <w:b w:val="1"/>
                <w:bCs w:val="1"/>
                <w:color w:val="auto"/>
                <w:w w:val="95"/>
              </w:rPr>
              <w:t>Weighted-</w:t>
            </w: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3"/>
          </w:tcPr>
          <w:p>
            <w:pPr>
              <w:jc w:val="center"/>
              <w:ind w:right="1060"/>
              <w:spacing w:after="0"/>
              <w:rPr>
                <w:sz w:val="20"/>
                <w:szCs w:val="20"/>
                <w:color w:val="auto"/>
              </w:rPr>
            </w:pPr>
            <w:r>
              <w:rPr>
                <w:rFonts w:ascii="Arial" w:cs="Arial" w:eastAsia="Arial" w:hAnsi="Arial"/>
                <w:sz w:val="10"/>
                <w:szCs w:val="10"/>
                <w:b w:val="1"/>
                <w:bCs w:val="1"/>
                <w:color w:val="auto"/>
                <w:w w:val="95"/>
              </w:rPr>
              <w:t>Number of</w:t>
            </w:r>
          </w:p>
        </w:tc>
        <w:tc>
          <w:tcPr>
            <w:tcW w:w="1780" w:type="dxa"/>
            <w:vAlign w:val="bottom"/>
            <w:gridSpan w:val="3"/>
          </w:tcPr>
          <w:p>
            <w:pPr>
              <w:jc w:val="center"/>
              <w:ind w:right="980"/>
              <w:spacing w:after="0"/>
              <w:rPr>
                <w:sz w:val="20"/>
                <w:szCs w:val="20"/>
                <w:color w:val="auto"/>
              </w:rPr>
            </w:pPr>
            <w:r>
              <w:rPr>
                <w:rFonts w:ascii="Arial" w:cs="Arial" w:eastAsia="Arial" w:hAnsi="Arial"/>
                <w:sz w:val="10"/>
                <w:szCs w:val="10"/>
                <w:b w:val="1"/>
                <w:bCs w:val="1"/>
                <w:color w:val="auto"/>
                <w:w w:val="91"/>
              </w:rPr>
              <w:t>Average Exercise</w:t>
            </w: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Contractual Term</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Options</w:t>
            </w:r>
          </w:p>
        </w:tc>
        <w:tc>
          <w:tcPr>
            <w:tcW w:w="106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0"/>
                <w:szCs w:val="10"/>
                <w:b w:val="1"/>
                <w:bCs w:val="1"/>
                <w:color w:val="auto"/>
                <w:w w:val="89"/>
              </w:rPr>
              <w:t>Price</w:t>
            </w:r>
          </w:p>
        </w:tc>
        <w:tc>
          <w:tcPr>
            <w:tcW w:w="96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Years)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Outstanding, December 31, 2011</w:t>
            </w:r>
          </w:p>
        </w:tc>
        <w:tc>
          <w:tcPr>
            <w:tcW w:w="70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54,170,532</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CEEFF"/>
          </w:tcPr>
          <w:p>
            <w:pPr>
              <w:jc w:val="right"/>
              <w:ind w:right="960"/>
              <w:spacing w:after="0" w:line="157" w:lineRule="exact"/>
              <w:rPr>
                <w:sz w:val="20"/>
                <w:szCs w:val="20"/>
                <w:color w:val="auto"/>
              </w:rPr>
            </w:pPr>
            <w:r>
              <w:rPr>
                <w:rFonts w:ascii="Arial" w:cs="Arial" w:eastAsia="Arial" w:hAnsi="Arial"/>
                <w:sz w:val="14"/>
                <w:szCs w:val="14"/>
                <w:color w:val="auto"/>
              </w:rPr>
              <w:t>0.05</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Granted</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8,523,625</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Exercised</w:t>
            </w:r>
          </w:p>
        </w:tc>
        <w:tc>
          <w:tcPr>
            <w:tcW w:w="1660" w:type="dxa"/>
            <w:vAlign w:val="bottom"/>
            <w:gridSpan w:val="4"/>
            <w:shd w:val="clear" w:color="auto" w:fill="CCEEFF"/>
          </w:tcPr>
          <w:p>
            <w:pPr>
              <w:jc w:val="right"/>
              <w:ind w:right="920"/>
              <w:spacing w:after="0"/>
              <w:rPr>
                <w:sz w:val="20"/>
                <w:szCs w:val="20"/>
                <w:color w:val="auto"/>
              </w:rPr>
            </w:pPr>
            <w:r>
              <w:rPr>
                <w:rFonts w:ascii="Arial" w:cs="Arial" w:eastAsia="Arial" w:hAnsi="Arial"/>
                <w:sz w:val="14"/>
                <w:szCs w:val="14"/>
                <w:color w:val="auto"/>
              </w:rPr>
              <w:t>(936,514)</w:t>
            </w:r>
          </w:p>
        </w:tc>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Forfeited or expired</w:t>
            </w:r>
          </w:p>
        </w:tc>
        <w:tc>
          <w:tcPr>
            <w:tcW w:w="1660" w:type="dxa"/>
            <w:vAlign w:val="bottom"/>
            <w:gridSpan w:val="4"/>
          </w:tcPr>
          <w:p>
            <w:pPr>
              <w:jc w:val="right"/>
              <w:ind w:right="920"/>
              <w:spacing w:after="0"/>
              <w:rPr>
                <w:sz w:val="20"/>
                <w:szCs w:val="20"/>
                <w:color w:val="auto"/>
              </w:rPr>
            </w:pPr>
            <w:r>
              <w:rPr>
                <w:rFonts w:ascii="Arial" w:cs="Arial" w:eastAsia="Arial" w:hAnsi="Arial"/>
                <w:sz w:val="14"/>
                <w:szCs w:val="14"/>
                <w:color w:val="auto"/>
              </w:rPr>
              <w:t>(748,059)</w:t>
            </w:r>
          </w:p>
        </w:tc>
        <w:tc>
          <w:tcPr>
            <w:tcW w:w="12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Outstanding, December 31, 2012</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6"/>
              </w:rPr>
              <w:t>61,009,584</w:t>
            </w:r>
          </w:p>
        </w:tc>
        <w:tc>
          <w:tcPr>
            <w:tcW w:w="9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96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Granted</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7,712,100</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0.09</w:t>
            </w:r>
          </w:p>
        </w:tc>
        <w:tc>
          <w:tcPr>
            <w:tcW w:w="86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Exercised</w:t>
            </w:r>
          </w:p>
        </w:tc>
        <w:tc>
          <w:tcPr>
            <w:tcW w:w="1660" w:type="dxa"/>
            <w:vAlign w:val="bottom"/>
            <w:gridSpan w:val="4"/>
            <w:shd w:val="clear" w:color="auto" w:fill="CCEEFF"/>
          </w:tcPr>
          <w:p>
            <w:pPr>
              <w:jc w:val="right"/>
              <w:ind w:right="920"/>
              <w:spacing w:after="0"/>
              <w:rPr>
                <w:sz w:val="20"/>
                <w:szCs w:val="20"/>
                <w:color w:val="auto"/>
              </w:rPr>
            </w:pPr>
            <w:r>
              <w:rPr>
                <w:rFonts w:ascii="Arial" w:cs="Arial" w:eastAsia="Arial" w:hAnsi="Arial"/>
                <w:sz w:val="14"/>
                <w:szCs w:val="14"/>
                <w:color w:val="auto"/>
                <w:w w:val="90"/>
              </w:rPr>
              <w:t>(16,205,194)</w:t>
            </w:r>
          </w:p>
        </w:tc>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0.04</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Forfeited or expired</w:t>
            </w:r>
          </w:p>
        </w:tc>
        <w:tc>
          <w:tcPr>
            <w:tcW w:w="1660" w:type="dxa"/>
            <w:vAlign w:val="bottom"/>
            <w:gridSpan w:val="4"/>
          </w:tcPr>
          <w:p>
            <w:pPr>
              <w:jc w:val="right"/>
              <w:ind w:right="920"/>
              <w:spacing w:after="0"/>
              <w:rPr>
                <w:sz w:val="20"/>
                <w:szCs w:val="20"/>
                <w:color w:val="auto"/>
              </w:rPr>
            </w:pPr>
            <w:r>
              <w:rPr>
                <w:rFonts w:ascii="Arial" w:cs="Arial" w:eastAsia="Arial" w:hAnsi="Arial"/>
                <w:sz w:val="14"/>
                <w:szCs w:val="14"/>
                <w:color w:val="auto"/>
              </w:rPr>
              <w:t>(637,344)</w:t>
            </w:r>
          </w:p>
        </w:tc>
        <w:tc>
          <w:tcPr>
            <w:tcW w:w="12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0.06</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Outstanding, June 30, 2013</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6"/>
              </w:rPr>
              <w:t>51,879,146</w:t>
            </w:r>
          </w:p>
        </w:tc>
        <w:tc>
          <w:tcPr>
            <w:tcW w:w="9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960" w:type="dxa"/>
            <w:vAlign w:val="bottom"/>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4"/>
                <w:szCs w:val="14"/>
                <w:color w:val="auto"/>
              </w:rPr>
              <w:t>December 31, 2012:</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Exercisable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49,189,504</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Vested and expected to vest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51,345,666</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June 30, 2013: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ind w:left="320"/>
              <w:spacing w:after="0"/>
              <w:rPr>
                <w:sz w:val="20"/>
                <w:szCs w:val="20"/>
                <w:color w:val="auto"/>
              </w:rPr>
            </w:pPr>
            <w:r>
              <w:rPr>
                <w:rFonts w:ascii="Arial" w:cs="Arial" w:eastAsia="Arial" w:hAnsi="Arial"/>
                <w:sz w:val="14"/>
                <w:szCs w:val="14"/>
                <w:color w:val="auto"/>
              </w:rPr>
              <w:t>Exercisable (unaudited)</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35,947,528</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Vested and Expected to Vest (unaudited)</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50,406,715</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0.05</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aggregate intrinsic value of options outstanding and exercisable as of June 30, 2013 is approximately $4,452,108 and $3,311,864, respectively.</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weighted-average grant-date fair value of options granted for the years ended December 31, 2012 and 2011 was $0.05. Total cash received for the options exercised was $46,826 and $53,225</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2012 and 2011, respectively. The total fair value of shares vested in the years ended December 31, 2012 and 2011, was $374,684 and $400,236, respectively. As of</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2012, there was $636,308 of total unrecognized compensation cost related to non-vested stock-based compensation arrangements granted under the 2000 Plan and 2003 Plan. That cost is expected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to be recognized over a weighted-average period of approximately four years. As of June 30, 2013, the total unrecognized compensation expense, net of related forfeiture estimates, was $755,108, which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Company expects to recognize over a weighted-average period of approximately four years.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Income Taxes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For the years ended December 31, 2011 and 2012, there was no current provision for federal or state income taxes due to the taxable losses which resulted or use of legacy net operating loss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carryforwards.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20" w:top="386" w:right="25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significant components of the Company’s deferred tax assets (liabilities) were as follows:</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2011</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2"/>
              </w:rPr>
              <w:t>December 31,</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2012</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Deferred income tax assets:</w:t>
            </w:r>
          </w:p>
        </w:tc>
        <w:tc>
          <w:tcPr>
            <w:tcW w:w="1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Federal U.S. net operating loss carryforward</w:t>
            </w:r>
          </w:p>
        </w:tc>
        <w:tc>
          <w:tcPr>
            <w:tcW w:w="1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37,825,639</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35,330,167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State net operating loss carryforward</w:t>
            </w: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4,493,151</w:t>
            </w: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3,521,722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Research and development credit, net</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2,777,899</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2,777,899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Orphan drug credit, net</w:t>
            </w: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11,507,811</w:t>
            </w: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19,039,613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Deferred rent</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5,194,408</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5,218,002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revenue</w:t>
            </w: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12,924,462</w:t>
            </w: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9,379,064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Depreciation</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1,515,510</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1,247,772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16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1,551,356</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1,575,782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Gross deferred income tax assets</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77,790,236</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78,090,021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Valuation allowance</w:t>
            </w: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8"/>
              </w:rPr>
              <w:t>(77,302,928)</w:t>
            </w: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(78,090,021)</w:t>
            </w:r>
          </w:p>
        </w:tc>
        <w:tc>
          <w:tcPr>
            <w:tcW w:w="0" w:type="dxa"/>
            <w:vAlign w:val="bottom"/>
          </w:tcPr>
          <w:p>
            <w:pPr>
              <w:spacing w:after="0"/>
              <w:rPr>
                <w:sz w:val="1"/>
                <w:szCs w:val="1"/>
                <w:color w:val="auto"/>
              </w:rPr>
            </w:pPr>
          </w:p>
        </w:tc>
      </w:tr>
      <w:tr>
        <w:trPr>
          <w:trHeight w:val="166"/>
        </w:trPr>
        <w:tc>
          <w:tcPr>
            <w:tcW w:w="4380" w:type="dxa"/>
            <w:vAlign w:val="bottom"/>
            <w:gridSpan w:val="2"/>
          </w:tcPr>
          <w:p>
            <w:pPr>
              <w:spacing w:after="0"/>
              <w:rPr>
                <w:sz w:val="20"/>
                <w:szCs w:val="20"/>
                <w:color w:val="auto"/>
              </w:rPr>
            </w:pPr>
            <w:r>
              <w:rPr>
                <w:rFonts w:ascii="Arial" w:cs="Arial" w:eastAsia="Arial" w:hAnsi="Arial"/>
                <w:sz w:val="14"/>
                <w:szCs w:val="14"/>
                <w:color w:val="auto"/>
              </w:rPr>
              <w:t>Net deferred income tax assets</w:t>
            </w:r>
          </w:p>
        </w:tc>
        <w:tc>
          <w:tcPr>
            <w:tcW w:w="16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487,308</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320"/>
              <w:spacing w:after="0"/>
              <w:rPr>
                <w:sz w:val="20"/>
                <w:szCs w:val="20"/>
                <w:color w:val="auto"/>
              </w:rPr>
            </w:pPr>
            <w:r>
              <w:rPr>
                <w:rFonts w:ascii="Arial" w:cs="Arial" w:eastAsia="Arial" w:hAnsi="Arial"/>
                <w:sz w:val="14"/>
                <w:szCs w:val="14"/>
                <w:color w:val="auto"/>
              </w:rPr>
              <w:t>Other</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(487,308)</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Gross deferred income tax liabilities</w:t>
            </w: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(487,308)</w:t>
            </w: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Net deferred income tax asset/(liability)</w:t>
            </w:r>
          </w:p>
        </w:tc>
        <w:tc>
          <w:tcPr>
            <w:tcW w:w="1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20" w:firstLine="802"/>
        <w:spacing w:after="0" w:line="302" w:lineRule="auto"/>
        <w:rPr>
          <w:sz w:val="20"/>
          <w:szCs w:val="20"/>
          <w:color w:val="auto"/>
        </w:rPr>
      </w:pPr>
      <w:r>
        <w:rPr>
          <w:rFonts w:ascii="Arial" w:cs="Arial" w:eastAsia="Arial" w:hAnsi="Arial"/>
          <w:sz w:val="12"/>
          <w:szCs w:val="12"/>
          <w:color w:val="auto"/>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 and carryforwards; (iii) taxable income in prior carryback years if carryback is permitted under applicable tax law; and (iv) tax planning strategies. The Company’s net deferred income tax asset is not more likely than not to be utilized due to the lack of sufficient sources of future taxable income and cumulative book losses which have resulted over the years. The net increase in the valuation allowance in 2012 is due to the fact the Company generated book and taxable income in the current year; therefore, the net deferred tax asset amount decreased, although, the Company generated significant orphan drug credits which increased the net deferred tax asset. The increase in the orphan drug credits offset by the current year income amount resulted in a net current year increase to the valuation allowance.</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Company has reported book losses from inception through December 31, 2010. The net operating loss carryforwards of approximately $100.9 million for U.S. federal and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$64.2 million for state will expire in various years beginning in 2023 through 2030. In addition, the Company has U.S. federal tax credits of $21.8 million which will expire in various years beginning in 2020</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through 2032. During the six months ended June 30, 2013, the Company corrected an immaterial error of approximately $1.2 million related to state net operating loss carryforwards. The correction of the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immaterial error resulted in a reduction to the state net operating loss carryforward deferred tax asset and corresponding valuation allowance. The immaterial error and the related correction of the error had no</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effect on the balance sheet, statements of operations and comprehensive income (loss) or statements of cash flows.</w:t>
      </w:r>
    </w:p>
    <w:p>
      <w:pPr>
        <w:spacing w:after="0" w:line="126"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The use of the Company’s net operating loss and tax credit carryforwards in future years are restricted due to changes in the Company’s ownership and tax attributes acquired by the Company in a purchase. As of December 31, 2012, $10.6 million of the Company’s net operating losses are limited for use over the years 2013 – 2027 in which a range of such amounts could be utilized on an annual basis of $0.2 million to $2.1 million. The remaining $90.3 million of net operating losses is not limited and can be offset against future taxable income. Additionally, despite the net operating loss and credit carryforwards, the Company may have a future tax liability due to an alternative minimum tax or state tax requirements.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20" w:top="386" w:right="25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reconciliation of the reported estimated income tax benefit to the amount that would result by applying the U.S. federal statutory tax rate to the net income is as follows:</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9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gridSpan w:val="13"/>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gridSpan w:val="2"/>
          </w:tcPr>
          <w:p>
            <w:pPr>
              <w:jc w:val="right"/>
              <w:spacing w:after="0" w:line="105" w:lineRule="exact"/>
              <w:rPr>
                <w:sz w:val="20"/>
                <w:szCs w:val="20"/>
                <w:color w:val="auto"/>
              </w:rPr>
            </w:pPr>
            <w:r>
              <w:rPr>
                <w:rFonts w:ascii="Arial" w:cs="Arial" w:eastAsia="Arial" w:hAnsi="Arial"/>
                <w:sz w:val="10"/>
                <w:szCs w:val="10"/>
                <w:b w:val="1"/>
                <w:bCs w:val="1"/>
                <w:color w:val="auto"/>
                <w:w w:val="89"/>
              </w:rPr>
              <w:t>2011</w:t>
            </w:r>
          </w:p>
        </w:tc>
        <w:tc>
          <w:tcPr>
            <w:tcW w:w="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w w:val="89"/>
              </w:rPr>
              <w:t>2012</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5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United States federal tax at statutory rate</w:t>
            </w:r>
          </w:p>
        </w:tc>
        <w:tc>
          <w:tcPr>
            <w:tcW w:w="4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7"/>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2,350,992</w:t>
            </w:r>
          </w:p>
        </w:tc>
        <w:tc>
          <w:tcPr>
            <w:tcW w:w="5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8"/>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2,926,615</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State taxes (net of federal benefit)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7"/>
          </w:tcPr>
          <w:p>
            <w:pPr>
              <w:jc w:val="right"/>
              <w:ind w:right="60"/>
              <w:spacing w:after="0"/>
              <w:rPr>
                <w:sz w:val="20"/>
                <w:szCs w:val="20"/>
                <w:color w:val="auto"/>
              </w:rPr>
            </w:pPr>
            <w:r>
              <w:rPr>
                <w:rFonts w:ascii="Arial" w:cs="Arial" w:eastAsia="Arial" w:hAnsi="Arial"/>
                <w:sz w:val="14"/>
                <w:szCs w:val="14"/>
                <w:color w:val="auto"/>
              </w:rPr>
              <w:t>1,480,185</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8"/>
          </w:tcPr>
          <w:p>
            <w:pPr>
              <w:jc w:val="right"/>
              <w:ind w:right="100"/>
              <w:spacing w:after="0"/>
              <w:rPr>
                <w:sz w:val="20"/>
                <w:szCs w:val="20"/>
                <w:color w:val="auto"/>
              </w:rPr>
            </w:pPr>
            <w:r>
              <w:rPr>
                <w:rFonts w:ascii="Arial" w:cs="Arial" w:eastAsia="Arial" w:hAnsi="Arial"/>
                <w:sz w:val="14"/>
                <w:szCs w:val="14"/>
                <w:color w:val="auto"/>
              </w:rPr>
              <w:t>1,460,289</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adjustments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8"/>
            <w:shd w:val="clear" w:color="auto" w:fill="CCEEFF"/>
          </w:tcPr>
          <w:p>
            <w:pPr>
              <w:jc w:val="right"/>
              <w:ind w:right="60"/>
              <w:spacing w:after="0"/>
              <w:rPr>
                <w:sz w:val="20"/>
                <w:szCs w:val="20"/>
                <w:color w:val="auto"/>
              </w:rPr>
            </w:pPr>
            <w:r>
              <w:rPr>
                <w:rFonts w:ascii="Arial" w:cs="Arial" w:eastAsia="Arial" w:hAnsi="Arial"/>
                <w:sz w:val="14"/>
                <w:szCs w:val="14"/>
                <w:color w:val="auto"/>
              </w:rPr>
              <w:t>(512,375)</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Orphan drug credit, net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7"/>
          </w:tcPr>
          <w:p>
            <w:pPr>
              <w:jc w:val="right"/>
              <w:ind w:right="20"/>
              <w:spacing w:after="0"/>
              <w:rPr>
                <w:sz w:val="20"/>
                <w:szCs w:val="20"/>
                <w:color w:val="auto"/>
              </w:rPr>
            </w:pPr>
            <w:r>
              <w:rPr>
                <w:rFonts w:ascii="Arial" w:cs="Arial" w:eastAsia="Arial" w:hAnsi="Arial"/>
                <w:sz w:val="14"/>
                <w:szCs w:val="14"/>
                <w:color w:val="auto"/>
                <w:w w:val="94"/>
              </w:rPr>
              <w:t>(7,056,607)</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8"/>
          </w:tcPr>
          <w:p>
            <w:pPr>
              <w:jc w:val="right"/>
              <w:ind w:right="60"/>
              <w:spacing w:after="0"/>
              <w:rPr>
                <w:sz w:val="20"/>
                <w:szCs w:val="20"/>
                <w:color w:val="auto"/>
              </w:rPr>
            </w:pPr>
            <w:r>
              <w:rPr>
                <w:rFonts w:ascii="Arial" w:cs="Arial" w:eastAsia="Arial" w:hAnsi="Arial"/>
                <w:sz w:val="14"/>
                <w:szCs w:val="14"/>
                <w:color w:val="auto"/>
                <w:w w:val="94"/>
              </w:rPr>
              <w:t>(4,895,671)</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Equity based compensation</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7"/>
            <w:shd w:val="clear" w:color="auto" w:fill="CCEEFF"/>
          </w:tcPr>
          <w:p>
            <w:pPr>
              <w:jc w:val="right"/>
              <w:ind w:right="60"/>
              <w:spacing w:after="0"/>
              <w:rPr>
                <w:sz w:val="20"/>
                <w:szCs w:val="20"/>
                <w:color w:val="auto"/>
              </w:rPr>
            </w:pPr>
            <w:r>
              <w:rPr>
                <w:rFonts w:ascii="Arial" w:cs="Arial" w:eastAsia="Arial" w:hAnsi="Arial"/>
                <w:sz w:val="14"/>
                <w:szCs w:val="14"/>
                <w:color w:val="auto"/>
              </w:rPr>
              <w:t>725,811</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8"/>
            <w:shd w:val="clear" w:color="auto" w:fill="CCEEFF"/>
          </w:tcPr>
          <w:p>
            <w:pPr>
              <w:jc w:val="right"/>
              <w:ind w:right="100"/>
              <w:spacing w:after="0"/>
              <w:rPr>
                <w:sz w:val="20"/>
                <w:szCs w:val="20"/>
                <w:color w:val="auto"/>
              </w:rPr>
            </w:pPr>
            <w:r>
              <w:rPr>
                <w:rFonts w:ascii="Arial" w:cs="Arial" w:eastAsia="Arial" w:hAnsi="Arial"/>
                <w:sz w:val="14"/>
                <w:szCs w:val="14"/>
                <w:color w:val="auto"/>
              </w:rPr>
              <w:t>279,165</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Fair value adjustment of preferred stock warrant liability</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7"/>
          </w:tcPr>
          <w:p>
            <w:pPr>
              <w:jc w:val="right"/>
              <w:ind w:right="20"/>
              <w:spacing w:after="0"/>
              <w:rPr>
                <w:sz w:val="20"/>
                <w:szCs w:val="20"/>
                <w:color w:val="auto"/>
              </w:rPr>
            </w:pPr>
            <w:r>
              <w:rPr>
                <w:rFonts w:ascii="Arial" w:cs="Arial" w:eastAsia="Arial" w:hAnsi="Arial"/>
                <w:sz w:val="14"/>
                <w:szCs w:val="14"/>
                <w:color w:val="auto"/>
              </w:rPr>
              <w:t>(496,208)</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8"/>
          </w:tcPr>
          <w:p>
            <w:pPr>
              <w:jc w:val="right"/>
              <w:ind w:right="60"/>
              <w:spacing w:after="0"/>
              <w:rPr>
                <w:sz w:val="20"/>
                <w:szCs w:val="20"/>
                <w:color w:val="auto"/>
              </w:rPr>
            </w:pPr>
            <w:r>
              <w:rPr>
                <w:rFonts w:ascii="Arial" w:cs="Arial" w:eastAsia="Arial" w:hAnsi="Arial"/>
                <w:sz w:val="14"/>
                <w:szCs w:val="14"/>
                <w:color w:val="auto"/>
              </w:rPr>
              <w:t>(52,743)</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Other permanent items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7"/>
            <w:shd w:val="clear" w:color="auto" w:fill="CCEEFF"/>
          </w:tcPr>
          <w:p>
            <w:pPr>
              <w:jc w:val="right"/>
              <w:ind w:right="60"/>
              <w:spacing w:after="0"/>
              <w:rPr>
                <w:sz w:val="20"/>
                <w:szCs w:val="20"/>
                <w:color w:val="auto"/>
              </w:rPr>
            </w:pPr>
            <w:r>
              <w:rPr>
                <w:rFonts w:ascii="Arial" w:cs="Arial" w:eastAsia="Arial" w:hAnsi="Arial"/>
                <w:sz w:val="14"/>
                <w:szCs w:val="14"/>
                <w:color w:val="auto"/>
              </w:rPr>
              <w:t>4,696</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8"/>
            <w:shd w:val="clear" w:color="auto" w:fill="CCEEFF"/>
          </w:tcPr>
          <w:p>
            <w:pPr>
              <w:jc w:val="right"/>
              <w:ind w:right="100"/>
              <w:spacing w:after="0"/>
              <w:rPr>
                <w:sz w:val="20"/>
                <w:szCs w:val="20"/>
                <w:color w:val="auto"/>
              </w:rPr>
            </w:pPr>
            <w:r>
              <w:rPr>
                <w:rFonts w:ascii="Arial" w:cs="Arial" w:eastAsia="Arial" w:hAnsi="Arial"/>
                <w:sz w:val="14"/>
                <w:szCs w:val="14"/>
                <w:color w:val="auto"/>
              </w:rPr>
              <w:t>7,627</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Change in valuation allowance</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2,991,131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787,093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expense/(benefit)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w w:val="91"/>
              </w:rPr>
              <w:t>The change in unrecognized tax benefits, for the years ended December 31, 2011 and 2012, were as follows: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22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9"/>
              </w:rPr>
              <w:t>2011</w:t>
            </w:r>
          </w:p>
        </w:tc>
        <w:tc>
          <w:tcPr>
            <w:tcW w:w="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2012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5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Beginning balance</w:t>
            </w:r>
          </w:p>
        </w:tc>
        <w:tc>
          <w:tcPr>
            <w:tcW w:w="4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1300" w:type="dxa"/>
            <w:vAlign w:val="bottom"/>
            <w:gridSpan w:val="8"/>
            <w:shd w:val="clear" w:color="auto" w:fill="CCEEFF"/>
          </w:tcPr>
          <w:p>
            <w:pPr>
              <w:jc w:val="right"/>
              <w:ind w:right="580"/>
              <w:spacing w:after="0" w:line="157" w:lineRule="exact"/>
              <w:rPr>
                <w:sz w:val="20"/>
                <w:szCs w:val="20"/>
                <w:color w:val="auto"/>
              </w:rPr>
            </w:pPr>
            <w:r>
              <w:rPr>
                <w:rFonts w:ascii="Arial" w:cs="Arial" w:eastAsia="Arial" w:hAnsi="Arial"/>
                <w:sz w:val="14"/>
                <w:szCs w:val="14"/>
                <w:color w:val="auto"/>
              </w:rPr>
              <w:t>1,246,025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3"/>
                <w:szCs w:val="13"/>
                <w:color w:val="auto"/>
              </w:rPr>
            </w:pPr>
          </w:p>
        </w:tc>
        <w:tc>
          <w:tcPr>
            <w:tcW w:w="640" w:type="dxa"/>
            <w:vAlign w:val="bottom"/>
            <w:gridSpan w:val="6"/>
            <w:shd w:val="clear" w:color="auto" w:fill="CCEEFF"/>
          </w:tcPr>
          <w:p>
            <w:pPr>
              <w:jc w:val="right"/>
              <w:spacing w:after="0" w:line="157" w:lineRule="exact"/>
              <w:rPr>
                <w:sz w:val="20"/>
                <w:szCs w:val="20"/>
                <w:color w:val="auto"/>
              </w:rPr>
            </w:pPr>
            <w:r>
              <w:rPr>
                <w:rFonts w:ascii="Arial" w:cs="Arial" w:eastAsia="Arial" w:hAnsi="Arial"/>
                <w:sz w:val="14"/>
                <w:szCs w:val="14"/>
                <w:color w:val="auto"/>
                <w:w w:val="99"/>
              </w:rPr>
              <w:t>1,533,986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Increases/(decreases) for current year tax positions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8"/>
          </w:tcPr>
          <w:p>
            <w:pPr>
              <w:jc w:val="right"/>
              <w:ind w:right="580"/>
              <w:spacing w:after="0"/>
              <w:rPr>
                <w:sz w:val="20"/>
                <w:szCs w:val="20"/>
                <w:color w:val="auto"/>
              </w:rPr>
            </w:pPr>
            <w:r>
              <w:rPr>
                <w:rFonts w:ascii="Arial" w:cs="Arial" w:eastAsia="Arial" w:hAnsi="Arial"/>
                <w:sz w:val="14"/>
                <w:szCs w:val="14"/>
                <w:color w:val="auto"/>
              </w:rPr>
              <w:t>287,961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6"/>
          </w:tcPr>
          <w:p>
            <w:pPr>
              <w:jc w:val="right"/>
              <w:spacing w:after="0"/>
              <w:rPr>
                <w:sz w:val="20"/>
                <w:szCs w:val="20"/>
                <w:color w:val="auto"/>
              </w:rPr>
            </w:pPr>
            <w:r>
              <w:rPr>
                <w:rFonts w:ascii="Arial" w:cs="Arial" w:eastAsia="Arial" w:hAnsi="Arial"/>
                <w:sz w:val="14"/>
                <w:szCs w:val="14"/>
                <w:color w:val="auto"/>
              </w:rPr>
              <w:t>58,371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Increases/(decreases) for prior year tax positions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Decreases as a result of expiration of statute of limitations</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gridSpan w:val="8"/>
            <w:shd w:val="clear" w:color="auto" w:fill="CCEEFF"/>
          </w:tcPr>
          <w:p>
            <w:pPr>
              <w:jc w:val="right"/>
              <w:ind w:right="580"/>
              <w:spacing w:after="0"/>
              <w:rPr>
                <w:sz w:val="20"/>
                <w:szCs w:val="20"/>
                <w:color w:val="auto"/>
              </w:rPr>
            </w:pPr>
            <w:r>
              <w:rPr>
                <w:rFonts w:ascii="Arial" w:cs="Arial" w:eastAsia="Arial" w:hAnsi="Arial"/>
                <w:sz w:val="14"/>
                <w:szCs w:val="14"/>
                <w:color w:val="auto"/>
              </w:rPr>
              <w:t>1,533,986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w w:val="99"/>
              </w:rPr>
              <w:t>1,592,357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As of December 31, 2011 and 2012, of the total gross unrecognized tax benefits, approximately $1,105,256 and $1,140,067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spacing w:after="0" w:line="73"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For the years ended December 31, 2012 and 2011, the Company has not recognized any interest or penalties related to the uncertain income tax positions due to the fact such position is related to tax attribute carryforwards which have not yet been utilized. The Company does not expect its unrecognized income tax position to significantly decrease within the next twelve months.</w:t>
      </w:r>
    </w:p>
    <w:p>
      <w:pPr>
        <w:spacing w:after="0" w:line="56" w:lineRule="exact"/>
        <w:rPr>
          <w:sz w:val="20"/>
          <w:szCs w:val="20"/>
          <w:color w:val="auto"/>
        </w:rPr>
      </w:pPr>
    </w:p>
    <w:p>
      <w:pPr>
        <w:ind w:right="300" w:firstLine="802"/>
        <w:spacing w:after="0" w:line="351" w:lineRule="auto"/>
        <w:rPr>
          <w:sz w:val="20"/>
          <w:szCs w:val="20"/>
          <w:color w:val="auto"/>
        </w:rPr>
      </w:pPr>
      <w:r>
        <w:rPr>
          <w:rFonts w:ascii="Arial" w:cs="Arial" w:eastAsia="Arial" w:hAnsi="Arial"/>
          <w:sz w:val="12"/>
          <w:szCs w:val="12"/>
          <w:color w:val="auto"/>
        </w:rPr>
        <w:t>The Company’s U.S. Federal and state income tax returns from 2001 to 2011 remain subject to examination by the tax authorities. The Company’s 2001 through 2007 years remain open for examination, even though the statute of limitations has expired, due to the net operating losses and credits carried forward for use in prospective years.</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360"/>
          </w:cols>
          <w:pgMar w:left="220" w:top="387" w:right="31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Lease Exit Liability</w:t>
      </w:r>
    </w:p>
    <w:p>
      <w:pPr>
        <w:spacing w:after="0" w:line="134" w:lineRule="exact"/>
        <w:rPr>
          <w:sz w:val="20"/>
          <w:szCs w:val="20"/>
          <w:color w:val="auto"/>
        </w:rPr>
      </w:pPr>
    </w:p>
    <w:p>
      <w:pPr>
        <w:jc w:val="both"/>
        <w:ind w:firstLine="802"/>
        <w:spacing w:after="0" w:line="258" w:lineRule="auto"/>
        <w:rPr>
          <w:sz w:val="20"/>
          <w:szCs w:val="20"/>
          <w:color w:val="auto"/>
        </w:rPr>
      </w:pPr>
      <w:r>
        <w:rPr>
          <w:rFonts w:ascii="Arial" w:cs="Arial" w:eastAsia="Arial" w:hAnsi="Arial"/>
          <w:sz w:val="14"/>
          <w:szCs w:val="14"/>
          <w:color w:val="auto"/>
        </w:rPr>
        <w:t xml:space="preserve">On July 16, 2008, the Company acquired Raven Biotechnologies, Inc. (Raven), a private South San Francisco-based company focused on the development of monoclonal antibody therapeutics for treating cancer. Raven was considered a development-stage enterprise as defined in ASC 915, </w:t>
      </w:r>
      <w:r>
        <w:rPr>
          <w:rFonts w:ascii="Arial" w:cs="Arial" w:eastAsia="Arial" w:hAnsi="Arial"/>
          <w:sz w:val="14"/>
          <w:szCs w:val="14"/>
          <w:i w:val="1"/>
          <w:iCs w:val="1"/>
          <w:color w:val="auto"/>
        </w:rPr>
        <w:t>Development Stage Entities</w:t>
      </w:r>
      <w:r>
        <w:rPr>
          <w:rFonts w:ascii="Arial" w:cs="Arial" w:eastAsia="Arial" w:hAnsi="Arial"/>
          <w:sz w:val="14"/>
          <w:szCs w:val="14"/>
          <w:color w:val="auto"/>
        </w:rPr>
        <w:t>. In connection with the acquisition, the Company issued 12,466,039 shares of its Series D convertible preferred stock in exchange for all of the outstanding capital stock and convertible notes payable of Raven.</w:t>
      </w:r>
    </w:p>
    <w:p>
      <w:pPr>
        <w:spacing w:after="0" w:line="108" w:lineRule="exact"/>
        <w:rPr>
          <w:sz w:val="20"/>
          <w:szCs w:val="20"/>
          <w:color w:val="auto"/>
        </w:rPr>
      </w:pPr>
    </w:p>
    <w:p>
      <w:pPr>
        <w:jc w:val="both"/>
        <w:ind w:firstLine="802"/>
        <w:spacing w:after="0" w:line="267" w:lineRule="auto"/>
        <w:rPr>
          <w:sz w:val="20"/>
          <w:szCs w:val="20"/>
          <w:color w:val="auto"/>
        </w:rPr>
      </w:pPr>
      <w:r>
        <w:rPr>
          <w:rFonts w:ascii="Arial" w:cs="Arial" w:eastAsia="Arial" w:hAnsi="Arial"/>
          <w:sz w:val="14"/>
          <w:szCs w:val="14"/>
          <w:color w:val="auto"/>
        </w:rPr>
        <w:t>The Company undertook restructuring activities related to the acquisition of Raven. These restructuring activities included reductions in staffing levels and the intended exit of leased facilities. All severance-related payments were completed in the year ended December 31, 2009.</w:t>
      </w:r>
    </w:p>
    <w:p>
      <w:pPr>
        <w:spacing w:after="0" w:line="101" w:lineRule="exact"/>
        <w:rPr>
          <w:sz w:val="20"/>
          <w:szCs w:val="20"/>
          <w:color w:val="auto"/>
        </w:rPr>
      </w:pPr>
    </w:p>
    <w:p>
      <w:pPr>
        <w:ind w:right="340" w:firstLine="802"/>
        <w:spacing w:after="0" w:line="267" w:lineRule="auto"/>
        <w:rPr>
          <w:sz w:val="20"/>
          <w:szCs w:val="20"/>
          <w:color w:val="auto"/>
        </w:rPr>
      </w:pPr>
      <w:r>
        <w:rPr>
          <w:rFonts w:ascii="Arial" w:cs="Arial" w:eastAsia="Arial" w:hAnsi="Arial"/>
          <w:sz w:val="14"/>
          <w:szCs w:val="14"/>
          <w:color w:val="auto"/>
        </w:rPr>
        <w:t>In connection with these restructuring activities, as part of the cost of acquisitions, the Company established a restructuring liability attributed to an existing operating lease. The terms of the operating lease extend through 2018.</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Changes in the lease exit liability for the years ended December 31, 2012 and 2011 and the six months ended June 30, 2013 are as follows:</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Exit Liability</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38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Accrual balance at December 31, 2010</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gridSpan w:val="4"/>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11,054,518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800" w:type="dxa"/>
            <w:vAlign w:val="bottom"/>
            <w:gridSpan w:val="2"/>
          </w:tcPr>
          <w:p>
            <w:pPr>
              <w:ind w:left="340"/>
              <w:spacing w:after="0"/>
              <w:rPr>
                <w:sz w:val="20"/>
                <w:szCs w:val="20"/>
                <w:color w:val="auto"/>
              </w:rPr>
            </w:pPr>
            <w:r>
              <w:rPr>
                <w:rFonts w:ascii="Arial" w:cs="Arial" w:eastAsia="Arial" w:hAnsi="Arial"/>
                <w:sz w:val="14"/>
                <w:szCs w:val="14"/>
                <w:color w:val="auto"/>
              </w:rPr>
              <w:t>Principal payments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(447,019)</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3800" w:type="dxa"/>
            <w:vAlign w:val="bottom"/>
            <w:gridSpan w:val="2"/>
            <w:shd w:val="clear" w:color="auto" w:fill="CCEEFF"/>
          </w:tcPr>
          <w:p>
            <w:pPr>
              <w:jc w:val="right"/>
              <w:ind w:right="1612"/>
              <w:spacing w:after="0"/>
              <w:rPr>
                <w:sz w:val="20"/>
                <w:szCs w:val="20"/>
                <w:color w:val="auto"/>
              </w:rPr>
            </w:pPr>
            <w:r>
              <w:rPr>
                <w:rFonts w:ascii="Arial" w:cs="Arial" w:eastAsia="Arial" w:hAnsi="Arial"/>
                <w:sz w:val="14"/>
                <w:szCs w:val="14"/>
                <w:color w:val="auto"/>
                <w:w w:val="86"/>
              </w:rPr>
              <w:t>Accrual balance at December 31, 2011</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10,607,499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800" w:type="dxa"/>
            <w:vAlign w:val="bottom"/>
            <w:gridSpan w:val="2"/>
          </w:tcPr>
          <w:p>
            <w:pPr>
              <w:ind w:left="340"/>
              <w:spacing w:after="0"/>
              <w:rPr>
                <w:sz w:val="20"/>
                <w:szCs w:val="20"/>
                <w:color w:val="auto"/>
              </w:rPr>
            </w:pPr>
            <w:r>
              <w:rPr>
                <w:rFonts w:ascii="Arial" w:cs="Arial" w:eastAsia="Arial" w:hAnsi="Arial"/>
                <w:sz w:val="14"/>
                <w:szCs w:val="14"/>
                <w:color w:val="auto"/>
              </w:rPr>
              <w:t>Principal payments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(533,560)</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3800" w:type="dxa"/>
            <w:vAlign w:val="bottom"/>
            <w:gridSpan w:val="2"/>
            <w:shd w:val="clear" w:color="auto" w:fill="CCEEFF"/>
          </w:tcPr>
          <w:p>
            <w:pPr>
              <w:jc w:val="right"/>
              <w:ind w:right="1612"/>
              <w:spacing w:after="0"/>
              <w:rPr>
                <w:sz w:val="20"/>
                <w:szCs w:val="20"/>
                <w:color w:val="auto"/>
              </w:rPr>
            </w:pPr>
            <w:r>
              <w:rPr>
                <w:rFonts w:ascii="Arial" w:cs="Arial" w:eastAsia="Arial" w:hAnsi="Arial"/>
                <w:sz w:val="14"/>
                <w:szCs w:val="14"/>
                <w:color w:val="auto"/>
                <w:w w:val="86"/>
              </w:rPr>
              <w:t>Accrual balance at December 31, 2012</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10,073,939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800" w:type="dxa"/>
            <w:vAlign w:val="bottom"/>
            <w:gridSpan w:val="2"/>
          </w:tcPr>
          <w:p>
            <w:pPr>
              <w:ind w:left="340"/>
              <w:spacing w:after="0"/>
              <w:rPr>
                <w:sz w:val="20"/>
                <w:szCs w:val="20"/>
                <w:color w:val="auto"/>
              </w:rPr>
            </w:pPr>
            <w:r>
              <w:rPr>
                <w:rFonts w:ascii="Arial" w:cs="Arial" w:eastAsia="Arial" w:hAnsi="Arial"/>
                <w:sz w:val="14"/>
                <w:szCs w:val="14"/>
                <w:color w:val="auto"/>
              </w:rPr>
              <w:t>Principal payments (unaudited)</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(307,403)</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Accrual balance at June 30, 2013 (unaudited)</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9,766,536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8080" w:type="dxa"/>
            <w:vAlign w:val="bottom"/>
            <w:gridSpan w:val="9"/>
          </w:tcPr>
          <w:p>
            <w:pPr>
              <w:jc w:val="right"/>
              <w:ind w:right="272"/>
              <w:spacing w:after="0"/>
              <w:rPr>
                <w:sz w:val="20"/>
                <w:szCs w:val="20"/>
                <w:color w:val="auto"/>
              </w:rPr>
            </w:pPr>
            <w:r>
              <w:rPr>
                <w:rFonts w:ascii="Arial" w:cs="Arial" w:eastAsia="Arial" w:hAnsi="Arial"/>
                <w:sz w:val="14"/>
                <w:szCs w:val="14"/>
                <w:color w:val="auto"/>
                <w:w w:val="86"/>
              </w:rPr>
              <w:t>Future principal payments to be made under the lease agreement for the next five years and thereafter as of December 31, 2012 are as follows: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760" w:type="dxa"/>
            <w:vAlign w:val="bottom"/>
            <w:gridSpan w:val="2"/>
            <w:vMerge w:val="restart"/>
          </w:tcPr>
          <w:p>
            <w:pPr>
              <w:spacing w:after="0"/>
              <w:rPr>
                <w:sz w:val="13"/>
                <w:szCs w:val="13"/>
                <w:color w:val="auto"/>
              </w:rPr>
            </w:pPr>
          </w:p>
        </w:tc>
        <w:tc>
          <w:tcPr>
            <w:tcW w:w="1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60" w:type="dxa"/>
            <w:vAlign w:val="bottom"/>
            <w:gridSpan w:val="2"/>
            <w:vMerge w:val="continue"/>
          </w:tcPr>
          <w:p>
            <w:pPr>
              <w:spacing w:after="0"/>
              <w:rPr>
                <w:sz w:val="14"/>
                <w:szCs w:val="14"/>
                <w:color w:val="auto"/>
              </w:rPr>
            </w:pPr>
          </w:p>
        </w:tc>
        <w:tc>
          <w:tcPr>
            <w:tcW w:w="1960" w:type="dxa"/>
            <w:vAlign w:val="bottom"/>
            <w:shd w:val="clear" w:color="auto" w:fill="CCEEFF"/>
          </w:tcPr>
          <w:p>
            <w:pPr>
              <w:jc w:val="right"/>
              <w:ind w:right="1612"/>
              <w:spacing w:after="0"/>
              <w:rPr>
                <w:sz w:val="20"/>
                <w:szCs w:val="20"/>
                <w:color w:val="auto"/>
              </w:rPr>
            </w:pPr>
            <w:r>
              <w:rPr>
                <w:rFonts w:ascii="Arial" w:cs="Arial" w:eastAsia="Arial" w:hAnsi="Arial"/>
                <w:sz w:val="14"/>
                <w:szCs w:val="14"/>
                <w:color w:val="auto"/>
                <w:w w:val="83"/>
              </w:rPr>
              <w:t>2013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628,768</w:t>
            </w:r>
          </w:p>
        </w:tc>
        <w:tc>
          <w:tcPr>
            <w:tcW w:w="120" w:type="dxa"/>
            <w:vAlign w:val="bottom"/>
            <w:shd w:val="clear" w:color="auto" w:fill="CCEEFF"/>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60" w:type="dxa"/>
            <w:vAlign w:val="bottom"/>
            <w:gridSpan w:val="2"/>
          </w:tcPr>
          <w:p>
            <w:pPr>
              <w:spacing w:after="0"/>
              <w:rPr>
                <w:sz w:val="14"/>
                <w:szCs w:val="14"/>
                <w:color w:val="auto"/>
              </w:rPr>
            </w:pPr>
          </w:p>
        </w:tc>
        <w:tc>
          <w:tcPr>
            <w:tcW w:w="1960" w:type="dxa"/>
            <w:vAlign w:val="bottom"/>
          </w:tcPr>
          <w:p>
            <w:pPr>
              <w:jc w:val="right"/>
              <w:ind w:right="1612"/>
              <w:spacing w:after="0"/>
              <w:rPr>
                <w:sz w:val="20"/>
                <w:szCs w:val="20"/>
                <w:color w:val="auto"/>
              </w:rPr>
            </w:pPr>
            <w:r>
              <w:rPr>
                <w:rFonts w:ascii="Arial" w:cs="Arial" w:eastAsia="Arial" w:hAnsi="Arial"/>
                <w:sz w:val="14"/>
                <w:szCs w:val="14"/>
                <w:color w:val="auto"/>
                <w:w w:val="83"/>
              </w:rPr>
              <w:t>2014</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1,438,742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60" w:type="dxa"/>
            <w:vAlign w:val="bottom"/>
            <w:gridSpan w:val="2"/>
          </w:tcPr>
          <w:p>
            <w:pPr>
              <w:spacing w:after="0"/>
              <w:rPr>
                <w:sz w:val="14"/>
                <w:szCs w:val="14"/>
                <w:color w:val="auto"/>
              </w:rPr>
            </w:pPr>
          </w:p>
        </w:tc>
        <w:tc>
          <w:tcPr>
            <w:tcW w:w="1960" w:type="dxa"/>
            <w:vAlign w:val="bottom"/>
            <w:shd w:val="clear" w:color="auto" w:fill="CCEEFF"/>
          </w:tcPr>
          <w:p>
            <w:pPr>
              <w:jc w:val="right"/>
              <w:ind w:right="1612"/>
              <w:spacing w:after="0"/>
              <w:rPr>
                <w:sz w:val="20"/>
                <w:szCs w:val="20"/>
                <w:color w:val="auto"/>
              </w:rPr>
            </w:pPr>
            <w:r>
              <w:rPr>
                <w:rFonts w:ascii="Arial" w:cs="Arial" w:eastAsia="Arial" w:hAnsi="Arial"/>
                <w:sz w:val="14"/>
                <w:szCs w:val="14"/>
                <w:color w:val="auto"/>
                <w:w w:val="83"/>
              </w:rPr>
              <w:t>2015</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1,641,905</w:t>
            </w:r>
          </w:p>
        </w:tc>
        <w:tc>
          <w:tcPr>
            <w:tcW w:w="120" w:type="dxa"/>
            <w:vAlign w:val="bottom"/>
            <w:shd w:val="clear" w:color="auto" w:fill="CCEEFF"/>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60" w:type="dxa"/>
            <w:vAlign w:val="bottom"/>
            <w:gridSpan w:val="2"/>
          </w:tcPr>
          <w:p>
            <w:pPr>
              <w:spacing w:after="0"/>
              <w:rPr>
                <w:sz w:val="14"/>
                <w:szCs w:val="14"/>
                <w:color w:val="auto"/>
              </w:rPr>
            </w:pPr>
          </w:p>
        </w:tc>
        <w:tc>
          <w:tcPr>
            <w:tcW w:w="1960" w:type="dxa"/>
            <w:vAlign w:val="bottom"/>
          </w:tcPr>
          <w:p>
            <w:pPr>
              <w:jc w:val="right"/>
              <w:ind w:right="1612"/>
              <w:spacing w:after="0"/>
              <w:rPr>
                <w:sz w:val="20"/>
                <w:szCs w:val="20"/>
                <w:color w:val="auto"/>
              </w:rPr>
            </w:pPr>
            <w:r>
              <w:rPr>
                <w:rFonts w:ascii="Arial" w:cs="Arial" w:eastAsia="Arial" w:hAnsi="Arial"/>
                <w:sz w:val="14"/>
                <w:szCs w:val="14"/>
                <w:color w:val="auto"/>
                <w:w w:val="83"/>
              </w:rPr>
              <w:t>2016</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1,866,031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60" w:type="dxa"/>
            <w:vAlign w:val="bottom"/>
            <w:gridSpan w:val="2"/>
          </w:tcPr>
          <w:p>
            <w:pPr>
              <w:spacing w:after="0"/>
              <w:rPr>
                <w:sz w:val="14"/>
                <w:szCs w:val="14"/>
                <w:color w:val="auto"/>
              </w:rPr>
            </w:pPr>
          </w:p>
        </w:tc>
        <w:tc>
          <w:tcPr>
            <w:tcW w:w="1960" w:type="dxa"/>
            <w:vAlign w:val="bottom"/>
            <w:shd w:val="clear" w:color="auto" w:fill="CCEEFF"/>
          </w:tcPr>
          <w:p>
            <w:pPr>
              <w:jc w:val="right"/>
              <w:ind w:right="1612"/>
              <w:spacing w:after="0"/>
              <w:rPr>
                <w:sz w:val="20"/>
                <w:szCs w:val="20"/>
                <w:color w:val="auto"/>
              </w:rPr>
            </w:pPr>
            <w:r>
              <w:rPr>
                <w:rFonts w:ascii="Arial" w:cs="Arial" w:eastAsia="Arial" w:hAnsi="Arial"/>
                <w:sz w:val="14"/>
                <w:szCs w:val="14"/>
                <w:color w:val="auto"/>
                <w:w w:val="83"/>
              </w:rPr>
              <w:t>2017</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2,113,118</w:t>
            </w:r>
          </w:p>
        </w:tc>
        <w:tc>
          <w:tcPr>
            <w:tcW w:w="120" w:type="dxa"/>
            <w:vAlign w:val="bottom"/>
            <w:shd w:val="clear" w:color="auto" w:fill="CCEEFF"/>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jc w:val="right"/>
              <w:ind w:right="1332"/>
              <w:spacing w:after="0"/>
              <w:rPr>
                <w:sz w:val="20"/>
                <w:szCs w:val="20"/>
                <w:color w:val="auto"/>
              </w:rPr>
            </w:pPr>
            <w:r>
              <w:rPr>
                <w:rFonts w:ascii="Arial" w:cs="Arial" w:eastAsia="Arial" w:hAnsi="Arial"/>
                <w:sz w:val="14"/>
                <w:szCs w:val="14"/>
                <w:color w:val="auto"/>
                <w:w w:val="83"/>
              </w:rPr>
              <w:t>Thereafter</w:t>
            </w: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2,385,375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10,073,939</w:t>
            </w:r>
          </w:p>
        </w:tc>
        <w:tc>
          <w:tcPr>
            <w:tcW w:w="120" w:type="dxa"/>
            <w:vAlign w:val="bottom"/>
            <w:shd w:val="clear" w:color="auto" w:fill="CCEEFF"/>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140" w:firstLine="802"/>
        <w:spacing w:after="0" w:line="311" w:lineRule="auto"/>
        <w:rPr>
          <w:sz w:val="20"/>
          <w:szCs w:val="20"/>
          <w:color w:val="auto"/>
        </w:rPr>
      </w:pPr>
      <w:r>
        <w:rPr>
          <w:rFonts w:ascii="Arial" w:cs="Arial" w:eastAsia="Arial" w:hAnsi="Arial"/>
          <w:sz w:val="12"/>
          <w:szCs w:val="12"/>
          <w:color w:val="auto"/>
        </w:rPr>
        <w:t>The purchase agreement provides for a specified total of certain contingent milestones that are based on the achievement of certain product sales derived from the acquired Raven technology. Also, a onetime payment of $5.0 million will be made to the Raven stockholders upon the initiation of patient dosing in the first Phase 2 clinical trial of any product derived from the Raven “Cancer Stem Cell Program.” No payment shall be made if the Phase 2 trial start date has not occurred on or before July 15, 2018. Other consideration includes a percentage of revenue (excluding consideration for research and development and equity) received by MacroGenics for license of a product derived from the Raven “Cancer Stem Cell Program” and a onetime payment ranging from</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40"/>
          </w:cols>
          <w:pgMar w:left="220" w:top="387" w:right="2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$8.0 million to $12.0 million dependent upon a specified level of sales of products derived from the Raven “Cancer Stem Cell Program.”</w:t>
      </w:r>
    </w:p>
    <w:p>
      <w:pPr>
        <w:spacing w:after="0" w:line="132" w:lineRule="exact"/>
        <w:rPr>
          <w:sz w:val="20"/>
          <w:szCs w:val="20"/>
          <w:color w:val="auto"/>
        </w:rPr>
      </w:pPr>
    </w:p>
    <w:p>
      <w:pPr>
        <w:ind w:right="300" w:firstLine="802"/>
        <w:spacing w:after="0" w:line="267" w:lineRule="auto"/>
        <w:rPr>
          <w:sz w:val="20"/>
          <w:szCs w:val="20"/>
          <w:color w:val="auto"/>
        </w:rPr>
      </w:pPr>
      <w:r>
        <w:rPr>
          <w:rFonts w:ascii="Arial" w:cs="Arial" w:eastAsia="Arial" w:hAnsi="Arial"/>
          <w:sz w:val="14"/>
          <w:szCs w:val="14"/>
          <w:color w:val="auto"/>
        </w:rPr>
        <w:t>The contingent consideration will be accounted for as additional purchase price and recorded as incremental in-process research and development expense when it is deemed probable that the contingencies will be attained. For the years ended December 31, 2012 and 2011, no additional amounts have been recorded.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Collaboration and License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 Laboratoires Servier</w:t>
      </w:r>
    </w:p>
    <w:p>
      <w:pPr>
        <w:spacing w:after="0" w:line="132" w:lineRule="exact"/>
        <w:rPr>
          <w:sz w:val="20"/>
          <w:szCs w:val="20"/>
          <w:color w:val="auto"/>
        </w:rPr>
      </w:pPr>
    </w:p>
    <w:p>
      <w:pPr>
        <w:ind w:right="360" w:firstLine="802"/>
        <w:spacing w:after="0" w:line="267" w:lineRule="auto"/>
        <w:rPr>
          <w:sz w:val="20"/>
          <w:szCs w:val="20"/>
          <w:color w:val="auto"/>
        </w:rPr>
      </w:pPr>
      <w:r>
        <w:rPr>
          <w:rFonts w:ascii="Arial" w:cs="Arial" w:eastAsia="Arial" w:hAnsi="Arial"/>
          <w:sz w:val="14"/>
          <w:szCs w:val="14"/>
          <w:color w:val="auto"/>
        </w:rPr>
        <w:t>In November 2011, the Company entered into a right-to-develop collaboration agreement with Servier for the development and commercialization of MGA271 in all countries other than the United States, Canada, Mexico, Japan, South Korea and India.</w:t>
      </w:r>
    </w:p>
    <w:p>
      <w:pPr>
        <w:spacing w:after="0" w:line="101" w:lineRule="exact"/>
        <w:rPr>
          <w:sz w:val="20"/>
          <w:szCs w:val="20"/>
          <w:color w:val="auto"/>
        </w:rPr>
      </w:pPr>
    </w:p>
    <w:p>
      <w:pPr>
        <w:ind w:firstLine="802"/>
        <w:spacing w:after="0" w:line="253" w:lineRule="auto"/>
        <w:rPr>
          <w:sz w:val="20"/>
          <w:szCs w:val="20"/>
          <w:color w:val="auto"/>
        </w:rPr>
      </w:pPr>
      <w:r>
        <w:rPr>
          <w:rFonts w:ascii="Arial" w:cs="Arial" w:eastAsia="Arial" w:hAnsi="Arial"/>
          <w:sz w:val="14"/>
          <w:szCs w:val="14"/>
          <w:color w:val="auto"/>
        </w:rPr>
        <w:t>Upon execution of the agreement, Servier made a nonrefundable payment of $20 million to the Company. The Company is eligible to receive up to $30 million in license grant fees, $47 million in clinical milestone payments, including $10 million received in the third quarter of 2013, $140 million in regulatory milestone payments and $208 million in sales milestone payments if Servier exercises the option, obtains regulatory approval for and successfully commercializes MGA271. The Company has determined that each potential future clinical, development, regulatory, and sales milestone is substantive. In the event Servier exercises its option, Servier must pay a license grant fee. Under this agreement, Servier would be obligated to pay the Company from low double digit to mid-teen royalties on product sales in its territories.</w:t>
      </w:r>
    </w:p>
    <w:p>
      <w:pPr>
        <w:spacing w:after="0" w:line="113" w:lineRule="exact"/>
        <w:rPr>
          <w:sz w:val="20"/>
          <w:szCs w:val="20"/>
          <w:color w:val="auto"/>
        </w:rPr>
      </w:pPr>
    </w:p>
    <w:p>
      <w:pPr>
        <w:ind w:right="140" w:firstLine="802"/>
        <w:spacing w:after="0" w:line="311" w:lineRule="auto"/>
        <w:rPr>
          <w:sz w:val="20"/>
          <w:szCs w:val="20"/>
          <w:color w:val="auto"/>
        </w:rPr>
      </w:pPr>
      <w:r>
        <w:rPr>
          <w:rFonts w:ascii="Arial" w:cs="Arial" w:eastAsia="Arial" w:hAnsi="Arial"/>
          <w:sz w:val="12"/>
          <w:szCs w:val="12"/>
          <w:color w:val="auto"/>
        </w:rPr>
        <w:t>The Company has evaluated the research collaboration agreement with Servier and has determined that it is a revenue arrangement with multiple deliverables, or performance obligations. The Company’s substantive performance obligations under this research collaboration include an exclusive license to its technology, technical, scientific and intellectual property support to the research plan during the first year of the agreement and participation on an executive committee and a research and development committee. The Company determined that these performance obligations represent a single unit of accounting, since the license does not have stand-alone value to Servier without the Company’s technical expertise and committee participation during the initial 27-month period.</w:t>
      </w:r>
    </w:p>
    <w:p>
      <w:pPr>
        <w:spacing w:after="0" w:line="79"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During the years ended December 31, 2011 and 2012 and the six months ended June 30, 2013, the Company recognized revenue of $0.9 million, $9.1 million and $6.6 million, respectively, under this agreement. No additional milestones have been recognized under this agreement through June 30, 2013.</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At December 31, 2012, $10.0 million of revenue was deferred under this agreement, $9.1 million of which was included in current liabilities and $0.9 million was included in long-term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At June 30, 2013, $5.4 million of revenue was deferred under this agreement, all of which was included in current liabilities during the quarter ended June 30, 2013.</w:t>
      </w:r>
    </w:p>
    <w:p>
      <w:pPr>
        <w:spacing w:after="0" w:line="126" w:lineRule="exact"/>
        <w:rPr>
          <w:sz w:val="20"/>
          <w:szCs w:val="20"/>
          <w:color w:val="auto"/>
        </w:rPr>
      </w:pPr>
    </w:p>
    <w:p>
      <w:pPr>
        <w:jc w:val="both"/>
        <w:ind w:right="320" w:firstLine="802"/>
        <w:spacing w:after="0" w:line="258" w:lineRule="auto"/>
        <w:rPr>
          <w:sz w:val="20"/>
          <w:szCs w:val="20"/>
          <w:color w:val="auto"/>
        </w:rPr>
      </w:pPr>
      <w:r>
        <w:rPr>
          <w:rFonts w:ascii="Arial" w:cs="Arial" w:eastAsia="Arial" w:hAnsi="Arial"/>
          <w:sz w:val="14"/>
          <w:szCs w:val="14"/>
          <w:color w:val="auto"/>
        </w:rPr>
        <w:t>In September 2012, the Company entered into a second right-to-develop collaboration agreement with Servier and granted it options to obtain three separate exclusive licenses to develop and commercialize DART-based molecules, consisting of those designated by the Company as MGD006 and MGD007, as well as a third DART molecule, in all countries other than the United States, Canada, Mexico, Japan, South Korea and India.</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Upon execution of the agreement, Servier made a nonrefundable payment of $20 million to the Company. In addition, the Company will be eligible to receive up to $65 million in license grant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fees, $98</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60"/>
          </w:cols>
          <w:pgMar w:left="220" w:top="387" w:right="21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million in clinical milestone payments, including $5 million upon IND acceptance for each of MGD006, MGD007 and a third DART molecule, $300 million in regulatory milestone payments and $630 million in sales milestone payments if Servier exercises all of the options and successfully develops, obtains regulatory approval for, and commercializes a product under each license. In addition to these milestones, the Company and Servier will share Phase 2 and Phase 3 development costs. The Company has determined that each potential future clinical, development, regulatory, and sales milestone is substantive. Under this agreement, Servier would be obligated to pay the Company between high-single digit and mid-teen royalties on net product sales in its territories.</w:t>
      </w:r>
    </w:p>
    <w:p>
      <w:pPr>
        <w:spacing w:after="0" w:line="79" w:lineRule="exact"/>
        <w:rPr>
          <w:sz w:val="20"/>
          <w:szCs w:val="20"/>
          <w:color w:val="auto"/>
        </w:rPr>
      </w:pPr>
    </w:p>
    <w:p>
      <w:pPr>
        <w:ind w:right="120" w:firstLine="802"/>
        <w:spacing w:after="0" w:line="311" w:lineRule="auto"/>
        <w:rPr>
          <w:sz w:val="20"/>
          <w:szCs w:val="20"/>
          <w:color w:val="auto"/>
        </w:rPr>
      </w:pPr>
      <w:r>
        <w:rPr>
          <w:rFonts w:ascii="Arial" w:cs="Arial" w:eastAsia="Arial" w:hAnsi="Arial"/>
          <w:sz w:val="12"/>
          <w:szCs w:val="12"/>
          <w:color w:val="auto"/>
        </w:rPr>
        <w:t>The Company has evaluated the research collaboration agreement with Servier and has determined that it is a revenue arrangement with multiple deliverables, or performance obligations. The Company’s substantive performance obligations under this research collaboration include an exclusive license to its technology, technical, scientific and intellectual property support to the research plan during the first year of the agreement and participation on an executive committee and a research and development committee. The Company determined that these performance obligations represent a single unit of accounting, since the license does not have stand-alone value to Servier without the Company’s technical expertise and committee participation during the initial 29-month period.</w:t>
      </w:r>
    </w:p>
    <w:p>
      <w:pPr>
        <w:spacing w:after="0" w:line="79" w:lineRule="exact"/>
        <w:rPr>
          <w:sz w:val="20"/>
          <w:szCs w:val="20"/>
          <w:color w:val="auto"/>
        </w:rPr>
      </w:pPr>
    </w:p>
    <w:p>
      <w:pPr>
        <w:ind w:right="500" w:firstLine="802"/>
        <w:spacing w:after="0" w:line="267" w:lineRule="auto"/>
        <w:rPr>
          <w:sz w:val="20"/>
          <w:szCs w:val="20"/>
          <w:color w:val="auto"/>
        </w:rPr>
      </w:pPr>
      <w:r>
        <w:rPr>
          <w:rFonts w:ascii="Arial" w:cs="Arial" w:eastAsia="Arial" w:hAnsi="Arial"/>
          <w:sz w:val="14"/>
          <w:szCs w:val="14"/>
          <w:color w:val="auto"/>
        </w:rPr>
        <w:t>During the year ended December 31, 2012 and the quarter ended June 30, 2013, the Company recognized revenue of $2.0 million and $4.3 million, respectively, under this agreement. No additional milestones have been recognized under this agreement through June 30, 2013.</w:t>
      </w:r>
    </w:p>
    <w:p>
      <w:pPr>
        <w:spacing w:after="0" w:line="101" w:lineRule="exact"/>
        <w:rPr>
          <w:sz w:val="20"/>
          <w:szCs w:val="20"/>
          <w:color w:val="auto"/>
        </w:rPr>
      </w:pPr>
    </w:p>
    <w:p>
      <w:pPr>
        <w:jc w:val="both"/>
        <w:ind w:right="60" w:firstLine="802"/>
        <w:spacing w:after="0" w:line="351" w:lineRule="auto"/>
        <w:rPr>
          <w:sz w:val="20"/>
          <w:szCs w:val="20"/>
          <w:color w:val="auto"/>
        </w:rPr>
      </w:pPr>
      <w:r>
        <w:rPr>
          <w:rFonts w:ascii="Arial" w:cs="Arial" w:eastAsia="Arial" w:hAnsi="Arial"/>
          <w:sz w:val="12"/>
          <w:szCs w:val="12"/>
          <w:color w:val="auto"/>
        </w:rPr>
        <w:t>At December 31, 2012, $18.0 million of revenue was deferred under this agreement, $8.6 million of which was included in current liabilities and $9.4 million of which was included in long-term liabilities. At June 30, 2013, $13.7 million of revenue was deferred under this agreement, $8.6 million of which was included in current liabilities and $5.1 million of which was included in long-term liabilities.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Gilead Sciences, Inc.</w:t>
      </w:r>
    </w:p>
    <w:p>
      <w:pPr>
        <w:spacing w:after="0" w:line="132"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color w:val="auto"/>
        </w:rPr>
        <w:t>In January 2013, the Company entered into an agreement with Gilead to grant it an exclusive worldwide license to research, develop and commercialize up to four DART-based molecules. Gilead has exclusive worldwide rights for three of the programs. For one program, the Company retains development and commercialization rights outside of North America, the European Union, Norway, Iceland, Turkey, Australia and New Zealand.</w:t>
      </w:r>
    </w:p>
    <w:p>
      <w:pPr>
        <w:spacing w:after="0" w:line="108" w:lineRule="exact"/>
        <w:rPr>
          <w:sz w:val="20"/>
          <w:szCs w:val="20"/>
          <w:color w:val="auto"/>
        </w:rPr>
      </w:pPr>
    </w:p>
    <w:p>
      <w:pPr>
        <w:ind w:right="20" w:firstLine="802"/>
        <w:spacing w:after="0" w:line="252" w:lineRule="auto"/>
        <w:rPr>
          <w:sz w:val="20"/>
          <w:szCs w:val="20"/>
          <w:color w:val="auto"/>
        </w:rPr>
      </w:pPr>
      <w:r>
        <w:rPr>
          <w:rFonts w:ascii="Arial" w:cs="Arial" w:eastAsia="Arial" w:hAnsi="Arial"/>
          <w:sz w:val="14"/>
          <w:szCs w:val="14"/>
          <w:color w:val="auto"/>
        </w:rPr>
        <w:t>The Company received an initial $7.5 million license grant fee for the first DART-based molecule. The Company may be eligible to receive additional license grant fees of $22.5 million, $200 million related to pre-clinical and clinical milestones, $355 million related to regulatory milestones and $500 million related to sales milestones if Gilead exercises all four of the options and successfully develops, obtains regulatory approval for, and commercializes a product under each option and license. The Company has determined that the other licenses are conditional deliverables, which are substantive options that were not granted with a substantial discount. The Company has determined that each potential future clinical, development, regulatory, and sales milestone is substantive. Gilead also provides funding for the Company’s internal and external research costs under the agreement. Additionally, Gilead would be obligated to pay the Company high single digit to low double digit, but less than teen royalties on product sales in its territories.</w:t>
      </w:r>
    </w:p>
    <w:p>
      <w:pPr>
        <w:spacing w:after="0" w:line="114"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color w:val="auto"/>
        </w:rPr>
        <w:t>The Company has evaluated the research collaboration agreement with Gilead and has determined that it is a revenue arrangement with multiple deliverables, or performance obligations. The Company’s substantive performance obligations under this research collaboration include a license to its technology and research and development services. The Company concluded that the deliverables do not have stand alone value and therefore,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40"/>
          </w:cols>
          <w:pgMar w:left="220" w:top="387" w:right="2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color w:val="auto"/>
        </w:rPr>
        <w:t>represent a combined single unit of accounting. Due to the lack of standalone value for the license and research and development services, the upfront payment and the expected research and development reimbursements are being recognized ratably through the expected development period.</w:t>
      </w:r>
    </w:p>
    <w:p>
      <w:pPr>
        <w:spacing w:after="0" w:line="101" w:lineRule="exact"/>
        <w:rPr>
          <w:sz w:val="20"/>
          <w:szCs w:val="20"/>
          <w:color w:val="auto"/>
        </w:rPr>
      </w:pPr>
    </w:p>
    <w:p>
      <w:pPr>
        <w:ind w:firstLine="802"/>
        <w:spacing w:after="0" w:line="258" w:lineRule="auto"/>
        <w:rPr>
          <w:sz w:val="20"/>
          <w:szCs w:val="20"/>
          <w:color w:val="auto"/>
        </w:rPr>
      </w:pPr>
      <w:r>
        <w:rPr>
          <w:rFonts w:ascii="Arial" w:cs="Arial" w:eastAsia="Arial" w:hAnsi="Arial"/>
          <w:sz w:val="14"/>
          <w:szCs w:val="14"/>
          <w:color w:val="auto"/>
        </w:rPr>
        <w:t>The Company and Gilead have also agreed to establish a joint research committee to facilitate the governance and oversight of the parties’ activities under the agreements. Management considered whether participation on the joint committee may be a deliverable and determined that it was not a deliverable. Had management considered participation on the joint committee as a deliverable, it would not have had a material impact on the accounting for the arrangement.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Receivables of $1,015,466 as of June 30, 2013 relate amounts due to the Company from Gilead for reimbursement work performed under the collaboration.</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Company recognized revenues of approximately $3.7 million under this agreement for the six months ended June 30, 2013. No additional milestones have been reached under this agreement.</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At June 30, 2013, $5.4 million of revenue was deferred under this agreement of which $4.3 million was included in current liabilities and $1.1 million was included in non-current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Boehringer Ingelheim International GmbH</w:t>
      </w:r>
    </w:p>
    <w:p>
      <w:pPr>
        <w:spacing w:after="0" w:line="132" w:lineRule="exact"/>
        <w:rPr>
          <w:sz w:val="20"/>
          <w:szCs w:val="20"/>
          <w:color w:val="auto"/>
        </w:rPr>
      </w:pPr>
    </w:p>
    <w:p>
      <w:pPr>
        <w:jc w:val="both"/>
        <w:ind w:right="160" w:firstLine="802"/>
        <w:spacing w:after="0" w:line="258" w:lineRule="auto"/>
        <w:rPr>
          <w:sz w:val="20"/>
          <w:szCs w:val="20"/>
          <w:color w:val="auto"/>
        </w:rPr>
      </w:pPr>
      <w:r>
        <w:rPr>
          <w:rFonts w:ascii="Arial" w:cs="Arial" w:eastAsia="Arial" w:hAnsi="Arial"/>
          <w:sz w:val="14"/>
          <w:szCs w:val="14"/>
          <w:color w:val="auto"/>
        </w:rPr>
        <w:t>In October 2010 the Company entered into a collaboration and license agreement with Boehringer to discover, develop and commercialize up to ten DART-based molecules which span multiple therapeutic areas. Under the terms of the agreement, the Company granted Boehringer an exclusive, worldwide, royalty-bearing, license under its intellectual property to research, develop, and market DARTs generated under the agreement, or the Boehringer licensed products, throughout the world.</w:t>
      </w:r>
    </w:p>
    <w:p>
      <w:pPr>
        <w:spacing w:after="0" w:line="108" w:lineRule="exact"/>
        <w:rPr>
          <w:sz w:val="20"/>
          <w:szCs w:val="20"/>
          <w:color w:val="auto"/>
        </w:rPr>
      </w:pPr>
    </w:p>
    <w:p>
      <w:pPr>
        <w:ind w:right="20" w:firstLine="802"/>
        <w:spacing w:after="0" w:line="299" w:lineRule="auto"/>
        <w:rPr>
          <w:sz w:val="20"/>
          <w:szCs w:val="20"/>
          <w:color w:val="auto"/>
        </w:rPr>
      </w:pPr>
      <w:r>
        <w:rPr>
          <w:rFonts w:ascii="Arial" w:cs="Arial" w:eastAsia="Arial" w:hAnsi="Arial"/>
          <w:sz w:val="12"/>
          <w:szCs w:val="12"/>
          <w:color w:val="auto"/>
        </w:rPr>
        <w:t>Upon execution of the agreement, the Company received an upfront payment of $15 million. The Company subsequently received two annual maintenance payments and anticipates receiving a third annual maintenance payment in the fourth quarter of 2013. The first two maintenance payments were solely attributed to the passage time. Because Boehringer has the option to cancel the program after the second anniversary of the agreement, the third maintenance payment will be recognized over the remaining obligation period once received. The Company has the potential to earn milestone payments of approximately $41 million related to pre-clinical and clinical development, $89 million related to regulatory milestones and $83 million related to sales milestones for each of the DART programs under this agreement in the case of full commercial success of multiple DART products. The Company has determined that each potential future clinical, development, regulatory, and sales milestone is substantive. Boehringer also provides funding for the Company’s internal and external research costs and is required to pay the Company mid-single digit royalties on product sales. From the commencement of the collaboration through June 30, 2013, the Company has received $37.9 million under this agreement, including upfront, annual maintenance and milestone payments as well as research funding. In addition, Boehringer purchased $10 million of the Company’s Series D-2 Preferred Stock in January 2011.</w:t>
      </w:r>
    </w:p>
    <w:p>
      <w:pPr>
        <w:spacing w:after="0" w:line="87" w:lineRule="exact"/>
        <w:rPr>
          <w:sz w:val="20"/>
          <w:szCs w:val="20"/>
          <w:color w:val="auto"/>
        </w:rPr>
      </w:pPr>
    </w:p>
    <w:p>
      <w:pPr>
        <w:jc w:val="both"/>
        <w:ind w:right="560" w:firstLine="802"/>
        <w:spacing w:after="0" w:line="258" w:lineRule="auto"/>
        <w:rPr>
          <w:sz w:val="20"/>
          <w:szCs w:val="20"/>
          <w:color w:val="auto"/>
        </w:rPr>
      </w:pPr>
      <w:r>
        <w:rPr>
          <w:rFonts w:ascii="Arial" w:cs="Arial" w:eastAsia="Arial" w:hAnsi="Arial"/>
          <w:sz w:val="14"/>
          <w:szCs w:val="14"/>
          <w:color w:val="auto"/>
        </w:rPr>
        <w:t>The Company determined that the deliverables under the Boehringer agreement include the license, the research and development services to be performed by the Company, and the co-promotion/manufacturing services. The Company concluded that the co-promotional activities were optional and were subject to further negotiation upon reaching regulatory approval. As such, the co-promotional period is not included in the expected obligation period to perform services.</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Company concluded that the undelivered element of research and development services had fair value. The Company concluded that the license does not have value on a standalone basis (e.g.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absent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60"/>
          </w:cols>
          <w:pgMar w:left="220" w:top="387" w:right="21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provision of the research and development services) and therefore does not represent a separate unit of accounting. The Company concluded that because the drug candidate has not yet been developed, the license is of no value to Boehringer without the ensuing research and development activities using the DART technology, which is proprietary to the Company. Likewise, Boehringer could not sell the license to another party (without the Company agreeing to provide the research and development activities for the other party).</w:t>
      </w:r>
    </w:p>
    <w:p>
      <w:pPr>
        <w:spacing w:after="0" w:line="108" w:lineRule="exact"/>
        <w:rPr>
          <w:sz w:val="20"/>
          <w:szCs w:val="20"/>
          <w:color w:val="auto"/>
        </w:rPr>
      </w:pPr>
    </w:p>
    <w:p>
      <w:pPr>
        <w:ind w:right="400" w:firstLine="802"/>
        <w:spacing w:after="0" w:line="267" w:lineRule="auto"/>
        <w:rPr>
          <w:sz w:val="20"/>
          <w:szCs w:val="20"/>
          <w:color w:val="auto"/>
        </w:rPr>
      </w:pPr>
      <w:r>
        <w:rPr>
          <w:rFonts w:ascii="Arial" w:cs="Arial" w:eastAsia="Arial" w:hAnsi="Arial"/>
          <w:sz w:val="14"/>
          <w:szCs w:val="14"/>
          <w:color w:val="auto"/>
        </w:rPr>
        <w:t>Therefore, the upfront license fee and research and development services were treated as a combined unit of account and recognized over the expected obligation period associated with the research and development services through September 2015.</w:t>
      </w:r>
    </w:p>
    <w:p>
      <w:pPr>
        <w:spacing w:after="0" w:line="101" w:lineRule="exact"/>
        <w:rPr>
          <w:sz w:val="20"/>
          <w:szCs w:val="20"/>
          <w:color w:val="auto"/>
        </w:rPr>
      </w:pPr>
    </w:p>
    <w:p>
      <w:pPr>
        <w:ind w:right="280" w:firstLine="802"/>
        <w:spacing w:after="0" w:line="255" w:lineRule="auto"/>
        <w:rPr>
          <w:sz w:val="20"/>
          <w:szCs w:val="20"/>
          <w:color w:val="auto"/>
        </w:rPr>
      </w:pPr>
      <w:r>
        <w:rPr>
          <w:rFonts w:ascii="Arial" w:cs="Arial" w:eastAsia="Arial" w:hAnsi="Arial"/>
          <w:sz w:val="14"/>
          <w:szCs w:val="14"/>
          <w:color w:val="auto"/>
        </w:rPr>
        <w:t>The Company and Boehringer have also agreed to establish a joint research committee to facilitate the governance and oversight of the parties’ activities under the agreements. Management considered whether participation on the joint committee may be a deliverable and determined that it was not a deliverable. However, had management considered participation on the joint committee as a deliverable, it would not have had a material impact on the accounting for the arrangement as the period of participation in this committee matched the organization period for the research and development services.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There have been no material modifications to this agreement since the adoption of ASU 2009-13 on January 1, 2011.</w:t>
      </w:r>
    </w:p>
    <w:p>
      <w:pPr>
        <w:spacing w:after="0" w:line="132" w:lineRule="exact"/>
        <w:rPr>
          <w:sz w:val="20"/>
          <w:szCs w:val="20"/>
          <w:color w:val="auto"/>
        </w:rPr>
      </w:pPr>
    </w:p>
    <w:p>
      <w:pPr>
        <w:ind w:right="360" w:firstLine="802"/>
        <w:spacing w:after="0" w:line="267" w:lineRule="auto"/>
        <w:rPr>
          <w:sz w:val="20"/>
          <w:szCs w:val="20"/>
          <w:color w:val="auto"/>
        </w:rPr>
      </w:pPr>
      <w:r>
        <w:rPr>
          <w:rFonts w:ascii="Arial" w:cs="Arial" w:eastAsia="Arial" w:hAnsi="Arial"/>
          <w:sz w:val="14"/>
          <w:szCs w:val="14"/>
          <w:color w:val="auto"/>
        </w:rPr>
        <w:t>Receivables of $112,293, $355,568 and $146,150 as of June 30, 2013, December 31, 2012, and December 31, 2011, respectively, relate to amounts due to the Company from Boehringer for reimbursement work performed under the collaboration.</w:t>
      </w:r>
    </w:p>
    <w:p>
      <w:pPr>
        <w:spacing w:after="0" w:line="101" w:lineRule="exact"/>
        <w:rPr>
          <w:sz w:val="20"/>
          <w:szCs w:val="20"/>
          <w:color w:val="auto"/>
        </w:rPr>
      </w:pPr>
    </w:p>
    <w:p>
      <w:pPr>
        <w:ind w:right="40" w:firstLine="802"/>
        <w:spacing w:after="0" w:line="258" w:lineRule="auto"/>
        <w:rPr>
          <w:sz w:val="20"/>
          <w:szCs w:val="20"/>
          <w:color w:val="auto"/>
        </w:rPr>
      </w:pPr>
      <w:r>
        <w:rPr>
          <w:rFonts w:ascii="Arial" w:cs="Arial" w:eastAsia="Arial" w:hAnsi="Arial"/>
          <w:sz w:val="14"/>
          <w:szCs w:val="14"/>
          <w:color w:val="auto"/>
        </w:rPr>
        <w:t>The Company recognized revenues of approximately $4.5 million, $11.7 million, and $8.9 million under this agreement during the six months ended June 30, 2013 and the years ended December 31, 2012 and 2011, respectively. One milestone payment of $2.0 million was recognized under this agreement through December 2012. No additional milestones have been recognized under this agreement through June 30, 2013.</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At December 31, 2012, $14.0 million of revenue was deferred under this agreement, $5.0 million of which was included in current liabilities and $9.0 million was included in long-term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At June 30, 2013, $11.5 million of revenue was deferred under this agreement, $5.0 million of which was included in current liabilities and $6.5 million of which was included in long-term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Pfizer, Inc.</w:t>
      </w:r>
    </w:p>
    <w:p>
      <w:pPr>
        <w:spacing w:after="0" w:line="132" w:lineRule="exact"/>
        <w:rPr>
          <w:sz w:val="20"/>
          <w:szCs w:val="20"/>
          <w:color w:val="auto"/>
        </w:rPr>
      </w:pPr>
    </w:p>
    <w:p>
      <w:pPr>
        <w:ind w:right="140" w:firstLine="802"/>
        <w:spacing w:after="0" w:line="258" w:lineRule="auto"/>
        <w:rPr>
          <w:sz w:val="20"/>
          <w:szCs w:val="20"/>
          <w:color w:val="auto"/>
        </w:rPr>
      </w:pPr>
      <w:r>
        <w:rPr>
          <w:rFonts w:ascii="Arial" w:cs="Arial" w:eastAsia="Arial" w:hAnsi="Arial"/>
          <w:sz w:val="14"/>
          <w:szCs w:val="14"/>
          <w:color w:val="auto"/>
        </w:rPr>
        <w:t>In October 2010, the Company entered into a three year agreement with Pfizer to discover, develop and commercialize up to two DART-based molecules. The Company granted Pfizer a non-exclusive worldwide, royalty-bearing license and received an upfront payment of $5 million and has received milestone payments and funding for the Company’s internal and external research costs under the agreement.</w:t>
      </w:r>
    </w:p>
    <w:p>
      <w:pPr>
        <w:spacing w:after="0" w:line="108" w:lineRule="exact"/>
        <w:rPr>
          <w:sz w:val="20"/>
          <w:szCs w:val="20"/>
          <w:color w:val="auto"/>
        </w:rPr>
      </w:pPr>
    </w:p>
    <w:p>
      <w:pPr>
        <w:ind w:firstLine="802"/>
        <w:spacing w:after="0" w:line="311" w:lineRule="auto"/>
        <w:rPr>
          <w:sz w:val="20"/>
          <w:szCs w:val="20"/>
          <w:color w:val="auto"/>
        </w:rPr>
      </w:pPr>
      <w:r>
        <w:rPr>
          <w:rFonts w:ascii="Arial" w:cs="Arial" w:eastAsia="Arial" w:hAnsi="Arial"/>
          <w:sz w:val="12"/>
          <w:szCs w:val="12"/>
          <w:color w:val="auto"/>
        </w:rPr>
        <w:t>The Company is eligible to receive milestone payments of approximately $17 million related to pre-clinical and clinical development and $195 million related to commercialization and sales milestones for each DART program under this agreement. The Company has determined that each potential future technical, development, and sales milestone is substantive. Pfizer is responsible for all pre-clinical and clinical development costs for the program. In addition, Pfizer is required to pay the Company mid-single digit to low-teen royalties on product sales. Under this collaboration, one DART program is currently being pursued and the Company will complete its research obligations under this program in October 2013.</w:t>
      </w:r>
    </w:p>
    <w:p>
      <w:pPr>
        <w:spacing w:after="0" w:line="79" w:lineRule="exact"/>
        <w:rPr>
          <w:sz w:val="20"/>
          <w:szCs w:val="20"/>
          <w:color w:val="auto"/>
        </w:rPr>
      </w:pPr>
    </w:p>
    <w:p>
      <w:pPr>
        <w:ind w:right="300" w:firstLine="802"/>
        <w:spacing w:after="0" w:line="267" w:lineRule="auto"/>
        <w:rPr>
          <w:sz w:val="20"/>
          <w:szCs w:val="20"/>
          <w:color w:val="auto"/>
        </w:rPr>
      </w:pPr>
      <w:r>
        <w:rPr>
          <w:rFonts w:ascii="Arial" w:cs="Arial" w:eastAsia="Arial" w:hAnsi="Arial"/>
          <w:sz w:val="14"/>
          <w:szCs w:val="14"/>
          <w:color w:val="auto"/>
        </w:rPr>
        <w:t>The Company has evaluated the research collaboration agreement with Pfizer and has determined that it is a revenue arrangement with multiple deliverables, or performance obligations. The Company’s substantive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20" w:top="386" w:right="25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performance obligations under this research collaboration include an exclusive license to its technology, research and development services and manufacturing services. The Company concluded that the manufacturing services were optional and were subject to further negotiation upon reaching regulatory approval. As such, the manufacturing services are not included in the expected obligation period to perform services.</w:t>
      </w:r>
    </w:p>
    <w:p>
      <w:pPr>
        <w:spacing w:after="0" w:line="108" w:lineRule="exact"/>
        <w:rPr>
          <w:sz w:val="20"/>
          <w:szCs w:val="20"/>
          <w:color w:val="auto"/>
        </w:rPr>
      </w:pPr>
    </w:p>
    <w:p>
      <w:pPr>
        <w:jc w:val="both"/>
        <w:ind w:right="180" w:firstLine="802"/>
        <w:spacing w:after="0" w:line="311" w:lineRule="auto"/>
        <w:rPr>
          <w:sz w:val="20"/>
          <w:szCs w:val="20"/>
          <w:color w:val="auto"/>
        </w:rPr>
      </w:pPr>
      <w:r>
        <w:rPr>
          <w:rFonts w:ascii="Arial" w:cs="Arial" w:eastAsia="Arial" w:hAnsi="Arial"/>
          <w:sz w:val="12"/>
          <w:szCs w:val="12"/>
          <w:color w:val="auto"/>
        </w:rPr>
        <w:t>The Company determined that it had fair value of the undelivered element of the research and development services. However, the Company concluded that the license does not have value on a standalone basis (e.g. absent the provision of the research and development services) and therefore does not represent a separate unit of accounting. Facts that were considered included the development of the candidate noting that because the drug candidate has not yet been developed, the license is of no value to Pfizer without the ensuing research and development activities using the DART technology, which is proprietary to the Company. Likewise, Pfizer could not sell the license to another party (without the Company agreeing to provide the research and development activities for the other party).</w:t>
      </w:r>
    </w:p>
    <w:p>
      <w:pPr>
        <w:spacing w:after="0" w:line="79" w:lineRule="exact"/>
        <w:rPr>
          <w:sz w:val="20"/>
          <w:szCs w:val="20"/>
          <w:color w:val="auto"/>
        </w:rPr>
      </w:pPr>
    </w:p>
    <w:p>
      <w:pPr>
        <w:ind w:right="260" w:firstLine="802"/>
        <w:spacing w:after="0" w:line="267" w:lineRule="auto"/>
        <w:rPr>
          <w:sz w:val="20"/>
          <w:szCs w:val="20"/>
          <w:color w:val="auto"/>
        </w:rPr>
      </w:pPr>
      <w:r>
        <w:rPr>
          <w:rFonts w:ascii="Arial" w:cs="Arial" w:eastAsia="Arial" w:hAnsi="Arial"/>
          <w:sz w:val="14"/>
          <w:szCs w:val="14"/>
          <w:color w:val="auto"/>
        </w:rPr>
        <w:t>Therefore, the upfront license fee and research and development services were treated as a combined unit of accounting and recognized over the expected obligation period associated with the research and development services through October 2013.</w:t>
      </w:r>
    </w:p>
    <w:p>
      <w:pPr>
        <w:spacing w:after="0" w:line="101" w:lineRule="exact"/>
        <w:rPr>
          <w:sz w:val="20"/>
          <w:szCs w:val="20"/>
          <w:color w:val="auto"/>
        </w:rPr>
      </w:pPr>
    </w:p>
    <w:p>
      <w:pPr>
        <w:ind w:right="220" w:firstLine="802"/>
        <w:spacing w:after="0" w:line="267" w:lineRule="auto"/>
        <w:rPr>
          <w:sz w:val="20"/>
          <w:szCs w:val="20"/>
          <w:color w:val="auto"/>
        </w:rPr>
      </w:pPr>
      <w:r>
        <w:rPr>
          <w:rFonts w:ascii="Arial" w:cs="Arial" w:eastAsia="Arial" w:hAnsi="Arial"/>
          <w:sz w:val="14"/>
          <w:szCs w:val="14"/>
          <w:color w:val="auto"/>
        </w:rPr>
        <w:t>The $5 million upfront payment received by the Company is non-refundable; therefore, there is no right of return for the license. The Company is recognizing revenue associated with this non-refundable up-front license fee through October 2013.</w:t>
      </w:r>
    </w:p>
    <w:p>
      <w:pPr>
        <w:spacing w:after="0" w:line="101" w:lineRule="exact"/>
        <w:rPr>
          <w:sz w:val="20"/>
          <w:szCs w:val="20"/>
          <w:color w:val="auto"/>
        </w:rPr>
      </w:pPr>
    </w:p>
    <w:p>
      <w:pPr>
        <w:jc w:val="both"/>
        <w:ind w:right="40" w:firstLine="802"/>
        <w:spacing w:after="0" w:line="321" w:lineRule="auto"/>
        <w:rPr>
          <w:sz w:val="20"/>
          <w:szCs w:val="20"/>
          <w:color w:val="auto"/>
        </w:rPr>
      </w:pPr>
      <w:r>
        <w:rPr>
          <w:rFonts w:ascii="Arial" w:cs="Arial" w:eastAsia="Arial" w:hAnsi="Arial"/>
          <w:sz w:val="12"/>
          <w:szCs w:val="12"/>
          <w:color w:val="auto"/>
        </w:rPr>
        <w:t>The Company and Pfizer have also agreed to establish a joint research committee to facilitate the governance and oversight of the parties’ activities under the agreements. Management considered whether participation on the joint committee may be a deliverable and determined that it was not a deliverable because it is a participating right and not an obligation of the Company. However, had management considered participation on the joint committee as a deliverable, it would not have had a material impact on the accounting for the arrangement.</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There have been no material modifications to this agreement since the adoption of ASU 2009-13 on January 1, 2011.</w:t>
      </w:r>
    </w:p>
    <w:p>
      <w:pPr>
        <w:spacing w:after="0" w:line="132" w:lineRule="exact"/>
        <w:rPr>
          <w:sz w:val="20"/>
          <w:szCs w:val="20"/>
          <w:color w:val="auto"/>
        </w:rPr>
      </w:pPr>
    </w:p>
    <w:p>
      <w:pPr>
        <w:ind w:right="640" w:firstLine="802"/>
        <w:spacing w:after="0" w:line="267" w:lineRule="auto"/>
        <w:rPr>
          <w:sz w:val="20"/>
          <w:szCs w:val="20"/>
          <w:color w:val="auto"/>
        </w:rPr>
      </w:pPr>
      <w:r>
        <w:rPr>
          <w:rFonts w:ascii="Arial" w:cs="Arial" w:eastAsia="Arial" w:hAnsi="Arial"/>
          <w:sz w:val="14"/>
          <w:szCs w:val="14"/>
          <w:color w:val="auto"/>
        </w:rPr>
        <w:t>Receivables of $564,032, $896,285, and $936,010 as of June 30, 2013, December 31, 2012, and December 31, 2011, respectively, relate to amounts due to the Company from Pfizer for reimbursement work performed under the collaboration.</w:t>
      </w:r>
    </w:p>
    <w:p>
      <w:pPr>
        <w:spacing w:after="0" w:line="101" w:lineRule="exact"/>
        <w:rPr>
          <w:sz w:val="20"/>
          <w:szCs w:val="20"/>
          <w:color w:val="auto"/>
        </w:rPr>
      </w:pPr>
    </w:p>
    <w:p>
      <w:pPr>
        <w:ind w:right="40" w:firstLine="802"/>
        <w:spacing w:after="0" w:line="351" w:lineRule="auto"/>
        <w:rPr>
          <w:sz w:val="20"/>
          <w:szCs w:val="20"/>
          <w:color w:val="auto"/>
        </w:rPr>
      </w:pPr>
      <w:r>
        <w:rPr>
          <w:rFonts w:ascii="Arial" w:cs="Arial" w:eastAsia="Arial" w:hAnsi="Arial"/>
          <w:sz w:val="12"/>
          <w:szCs w:val="12"/>
          <w:color w:val="auto"/>
        </w:rPr>
        <w:t>The Company recognized revenues of approximately $2.2 million, $5.5 million, and $5.2 million under this agreement during the six month period ended June 30, 2013 and the years ended December 31, 2012 and 2011, respectively. Included in the 2012 revenues are milestone payments totaling $500,000. No additional milestones have been recognized under this agreement through June 30, 2013.</w:t>
      </w:r>
    </w:p>
    <w:p>
      <w:pPr>
        <w:spacing w:after="0" w:line="5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At June 30, 2013 and December 31, 2012, $0.5 million and $1.3 million of revenue was deferred under this agreement all of which was included in current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Green Cross Corporation</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June 2010, the Company entered into a collaboration agreement with Green Cross for the development of the Company’s anti-HER2 antibody known as MGAH22, or margetuximab. This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arrangement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60"/>
          </w:cols>
          <w:pgMar w:left="220" w:top="387" w:right="21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grants Green Cross an exclusive license to conduct specified Phase 1 and Phase 2 clinical trials and commercialize margetuximab in South Korea.</w:t>
      </w:r>
    </w:p>
    <w:p>
      <w:pPr>
        <w:spacing w:after="0" w:line="132" w:lineRule="exact"/>
        <w:rPr>
          <w:sz w:val="20"/>
          <w:szCs w:val="20"/>
          <w:color w:val="auto"/>
        </w:rPr>
      </w:pPr>
    </w:p>
    <w:p>
      <w:pPr>
        <w:ind w:right="20" w:firstLine="802"/>
        <w:spacing w:after="0" w:line="321" w:lineRule="auto"/>
        <w:rPr>
          <w:sz w:val="20"/>
          <w:szCs w:val="20"/>
          <w:color w:val="auto"/>
        </w:rPr>
      </w:pPr>
      <w:r>
        <w:rPr>
          <w:rFonts w:ascii="Arial" w:cs="Arial" w:eastAsia="Arial" w:hAnsi="Arial"/>
          <w:sz w:val="12"/>
          <w:szCs w:val="12"/>
          <w:color w:val="auto"/>
        </w:rPr>
        <w:t>Upon execution of the agreement, Green Cross made a nonrefundable payment of $1.0 million to the Company. The Company is eligible to receive clinical development and commercial milestone payments of up to $4.5 million. The Company has determined that each potential clinical development and commercial milestone is substantive. The Company is also entitled to receive royalties on net sales of margetuximab in South Korea. The Company and Green Cross have formed a joint steering committee to coordinate and oversee activities on which the two companies collaborate under the agreement.</w:t>
      </w:r>
    </w:p>
    <w:p>
      <w:pPr>
        <w:spacing w:after="0" w:line="73" w:lineRule="exact"/>
        <w:rPr>
          <w:sz w:val="20"/>
          <w:szCs w:val="20"/>
          <w:color w:val="auto"/>
        </w:rPr>
      </w:pPr>
    </w:p>
    <w:p>
      <w:pPr>
        <w:ind w:right="260" w:firstLine="802"/>
        <w:spacing w:after="0" w:line="321" w:lineRule="auto"/>
        <w:rPr>
          <w:sz w:val="20"/>
          <w:szCs w:val="20"/>
          <w:color w:val="auto"/>
        </w:rPr>
      </w:pPr>
      <w:r>
        <w:rPr>
          <w:rFonts w:ascii="Arial" w:cs="Arial" w:eastAsia="Arial" w:hAnsi="Arial"/>
          <w:sz w:val="12"/>
          <w:szCs w:val="12"/>
          <w:color w:val="auto"/>
        </w:rPr>
        <w:t>The Company has evaluated the collaboration agreement with Green Cross and has determined that it is a revenue arrangement with multiple deliverables or performance obligations. The Company’s substantive performance obligations under this agreement include an exclusive license to its technologies and participation in a joint steering committee. The Company concluded that the license does not have value on a standalone basis and therefore does not represent a separate unit of accounting. Likewise, Green Cross could not sell the license to another party.</w:t>
      </w:r>
    </w:p>
    <w:p>
      <w:pPr>
        <w:spacing w:after="0" w:line="73" w:lineRule="exact"/>
        <w:rPr>
          <w:sz w:val="20"/>
          <w:szCs w:val="20"/>
          <w:color w:val="auto"/>
        </w:rPr>
      </w:pPr>
    </w:p>
    <w:p>
      <w:pPr>
        <w:ind w:right="320" w:firstLine="802"/>
        <w:spacing w:after="0" w:line="267" w:lineRule="auto"/>
        <w:rPr>
          <w:sz w:val="20"/>
          <w:szCs w:val="20"/>
          <w:color w:val="auto"/>
        </w:rPr>
      </w:pPr>
      <w:r>
        <w:rPr>
          <w:rFonts w:ascii="Arial" w:cs="Arial" w:eastAsia="Arial" w:hAnsi="Arial"/>
          <w:sz w:val="14"/>
          <w:szCs w:val="14"/>
          <w:color w:val="auto"/>
        </w:rPr>
        <w:t>The $1 million upfront payment received by the Company is non-refundable; as such, there is no right of return for the license. Therefore, the upfront license fee and participation on the joint steering committee were treated as a combined unit of accounting and will be recognized over the term of the agreement through June 2020.</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There have been no material modifications to this agreement since the adoption of ASU 2009-13 on January 1, 2011.</w:t>
      </w:r>
    </w:p>
    <w:p>
      <w:pPr>
        <w:spacing w:after="0" w:line="132" w:lineRule="exact"/>
        <w:rPr>
          <w:sz w:val="20"/>
          <w:szCs w:val="20"/>
          <w:color w:val="auto"/>
        </w:rPr>
      </w:pPr>
    </w:p>
    <w:p>
      <w:pPr>
        <w:ind w:right="120" w:firstLine="802"/>
        <w:spacing w:after="0" w:line="267" w:lineRule="auto"/>
        <w:rPr>
          <w:sz w:val="20"/>
          <w:szCs w:val="20"/>
          <w:color w:val="auto"/>
        </w:rPr>
      </w:pPr>
      <w:r>
        <w:rPr>
          <w:rFonts w:ascii="Arial" w:cs="Arial" w:eastAsia="Arial" w:hAnsi="Arial"/>
          <w:sz w:val="14"/>
          <w:szCs w:val="14"/>
          <w:color w:val="auto"/>
        </w:rPr>
        <w:t>The Company recognized revenues of approximately $100,000 under this agreement during each of the years ended December 31, 2012 and 2011, and $50,000 during the six months ended June 30, 2013. No additional milestones have been recognized under this agreement through June 30, 2013.</w:t>
      </w:r>
    </w:p>
    <w:p>
      <w:pPr>
        <w:spacing w:after="0" w:line="101" w:lineRule="exact"/>
        <w:rPr>
          <w:sz w:val="20"/>
          <w:szCs w:val="20"/>
          <w:color w:val="auto"/>
        </w:rPr>
      </w:pPr>
    </w:p>
    <w:p>
      <w:pPr>
        <w:ind w:right="140" w:firstLine="802"/>
        <w:spacing w:after="0" w:line="351" w:lineRule="auto"/>
        <w:rPr>
          <w:sz w:val="20"/>
          <w:szCs w:val="20"/>
          <w:color w:val="auto"/>
        </w:rPr>
      </w:pPr>
      <w:r>
        <w:rPr>
          <w:rFonts w:ascii="Arial" w:cs="Arial" w:eastAsia="Arial" w:hAnsi="Arial"/>
          <w:sz w:val="12"/>
          <w:szCs w:val="12"/>
          <w:color w:val="auto"/>
        </w:rPr>
        <w:t>At December 31, 2012, $750,000 of revenue was deferred under this agreement, $100,000 of which was included in current liabilities and $650,000 was included in long-term liabilities. At June 30, 2013, $700,000 of revenue was deferred under this agreement, $100,000 of which was included in current liabilities and $600,000 was included in long-term liabilities.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Eli Lilly &amp; Co.</w:t>
      </w:r>
    </w:p>
    <w:p>
      <w:pPr>
        <w:spacing w:after="0" w:line="132" w:lineRule="exact"/>
        <w:rPr>
          <w:sz w:val="20"/>
          <w:szCs w:val="20"/>
          <w:color w:val="auto"/>
        </w:rPr>
      </w:pPr>
    </w:p>
    <w:p>
      <w:pPr>
        <w:ind w:right="520" w:firstLine="802"/>
        <w:spacing w:after="0" w:line="267" w:lineRule="auto"/>
        <w:rPr>
          <w:sz w:val="20"/>
          <w:szCs w:val="20"/>
          <w:color w:val="auto"/>
        </w:rPr>
      </w:pPr>
      <w:r>
        <w:rPr>
          <w:rFonts w:ascii="Arial" w:cs="Arial" w:eastAsia="Arial" w:hAnsi="Arial"/>
          <w:sz w:val="14"/>
          <w:szCs w:val="14"/>
          <w:color w:val="auto"/>
        </w:rPr>
        <w:t>In October 2007, the Company entered into an exclusive license and collaboration agreement (together, the Agreements) with Eli Lilly to jointly develop and commercialize teplizumab, a humanized anti-CD3 monoclonal antibody. As part of the Agreements, Eli Lilly acquired the exclusive rights to the molecule.</w:t>
      </w:r>
    </w:p>
    <w:p>
      <w:pPr>
        <w:spacing w:after="0" w:line="101" w:lineRule="exact"/>
        <w:rPr>
          <w:sz w:val="20"/>
          <w:szCs w:val="20"/>
          <w:color w:val="auto"/>
        </w:rPr>
      </w:pPr>
    </w:p>
    <w:p>
      <w:pPr>
        <w:ind w:right="60" w:firstLine="802"/>
        <w:spacing w:after="0" w:line="267" w:lineRule="auto"/>
        <w:rPr>
          <w:sz w:val="20"/>
          <w:szCs w:val="20"/>
          <w:color w:val="auto"/>
        </w:rPr>
      </w:pPr>
      <w:r>
        <w:rPr>
          <w:rFonts w:ascii="Arial" w:cs="Arial" w:eastAsia="Arial" w:hAnsi="Arial"/>
          <w:sz w:val="14"/>
          <w:szCs w:val="14"/>
          <w:color w:val="auto"/>
        </w:rPr>
        <w:t>Upon execution of the Agreements, Eli Lilly made a nonrefundable payment of $41.0 million to the Company. In May 2008, Eli Lilly paid the Company a milestone payment of $50.0 million and in May 2010, Eli Lilly paid an additional milestone of $5.0 million.</w:t>
      </w:r>
    </w:p>
    <w:p>
      <w:pPr>
        <w:spacing w:after="0" w:line="101" w:lineRule="exact"/>
        <w:rPr>
          <w:sz w:val="20"/>
          <w:szCs w:val="20"/>
          <w:color w:val="auto"/>
        </w:rPr>
      </w:pPr>
    </w:p>
    <w:p>
      <w:pPr>
        <w:ind w:firstLine="802"/>
        <w:spacing w:after="0" w:line="321" w:lineRule="auto"/>
        <w:rPr>
          <w:sz w:val="20"/>
          <w:szCs w:val="20"/>
          <w:color w:val="auto"/>
        </w:rPr>
      </w:pPr>
      <w:r>
        <w:rPr>
          <w:rFonts w:ascii="Arial" w:cs="Arial" w:eastAsia="Arial" w:hAnsi="Arial"/>
          <w:sz w:val="12"/>
          <w:szCs w:val="12"/>
          <w:color w:val="auto"/>
        </w:rPr>
        <w:t>On October 28, 2010, Lilly notified the Company of its decision to terminate the agreement after review of one year of clinical data from the PROTÉGÉ trial in Type 1 diabetes patients treated with teplizumab. Such data failed to support the primary efficacy end point in the study. During the year ended December 31, 2012, Eli Lilly satisfied its obligation related to the cost of monitoring patients under the PROTÉGÉ and ENCORE trials. The Company’s obligations continued through September 2012, which represented the follow up period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60"/>
          </w:cols>
          <w:pgMar w:left="220" w:top="387" w:right="21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for enrolled patients and the Company’s final reporting of the trial’s results. There is no additional clinical trial activity under the Eli Lilly Agreements as it relates to such trials. In February 2011, the Company reacquired the commercial rights to the molecule from Eli Lilly.</w:t>
      </w:r>
    </w:p>
    <w:p>
      <w:pPr>
        <w:spacing w:after="0" w:line="101" w:lineRule="exact"/>
        <w:rPr>
          <w:sz w:val="20"/>
          <w:szCs w:val="20"/>
          <w:color w:val="auto"/>
        </w:rPr>
      </w:pPr>
    </w:p>
    <w:p>
      <w:pPr>
        <w:ind w:right="280" w:firstLine="802"/>
        <w:spacing w:after="0" w:line="267" w:lineRule="auto"/>
        <w:rPr>
          <w:sz w:val="20"/>
          <w:szCs w:val="20"/>
          <w:color w:val="auto"/>
        </w:rPr>
      </w:pPr>
      <w:r>
        <w:rPr>
          <w:rFonts w:ascii="Arial" w:cs="Arial" w:eastAsia="Arial" w:hAnsi="Arial"/>
          <w:sz w:val="14"/>
          <w:szCs w:val="14"/>
          <w:color w:val="auto"/>
        </w:rPr>
        <w:t>Receivables of $122,592, $558,516 and $351,357 as of June 30, 2013, December 31, 2012, and, and December 31 2011, respectively, relate to amounts due to the Company from Eli Lilly for reimbursement work performed under the above mentioned clinical trials.</w:t>
      </w:r>
    </w:p>
    <w:p>
      <w:pPr>
        <w:spacing w:after="0" w:line="101" w:lineRule="exact"/>
        <w:rPr>
          <w:sz w:val="20"/>
          <w:szCs w:val="20"/>
          <w:color w:val="auto"/>
        </w:rPr>
      </w:pPr>
    </w:p>
    <w:p>
      <w:pPr>
        <w:ind w:right="240" w:firstLine="802"/>
        <w:spacing w:after="0" w:line="267" w:lineRule="auto"/>
        <w:rPr>
          <w:sz w:val="20"/>
          <w:szCs w:val="20"/>
          <w:color w:val="auto"/>
        </w:rPr>
      </w:pPr>
      <w:r>
        <w:rPr>
          <w:rFonts w:ascii="Arial" w:cs="Arial" w:eastAsia="Arial" w:hAnsi="Arial"/>
          <w:sz w:val="14"/>
          <w:szCs w:val="14"/>
          <w:color w:val="auto"/>
        </w:rPr>
        <w:t>During the six months ended June 30, 2013 and the years ended December 31, 2012 and 2011, the Company recognized revenue of $0.5 million, $31.2 million and $30.9 million, respectively, under this agreement. No additional milestones were recognized under this agreement through June 30, 2013.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32" w:lineRule="exact"/>
        <w:rPr>
          <w:sz w:val="20"/>
          <w:szCs w:val="20"/>
          <w:color w:val="auto"/>
        </w:rPr>
      </w:pPr>
    </w:p>
    <w:p>
      <w:pPr>
        <w:ind w:right="420" w:firstLine="802"/>
        <w:spacing w:after="0" w:line="258" w:lineRule="auto"/>
        <w:rPr>
          <w:sz w:val="20"/>
          <w:szCs w:val="20"/>
          <w:color w:val="auto"/>
        </w:rPr>
      </w:pPr>
      <w:r>
        <w:rPr>
          <w:rFonts w:ascii="Arial" w:cs="Arial" w:eastAsia="Arial" w:hAnsi="Arial"/>
          <w:sz w:val="14"/>
          <w:szCs w:val="14"/>
          <w:color w:val="auto"/>
        </w:rPr>
        <w:t>The Company leases office and laboratory space over periods extending through January 30, 2018. Several of the leases contain rent escalation clauses. Rent expense for the years ended December 31, 2012 and 2011, was $3,133,850 and $3,190,413, respectively. The Company incurred $1,582,132 and $1,566,923 of rent expense for the six-month periods ending June 30, 2013 and 2012, respectively.</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Future minimum lease payments under noncancelable operating leases at December 31, 2012, are as follows:</w:t>
      </w:r>
    </w:p>
    <w:p>
      <w:pPr>
        <w:spacing w:after="0" w:line="159" w:lineRule="exact"/>
        <w:rPr>
          <w:sz w:val="20"/>
          <w:szCs w:val="20"/>
          <w:color w:val="auto"/>
        </w:rPr>
      </w:pPr>
    </w:p>
    <w:tbl>
      <w:tblPr>
        <w:tblLayout w:type="fixed"/>
        <w:tblInd w:w="264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97"/>
              </w:rPr>
              <w:t>Operating</w:t>
            </w:r>
          </w:p>
        </w:tc>
      </w:tr>
      <w:tr>
        <w:trPr>
          <w:trHeight w:val="126"/>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8"/>
              </w:rPr>
              <w:t>Leases</w:t>
            </w:r>
          </w:p>
        </w:tc>
      </w:tr>
      <w:tr>
        <w:trPr>
          <w:trHeight w:val="158"/>
        </w:trPr>
        <w:tc>
          <w:tcPr>
            <w:tcW w:w="5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Year ending December 31:</w:t>
            </w:r>
          </w:p>
        </w:tc>
        <w:tc>
          <w:tcPr>
            <w:tcW w:w="22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7"/>
        </w:trPr>
        <w:tc>
          <w:tcPr>
            <w:tcW w:w="5140" w:type="dxa"/>
            <w:vAlign w:val="bottom"/>
          </w:tcPr>
          <w:p>
            <w:pPr>
              <w:jc w:val="right"/>
              <w:ind w:right="4472"/>
              <w:spacing w:after="0"/>
              <w:rPr>
                <w:sz w:val="20"/>
                <w:szCs w:val="20"/>
                <w:color w:val="auto"/>
              </w:rPr>
            </w:pPr>
            <w:r>
              <w:rPr>
                <w:rFonts w:ascii="Arial" w:cs="Arial" w:eastAsia="Arial" w:hAnsi="Arial"/>
                <w:sz w:val="14"/>
                <w:szCs w:val="14"/>
                <w:color w:val="auto"/>
              </w:rPr>
              <w:t>2013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2,797,540</w:t>
            </w:r>
          </w:p>
        </w:tc>
        <w:tc>
          <w:tcPr>
            <w:tcW w:w="120" w:type="dxa"/>
            <w:vAlign w:val="bottom"/>
          </w:tcPr>
          <w:p>
            <w:pPr>
              <w:spacing w:after="0"/>
              <w:rPr>
                <w:sz w:val="14"/>
                <w:szCs w:val="14"/>
                <w:color w:val="auto"/>
              </w:rPr>
            </w:pPr>
          </w:p>
        </w:tc>
      </w:tr>
      <w:tr>
        <w:trPr>
          <w:trHeight w:val="167"/>
        </w:trPr>
        <w:tc>
          <w:tcPr>
            <w:tcW w:w="5140" w:type="dxa"/>
            <w:vAlign w:val="bottom"/>
            <w:shd w:val="clear" w:color="auto" w:fill="CCEEFF"/>
          </w:tcPr>
          <w:p>
            <w:pPr>
              <w:jc w:val="right"/>
              <w:ind w:right="4472"/>
              <w:spacing w:after="0"/>
              <w:rPr>
                <w:sz w:val="20"/>
                <w:szCs w:val="20"/>
                <w:color w:val="auto"/>
              </w:rPr>
            </w:pPr>
            <w:r>
              <w:rPr>
                <w:rFonts w:ascii="Arial" w:cs="Arial" w:eastAsia="Arial" w:hAnsi="Arial"/>
                <w:sz w:val="14"/>
                <w:szCs w:val="14"/>
                <w:color w:val="auto"/>
              </w:rPr>
              <w:t>2014</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3,557,749</w:t>
            </w:r>
          </w:p>
        </w:tc>
        <w:tc>
          <w:tcPr>
            <w:tcW w:w="120" w:type="dxa"/>
            <w:vAlign w:val="bottom"/>
            <w:shd w:val="clear" w:color="auto" w:fill="CCEEFF"/>
          </w:tcPr>
          <w:p>
            <w:pPr>
              <w:spacing w:after="0"/>
              <w:rPr>
                <w:sz w:val="14"/>
                <w:szCs w:val="14"/>
                <w:color w:val="auto"/>
              </w:rPr>
            </w:pPr>
          </w:p>
        </w:tc>
      </w:tr>
      <w:tr>
        <w:trPr>
          <w:trHeight w:val="167"/>
        </w:trPr>
        <w:tc>
          <w:tcPr>
            <w:tcW w:w="5140" w:type="dxa"/>
            <w:vAlign w:val="bottom"/>
          </w:tcPr>
          <w:p>
            <w:pPr>
              <w:jc w:val="right"/>
              <w:ind w:right="4472"/>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3,214,401</w:t>
            </w:r>
          </w:p>
        </w:tc>
        <w:tc>
          <w:tcPr>
            <w:tcW w:w="120" w:type="dxa"/>
            <w:vAlign w:val="bottom"/>
          </w:tcPr>
          <w:p>
            <w:pPr>
              <w:spacing w:after="0"/>
              <w:rPr>
                <w:sz w:val="14"/>
                <w:szCs w:val="14"/>
                <w:color w:val="auto"/>
              </w:rPr>
            </w:pPr>
          </w:p>
        </w:tc>
      </w:tr>
      <w:tr>
        <w:trPr>
          <w:trHeight w:val="167"/>
        </w:trPr>
        <w:tc>
          <w:tcPr>
            <w:tcW w:w="5140" w:type="dxa"/>
            <w:vAlign w:val="bottom"/>
            <w:shd w:val="clear" w:color="auto" w:fill="CCEEFF"/>
          </w:tcPr>
          <w:p>
            <w:pPr>
              <w:jc w:val="right"/>
              <w:ind w:right="4472"/>
              <w:spacing w:after="0"/>
              <w:rPr>
                <w:sz w:val="20"/>
                <w:szCs w:val="20"/>
                <w:color w:val="auto"/>
              </w:rPr>
            </w:pPr>
            <w:r>
              <w:rPr>
                <w:rFonts w:ascii="Arial" w:cs="Arial" w:eastAsia="Arial" w:hAnsi="Arial"/>
                <w:sz w:val="14"/>
                <w:szCs w:val="14"/>
                <w:color w:val="auto"/>
              </w:rPr>
              <w:t>2016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3,310,833</w:t>
            </w:r>
          </w:p>
        </w:tc>
        <w:tc>
          <w:tcPr>
            <w:tcW w:w="120" w:type="dxa"/>
            <w:vAlign w:val="bottom"/>
            <w:shd w:val="clear" w:color="auto" w:fill="CCEEFF"/>
          </w:tcPr>
          <w:p>
            <w:pPr>
              <w:spacing w:after="0"/>
              <w:rPr>
                <w:sz w:val="14"/>
                <w:szCs w:val="14"/>
                <w:color w:val="auto"/>
              </w:rPr>
            </w:pPr>
          </w:p>
        </w:tc>
      </w:tr>
      <w:tr>
        <w:trPr>
          <w:trHeight w:val="167"/>
        </w:trPr>
        <w:tc>
          <w:tcPr>
            <w:tcW w:w="5140" w:type="dxa"/>
            <w:vAlign w:val="bottom"/>
          </w:tcPr>
          <w:p>
            <w:pPr>
              <w:jc w:val="right"/>
              <w:ind w:right="4472"/>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3,410,159</w:t>
            </w:r>
          </w:p>
        </w:tc>
        <w:tc>
          <w:tcPr>
            <w:tcW w:w="120" w:type="dxa"/>
            <w:vAlign w:val="bottom"/>
          </w:tcPr>
          <w:p>
            <w:pPr>
              <w:spacing w:after="0"/>
              <w:rPr>
                <w:sz w:val="14"/>
                <w:szCs w:val="14"/>
                <w:color w:val="auto"/>
              </w:rPr>
            </w:pPr>
          </w:p>
        </w:tc>
      </w:tr>
      <w:tr>
        <w:trPr>
          <w:trHeight w:val="167"/>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2,754,106</w:t>
            </w:r>
          </w:p>
        </w:tc>
        <w:tc>
          <w:tcPr>
            <w:tcW w:w="120" w:type="dxa"/>
            <w:vAlign w:val="bottom"/>
            <w:shd w:val="clear" w:color="auto" w:fill="CCEEFF"/>
          </w:tcPr>
          <w:p>
            <w:pPr>
              <w:spacing w:after="0"/>
              <w:rPr>
                <w:sz w:val="14"/>
                <w:szCs w:val="14"/>
                <w:color w:val="auto"/>
              </w:rPr>
            </w:pPr>
          </w:p>
        </w:tc>
      </w:tr>
      <w:tr>
        <w:trPr>
          <w:trHeight w:val="167"/>
        </w:trPr>
        <w:tc>
          <w:tcPr>
            <w:tcW w:w="5140" w:type="dxa"/>
            <w:vAlign w:val="bottom"/>
          </w:tcPr>
          <w:p>
            <w:pPr>
              <w:spacing w:after="0"/>
              <w:rPr>
                <w:sz w:val="14"/>
                <w:szCs w:val="14"/>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19,044,788</w:t>
            </w:r>
          </w:p>
        </w:tc>
        <w:tc>
          <w:tcPr>
            <w:tcW w:w="120" w:type="dxa"/>
            <w:vAlign w:val="bottom"/>
          </w:tcPr>
          <w:p>
            <w:pPr>
              <w:spacing w:after="0"/>
              <w:rPr>
                <w:sz w:val="14"/>
                <w:szCs w:val="14"/>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Product Milestone Payments and Royalty Agreements</w:t>
      </w:r>
    </w:p>
    <w:p>
      <w:pPr>
        <w:spacing w:after="0" w:line="134" w:lineRule="exact"/>
        <w:rPr>
          <w:sz w:val="20"/>
          <w:szCs w:val="20"/>
          <w:color w:val="auto"/>
        </w:rPr>
      </w:pPr>
    </w:p>
    <w:p>
      <w:pPr>
        <w:ind w:firstLine="802"/>
        <w:spacing w:after="0" w:line="302" w:lineRule="auto"/>
        <w:rPr>
          <w:sz w:val="20"/>
          <w:szCs w:val="20"/>
          <w:color w:val="auto"/>
        </w:rPr>
      </w:pPr>
      <w:r>
        <w:rPr>
          <w:rFonts w:ascii="Arial" w:cs="Arial" w:eastAsia="Arial" w:hAnsi="Arial"/>
          <w:sz w:val="12"/>
          <w:szCs w:val="12"/>
          <w:color w:val="auto"/>
        </w:rPr>
        <w:t>In connection with an Asset Purchase Agreement with Tolerance Therapeutics, Inc. (Tolerance) entered into during June 2005, the Company may be required to issue Tolerance additional consideration as follows: (i) $10,950,000 if certain milestones are met, including the initiation of Phase 3 trials and filing of various regulatory product license applications; (ii) 678,398 shares of common stock; and (iii) royalty payments between 1.75% and 4.0% of net sales of products acquired from or patented by Tolerance or other product fees earned by the Company. Any additional consideration required to be paid under the Asset Purchase Agreement will be recorded as research and development expense when incurred. No payments related to the additional considerations have occurred during the years ended December 31, 2012 and 2011 or during and the quarter ended March 31, 2013. Additionally, certain agreements require the Company to pay royalties. Currently, the Company is not obligated to pay royalties, as no other revenue from product sales is being generated by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Employee Benefit Plan</w:t>
      </w:r>
    </w:p>
    <w:p>
      <w:pPr>
        <w:spacing w:after="0" w:line="134"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On September 25, 2002, the Company established the MacroGenics 401(k) Plan (the 401(k) Plan) for its employees under Section 401(k) of the IRC. Under this 401(k) Plan, all employees at least 21 years of age are eligible to participate in the 401(k) Plan, starting on the first day of each month. Employees may contribute up to 100% of their salary, subject to government maximums.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20" w:top="387" w:right="25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MACROGENICS, INC.</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6" w:lineRule="exact"/>
        <w:rPr>
          <w:sz w:val="20"/>
          <w:szCs w:val="20"/>
          <w:color w:val="auto"/>
        </w:rPr>
      </w:pPr>
    </w:p>
    <w:p>
      <w:pPr>
        <w:ind w:firstLine="802"/>
        <w:spacing w:after="0" w:line="351" w:lineRule="auto"/>
        <w:rPr>
          <w:sz w:val="20"/>
          <w:szCs w:val="20"/>
          <w:color w:val="auto"/>
        </w:rPr>
      </w:pPr>
      <w:r>
        <w:rPr>
          <w:rFonts w:ascii="Arial" w:cs="Arial" w:eastAsia="Arial" w:hAnsi="Arial"/>
          <w:sz w:val="12"/>
          <w:szCs w:val="12"/>
          <w:color w:val="auto"/>
        </w:rPr>
        <w:t>Employees are 100% vested in their contributions to the Plan. The Company’s contribution to the Plan, as determined by the Board of Directors, is discretionary. The Company’s contributions to the Plan totaled $225,195, $217,097 and $139,187 for the years ended December 31, 2012 and 2011 and the six months ended June 30, 2013,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Subsequent to June 30, 2013, the Company issued approximately 3.9 million options to purchase shares of its common stock to employees.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On August 30, 2013, the Company received a $10 million milestone payment from Servier related to dosing the first patient in the expansion cohort of the Company’s Phase 1 clinical trial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MGA271.</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340"/>
          </w:cols>
          <w:pgMar w:left="220" w:top="386" w:right="3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7773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77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185420</wp:posOffset>
            </wp:positionV>
            <wp:extent cx="727773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pacing w:after="0" w:line="400"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Through and including , 2013 (the 25th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an unsold allotment or subscription.</w:t>
      </w: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116205</wp:posOffset>
            </wp:positionV>
            <wp:extent cx="1254125" cy="696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54125" cy="69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505460</wp:posOffset>
            </wp:positionV>
            <wp:extent cx="218249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824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49530</wp:posOffset>
            </wp:positionV>
            <wp:extent cx="218249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824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BofA Merrill Lynch</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Leerink Swann</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Stifel</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Lazard Capital Markets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Wedbush PacGrow Life Sciences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7773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77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129540</wp:posOffset>
            </wp:positionV>
            <wp:extent cx="727773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160"/>
          </w:cols>
          <w:pgMar w:left="220" w:top="387" w:right="51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6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Other Expenses of Issuance and Distribution</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The following table sets forth the costs and expenses, other than underwriting discounts and commissions, payable in connection with the sale and distribution of the securities being registered.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All amounts are estimated except the SEC and FINRA registration fees. All of the expenses below will be paid by 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2"/>
              </w:rPr>
              <w:t>Item</w:t>
            </w:r>
          </w:p>
        </w:tc>
        <w:tc>
          <w:tcPr>
            <w:tcW w:w="47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9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SEC Registration fee</w:t>
            </w:r>
          </w:p>
        </w:tc>
        <w:tc>
          <w:tcPr>
            <w:tcW w:w="24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85"/>
              </w:rPr>
              <w:t>8,184</w:t>
            </w:r>
          </w:p>
        </w:tc>
        <w:tc>
          <w:tcPr>
            <w:tcW w:w="80" w:type="dxa"/>
            <w:vAlign w:val="bottom"/>
            <w:shd w:val="clear" w:color="auto" w:fill="CCEEFF"/>
          </w:tcPr>
          <w:p>
            <w:pPr>
              <w:spacing w:after="0"/>
              <w:rPr>
                <w:sz w:val="13"/>
                <w:szCs w:val="13"/>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FINRA filing fee</w:t>
            </w:r>
          </w:p>
        </w:tc>
        <w:tc>
          <w:tcPr>
            <w:tcW w:w="2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NASDAQ Global Market listing fee</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Printing and mailing expenses</w:t>
            </w: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Accounting fees and expenses</w:t>
            </w: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Transfer agent and registrar fees and expenses</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Miscellaneous</w:t>
            </w: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
        </w:trPr>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580" w:type="dxa"/>
            <w:vAlign w:val="bottom"/>
            <w:gridSpan w:val="3"/>
          </w:tcPr>
          <w:p>
            <w:pPr>
              <w:spacing w:after="0"/>
              <w:rPr>
                <w:sz w:val="5"/>
                <w:szCs w:val="5"/>
                <w:color w:val="auto"/>
              </w:rPr>
            </w:pPr>
          </w:p>
        </w:tc>
        <w:tc>
          <w:tcPr>
            <w:tcW w:w="2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77"/>
        </w:trPr>
        <w:tc>
          <w:tcPr>
            <w:tcW w:w="2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480" w:type="dxa"/>
            <w:vAlign w:val="bottom"/>
            <w:gridSpan w:val="4"/>
          </w:tcPr>
          <w:p>
            <w:pPr>
              <w:ind w:left="200"/>
              <w:spacing w:after="0"/>
              <w:rPr>
                <w:sz w:val="20"/>
                <w:szCs w:val="20"/>
                <w:color w:val="auto"/>
              </w:rPr>
            </w:pPr>
            <w:r>
              <w:rPr>
                <w:rFonts w:ascii="Arial" w:cs="Arial" w:eastAsia="Arial" w:hAnsi="Arial"/>
                <w:sz w:val="14"/>
                <w:szCs w:val="14"/>
                <w:color w:val="auto"/>
              </w:rPr>
              <w:t>To be filed by amendment</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Indemnification of Directors and Officers</w:t>
      </w:r>
    </w:p>
    <w:p>
      <w:pPr>
        <w:spacing w:after="0" w:line="71" w:lineRule="exact"/>
        <w:rPr>
          <w:sz w:val="20"/>
          <w:szCs w:val="20"/>
          <w:color w:val="auto"/>
        </w:rPr>
      </w:pPr>
    </w:p>
    <w:p>
      <w:pPr>
        <w:ind w:right="20" w:firstLine="917"/>
        <w:spacing w:after="0" w:line="253" w:lineRule="auto"/>
        <w:rPr>
          <w:sz w:val="20"/>
          <w:szCs w:val="20"/>
          <w:color w:val="auto"/>
        </w:rPr>
      </w:pPr>
      <w:r>
        <w:rPr>
          <w:rFonts w:ascii="Arial" w:cs="Arial" w:eastAsia="Arial" w:hAnsi="Arial"/>
          <w:sz w:val="14"/>
          <w:szCs w:val="14"/>
          <w:color w:val="auto"/>
        </w:rPr>
        <w:t>Under Section 145 of the Delaware General Corporation Law, we can indemnify our directors and officers against liabilities they may incur in such capacities, including liabilities under the Securities Act of 1933, as amended, or the Securities Act. Our bylaws that we expect to be effective upon the closing of this offering (Exhibit 3.4 to this registration statement) provide that we will indemnify our directors and officers to the fullest extent permitted by law and require us to advance litigation expenses upon our receipt of an undertaking by the director or officer to repay such advances if it is ultimately determined that the director or officer is not entitled to indemnification. Our bylaws further provide that rights conferred under such bylaws do not exclude any other right such persons may have or acquire under any bylaw, agreement, vote of stockholders or disinterested directors or otherwise.</w:t>
      </w:r>
    </w:p>
    <w:p>
      <w:pPr>
        <w:spacing w:after="0" w:line="113" w:lineRule="exact"/>
        <w:rPr>
          <w:sz w:val="20"/>
          <w:szCs w:val="20"/>
          <w:color w:val="auto"/>
        </w:rPr>
      </w:pPr>
    </w:p>
    <w:p>
      <w:pPr>
        <w:ind w:right="180" w:firstLine="917"/>
        <w:spacing w:after="0" w:line="302" w:lineRule="auto"/>
        <w:rPr>
          <w:sz w:val="20"/>
          <w:szCs w:val="20"/>
          <w:color w:val="auto"/>
        </w:rPr>
      </w:pPr>
      <w:r>
        <w:rPr>
          <w:rFonts w:ascii="Arial" w:cs="Arial" w:eastAsia="Arial" w:hAnsi="Arial"/>
          <w:sz w:val="12"/>
          <w:szCs w:val="12"/>
          <w:color w:val="auto"/>
        </w:rPr>
        <w:t>Our amended and restated certificate of incorporation that we expect to be effective upon the closing of this offering (Exhibit 3.2 to this registration statement) provides that, pursuant to Delaware law, our directors shall not be liable for monetary damages for breach of the directors’ fiduciary duty of care to us and our stockholders. This provision in the amended and restated certificate of incorporation does not eliminate the duty of care, and in appropriate circumstances equitable remedies such as injunctive or other forms of non-monetary relief will remain available under Delaware law. In addition, each director will continue to be subject to liability for breach of the director’s duty of loyalty to us or our stockholders, for acts or omissions not in good faith or involving intentional misconduct 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w:t>
      </w:r>
    </w:p>
    <w:p>
      <w:pPr>
        <w:spacing w:after="0" w:line="86" w:lineRule="exact"/>
        <w:rPr>
          <w:sz w:val="20"/>
          <w:szCs w:val="20"/>
          <w:color w:val="auto"/>
        </w:rPr>
      </w:pPr>
    </w:p>
    <w:p>
      <w:pPr>
        <w:ind w:firstLine="917"/>
        <w:spacing w:after="0" w:line="321" w:lineRule="auto"/>
        <w:rPr>
          <w:sz w:val="20"/>
          <w:szCs w:val="20"/>
          <w:color w:val="auto"/>
        </w:rPr>
      </w:pPr>
      <w:r>
        <w:rPr>
          <w:rFonts w:ascii="Arial" w:cs="Arial" w:eastAsia="Arial" w:hAnsi="Arial"/>
          <w:sz w:val="12"/>
          <w:szCs w:val="12"/>
          <w:color w:val="auto"/>
        </w:rPr>
        <w:t>In addition, our amended and restated certificate of incorporation provides that we shall indemnify our directors and officers if such persons acted (i) in good faith, (ii) in a manner reasonably believed to be in or not opposed to our best interests, and (iii) with respect to any criminal action or proceeding, with reasonable cause to believe such conduct was lawful. The amended and restated certificate of incorporation also provides that, pursuant to Delaware law, our directors shall not be liable for monetary damages for breach of the directors’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460"/>
          </w:cols>
          <w:pgMar w:left="220" w:top="387" w:right="21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right="60"/>
        <w:spacing w:after="0" w:line="298" w:lineRule="auto"/>
        <w:rPr>
          <w:sz w:val="20"/>
          <w:szCs w:val="20"/>
          <w:color w:val="auto"/>
        </w:rPr>
      </w:pPr>
      <w:r>
        <w:rPr>
          <w:rFonts w:ascii="Arial" w:cs="Arial" w:eastAsia="Arial" w:hAnsi="Arial"/>
          <w:sz w:val="12"/>
          <w:szCs w:val="12"/>
          <w:color w:val="auto"/>
        </w:rPr>
        <w:t>fiduciary duty of care to us and our stockholders. This provision in the amended and restated certificate of incorporation does not eliminate the duty of care, and in appropriate circumstances equitable remedies such as injunctive or other forms of non- monetary relief will remain available under Delaware law. In addition, each director will continue to be subject to liability for breach of the director’s duty of loyalty to us for acts or omissions not in good faith or involving intentional misconduct, for knowing violations of law, for actions leading to improper personal benefit to the fiduciary duty of care to us and our stockholders. This provision in the amended and restated certificate of incorporation does not eliminate the duty of care, and in appropriate circumstances equitable remedies such as injunctive or other forms of non- monetary relief will remain available under Delaware law. In addition, each director will continue to be subject to liability for breach of the director’s duty of loyalty to us for acts or omissions not in good faith or involving intentional misconduct, for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 The amended and restated certificate of incorporation further provides that we are authorized to indemnify our directors and officers to the fullest extent permitted by law through the bylaws, agreement, vote of stockholders or disinterested directors, or otherwise. We intend to obtain directors’ and officers’ liability insurance in connection with this offering.</w:t>
      </w:r>
    </w:p>
    <w:p>
      <w:pPr>
        <w:spacing w:after="0" w:line="88" w:lineRule="exact"/>
        <w:rPr>
          <w:sz w:val="20"/>
          <w:szCs w:val="20"/>
          <w:color w:val="auto"/>
        </w:rPr>
      </w:pPr>
    </w:p>
    <w:p>
      <w:pPr>
        <w:ind w:right="20" w:firstLine="917"/>
        <w:spacing w:after="0" w:line="311" w:lineRule="auto"/>
        <w:rPr>
          <w:sz w:val="20"/>
          <w:szCs w:val="20"/>
          <w:color w:val="auto"/>
        </w:rPr>
      </w:pPr>
      <w:r>
        <w:rPr>
          <w:rFonts w:ascii="Arial" w:cs="Arial" w:eastAsia="Arial" w:hAnsi="Arial"/>
          <w:sz w:val="12"/>
          <w:szCs w:val="12"/>
          <w:color w:val="auto"/>
        </w:rPr>
        <w:t>In addition, concurrently with this offering, we will enter into agreements to indemnify our directors and certain of our officers in addition to the indemnification provided for in the amended and restated certificate of incorporation and bylaws. These agreements will, among other things, indemnify our directors and some of our officers for certain expenses (including attorneys fees), judgments, fines and settlement amounts incurred by such person in any action or proceeding, including any action by or in our right, on account of services by that person as a director or officer of our company or as a director or officer of any of our subsidiaries, or as a director or officer of any other company or enterprise that the person provides services to at our request.</w:t>
      </w:r>
    </w:p>
    <w:p>
      <w:pPr>
        <w:spacing w:after="0" w:line="79"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The underwriting agreement (Exhibit 1.1 to this registration statement) provides for indemnification by the underwriters of us and our officers and directors, and by us of the underwriters, for certain liabilities arising under the Securities Act or otherwise in connection with this offering.</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1"/>
          <w:szCs w:val="11"/>
          <w:b w:val="1"/>
          <w:bCs w:val="1"/>
          <w:color w:val="auto"/>
        </w:rPr>
        <w:t>Recent Sales of Unregistered Securities</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 Sale of Stock Pursuant to Collaboration Agreement with Green Cross</w:t>
      </w:r>
    </w:p>
    <w:p>
      <w:pPr>
        <w:spacing w:after="0" w:line="69" w:lineRule="exact"/>
        <w:rPr>
          <w:sz w:val="20"/>
          <w:szCs w:val="20"/>
          <w:color w:val="auto"/>
        </w:rPr>
      </w:pPr>
    </w:p>
    <w:p>
      <w:pPr>
        <w:ind w:right="320" w:firstLine="917"/>
        <w:spacing w:after="0" w:line="267" w:lineRule="auto"/>
        <w:rPr>
          <w:sz w:val="20"/>
          <w:szCs w:val="20"/>
          <w:color w:val="auto"/>
        </w:rPr>
      </w:pPr>
      <w:r>
        <w:rPr>
          <w:rFonts w:ascii="Arial" w:cs="Arial" w:eastAsia="Arial" w:hAnsi="Arial"/>
          <w:sz w:val="14"/>
          <w:szCs w:val="14"/>
          <w:color w:val="auto"/>
        </w:rPr>
        <w:t>In June 2010 we entered into a License Agreement with Green Cross. See “Business — Collaborations.” Pursuant to that agreement, we issued and sold an aggregate of $1.0 million of our common stock to Green Cross.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January 2011, we issued and sold 18,427,388 shares of our Series D-2 preferred stock to three investors at a for an aggregate purchase price of $12,016,500.</w:t>
      </w:r>
    </w:p>
    <w:p>
      <w:pPr>
        <w:spacing w:after="0" w:line="132" w:lineRule="exact"/>
        <w:rPr>
          <w:sz w:val="20"/>
          <w:szCs w:val="20"/>
          <w:color w:val="auto"/>
        </w:rPr>
      </w:pPr>
    </w:p>
    <w:p>
      <w:pPr>
        <w:ind w:firstLine="917"/>
        <w:spacing w:after="0" w:line="302" w:lineRule="auto"/>
        <w:rPr>
          <w:sz w:val="20"/>
          <w:szCs w:val="20"/>
          <w:color w:val="auto"/>
        </w:rPr>
      </w:pPr>
      <w:r>
        <w:rPr>
          <w:rFonts w:ascii="Arial" w:cs="Arial" w:eastAsia="Arial" w:hAnsi="Arial"/>
          <w:sz w:val="12"/>
          <w:szCs w:val="12"/>
          <w:color w:val="auto"/>
        </w:rPr>
        <w:t>No underwriters were involved in the foregoing sales of securities. The securities described in this section (a) of Item 15 were issued to investors in reliance upon the exemption from the registration requirements of the Securities Act, as set forth in Section 4(2) under the Securities Act relative to transactions by an issuer not involving any public offering, to the extent an exemption from such registration was required. All purchasers of shares of our common stock described above represented to the Company in connection with their purchase that they were accredited investors and were acquiring the shares for their own account for investment purposes only and not with a view to, or for sale in connection with, any distribution thereof and that they could bear the risks of the investment and could hold the securities for an indefinite period of time. The purchasers received written disclosures that the securities had not been registered under the Securities Act and that any resale must be made pursuant to a registration statement or an available exemption from such registration.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440"/>
          </w:cols>
          <w:pgMar w:left="220" w:top="387" w:right="23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 Stock Option Grants</w:t>
      </w:r>
    </w:p>
    <w:p>
      <w:pPr>
        <w:spacing w:after="0" w:line="69" w:lineRule="exact"/>
        <w:rPr>
          <w:sz w:val="20"/>
          <w:szCs w:val="20"/>
          <w:color w:val="auto"/>
        </w:rPr>
      </w:pPr>
    </w:p>
    <w:p>
      <w:pPr>
        <w:jc w:val="both"/>
        <w:ind w:firstLine="917"/>
        <w:spacing w:after="0" w:line="321" w:lineRule="auto"/>
        <w:rPr>
          <w:sz w:val="20"/>
          <w:szCs w:val="20"/>
          <w:color w:val="auto"/>
        </w:rPr>
      </w:pPr>
      <w:r>
        <w:rPr>
          <w:rFonts w:ascii="Arial" w:cs="Arial" w:eastAsia="Arial" w:hAnsi="Arial"/>
          <w:sz w:val="12"/>
          <w:szCs w:val="12"/>
          <w:color w:val="auto"/>
        </w:rPr>
        <w:t>Between June 30, 2010 and June 30, 2013, we granted options to purchase an aggregate of 21,325,075 shares of common stock, with exercise prices ranging from $0.05 to $0.08 per share, to our employees and directors pursuant to our 2003 Stock Plan. As of June 30, 2013, 27,017,484 options to purchase shares of our common stock had been exercised for aggregate consideration of $1,182,638, options to purchase 23,210,446 shares had been forfeited and options to purchase 51,879,146 shares of our common stock remained outstanding at a weighted-average exercise price of $0.05 per share.</w:t>
      </w:r>
    </w:p>
    <w:p>
      <w:pPr>
        <w:spacing w:after="0" w:line="73" w:lineRule="exact"/>
        <w:rPr>
          <w:sz w:val="20"/>
          <w:szCs w:val="20"/>
          <w:color w:val="auto"/>
        </w:rPr>
      </w:pPr>
    </w:p>
    <w:p>
      <w:pPr>
        <w:jc w:val="both"/>
        <w:ind w:right="120" w:firstLine="458"/>
        <w:spacing w:after="0" w:line="258" w:lineRule="auto"/>
        <w:rPr>
          <w:sz w:val="20"/>
          <w:szCs w:val="20"/>
          <w:color w:val="auto"/>
        </w:rPr>
      </w:pPr>
      <w:r>
        <w:rPr>
          <w:rFonts w:ascii="Arial" w:cs="Arial" w:eastAsia="Arial" w:hAnsi="Arial"/>
          <w:sz w:val="14"/>
          <w:szCs w:val="14"/>
          <w:color w:val="auto"/>
        </w:rPr>
        <w:t>The stock options and the common stock issuable upon the exercise of such options as described in this section (b)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08"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All of the foregoing securities described in sections (a) and (b) of Item 15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2"/>
          <w:szCs w:val="12"/>
          <w:b w:val="1"/>
          <w:bCs w:val="1"/>
          <w:color w:val="auto"/>
        </w:rPr>
        <w:t>Exhibits and Financial Statement Schedules</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exhibits to the registration statement are listed in the Exhibit Index attached hereto and incorporated by reference herein.</w:t>
      </w:r>
    </w:p>
    <w:p>
      <w:pPr>
        <w:spacing w:after="0" w:line="22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17.</w:t>
      </w:r>
      <w:r>
        <w:rPr>
          <w:sz w:val="20"/>
          <w:szCs w:val="20"/>
          <w:color w:val="auto"/>
        </w:rPr>
        <w:tab/>
      </w:r>
      <w:r>
        <w:rPr>
          <w:rFonts w:ascii="Arial" w:cs="Arial" w:eastAsia="Arial" w:hAnsi="Arial"/>
          <w:sz w:val="12"/>
          <w:szCs w:val="12"/>
          <w:b w:val="1"/>
          <w:bCs w:val="1"/>
          <w:color w:val="auto"/>
        </w:rPr>
        <w:t>Undertakings</w:t>
      </w:r>
    </w:p>
    <w:p>
      <w:pPr>
        <w:spacing w:after="0" w:line="71" w:lineRule="exact"/>
        <w:rPr>
          <w:sz w:val="20"/>
          <w:szCs w:val="20"/>
          <w:color w:val="auto"/>
        </w:rPr>
      </w:pPr>
    </w:p>
    <w:p>
      <w:pPr>
        <w:ind w:right="20" w:firstLine="917"/>
        <w:spacing w:after="0" w:line="267" w:lineRule="auto"/>
        <w:rPr>
          <w:sz w:val="20"/>
          <w:szCs w:val="20"/>
          <w:color w:val="auto"/>
        </w:rPr>
      </w:pPr>
      <w:r>
        <w:rPr>
          <w:rFonts w:ascii="Arial" w:cs="Arial" w:eastAsia="Arial" w:hAnsi="Arial"/>
          <w:sz w:val="14"/>
          <w:szCs w:val="14"/>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1" w:lineRule="exact"/>
        <w:rPr>
          <w:sz w:val="20"/>
          <w:szCs w:val="20"/>
          <w:color w:val="auto"/>
        </w:rPr>
      </w:pPr>
    </w:p>
    <w:p>
      <w:pPr>
        <w:ind w:right="40" w:firstLine="917"/>
        <w:spacing w:after="0" w:line="30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undersigned registrant hereby undertakes that:</w:t>
      </w:r>
    </w:p>
    <w:p>
      <w:pPr>
        <w:spacing w:after="0" w:line="132" w:lineRule="exact"/>
        <w:rPr>
          <w:sz w:val="20"/>
          <w:szCs w:val="20"/>
          <w:color w:val="auto"/>
        </w:rPr>
      </w:pPr>
    </w:p>
    <w:p>
      <w:pPr>
        <w:jc w:val="both"/>
        <w:ind w:right="60" w:firstLine="920"/>
        <w:spacing w:after="0" w:line="258" w:lineRule="auto"/>
        <w:tabs>
          <w:tab w:leader="none" w:pos="110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of 1933, the information omitted from the form of prospectus as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7" w:lineRule="exact"/>
        <w:rPr>
          <w:rFonts w:ascii="Arial" w:cs="Arial" w:eastAsia="Arial" w:hAnsi="Arial"/>
          <w:sz w:val="14"/>
          <w:szCs w:val="14"/>
          <w:color w:val="auto"/>
        </w:rPr>
      </w:pPr>
    </w:p>
    <w:p>
      <w:pPr>
        <w:ind w:right="320" w:firstLine="920"/>
        <w:spacing w:after="0" w:line="267" w:lineRule="auto"/>
        <w:tabs>
          <w:tab w:leader="none" w:pos="110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460"/>
          </w:cols>
          <w:pgMar w:left="220" w:top="387" w:right="21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SIGNATURES</w:t>
      </w:r>
    </w:p>
    <w:p>
      <w:pPr>
        <w:spacing w:after="0" w:line="134"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to be signed on its behalf by the undersigned, thereunto duly authorized, in the city of Rockville, State of Maryland, on September 4, 2013.</w:t>
      </w:r>
    </w:p>
    <w:p>
      <w:pPr>
        <w:spacing w:after="0" w:line="131"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p>
      <w:pPr>
        <w:ind w:left="6880"/>
        <w:spacing w:after="0"/>
        <w:tabs>
          <w:tab w:leader="none" w:pos="7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8890</wp:posOffset>
            </wp:positionV>
            <wp:extent cx="264033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40330" cy="6350"/>
                    </a:xfrm>
                    <a:prstGeom prst="rect">
                      <a:avLst/>
                    </a:prstGeom>
                    <a:noFill/>
                  </pic:spPr>
                </pic:pic>
              </a:graphicData>
            </a:graphic>
          </wp:anchor>
        </w:drawing>
      </w:r>
    </w:p>
    <w:p>
      <w:pPr>
        <w:ind w:left="7340"/>
        <w:spacing w:after="0"/>
        <w:rPr>
          <w:sz w:val="20"/>
          <w:szCs w:val="20"/>
          <w:color w:val="auto"/>
        </w:rPr>
      </w:pPr>
      <w:r>
        <w:rPr>
          <w:rFonts w:ascii="Arial" w:cs="Arial" w:eastAsia="Arial" w:hAnsi="Arial"/>
          <w:sz w:val="14"/>
          <w:szCs w:val="14"/>
          <w:color w:val="auto"/>
        </w:rPr>
        <w:t>Scott Koenig, M.D., Ph.D.</w:t>
      </w:r>
    </w:p>
    <w:p>
      <w:pPr>
        <w:spacing w:after="0" w:line="12"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President and Chief Executive Officer</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POWER OF ATTORNEY</w:t>
      </w:r>
    </w:p>
    <w:p>
      <w:pPr>
        <w:spacing w:after="0" w:line="134"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KNOW ALL MEN BY THESE PRESENTS, the undersigned hereby constitute and appoint Scott Koenig, M.D., Ph.D. and James Karrels and each of them, his true and lawful attorney-in-fact and agent, each with full power of substitution and resubstitution, for him and in his name, place and stead, in any and all capacities, to sign any and all amendments (including post-effective amendments) to this registration statement, or any related registration statement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or necessary to be done in connection therewith, as fully to all intents and purposes as he might or could do in person, hereby ratifying and confirming all that each of said attorneys-in-fact and agents, or his substitute or substitutes, may lawfully do or cause to be done by virtue hereof.</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requirements of the Securities Act of 1933,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0"/>
                <w:szCs w:val="10"/>
                <w:b w:val="1"/>
                <w:bCs w:val="1"/>
                <w:color w:val="auto"/>
                <w:w w:val="90"/>
              </w:rPr>
              <w:t>Signature</w:t>
            </w:r>
          </w:p>
        </w:tc>
        <w:tc>
          <w:tcPr>
            <w:tcW w:w="2320" w:type="dxa"/>
            <w:vAlign w:val="bottom"/>
            <w:gridSpan w:val="2"/>
          </w:tcPr>
          <w:p>
            <w:pPr>
              <w:spacing w:after="0"/>
              <w:rPr>
                <w:sz w:val="10"/>
                <w:szCs w:val="10"/>
                <w:color w:val="auto"/>
              </w:rPr>
            </w:pPr>
          </w:p>
        </w:tc>
        <w:tc>
          <w:tcPr>
            <w:tcW w:w="4400" w:type="dxa"/>
            <w:vAlign w:val="bottom"/>
            <w:gridSpan w:val="3"/>
          </w:tcPr>
          <w:p>
            <w:pPr>
              <w:ind w:left="1980"/>
              <w:spacing w:after="0"/>
              <w:rPr>
                <w:sz w:val="20"/>
                <w:szCs w:val="20"/>
                <w:color w:val="auto"/>
              </w:rPr>
            </w:pPr>
            <w:r>
              <w:rPr>
                <w:rFonts w:ascii="Arial" w:cs="Arial" w:eastAsia="Arial" w:hAnsi="Arial"/>
                <w:sz w:val="10"/>
                <w:szCs w:val="10"/>
                <w:b w:val="1"/>
                <w:bCs w:val="1"/>
                <w:color w:val="auto"/>
              </w:rPr>
              <w:t>Title</w:t>
            </w:r>
          </w:p>
        </w:tc>
        <w:tc>
          <w:tcPr>
            <w:tcW w:w="800" w:type="dxa"/>
            <w:vAlign w:val="bottom"/>
          </w:tcPr>
          <w:p>
            <w:pPr>
              <w:spacing w:after="0"/>
              <w:rPr>
                <w:sz w:val="10"/>
                <w:szCs w:val="10"/>
                <w:color w:val="auto"/>
              </w:rPr>
            </w:pPr>
          </w:p>
        </w:tc>
        <w:tc>
          <w:tcPr>
            <w:tcW w:w="6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Date</w:t>
            </w:r>
          </w:p>
        </w:tc>
      </w:tr>
      <w:tr>
        <w:trPr>
          <w:trHeight w:val="20"/>
        </w:trPr>
        <w:tc>
          <w:tcPr>
            <w:tcW w:w="23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9"/>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Scott Koenig</w:t>
            </w: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spacing w:after="0"/>
              <w:rPr>
                <w:sz w:val="20"/>
                <w:szCs w:val="20"/>
                <w:color w:val="auto"/>
              </w:rPr>
            </w:pPr>
          </w:p>
        </w:tc>
        <w:tc>
          <w:tcPr>
            <w:tcW w:w="1980" w:type="dxa"/>
            <w:vAlign w:val="bottom"/>
          </w:tcPr>
          <w:p>
            <w:pPr>
              <w:ind w:left="100"/>
              <w:spacing w:after="0"/>
              <w:rPr>
                <w:sz w:val="20"/>
                <w:szCs w:val="20"/>
                <w:color w:val="auto"/>
              </w:rPr>
            </w:pPr>
            <w:r>
              <w:rPr>
                <w:rFonts w:ascii="Arial" w:cs="Arial" w:eastAsia="Arial" w:hAnsi="Arial"/>
                <w:sz w:val="14"/>
                <w:szCs w:val="14"/>
                <w:color w:val="auto"/>
                <w:w w:val="92"/>
              </w:rPr>
              <w:t>President and CEO and Director</w:t>
            </w: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5"/>
        </w:trPr>
        <w:tc>
          <w:tcPr>
            <w:tcW w:w="5100" w:type="dxa"/>
            <w:vAlign w:val="bottom"/>
            <w:gridSpan w:val="5"/>
          </w:tcPr>
          <w:p>
            <w:pPr>
              <w:spacing w:after="0"/>
              <w:rPr>
                <w:sz w:val="20"/>
                <w:szCs w:val="20"/>
                <w:color w:val="auto"/>
              </w:rPr>
            </w:pPr>
            <w:r>
              <w:rPr>
                <w:rFonts w:ascii="Arial" w:cs="Arial" w:eastAsia="Arial" w:hAnsi="Arial"/>
                <w:sz w:val="14"/>
                <w:szCs w:val="14"/>
                <w:color w:val="auto"/>
              </w:rPr>
              <w:t>Scott Koenig, M.D., Ph.D.</w:t>
            </w:r>
          </w:p>
        </w:tc>
        <w:tc>
          <w:tcPr>
            <w:tcW w:w="440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(Principal Executive Officer)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James Karrels</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Vice President, Chief Financial Officer and Secretary (Principal</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5"/>
        </w:trPr>
        <w:tc>
          <w:tcPr>
            <w:tcW w:w="5100" w:type="dxa"/>
            <w:vAlign w:val="bottom"/>
            <w:gridSpan w:val="5"/>
          </w:tcPr>
          <w:p>
            <w:pPr>
              <w:spacing w:after="0"/>
              <w:rPr>
                <w:sz w:val="20"/>
                <w:szCs w:val="20"/>
                <w:color w:val="auto"/>
              </w:rPr>
            </w:pPr>
            <w:r>
              <w:rPr>
                <w:rFonts w:ascii="Arial" w:cs="Arial" w:eastAsia="Arial" w:hAnsi="Arial"/>
                <w:sz w:val="14"/>
                <w:szCs w:val="14"/>
                <w:color w:val="auto"/>
              </w:rPr>
              <w:t>James Karrels</w:t>
            </w:r>
          </w:p>
        </w:tc>
        <w:tc>
          <w:tcPr>
            <w:tcW w:w="440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Financial Officer)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Lynn Cilinski</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w w:val="98"/>
              </w:rPr>
              <w:t>Vice President, Controller and Treasurer (Principal Accounting Officer)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Lynn Cilinski</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Paulo Costa</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Paulo Costa</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Kenneth Galbraith</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Kenneth Galbraith</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Edward Hurwitz</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Edward Hurwitz</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Eran Nadav</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Eran Nadav, Ph.D.</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4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Arnold Oronsky, Ph.D.</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5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/s/ Michael Steinmetz</w:t>
            </w:r>
          </w:p>
        </w:tc>
        <w:tc>
          <w:tcPr>
            <w:tcW w:w="440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gridSpan w:val="3"/>
          </w:tcPr>
          <w:p>
            <w:pPr>
              <w:jc w:val="center"/>
              <w:ind w:left="332"/>
              <w:spacing w:after="0"/>
              <w:rPr>
                <w:sz w:val="20"/>
                <w:szCs w:val="20"/>
                <w:color w:val="auto"/>
              </w:rPr>
            </w:pPr>
            <w:r>
              <w:rPr>
                <w:rFonts w:ascii="Arial" w:cs="Arial" w:eastAsia="Arial" w:hAnsi="Arial"/>
                <w:sz w:val="14"/>
                <w:szCs w:val="14"/>
                <w:color w:val="auto"/>
                <w:w w:val="85"/>
              </w:rPr>
              <w:t>September 4, 2013</w:t>
            </w:r>
          </w:p>
        </w:tc>
      </w:tr>
      <w:tr>
        <w:trPr>
          <w:trHeight w:val="164"/>
        </w:trPr>
        <w:tc>
          <w:tcPr>
            <w:tcW w:w="5100" w:type="dxa"/>
            <w:vAlign w:val="bottom"/>
            <w:gridSpan w:val="5"/>
          </w:tcPr>
          <w:p>
            <w:pPr>
              <w:spacing w:after="0"/>
              <w:rPr>
                <w:sz w:val="20"/>
                <w:szCs w:val="20"/>
                <w:color w:val="auto"/>
              </w:rPr>
            </w:pPr>
            <w:r>
              <w:rPr>
                <w:rFonts w:ascii="Arial" w:cs="Arial" w:eastAsia="Arial" w:hAnsi="Arial"/>
                <w:sz w:val="14"/>
                <w:szCs w:val="14"/>
                <w:color w:val="auto"/>
              </w:rPr>
              <w:t>Michael Steinmetz, Ph.D.</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1"/>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4680" w:type="dxa"/>
            <w:vAlign w:val="bottom"/>
            <w:gridSpan w:val="4"/>
          </w:tcPr>
          <w:p>
            <w:pPr>
              <w:ind w:left="100"/>
              <w:spacing w:after="0"/>
              <w:rPr>
                <w:sz w:val="20"/>
                <w:szCs w:val="20"/>
                <w:color w:val="auto"/>
              </w:rPr>
            </w:pPr>
            <w:r>
              <w:rPr>
                <w:rFonts w:ascii="Arial" w:cs="Arial" w:eastAsia="Arial" w:hAnsi="Arial"/>
                <w:sz w:val="14"/>
                <w:szCs w:val="14"/>
                <w:color w:val="auto"/>
              </w:rPr>
              <w:t>/s/ Scott Koenig</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420" w:type="dxa"/>
            <w:vAlign w:val="bottom"/>
          </w:tcPr>
          <w:p>
            <w:pPr>
              <w:spacing w:after="0"/>
              <w:rPr>
                <w:sz w:val="14"/>
                <w:szCs w:val="14"/>
                <w:color w:val="auto"/>
              </w:rPr>
            </w:pPr>
          </w:p>
        </w:tc>
        <w:tc>
          <w:tcPr>
            <w:tcW w:w="416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color w:val="auto"/>
              </w:rPr>
              <w:t>Scott Koenig, M.D., Ph.D., Attorney-in-Fact</w:t>
            </w: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340"/>
          </w:cols>
          <w:pgMar w:left="220" w:top="387" w:right="3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60" w:type="dxa"/>
            <w:vAlign w:val="bottom"/>
            <w:gridSpan w:val="3"/>
          </w:tcPr>
          <w:p>
            <w:pPr>
              <w:ind w:left="4720"/>
              <w:spacing w:after="0"/>
              <w:rPr>
                <w:sz w:val="20"/>
                <w:szCs w:val="20"/>
                <w:color w:val="auto"/>
              </w:rPr>
            </w:pPr>
            <w:r>
              <w:rPr>
                <w:rFonts w:ascii="Arial" w:cs="Arial" w:eastAsia="Arial" w:hAnsi="Arial"/>
                <w:sz w:val="14"/>
                <w:szCs w:val="14"/>
                <w:b w:val="1"/>
                <w:bCs w:val="1"/>
                <w:color w:val="auto"/>
              </w:rPr>
              <w:t>EXHIBIT INDEX</w:t>
            </w:r>
          </w:p>
        </w:tc>
      </w:tr>
      <w:tr>
        <w:trPr>
          <w:trHeight w:val="262"/>
        </w:trPr>
        <w:tc>
          <w:tcPr>
            <w:tcW w:w="12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Exhibit</w:t>
            </w:r>
          </w:p>
        </w:tc>
        <w:tc>
          <w:tcPr>
            <w:tcW w:w="5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126"/>
        </w:trPr>
        <w:tc>
          <w:tcPr>
            <w:tcW w:w="12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No.</w:t>
            </w:r>
          </w:p>
        </w:tc>
        <w:tc>
          <w:tcPr>
            <w:tcW w:w="5560" w:type="dxa"/>
            <w:vAlign w:val="bottom"/>
          </w:tcPr>
          <w:p>
            <w:pPr>
              <w:spacing w:after="0"/>
              <w:rPr>
                <w:sz w:val="10"/>
                <w:szCs w:val="1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0"/>
              </w:rPr>
              <w:t>Description</w:t>
            </w:r>
          </w:p>
        </w:tc>
        <w:tc>
          <w:tcPr>
            <w:tcW w:w="2960" w:type="dxa"/>
            <w:vAlign w:val="bottom"/>
          </w:tcPr>
          <w:p>
            <w:pPr>
              <w:spacing w:after="0"/>
              <w:rPr>
                <w:sz w:val="10"/>
                <w:szCs w:val="10"/>
                <w:color w:val="auto"/>
              </w:rPr>
            </w:pPr>
          </w:p>
        </w:tc>
      </w:tr>
      <w:tr>
        <w:trPr>
          <w:trHeight w:val="239"/>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1.1*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Form of Underwriting Agreement</w:t>
            </w:r>
          </w:p>
        </w:tc>
      </w:tr>
      <w:tr>
        <w:trPr>
          <w:trHeight w:val="251"/>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3.1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Amended and Restated Certificate of Incorporation of Company</w:t>
            </w:r>
          </w:p>
        </w:tc>
      </w:tr>
      <w:tr>
        <w:trPr>
          <w:trHeight w:val="251"/>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3.2*</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Proposed Amended and Restated Certificate of Incorporation of Company</w:t>
            </w:r>
          </w:p>
        </w:tc>
      </w:tr>
      <w:tr>
        <w:trPr>
          <w:trHeight w:val="251"/>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3.3</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Bylaws of Company</w:t>
            </w:r>
          </w:p>
        </w:tc>
      </w:tr>
      <w:tr>
        <w:trPr>
          <w:trHeight w:val="251"/>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3.4*</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Proposed Bylaws of Company</w:t>
            </w:r>
          </w:p>
        </w:tc>
      </w:tr>
      <w:tr>
        <w:trPr>
          <w:trHeight w:val="251"/>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4.1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w w:val="88"/>
              </w:rPr>
              <w:t>Fourth Amended and Restated Registration Rights Agreement by and among the Company, the Founders, and the Investors, dated September 19, 2008</w:t>
            </w:r>
          </w:p>
        </w:tc>
      </w:tr>
      <w:tr>
        <w:trPr>
          <w:trHeight w:val="251"/>
        </w:trPr>
        <w:tc>
          <w:tcPr>
            <w:tcW w:w="480" w:type="dxa"/>
            <w:vAlign w:val="bottom"/>
            <w:gridSpan w:val="2"/>
          </w:tcPr>
          <w:p>
            <w:pPr>
              <w:ind w:left="80"/>
              <w:spacing w:after="0"/>
              <w:rPr>
                <w:sz w:val="20"/>
                <w:szCs w:val="20"/>
                <w:color w:val="auto"/>
              </w:rPr>
            </w:pPr>
            <w:r>
              <w:rPr>
                <w:rFonts w:ascii="Arial" w:cs="Arial" w:eastAsia="Arial" w:hAnsi="Arial"/>
                <w:sz w:val="14"/>
                <w:szCs w:val="14"/>
                <w:color w:val="auto"/>
              </w:rPr>
              <w:t>5.1*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Opinion of Arnold &amp; Porter LLP</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Company 2000 Stock Option and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10.2+</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Form of Incentive Stock Option Agreement under 2000 Stock Option and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10.3+</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Company 2003 Equity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10.4+</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Form of Incentive Stock Option Agreement under 2003 Equity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10.5+*</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Company 2013 Equity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10.6+*</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Form of Incentive Stock Option Agreement under 2013 Equity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10.7+*</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Form of Restricted Stock Agreement under 2013 Equity Incentive Plan</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10.8</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Lease Agreement by and between Red Gate III LLC and the Company, dated May 31, 2011</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10.9</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Amendment to Lease Agreement by and between Red Gate III LLC and the Company, dated March 26, 2013</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10.10</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Lease Agreement by and between W. M. Rickman Construction Co. LLC and the Company, dated December 2, 2004</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Amendment to Lease Agreement by and between W. M. Rickman Construction Co. LLC and the Company, dated January 31, 2006</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10.12</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w w:val="99"/>
              </w:rPr>
              <w:t>Second Amendment to Lease Agreement by and between W. M. Rickman Construction Co. LLC and the Company, dated June 1, 2011</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10.13</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Sublease Agreement by and between Amgen SF, LLC and Raven biotechnologies, Inc., dated November 21, 2006</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10.14*</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Form of Indemnification Agreement</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10.15†</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w w:val="96"/>
              </w:rPr>
              <w:t>Collaboration and License Agreement by and between Boehringer Ingelheim International GmbH and the Company, dated October 18, 2010</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10.16†</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License Agreement by and between the Company and Gilead Sciences, Inc., dated January 3, 2013</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10.17†</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Collaboration Agreement by and between the Company and Green Cross Corp., dated June 30, 2010</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10.18†</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First Amendment to Collaboration Agreement by and between the Company and Green Cross Corp., dated January 19, 2011</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10.19†</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Second Amendment to Collaboration Agreement by and between the Company and Green Cross Corp., dated December 13, 2012</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10.20†</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w w:val="86"/>
              </w:rPr>
              <w:t>Option for a License Agreement by and between the Company and Les Laboratoires Servier and Institut de Recherches Servier, dated September 19, 2012</w:t>
            </w:r>
          </w:p>
        </w:tc>
      </w:tr>
    </w:tbl>
    <w:p>
      <w:pPr>
        <w:sectPr>
          <w:pgSz w:w="11900" w:h="16838" w:orient="portrait"/>
          <w:cols w:equalWidth="0" w:num="1">
            <w:col w:w="10239"/>
          </w:cols>
          <w:pgMar w:left="220" w:top="387" w:right="1440"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Exhibit</w:t>
            </w:r>
          </w:p>
        </w:tc>
        <w:tc>
          <w:tcPr>
            <w:tcW w:w="5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No.</w:t>
            </w:r>
          </w:p>
        </w:tc>
        <w:tc>
          <w:tcPr>
            <w:tcW w:w="5560" w:type="dxa"/>
            <w:vAlign w:val="bottom"/>
          </w:tcPr>
          <w:p>
            <w:pPr>
              <w:spacing w:after="0"/>
              <w:rPr>
                <w:sz w:val="10"/>
                <w:szCs w:val="1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0"/>
              </w:rPr>
              <w:t>Description</w:t>
            </w:r>
          </w:p>
        </w:tc>
        <w:tc>
          <w:tcPr>
            <w:tcW w:w="2960" w:type="dxa"/>
            <w:vAlign w:val="bottom"/>
          </w:tcPr>
          <w:p>
            <w:pPr>
              <w:spacing w:after="0"/>
              <w:rPr>
                <w:sz w:val="10"/>
                <w:szCs w:val="10"/>
                <w:color w:val="auto"/>
              </w:rPr>
            </w:pPr>
          </w:p>
        </w:tc>
      </w:tr>
      <w:tr>
        <w:trPr>
          <w:trHeight w:val="239"/>
        </w:trPr>
        <w:tc>
          <w:tcPr>
            <w:tcW w:w="480" w:type="dxa"/>
            <w:vAlign w:val="bottom"/>
            <w:gridSpan w:val="2"/>
          </w:tcPr>
          <w:p>
            <w:pPr>
              <w:spacing w:after="0"/>
              <w:rPr>
                <w:sz w:val="20"/>
                <w:szCs w:val="20"/>
                <w:color w:val="auto"/>
              </w:rPr>
            </w:pPr>
            <w:r>
              <w:rPr>
                <w:rFonts w:ascii="Arial" w:cs="Arial" w:eastAsia="Arial" w:hAnsi="Arial"/>
                <w:sz w:val="14"/>
                <w:szCs w:val="14"/>
                <w:color w:val="auto"/>
              </w:rPr>
              <w:t>10.21†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w w:val="87"/>
              </w:rPr>
              <w:t>Option for a License Agreement by and between the Company and Les Laboratoires Servier and Institut de Recherches Servier, dated November 24, 2011</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10.22†</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Research Collaboration and License Agreement by and between Pfizer Inc. and the Company, dated October 13, 2010</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10.23†</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w w:val="97"/>
              </w:rPr>
              <w:t>Amendment No. 1 to Research Collaboration and License Agreement by and between Pfizer Inc. and the Company, dated August 9, 2012</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21.1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Subsidiaries of Company</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23.1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Consent of Ernst &amp; Young, LLP, Independent Registered Public Accounting Firm</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23.2*</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Consent of Arnold &amp; Porter LLP (included in Exhibit 5.1)</w:t>
            </w:r>
          </w:p>
        </w:tc>
      </w:tr>
      <w:tr>
        <w:trPr>
          <w:trHeight w:val="251"/>
        </w:trPr>
        <w:tc>
          <w:tcPr>
            <w:tcW w:w="480" w:type="dxa"/>
            <w:vAlign w:val="bottom"/>
            <w:gridSpan w:val="2"/>
          </w:tcPr>
          <w:p>
            <w:pPr>
              <w:spacing w:after="0"/>
              <w:rPr>
                <w:sz w:val="20"/>
                <w:szCs w:val="20"/>
                <w:color w:val="auto"/>
              </w:rPr>
            </w:pPr>
            <w:r>
              <w:rPr>
                <w:rFonts w:ascii="Arial" w:cs="Arial" w:eastAsia="Arial" w:hAnsi="Arial"/>
                <w:sz w:val="14"/>
                <w:szCs w:val="14"/>
                <w:color w:val="auto"/>
              </w:rPr>
              <w:t>24.1</w:t>
            </w:r>
          </w:p>
        </w:tc>
        <w:tc>
          <w:tcPr>
            <w:tcW w:w="9060" w:type="dxa"/>
            <w:vAlign w:val="bottom"/>
            <w:gridSpan w:val="3"/>
          </w:tcPr>
          <w:p>
            <w:pPr>
              <w:ind w:left="680"/>
              <w:spacing w:after="0"/>
              <w:rPr>
                <w:sz w:val="20"/>
                <w:szCs w:val="20"/>
                <w:color w:val="auto"/>
              </w:rPr>
            </w:pPr>
            <w:r>
              <w:rPr>
                <w:rFonts w:ascii="Arial" w:cs="Arial" w:eastAsia="Arial" w:hAnsi="Arial"/>
                <w:sz w:val="14"/>
                <w:szCs w:val="14"/>
                <w:color w:val="auto"/>
              </w:rPr>
              <w:t>Power of Attorney (included on signature pages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72961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15" cy="6350"/>
                    </a:xfrm>
                    <a:prstGeom prst="rect">
                      <a:avLst/>
                    </a:prstGeom>
                    <a:noFill/>
                  </pic:spPr>
                </pic:pic>
              </a:graphicData>
            </a:graphic>
          </wp:anchor>
        </w:drawing>
      </w:r>
    </w:p>
    <w:p>
      <w:pPr>
        <w:spacing w:after="0" w:line="89" w:lineRule="exact"/>
        <w:rPr>
          <w:sz w:val="20"/>
          <w:szCs w:val="20"/>
          <w:color w:val="auto"/>
        </w:rPr>
      </w:pPr>
    </w:p>
    <w:p>
      <w:pPr>
        <w:ind w:left="460" w:hanging="456"/>
        <w:spacing w:after="0"/>
        <w:tabs>
          <w:tab w:leader="none" w:pos="4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2" w:lineRule="exact"/>
        <w:rPr>
          <w:sz w:val="20"/>
          <w:szCs w:val="20"/>
          <w:color w:val="auto"/>
        </w:rPr>
      </w:pPr>
    </w:p>
    <w:p>
      <w:pPr>
        <w:ind w:left="460" w:hanging="456"/>
        <w:spacing w:after="0" w:line="249" w:lineRule="auto"/>
        <w:tabs>
          <w:tab w:leader="none" w:pos="4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Confidential treatment is requested for certain confidential portions of this exhibit pursuant to Rule 406 under the Securities Act. In accordance with Rule 406, these confidential portions have been omitted from this exhibit and filed separately with the Commission.</w:t>
      </w:r>
    </w:p>
    <w:p>
      <w:pPr>
        <w:ind w:left="460" w:hanging="456"/>
        <w:spacing w:after="0"/>
        <w:tabs>
          <w:tab w:leader="none" w:pos="4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ectPr>
          <w:pgSz w:w="11900" w:h="16838" w:orient="portrait"/>
          <w:cols w:equalWidth="0" w:num="1">
            <w:col w:w="11140"/>
          </w:cols>
          <w:pgMar w:left="220" w:top="386" w:right="5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4"/>
          <w:szCs w:val="14"/>
          <w:b w:val="1"/>
          <w:bCs w:val="1"/>
          <w:color w:val="auto"/>
        </w:rPr>
        <w:t>Exhibit 3.1</w:t>
      </w:r>
    </w:p>
    <w:p>
      <w:pPr>
        <w:spacing w:after="0" w:line="71" w:lineRule="exact"/>
        <w:rPr>
          <w:sz w:val="20"/>
          <w:szCs w:val="20"/>
          <w:color w:val="auto"/>
        </w:rPr>
      </w:pPr>
    </w:p>
    <w:p>
      <w:pPr>
        <w:jc w:val="center"/>
        <w:ind w:left="7800"/>
        <w:spacing w:after="0"/>
        <w:rPr>
          <w:sz w:val="20"/>
          <w:szCs w:val="20"/>
          <w:color w:val="auto"/>
        </w:rPr>
      </w:pPr>
      <w:r>
        <w:rPr>
          <w:rFonts w:ascii="Arial" w:cs="Arial" w:eastAsia="Arial" w:hAnsi="Arial"/>
          <w:sz w:val="14"/>
          <w:szCs w:val="14"/>
          <w:i w:val="1"/>
          <w:iCs w:val="1"/>
          <w:color w:val="auto"/>
        </w:rPr>
        <w:t>State of Delaware</w:t>
      </w:r>
    </w:p>
    <w:p>
      <w:pPr>
        <w:spacing w:after="0" w:line="12" w:lineRule="exact"/>
        <w:rPr>
          <w:sz w:val="20"/>
          <w:szCs w:val="20"/>
          <w:color w:val="auto"/>
        </w:rPr>
      </w:pPr>
    </w:p>
    <w:p>
      <w:pPr>
        <w:jc w:val="center"/>
        <w:ind w:left="7800"/>
        <w:spacing w:after="0"/>
        <w:rPr>
          <w:sz w:val="20"/>
          <w:szCs w:val="20"/>
          <w:color w:val="auto"/>
        </w:rPr>
      </w:pPr>
      <w:r>
        <w:rPr>
          <w:rFonts w:ascii="Arial" w:cs="Arial" w:eastAsia="Arial" w:hAnsi="Arial"/>
          <w:sz w:val="14"/>
          <w:szCs w:val="14"/>
          <w:i w:val="1"/>
          <w:iCs w:val="1"/>
          <w:color w:val="auto"/>
        </w:rPr>
        <w:t>Secretary of State</w:t>
      </w:r>
    </w:p>
    <w:p>
      <w:pPr>
        <w:spacing w:after="0" w:line="6" w:lineRule="exact"/>
        <w:rPr>
          <w:sz w:val="20"/>
          <w:szCs w:val="20"/>
          <w:color w:val="auto"/>
        </w:rPr>
      </w:pPr>
    </w:p>
    <w:p>
      <w:pPr>
        <w:jc w:val="center"/>
        <w:ind w:left="7800"/>
        <w:spacing w:after="0"/>
        <w:rPr>
          <w:sz w:val="20"/>
          <w:szCs w:val="20"/>
          <w:color w:val="auto"/>
        </w:rPr>
      </w:pPr>
      <w:r>
        <w:rPr>
          <w:rFonts w:ascii="Arial" w:cs="Arial" w:eastAsia="Arial" w:hAnsi="Arial"/>
          <w:sz w:val="14"/>
          <w:szCs w:val="14"/>
          <w:i w:val="1"/>
          <w:iCs w:val="1"/>
          <w:color w:val="auto"/>
        </w:rPr>
        <w:t>Division of Corporations</w:t>
      </w:r>
    </w:p>
    <w:p>
      <w:pPr>
        <w:spacing w:after="0" w:line="6" w:lineRule="exact"/>
        <w:rPr>
          <w:sz w:val="20"/>
          <w:szCs w:val="20"/>
          <w:color w:val="auto"/>
        </w:rPr>
      </w:pPr>
    </w:p>
    <w:p>
      <w:pPr>
        <w:jc w:val="center"/>
        <w:ind w:left="7800"/>
        <w:spacing w:after="0"/>
        <w:rPr>
          <w:sz w:val="20"/>
          <w:szCs w:val="20"/>
          <w:color w:val="auto"/>
        </w:rPr>
      </w:pPr>
      <w:r>
        <w:rPr>
          <w:rFonts w:ascii="Arial" w:cs="Arial" w:eastAsia="Arial" w:hAnsi="Arial"/>
          <w:sz w:val="14"/>
          <w:szCs w:val="14"/>
          <w:i w:val="1"/>
          <w:iCs w:val="1"/>
          <w:color w:val="auto"/>
        </w:rPr>
        <w:t>Delivered 01:15 PM 09/19/2008</w:t>
      </w:r>
    </w:p>
    <w:p>
      <w:pPr>
        <w:spacing w:after="0" w:line="6" w:lineRule="exact"/>
        <w:rPr>
          <w:sz w:val="20"/>
          <w:szCs w:val="20"/>
          <w:color w:val="auto"/>
        </w:rPr>
      </w:pPr>
    </w:p>
    <w:p>
      <w:pPr>
        <w:jc w:val="center"/>
        <w:ind w:left="7800"/>
        <w:spacing w:after="0"/>
        <w:rPr>
          <w:sz w:val="20"/>
          <w:szCs w:val="20"/>
          <w:color w:val="auto"/>
        </w:rPr>
      </w:pPr>
      <w:r>
        <w:rPr>
          <w:rFonts w:ascii="Arial" w:cs="Arial" w:eastAsia="Arial" w:hAnsi="Arial"/>
          <w:sz w:val="14"/>
          <w:szCs w:val="14"/>
          <w:i w:val="1"/>
          <w:iCs w:val="1"/>
          <w:color w:val="auto"/>
        </w:rPr>
        <w:t>FILED 01:09 PM 09/19/2008</w:t>
      </w:r>
    </w:p>
    <w:p>
      <w:pPr>
        <w:spacing w:after="0" w:line="6" w:lineRule="exact"/>
        <w:rPr>
          <w:sz w:val="20"/>
          <w:szCs w:val="20"/>
          <w:color w:val="auto"/>
        </w:rPr>
      </w:pPr>
    </w:p>
    <w:p>
      <w:pPr>
        <w:jc w:val="center"/>
        <w:ind w:left="7800"/>
        <w:spacing w:after="0"/>
        <w:rPr>
          <w:sz w:val="20"/>
          <w:szCs w:val="20"/>
          <w:color w:val="auto"/>
        </w:rPr>
      </w:pPr>
      <w:r>
        <w:rPr>
          <w:rFonts w:ascii="Arial" w:cs="Arial" w:eastAsia="Arial" w:hAnsi="Arial"/>
          <w:sz w:val="14"/>
          <w:szCs w:val="14"/>
          <w:i w:val="1"/>
          <w:iCs w:val="1"/>
          <w:color w:val="auto"/>
        </w:rPr>
        <w:t>SRV 080969430 – 3274005 FILE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INCORPORATION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Sections 242 and 245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General Corporation Law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the State of Delaware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MacroGenics, Inc., a corporation organized and existing under and by virtue of the General Corporation Law of the State of Delaware, hereby certifies as follows:</w:t>
      </w:r>
    </w:p>
    <w:p>
      <w:pPr>
        <w:spacing w:after="0" w:line="132" w:lineRule="exact"/>
        <w:rPr>
          <w:sz w:val="20"/>
          <w:szCs w:val="20"/>
          <w:color w:val="auto"/>
        </w:rPr>
      </w:pPr>
    </w:p>
    <w:p>
      <w:pPr>
        <w:ind w:left="600" w:hanging="138"/>
        <w:spacing w:after="0"/>
        <w:tabs>
          <w:tab w:leader="none" w:pos="6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name of the corporation is MacroGenics, Inc. (the “</w:t>
      </w:r>
      <w:r>
        <w:rPr>
          <w:rFonts w:ascii="Arial" w:cs="Arial" w:eastAsia="Arial" w:hAnsi="Arial"/>
          <w:sz w:val="14"/>
          <w:szCs w:val="14"/>
          <w:u w:val="single" w:color="auto"/>
          <w:color w:val="auto"/>
        </w:rPr>
        <w:t>Corporation</w:t>
      </w:r>
      <w:r>
        <w:rPr>
          <w:rFonts w:ascii="Arial" w:cs="Arial" w:eastAsia="Arial" w:hAnsi="Arial"/>
          <w:sz w:val="14"/>
          <w:szCs w:val="14"/>
          <w:color w:val="auto"/>
        </w:rPr>
        <w:t>”). The Corporation was originally incorporated on August 14, 2000.</w:t>
      </w:r>
    </w:p>
    <w:p>
      <w:pPr>
        <w:spacing w:after="0" w:line="131" w:lineRule="exact"/>
        <w:rPr>
          <w:rFonts w:ascii="Arial" w:cs="Arial" w:eastAsia="Arial" w:hAnsi="Arial"/>
          <w:sz w:val="14"/>
          <w:szCs w:val="14"/>
          <w:color w:val="auto"/>
        </w:rPr>
      </w:pPr>
    </w:p>
    <w:p>
      <w:pPr>
        <w:ind w:right="40" w:firstLine="462"/>
        <w:spacing w:after="0" w:line="351" w:lineRule="auto"/>
        <w:tabs>
          <w:tab w:leader="none" w:pos="594"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This Amended and Restated Certificate of Incorporation restates and integrates and further amends the Amended and Restated Certificate of Incorporation of the Corporation and was duly adopted by the Board of Directors and the stockholders of the Corporation in accordance with the provisions of Sections 141,228,242 and 245 of the General Corporation Law of the State of Delaware.</w:t>
      </w:r>
    </w:p>
    <w:p>
      <w:pPr>
        <w:spacing w:after="0" w:line="56" w:lineRule="exact"/>
        <w:rPr>
          <w:rFonts w:ascii="Arial" w:cs="Arial" w:eastAsia="Arial" w:hAnsi="Arial"/>
          <w:sz w:val="12"/>
          <w:szCs w:val="12"/>
          <w:color w:val="auto"/>
        </w:rPr>
      </w:pPr>
    </w:p>
    <w:p>
      <w:pPr>
        <w:ind w:right="140" w:firstLine="462"/>
        <w:spacing w:after="0" w:line="267" w:lineRule="auto"/>
        <w:tabs>
          <w:tab w:leader="none" w:pos="59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Immediately upon the filing of this Amended and Restated Certificate of Incorporation, the text of the Certificate of Incorporation of the Corporation is hereby amended and restated in its entirety to read as follows: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FIRST</w:t>
      </w:r>
      <w:r>
        <w:rPr>
          <w:rFonts w:ascii="Arial" w:cs="Arial" w:eastAsia="Arial" w:hAnsi="Arial"/>
          <w:sz w:val="14"/>
          <w:szCs w:val="14"/>
          <w:color w:val="auto"/>
        </w:rPr>
        <w:t>. The name of the corporation is MacroGenics, Inc. (the “</w:t>
      </w:r>
      <w:r>
        <w:rPr>
          <w:rFonts w:ascii="Arial" w:cs="Arial" w:eastAsia="Arial" w:hAnsi="Arial"/>
          <w:sz w:val="14"/>
          <w:szCs w:val="14"/>
          <w:u w:val="single" w:color="auto"/>
          <w:color w:val="auto"/>
        </w:rPr>
        <w:t>Corporation</w:t>
      </w:r>
      <w:r>
        <w:rPr>
          <w:rFonts w:ascii="Arial" w:cs="Arial" w:eastAsia="Arial" w:hAnsi="Arial"/>
          <w:sz w:val="14"/>
          <w:szCs w:val="14"/>
          <w:color w:val="auto"/>
        </w:rPr>
        <w:t>”).</w:t>
      </w:r>
    </w:p>
    <w:p>
      <w:pPr>
        <w:spacing w:after="0" w:line="132" w:lineRule="exact"/>
        <w:rPr>
          <w:sz w:val="20"/>
          <w:szCs w:val="20"/>
          <w:color w:val="auto"/>
        </w:rPr>
      </w:pPr>
    </w:p>
    <w:p>
      <w:pPr>
        <w:ind w:right="240" w:firstLine="458"/>
        <w:spacing w:after="0" w:line="270" w:lineRule="auto"/>
        <w:rPr>
          <w:sz w:val="20"/>
          <w:szCs w:val="20"/>
          <w:color w:val="auto"/>
        </w:rPr>
      </w:pPr>
      <w:r>
        <w:rPr>
          <w:rFonts w:ascii="Arial" w:cs="Arial" w:eastAsia="Arial" w:hAnsi="Arial"/>
          <w:sz w:val="14"/>
          <w:szCs w:val="14"/>
          <w:b w:val="1"/>
          <w:bCs w:val="1"/>
          <w:color w:val="auto"/>
        </w:rPr>
        <w:t>SECOND</w:t>
      </w:r>
      <w:r>
        <w:rPr>
          <w:rFonts w:ascii="Arial" w:cs="Arial" w:eastAsia="Arial" w:hAnsi="Arial"/>
          <w:sz w:val="14"/>
          <w:szCs w:val="14"/>
          <w:color w:val="auto"/>
        </w:rPr>
        <w:t>. The address of the registered office of the Corporation in the State of Delaware is Corporation Trust Center, 1209 Orange Street, in the City of Wilmington, New Castle County, Delaware</w:t>
      </w:r>
      <w:r>
        <w:rPr>
          <w:rFonts w:ascii="Arial" w:cs="Arial" w:eastAsia="Arial" w:hAnsi="Arial"/>
          <w:sz w:val="14"/>
          <w:szCs w:val="14"/>
          <w:b w:val="1"/>
          <w:bCs w:val="1"/>
          <w:color w:val="auto"/>
        </w:rPr>
        <w:t xml:space="preserve"> </w:t>
      </w:r>
      <w:r>
        <w:rPr>
          <w:rFonts w:ascii="Arial" w:cs="Arial" w:eastAsia="Arial" w:hAnsi="Arial"/>
          <w:sz w:val="14"/>
          <w:szCs w:val="14"/>
          <w:color w:val="auto"/>
        </w:rPr>
        <w:t>19801. The name of its registered agent at such address is The Corporation Trust Company.</w:t>
      </w:r>
    </w:p>
    <w:p>
      <w:pPr>
        <w:spacing w:after="0" w:line="97" w:lineRule="exact"/>
        <w:rPr>
          <w:sz w:val="20"/>
          <w:szCs w:val="20"/>
          <w:color w:val="auto"/>
        </w:rPr>
      </w:pPr>
    </w:p>
    <w:p>
      <w:pPr>
        <w:ind w:right="260" w:firstLine="458"/>
        <w:spacing w:after="0" w:line="270" w:lineRule="auto"/>
        <w:rPr>
          <w:sz w:val="20"/>
          <w:szCs w:val="20"/>
          <w:color w:val="auto"/>
        </w:rPr>
      </w:pPr>
      <w:r>
        <w:rPr>
          <w:rFonts w:ascii="Arial" w:cs="Arial" w:eastAsia="Arial" w:hAnsi="Arial"/>
          <w:sz w:val="14"/>
          <w:szCs w:val="14"/>
          <w:b w:val="1"/>
          <w:bCs w:val="1"/>
          <w:color w:val="auto"/>
        </w:rPr>
        <w:t>THIRD</w:t>
      </w:r>
      <w:r>
        <w:rPr>
          <w:rFonts w:ascii="Arial" w:cs="Arial" w:eastAsia="Arial" w:hAnsi="Arial"/>
          <w:sz w:val="14"/>
          <w:szCs w:val="14"/>
          <w:color w:val="auto"/>
        </w:rPr>
        <w:t>. The nature of the business or purposes to be conducted or promoted by the Corporation is to engage in any lawful act or activity for which corporations may be organized under the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Law of the State of Delaware.</w:t>
      </w:r>
    </w:p>
    <w:p>
      <w:pPr>
        <w:spacing w:after="0" w:line="97" w:lineRule="exact"/>
        <w:rPr>
          <w:sz w:val="20"/>
          <w:szCs w:val="20"/>
          <w:color w:val="auto"/>
        </w:rPr>
      </w:pPr>
    </w:p>
    <w:p>
      <w:pPr>
        <w:ind w:right="40" w:firstLine="458"/>
        <w:spacing w:after="0" w:line="322" w:lineRule="auto"/>
        <w:rPr>
          <w:sz w:val="20"/>
          <w:szCs w:val="20"/>
          <w:color w:val="auto"/>
        </w:rPr>
      </w:pPr>
      <w:r>
        <w:rPr>
          <w:rFonts w:ascii="Arial" w:cs="Arial" w:eastAsia="Arial" w:hAnsi="Arial"/>
          <w:sz w:val="12"/>
          <w:szCs w:val="12"/>
          <w:b w:val="1"/>
          <w:bCs w:val="1"/>
          <w:color w:val="auto"/>
        </w:rPr>
        <w:t>FOURTH</w:t>
      </w:r>
      <w:r>
        <w:rPr>
          <w:rFonts w:ascii="Arial" w:cs="Arial" w:eastAsia="Arial" w:hAnsi="Arial"/>
          <w:sz w:val="12"/>
          <w:szCs w:val="12"/>
          <w:color w:val="auto"/>
        </w:rPr>
        <w:t>. The authorized capital stock of the Corporation shall consist of Seven Hundred Twenty Nine Million Five Hundred Ninety Two Thousand Eight Hundred Twenty Eight (729,592,828) shares,</w:t>
      </w:r>
      <w:r>
        <w:rPr>
          <w:rFonts w:ascii="Arial" w:cs="Arial" w:eastAsia="Arial" w:hAnsi="Arial"/>
          <w:sz w:val="12"/>
          <w:szCs w:val="12"/>
          <w:b w:val="1"/>
          <w:bCs w:val="1"/>
          <w:color w:val="auto"/>
        </w:rPr>
        <w:t xml:space="preserve"> </w:t>
      </w:r>
      <w:r>
        <w:rPr>
          <w:rFonts w:ascii="Arial" w:cs="Arial" w:eastAsia="Arial" w:hAnsi="Arial"/>
          <w:sz w:val="12"/>
          <w:szCs w:val="12"/>
          <w:color w:val="auto"/>
        </w:rPr>
        <w:t>consisting of two classes: (i) Four Hundred Twenty Five Million (425,000,000) shares of Common Stock, $0.01 par value per share (the “</w:t>
      </w:r>
      <w:r>
        <w:rPr>
          <w:rFonts w:ascii="Arial" w:cs="Arial" w:eastAsia="Arial" w:hAnsi="Arial"/>
          <w:sz w:val="12"/>
          <w:szCs w:val="12"/>
          <w:u w:val="single" w:color="auto"/>
          <w:color w:val="auto"/>
        </w:rPr>
        <w:t>Common Stock</w:t>
      </w:r>
      <w:r>
        <w:rPr>
          <w:rFonts w:ascii="Arial" w:cs="Arial" w:eastAsia="Arial" w:hAnsi="Arial"/>
          <w:sz w:val="12"/>
          <w:szCs w:val="12"/>
          <w:color w:val="auto"/>
        </w:rPr>
        <w:t>”), and (ii) Three Hundred Four Million Five Hundred Ninety Two Thousand Eight Hundred Twenty Eight (304,592,828) shares of Preferred Stock, $0.01 par value per share (the “</w:t>
      </w:r>
      <w:r>
        <w:rPr>
          <w:rFonts w:ascii="Arial" w:cs="Arial" w:eastAsia="Arial" w:hAnsi="Arial"/>
          <w:sz w:val="12"/>
          <w:szCs w:val="12"/>
          <w:u w:val="single" w:color="auto"/>
          <w:color w:val="auto"/>
        </w:rPr>
        <w:t>Preferred Stock</w:t>
      </w:r>
      <w:r>
        <w:rPr>
          <w:rFonts w:ascii="Arial" w:cs="Arial" w:eastAsia="Arial" w:hAnsi="Arial"/>
          <w:sz w:val="12"/>
          <w:szCs w:val="12"/>
          <w:color w:val="auto"/>
        </w:rPr>
        <w:t>”), issuable in one or more series as hereinafter provided.</w:t>
      </w:r>
    </w:p>
    <w:p>
      <w:pPr>
        <w:sectPr>
          <w:pgSz w:w="11900" w:h="16838" w:orient="portrait"/>
          <w:cols w:equalWidth="0" w:num="1">
            <w:col w:w="11460"/>
          </w:cols>
          <w:pgMar w:left="220" w:top="130" w:right="219" w:bottom="1440" w:gutter="0" w:footer="0" w:header="0"/>
        </w:sectPr>
      </w:pPr>
    </w:p>
    <w:bookmarkStart w:id="208" w:name="page209"/>
    <w:bookmarkEnd w:id="208"/>
    <w:p>
      <w:pPr>
        <w:ind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following is a statement of the designations and the powers, preferences, privileges and rights, and the qualifications, limitations or restrictions thereof in respect of each class of capital stock of the Corporation.</w:t>
      </w:r>
    </w:p>
    <w:p>
      <w:pPr>
        <w:spacing w:after="0" w:line="194" w:lineRule="exact"/>
        <w:rPr>
          <w:sz w:val="20"/>
          <w:szCs w:val="20"/>
          <w:color w:val="auto"/>
        </w:rPr>
      </w:pPr>
    </w:p>
    <w:p>
      <w:pPr>
        <w:ind w:left="900" w:hanging="447"/>
        <w:spacing w:after="0"/>
        <w:tabs>
          <w:tab w:leader="none" w:pos="900"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COMMON STOCK</w:t>
      </w:r>
      <w:r>
        <w:rPr>
          <w:rFonts w:ascii="Arial" w:cs="Arial" w:eastAsia="Arial" w:hAnsi="Arial"/>
          <w:sz w:val="14"/>
          <w:szCs w:val="14"/>
          <w:b w:val="1"/>
          <w:bCs w:val="1"/>
          <w:color w:val="auto"/>
        </w:rPr>
        <w:t>.</w:t>
      </w:r>
    </w:p>
    <w:p>
      <w:pPr>
        <w:spacing w:after="0" w:line="70" w:lineRule="exact"/>
        <w:rPr>
          <w:rFonts w:ascii="Arial" w:cs="Arial" w:eastAsia="Arial" w:hAnsi="Arial"/>
          <w:sz w:val="14"/>
          <w:szCs w:val="14"/>
          <w:b w:val="1"/>
          <w:bCs w:val="1"/>
          <w:color w:val="auto"/>
        </w:rPr>
      </w:pPr>
    </w:p>
    <w:p>
      <w:pPr>
        <w:ind w:right="60" w:firstLine="920"/>
        <w:spacing w:after="0" w:line="267" w:lineRule="auto"/>
        <w:tabs>
          <w:tab w:leader="none" w:pos="1053" w:val="left"/>
        </w:tabs>
        <w:numPr>
          <w:ilvl w:val="1"/>
          <w:numId w:val="123"/>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voting, dividend and liquidation rights of the holders of the Common Stock are subject to and subordinate to those that may be fixed with respect to any shares of the Preferred Stock. The Common Stock is subject to the provisions under “Drag-Along Obligation” in this Article FOURTH, B.7.</w:t>
      </w:r>
    </w:p>
    <w:p>
      <w:pPr>
        <w:spacing w:after="0" w:line="101" w:lineRule="exact"/>
        <w:rPr>
          <w:rFonts w:ascii="Arial" w:cs="Arial" w:eastAsia="Arial" w:hAnsi="Arial"/>
          <w:sz w:val="14"/>
          <w:szCs w:val="14"/>
          <w:color w:val="auto"/>
        </w:rPr>
      </w:pPr>
    </w:p>
    <w:p>
      <w:pPr>
        <w:ind w:right="40" w:firstLine="920"/>
        <w:spacing w:after="0" w:line="351" w:lineRule="auto"/>
        <w:tabs>
          <w:tab w:leader="none" w:pos="1053" w:val="left"/>
        </w:tabs>
        <w:numPr>
          <w:ilvl w:val="1"/>
          <w:numId w:val="123"/>
        </w:numPr>
        <w:rPr>
          <w:rFonts w:ascii="Arial" w:cs="Arial" w:eastAsia="Arial" w:hAnsi="Arial"/>
          <w:sz w:val="12"/>
          <w:szCs w:val="12"/>
          <w:color w:val="auto"/>
        </w:rPr>
      </w:pPr>
      <w:r>
        <w:rPr>
          <w:rFonts w:ascii="Arial" w:cs="Arial" w:eastAsia="Arial" w:hAnsi="Arial"/>
          <w:sz w:val="12"/>
          <w:szCs w:val="12"/>
          <w:u w:val="single" w:color="auto"/>
          <w:color w:val="auto"/>
        </w:rPr>
        <w:t>Voting Rights</w:t>
      </w:r>
      <w:r>
        <w:rPr>
          <w:rFonts w:ascii="Arial" w:cs="Arial" w:eastAsia="Arial" w:hAnsi="Arial"/>
          <w:sz w:val="12"/>
          <w:szCs w:val="12"/>
          <w:color w:val="auto"/>
        </w:rPr>
        <w:t>. Except as otherwise required by law, each holder of Common Stock shall have one vote in respect of each share of Common Stock held of record by such holder on the books of the Corporation for the election of directors and all matters submitted to a vote of the stockholders of the Corporation, whether by meeting or by written consent in lieu of a meeting.</w:t>
      </w:r>
    </w:p>
    <w:p>
      <w:pPr>
        <w:spacing w:after="0" w:line="56" w:lineRule="exact"/>
        <w:rPr>
          <w:rFonts w:ascii="Arial" w:cs="Arial" w:eastAsia="Arial" w:hAnsi="Arial"/>
          <w:sz w:val="12"/>
          <w:szCs w:val="12"/>
          <w:color w:val="auto"/>
        </w:rPr>
      </w:pPr>
    </w:p>
    <w:p>
      <w:pPr>
        <w:ind w:right="100" w:firstLine="920"/>
        <w:spacing w:after="0" w:line="267" w:lineRule="auto"/>
        <w:tabs>
          <w:tab w:leader="none" w:pos="1053" w:val="left"/>
        </w:tabs>
        <w:numPr>
          <w:ilvl w:val="1"/>
          <w:numId w:val="123"/>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Dividends may be declared and paid on the Common Stock from funds lawfully available therefore if, as and when determined by the Board of Directors of the Corporation and subject to any preferential dividend rights of any then outstanding Preferred Stock.</w:t>
      </w:r>
    </w:p>
    <w:p>
      <w:pPr>
        <w:spacing w:after="0" w:line="193" w:lineRule="exact"/>
        <w:rPr>
          <w:rFonts w:ascii="Arial" w:cs="Arial" w:eastAsia="Arial" w:hAnsi="Arial"/>
          <w:sz w:val="14"/>
          <w:szCs w:val="14"/>
          <w:color w:val="auto"/>
        </w:rPr>
      </w:pPr>
    </w:p>
    <w:p>
      <w:pPr>
        <w:ind w:left="900" w:hanging="447"/>
        <w:spacing w:after="0"/>
        <w:tabs>
          <w:tab w:leader="none" w:pos="900"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PREFERRED STOCK</w:t>
      </w:r>
    </w:p>
    <w:p>
      <w:pPr>
        <w:spacing w:after="0" w:line="70" w:lineRule="exact"/>
        <w:rPr>
          <w:rFonts w:ascii="Arial" w:cs="Arial" w:eastAsia="Arial" w:hAnsi="Arial"/>
          <w:sz w:val="14"/>
          <w:szCs w:val="14"/>
          <w:b w:val="1"/>
          <w:bCs w:val="1"/>
          <w:color w:val="auto"/>
        </w:rPr>
      </w:pPr>
    </w:p>
    <w:p>
      <w:pPr>
        <w:ind w:left="1060" w:hanging="140"/>
        <w:spacing w:after="0"/>
        <w:tabs>
          <w:tab w:leader="none" w:pos="1060" w:val="left"/>
        </w:tabs>
        <w:numPr>
          <w:ilvl w:val="1"/>
          <w:numId w:val="123"/>
        </w:numPr>
        <w:rPr>
          <w:rFonts w:ascii="Arial" w:cs="Arial" w:eastAsia="Arial" w:hAnsi="Arial"/>
          <w:sz w:val="14"/>
          <w:szCs w:val="14"/>
          <w:color w:val="auto"/>
        </w:rPr>
      </w:pPr>
      <w:r>
        <w:rPr>
          <w:rFonts w:ascii="Arial" w:cs="Arial" w:eastAsia="Arial" w:hAnsi="Arial"/>
          <w:sz w:val="14"/>
          <w:szCs w:val="14"/>
          <w:u w:val="single" w:color="auto"/>
          <w:color w:val="auto"/>
        </w:rPr>
        <w:t>Number of Shares</w:t>
      </w:r>
      <w:r>
        <w:rPr>
          <w:rFonts w:ascii="Arial" w:cs="Arial" w:eastAsia="Arial" w:hAnsi="Arial"/>
          <w:sz w:val="14"/>
          <w:szCs w:val="14"/>
          <w:color w:val="auto"/>
        </w:rPr>
        <w:t>.</w:t>
      </w:r>
    </w:p>
    <w:p>
      <w:pPr>
        <w:spacing w:after="0" w:line="132" w:lineRule="exact"/>
        <w:rPr>
          <w:sz w:val="20"/>
          <w:szCs w:val="20"/>
          <w:color w:val="auto"/>
        </w:rPr>
      </w:pPr>
    </w:p>
    <w:p>
      <w:pPr>
        <w:ind w:firstLine="1490"/>
        <w:spacing w:after="0" w:line="255"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Series A Preferred Stock</w:t>
      </w:r>
      <w:r>
        <w:rPr>
          <w:rFonts w:ascii="Arial" w:cs="Arial" w:eastAsia="Arial" w:hAnsi="Arial"/>
          <w:sz w:val="14"/>
          <w:szCs w:val="14"/>
          <w:color w:val="auto"/>
        </w:rPr>
        <w:t>. Twenty six million, eight hundred seventy four thousand, seven hundred ninety two (26,874,792) shares of the authorized Preferred Stock of the Corporation are hereby designated “Series A-1 Convertible Preferred Stock” (the “</w:t>
      </w:r>
      <w:r>
        <w:rPr>
          <w:rFonts w:ascii="Arial" w:cs="Arial" w:eastAsia="Arial" w:hAnsi="Arial"/>
          <w:sz w:val="14"/>
          <w:szCs w:val="14"/>
          <w:u w:val="single" w:color="auto"/>
          <w:color w:val="auto"/>
        </w:rPr>
        <w:t>Series A-1 Preferred Stock</w:t>
      </w:r>
      <w:r>
        <w:rPr>
          <w:rFonts w:ascii="Arial" w:cs="Arial" w:eastAsia="Arial" w:hAnsi="Arial"/>
          <w:sz w:val="14"/>
          <w:szCs w:val="14"/>
          <w:color w:val="auto"/>
        </w:rPr>
        <w:t>”) and seven million, three hundred sixty four thousand, five hundred eighty two (7,364,582) shares of the authorized Preferred Stock of the Corporation are hereby designated “Series A-2 Convertible Preferred Stock” (the “</w:t>
      </w:r>
      <w:r>
        <w:rPr>
          <w:rFonts w:ascii="Arial" w:cs="Arial" w:eastAsia="Arial" w:hAnsi="Arial"/>
          <w:sz w:val="14"/>
          <w:szCs w:val="14"/>
          <w:u w:val="single" w:color="auto"/>
          <w:color w:val="auto"/>
        </w:rPr>
        <w:t>Series A-2 Preferred Stock</w:t>
      </w:r>
      <w:r>
        <w:rPr>
          <w:rFonts w:ascii="Arial" w:cs="Arial" w:eastAsia="Arial" w:hAnsi="Arial"/>
          <w:sz w:val="14"/>
          <w:szCs w:val="14"/>
          <w:color w:val="auto"/>
        </w:rPr>
        <w:t>” and, together with the Series A-1 Preferred Stock, the “</w:t>
      </w:r>
      <w:r>
        <w:rPr>
          <w:rFonts w:ascii="Arial" w:cs="Arial" w:eastAsia="Arial" w:hAnsi="Arial"/>
          <w:sz w:val="14"/>
          <w:szCs w:val="14"/>
          <w:u w:val="single" w:color="auto"/>
          <w:color w:val="auto"/>
        </w:rPr>
        <w:t>Series A Preferred Stock</w:t>
      </w:r>
      <w:r>
        <w:rPr>
          <w:rFonts w:ascii="Arial" w:cs="Arial" w:eastAsia="Arial" w:hAnsi="Arial"/>
          <w:sz w:val="14"/>
          <w:szCs w:val="14"/>
          <w:color w:val="auto"/>
        </w:rPr>
        <w:t>”).</w:t>
      </w:r>
    </w:p>
    <w:p>
      <w:pPr>
        <w:spacing w:after="0" w:line="110" w:lineRule="exact"/>
        <w:rPr>
          <w:sz w:val="20"/>
          <w:szCs w:val="20"/>
          <w:color w:val="auto"/>
        </w:rPr>
      </w:pPr>
    </w:p>
    <w:p>
      <w:pPr>
        <w:ind w:right="40" w:firstLine="1490"/>
        <w:spacing w:after="0" w:line="267"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Series B Preferred Stock</w:t>
      </w:r>
      <w:r>
        <w:rPr>
          <w:rFonts w:ascii="Arial" w:cs="Arial" w:eastAsia="Arial" w:hAnsi="Arial"/>
          <w:sz w:val="14"/>
          <w:szCs w:val="14"/>
          <w:color w:val="auto"/>
        </w:rPr>
        <w:t>. Seventy one million, four hundred one thousand, two hundred thirty seven (71,401,237) shares of the authorized Preferred Stock of the Corporation are hereby designated “Series B-1 Convertible Preferred Stock” (the “</w:t>
      </w:r>
      <w:r>
        <w:rPr>
          <w:rFonts w:ascii="Arial" w:cs="Arial" w:eastAsia="Arial" w:hAnsi="Arial"/>
          <w:sz w:val="14"/>
          <w:szCs w:val="14"/>
          <w:u w:val="single" w:color="auto"/>
          <w:color w:val="auto"/>
        </w:rPr>
        <w:t>Series B Preferred Stock</w:t>
      </w:r>
      <w:r>
        <w:rPr>
          <w:rFonts w:ascii="Arial" w:cs="Arial" w:eastAsia="Arial" w:hAnsi="Arial"/>
          <w:sz w:val="14"/>
          <w:szCs w:val="14"/>
          <w:color w:val="auto"/>
        </w:rPr>
        <w:t>”).</w:t>
      </w:r>
    </w:p>
    <w:p>
      <w:pPr>
        <w:spacing w:after="0" w:line="101" w:lineRule="exact"/>
        <w:rPr>
          <w:sz w:val="20"/>
          <w:szCs w:val="20"/>
          <w:color w:val="auto"/>
        </w:rPr>
      </w:pPr>
    </w:p>
    <w:p>
      <w:pPr>
        <w:ind w:right="460" w:firstLine="1490"/>
        <w:spacing w:after="0" w:line="267"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Series C Preferred Stock</w:t>
      </w:r>
      <w:r>
        <w:rPr>
          <w:rFonts w:ascii="Arial" w:cs="Arial" w:eastAsia="Arial" w:hAnsi="Arial"/>
          <w:sz w:val="14"/>
          <w:szCs w:val="14"/>
          <w:color w:val="auto"/>
        </w:rPr>
        <w:t>. One hundred ten million, nine hundred fifty two thousand, two hundred seventeen (110,952,217) shares of the authorized Preferred Stock of the Corporation are hereby designated “Series C Convertible Preferred Stock” (the “</w:t>
      </w:r>
      <w:r>
        <w:rPr>
          <w:rFonts w:ascii="Arial" w:cs="Arial" w:eastAsia="Arial" w:hAnsi="Arial"/>
          <w:sz w:val="14"/>
          <w:szCs w:val="14"/>
          <w:u w:val="single" w:color="auto"/>
          <w:color w:val="auto"/>
        </w:rPr>
        <w:t>Series C Preferred Stock</w:t>
      </w:r>
      <w:r>
        <w:rPr>
          <w:rFonts w:ascii="Arial" w:cs="Arial" w:eastAsia="Arial" w:hAnsi="Arial"/>
          <w:sz w:val="14"/>
          <w:szCs w:val="14"/>
          <w:color w:val="auto"/>
        </w:rPr>
        <w: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380"/>
          </w:cols>
          <w:pgMar w:left="220" w:top="247" w:right="299" w:bottom="1440" w:gutter="0" w:footer="0" w:header="0"/>
        </w:sectPr>
      </w:pPr>
    </w:p>
    <w:bookmarkStart w:id="209" w:name="page210"/>
    <w:bookmarkEnd w:id="209"/>
    <w:p>
      <w:pPr>
        <w:ind w:firstLine="149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1.4 </w:t>
      </w:r>
      <w:r>
        <w:rPr>
          <w:rFonts w:ascii="Arial" w:cs="Arial" w:eastAsia="Arial" w:hAnsi="Arial"/>
          <w:sz w:val="14"/>
          <w:szCs w:val="14"/>
          <w:u w:val="single" w:color="auto"/>
          <w:color w:val="auto"/>
        </w:rPr>
        <w:t>Series D and Series D-2 Preferred Stock</w:t>
      </w:r>
      <w:r>
        <w:rPr>
          <w:rFonts w:ascii="Arial" w:cs="Arial" w:eastAsia="Arial" w:hAnsi="Arial"/>
          <w:sz w:val="14"/>
          <w:szCs w:val="14"/>
          <w:color w:val="auto"/>
        </w:rPr>
        <w:t>. Thirty million (30,000,000) shares of the authorized Preferred Stock of the Corporation are hereby designated “Series D Convertible Preferred Stock” (the “</w:t>
      </w:r>
      <w:r>
        <w:rPr>
          <w:rFonts w:ascii="Arial" w:cs="Arial" w:eastAsia="Arial" w:hAnsi="Arial"/>
          <w:sz w:val="14"/>
          <w:szCs w:val="14"/>
          <w:u w:val="single" w:color="auto"/>
          <w:color w:val="auto"/>
        </w:rPr>
        <w:t>Series D Preferred Stock</w:t>
      </w:r>
      <w:r>
        <w:rPr>
          <w:rFonts w:ascii="Arial" w:cs="Arial" w:eastAsia="Arial" w:hAnsi="Arial"/>
          <w:sz w:val="14"/>
          <w:szCs w:val="14"/>
          <w:color w:val="auto"/>
        </w:rPr>
        <w:t>”), and fifty eight million (58,000,000) shares of the authorized Preferred Stock of the Corporation are hereby designated “Series D-2 Convertible Preferred Stock” (the “</w:t>
      </w:r>
      <w:r>
        <w:rPr>
          <w:rFonts w:ascii="Arial" w:cs="Arial" w:eastAsia="Arial" w:hAnsi="Arial"/>
          <w:sz w:val="14"/>
          <w:szCs w:val="14"/>
          <w:u w:val="single" w:color="auto"/>
          <w:color w:val="auto"/>
        </w:rPr>
        <w:t>Series D-2 Preferred Stock</w:t>
      </w:r>
      <w:r>
        <w:rPr>
          <w:rFonts w:ascii="Arial" w:cs="Arial" w:eastAsia="Arial" w:hAnsi="Arial"/>
          <w:sz w:val="14"/>
          <w:szCs w:val="14"/>
          <w:color w:val="auto"/>
        </w:rPr>
        <w:t>”).</w:t>
      </w:r>
    </w:p>
    <w:p>
      <w:pPr>
        <w:spacing w:after="0" w:line="108" w:lineRule="exact"/>
        <w:rPr>
          <w:sz w:val="20"/>
          <w:szCs w:val="20"/>
          <w:color w:val="auto"/>
        </w:rPr>
      </w:pPr>
    </w:p>
    <w:p>
      <w:pPr>
        <w:ind w:left="1060" w:hanging="140"/>
        <w:spacing w:after="0"/>
        <w:tabs>
          <w:tab w:leader="none" w:pos="1060"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Voting</w:t>
      </w:r>
      <w:r>
        <w:rPr>
          <w:rFonts w:ascii="Arial" w:cs="Arial" w:eastAsia="Arial" w:hAnsi="Arial"/>
          <w:sz w:val="14"/>
          <w:szCs w:val="14"/>
          <w:color w:val="auto"/>
        </w:rPr>
        <w:t>.</w:t>
      </w:r>
    </w:p>
    <w:p>
      <w:pPr>
        <w:spacing w:after="0" w:line="132" w:lineRule="exact"/>
        <w:rPr>
          <w:sz w:val="20"/>
          <w:szCs w:val="20"/>
          <w:color w:val="auto"/>
        </w:rPr>
      </w:pPr>
    </w:p>
    <w:p>
      <w:pPr>
        <w:ind w:right="20" w:firstLine="1490"/>
        <w:spacing w:after="0" w:line="311"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General</w:t>
      </w:r>
      <w:r>
        <w:rPr>
          <w:rFonts w:ascii="Arial" w:cs="Arial" w:eastAsia="Arial" w:hAnsi="Arial"/>
          <w:sz w:val="12"/>
          <w:szCs w:val="12"/>
          <w:color w:val="auto"/>
        </w:rPr>
        <w:t>. Except as may be otherwise provided in these terms of the Preferred Stock or by law, the Preferred Stock shall vote together with all other classes and series of stock of the Corporation entitled to vote as a single class on all actions to be taken by the stockholders of the Corporation, including but not limited to actions amending the Certificate of Incorporation to increase the number of authorized shares of Common Stock, irrespective of the provisions of Section 242(b)(2) of the General Corporation Law of the State of Delaware. Each share of Preferred Stock shall entitle the holder thereof to such number of votes per share on each such action as shall equal the number of shares of Common Stock (including fractions of a share) into which each share of Preferred Stock is then convertible.</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Board of Directors</w:t>
      </w:r>
      <w:r>
        <w:rPr>
          <w:rFonts w:ascii="Arial" w:cs="Arial" w:eastAsia="Arial" w:hAnsi="Arial"/>
          <w:sz w:val="14"/>
          <w:szCs w:val="14"/>
          <w:color w:val="auto"/>
        </w:rPr>
        <w:t>. The Board of Directors shall be elected as follows:</w:t>
      </w:r>
    </w:p>
    <w:p>
      <w:pPr>
        <w:spacing w:after="0" w:line="132" w:lineRule="exact"/>
        <w:rPr>
          <w:sz w:val="20"/>
          <w:szCs w:val="20"/>
          <w:color w:val="auto"/>
        </w:rPr>
      </w:pPr>
    </w:p>
    <w:p>
      <w:pPr>
        <w:ind w:right="60" w:firstLine="1952"/>
        <w:spacing w:after="0" w:line="295" w:lineRule="auto"/>
        <w:tabs>
          <w:tab w:leader="none" w:pos="2133" w:val="left"/>
        </w:tabs>
        <w:numPr>
          <w:ilvl w:val="1"/>
          <w:numId w:val="125"/>
        </w:numPr>
        <w:rPr>
          <w:rFonts w:ascii="Arial" w:cs="Arial" w:eastAsia="Arial" w:hAnsi="Arial"/>
          <w:sz w:val="12"/>
          <w:szCs w:val="12"/>
          <w:color w:val="auto"/>
        </w:rPr>
      </w:pPr>
      <w:r>
        <w:rPr>
          <w:rFonts w:ascii="Arial" w:cs="Arial" w:eastAsia="Arial" w:hAnsi="Arial"/>
          <w:sz w:val="12"/>
          <w:szCs w:val="12"/>
          <w:color w:val="auto"/>
        </w:rPr>
        <w:t>For so long as at least four million (4,000,000) shares of Series A Preferred Stock remain outstanding (subject to adjustment for any stock split, reverse stock split or similar event affecting the Series A Preferred Stock after the filing date hereof), the holders of a majority of the then-outstanding Series A Preferred Stock, voting as a separate class, shall be entitled to elect two</w:t>
      </w:r>
    </w:p>
    <w:p>
      <w:pPr>
        <w:ind w:left="200" w:hanging="196"/>
        <w:spacing w:after="0"/>
        <w:tabs>
          <w:tab w:leader="none" w:pos="2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directors of the Corporation.</w:t>
      </w:r>
    </w:p>
    <w:p>
      <w:pPr>
        <w:spacing w:after="0" w:line="125" w:lineRule="exact"/>
        <w:rPr>
          <w:rFonts w:ascii="Arial" w:cs="Arial" w:eastAsia="Arial" w:hAnsi="Arial"/>
          <w:sz w:val="14"/>
          <w:szCs w:val="14"/>
          <w:color w:val="auto"/>
        </w:rPr>
      </w:pPr>
    </w:p>
    <w:p>
      <w:pPr>
        <w:ind w:right="60" w:firstLine="1952"/>
        <w:spacing w:after="0" w:line="295" w:lineRule="auto"/>
        <w:tabs>
          <w:tab w:leader="none" w:pos="2141" w:val="left"/>
        </w:tabs>
        <w:numPr>
          <w:ilvl w:val="1"/>
          <w:numId w:val="126"/>
        </w:numPr>
        <w:rPr>
          <w:rFonts w:ascii="Arial" w:cs="Arial" w:eastAsia="Arial" w:hAnsi="Arial"/>
          <w:sz w:val="12"/>
          <w:szCs w:val="12"/>
          <w:color w:val="auto"/>
        </w:rPr>
      </w:pPr>
      <w:r>
        <w:rPr>
          <w:rFonts w:ascii="Arial" w:cs="Arial" w:eastAsia="Arial" w:hAnsi="Arial"/>
          <w:sz w:val="12"/>
          <w:szCs w:val="12"/>
          <w:color w:val="auto"/>
        </w:rPr>
        <w:t>For so long as at least four million (4,000,000) shares of Series B Preferred Stock remain outstanding (subject to adjustment for any stock split, reverse stock split or similar event affecting the Series B Preferred Stock after the filing date hereof), the holders of a majority of the then-outstanding Series B Preferred Stock, voting as a separate class, shall be entitled to elect two</w:t>
      </w:r>
    </w:p>
    <w:p>
      <w:pPr>
        <w:ind w:left="200" w:hanging="196"/>
        <w:spacing w:after="0"/>
        <w:tabs>
          <w:tab w:leader="none" w:pos="2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directors of the Corporation.</w:t>
      </w:r>
    </w:p>
    <w:p>
      <w:pPr>
        <w:spacing w:after="0" w:line="125" w:lineRule="exact"/>
        <w:rPr>
          <w:rFonts w:ascii="Arial" w:cs="Arial" w:eastAsia="Arial" w:hAnsi="Arial"/>
          <w:sz w:val="14"/>
          <w:szCs w:val="14"/>
          <w:color w:val="auto"/>
        </w:rPr>
      </w:pPr>
    </w:p>
    <w:p>
      <w:pPr>
        <w:ind w:right="60" w:firstLine="1952"/>
        <w:spacing w:after="0" w:line="295" w:lineRule="auto"/>
        <w:tabs>
          <w:tab w:leader="none" w:pos="2133" w:val="left"/>
        </w:tabs>
        <w:numPr>
          <w:ilvl w:val="1"/>
          <w:numId w:val="127"/>
        </w:numPr>
        <w:rPr>
          <w:rFonts w:ascii="Arial" w:cs="Arial" w:eastAsia="Arial" w:hAnsi="Arial"/>
          <w:sz w:val="12"/>
          <w:szCs w:val="12"/>
          <w:color w:val="auto"/>
        </w:rPr>
      </w:pPr>
      <w:r>
        <w:rPr>
          <w:rFonts w:ascii="Arial" w:cs="Arial" w:eastAsia="Arial" w:hAnsi="Arial"/>
          <w:sz w:val="12"/>
          <w:szCs w:val="12"/>
          <w:color w:val="auto"/>
        </w:rPr>
        <w:t>For so long as at least four million (4,000,000) shares of Series C Preferred Stock remain outstanding (subject to adjustment for any stock split, reverse stock split or similar event affecting the Series C Preferred Stock after the filing date hereof), the holders of a majority of the then-outstanding Series C Preferred Stock, voting as a separate class, shall be entitled to elect two</w:t>
      </w:r>
    </w:p>
    <w:p>
      <w:pPr>
        <w:ind w:left="200" w:hanging="196"/>
        <w:spacing w:after="0"/>
        <w:tabs>
          <w:tab w:leader="none" w:pos="2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directors of the Corporation.</w:t>
      </w:r>
    </w:p>
    <w:p>
      <w:pPr>
        <w:spacing w:after="0" w:line="125" w:lineRule="exact"/>
        <w:rPr>
          <w:rFonts w:ascii="Arial" w:cs="Arial" w:eastAsia="Arial" w:hAnsi="Arial"/>
          <w:sz w:val="14"/>
          <w:szCs w:val="14"/>
          <w:color w:val="auto"/>
        </w:rPr>
      </w:pPr>
    </w:p>
    <w:p>
      <w:pPr>
        <w:ind w:left="2140" w:hanging="188"/>
        <w:spacing w:after="0"/>
        <w:tabs>
          <w:tab w:leader="none" w:pos="214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The holders of a majority of the Common Stock, voting as a separate class, shall be entitled to elect one (1) director of the Corporation.</w:t>
      </w:r>
    </w:p>
    <w:p>
      <w:pPr>
        <w:spacing w:after="0" w:line="131" w:lineRule="exact"/>
        <w:rPr>
          <w:rFonts w:ascii="Arial" w:cs="Arial" w:eastAsia="Arial" w:hAnsi="Arial"/>
          <w:sz w:val="14"/>
          <w:szCs w:val="14"/>
          <w:color w:val="auto"/>
        </w:rPr>
      </w:pPr>
    </w:p>
    <w:p>
      <w:pPr>
        <w:ind w:right="300" w:firstLine="1952"/>
        <w:spacing w:after="0" w:line="351" w:lineRule="auto"/>
        <w:tabs>
          <w:tab w:leader="none" w:pos="2133" w:val="left"/>
        </w:tabs>
        <w:numPr>
          <w:ilvl w:val="1"/>
          <w:numId w:val="128"/>
        </w:numPr>
        <w:rPr>
          <w:rFonts w:ascii="Arial" w:cs="Arial" w:eastAsia="Arial" w:hAnsi="Arial"/>
          <w:sz w:val="12"/>
          <w:szCs w:val="12"/>
          <w:color w:val="auto"/>
        </w:rPr>
      </w:pPr>
      <w:r>
        <w:rPr>
          <w:rFonts w:ascii="Arial" w:cs="Arial" w:eastAsia="Arial" w:hAnsi="Arial"/>
          <w:sz w:val="12"/>
          <w:szCs w:val="12"/>
          <w:color w:val="auto"/>
        </w:rPr>
        <w:t xml:space="preserve">The holders of a majority of the Common Stock and the holders of at least sixty-six and two-thirds percent (66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(a “</w:t>
      </w:r>
      <w:r>
        <w:rPr>
          <w:rFonts w:ascii="Arial" w:cs="Arial" w:eastAsia="Arial" w:hAnsi="Arial"/>
          <w:sz w:val="12"/>
          <w:szCs w:val="12"/>
          <w:u w:val="single" w:color="auto"/>
          <w:color w:val="auto"/>
        </w:rPr>
        <w:t>Two-Thirds Interest</w:t>
      </w:r>
      <w:r>
        <w:rPr>
          <w:rFonts w:ascii="Arial" w:cs="Arial" w:eastAsia="Arial" w:hAnsi="Arial"/>
          <w:sz w:val="12"/>
          <w:szCs w:val="12"/>
          <w:color w:val="auto"/>
        </w:rPr>
        <w:t>”) of the Preferred Stock, voting together as a single class (and on an as-if-converted basis to Common Stock with respect to the Preferred Stock), shall be entitled to elect all remaining members of the Board of Directors.</w:t>
      </w:r>
    </w:p>
    <w:p>
      <w:pPr>
        <w:spacing w:after="0" w:line="45" w:lineRule="exact"/>
        <w:rPr>
          <w:rFonts w:ascii="Arial" w:cs="Arial" w:eastAsia="Arial" w:hAnsi="Arial"/>
          <w:sz w:val="12"/>
          <w:szCs w:val="12"/>
          <w:color w:val="auto"/>
        </w:rPr>
      </w:pPr>
    </w:p>
    <w:p>
      <w:pPr>
        <w:ind w:left="5700" w:hanging="79"/>
        <w:spacing w:after="0"/>
        <w:tabs>
          <w:tab w:leader="none" w:pos="5700" w:val="left"/>
        </w:tabs>
        <w:numPr>
          <w:ilvl w:val="2"/>
          <w:numId w:val="128"/>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60"/>
          </w:cols>
          <w:pgMar w:left="220" w:top="247" w:right="219" w:bottom="1440" w:gutter="0" w:footer="0" w:header="0"/>
        </w:sectPr>
      </w:pPr>
    </w:p>
    <w:bookmarkStart w:id="210" w:name="page211"/>
    <w:bookmarkEnd w:id="210"/>
    <w:p>
      <w:pPr>
        <w:ind w:right="100" w:firstLine="1952"/>
        <w:spacing w:after="0" w:line="305" w:lineRule="auto"/>
        <w:tabs>
          <w:tab w:leader="none" w:pos="2118" w:val="left"/>
        </w:tabs>
        <w:numPr>
          <w:ilvl w:val="1"/>
          <w:numId w:val="12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 vacancy in any directorship elected by the holders of the Series A Preferred Stock shall be filled only by vote or written consent of the holders of the Series A Preferred Stock, a vacancy in any directorship elected by the holders of the Series B Preferred Stock shall be filled only by vote or written consent of the holders of the Series B Preferred Stock, a vacancy in any directorship elected by the holders of the Series C Preferred Stock shall be filled only by vote or written consent of the holders of the Series C Preferred Stock, a vacancy in any directorship elected by the holders of the Common Stock shall be filled only by vote or written consent of the holders of the Common Stock, and a vacancy in any directorship elected jointly by the holders of the Preferred Stock and the Common Stock shall be filled only by vote or written consent of the Preferred Stock and the Common Stock voting together as a single class on an as- converted basis.</w:t>
      </w:r>
    </w:p>
    <w:p>
      <w:pPr>
        <w:spacing w:after="0" w:line="84" w:lineRule="exact"/>
        <w:rPr>
          <w:rFonts w:ascii="Arial" w:cs="Arial" w:eastAsia="Arial" w:hAnsi="Arial"/>
          <w:sz w:val="12"/>
          <w:szCs w:val="12"/>
          <w:color w:val="auto"/>
        </w:rPr>
      </w:pPr>
    </w:p>
    <w:p>
      <w:pPr>
        <w:ind w:right="180" w:firstLine="1952"/>
        <w:spacing w:after="0" w:line="321" w:lineRule="auto"/>
        <w:tabs>
          <w:tab w:leader="none" w:pos="2141" w:val="left"/>
        </w:tabs>
        <w:numPr>
          <w:ilvl w:val="1"/>
          <w:numId w:val="129"/>
        </w:numPr>
        <w:rPr>
          <w:rFonts w:ascii="Arial" w:cs="Arial" w:eastAsia="Arial" w:hAnsi="Arial"/>
          <w:sz w:val="12"/>
          <w:szCs w:val="12"/>
          <w:color w:val="auto"/>
        </w:rPr>
      </w:pPr>
      <w:r>
        <w:rPr>
          <w:rFonts w:ascii="Arial" w:cs="Arial" w:eastAsia="Arial" w:hAnsi="Arial"/>
          <w:sz w:val="12"/>
          <w:szCs w:val="12"/>
          <w:color w:val="auto"/>
        </w:rPr>
        <w:t>Any director elected as provided in Sections 2.2(a) through (e) hereof may be removed during the aforesaid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73" w:lineRule="exact"/>
        <w:rPr>
          <w:rFonts w:ascii="Arial" w:cs="Arial" w:eastAsia="Arial" w:hAnsi="Arial"/>
          <w:sz w:val="12"/>
          <w:szCs w:val="12"/>
          <w:color w:val="auto"/>
        </w:rPr>
      </w:pPr>
    </w:p>
    <w:p>
      <w:pPr>
        <w:ind w:left="1060" w:hanging="140"/>
        <w:spacing w:after="0"/>
        <w:tabs>
          <w:tab w:leader="none" w:pos="1060"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w:t>
      </w:r>
    </w:p>
    <w:p>
      <w:pPr>
        <w:spacing w:after="0" w:line="132" w:lineRule="exact"/>
        <w:rPr>
          <w:sz w:val="20"/>
          <w:szCs w:val="20"/>
          <w:color w:val="auto"/>
        </w:rPr>
      </w:pPr>
    </w:p>
    <w:p>
      <w:pPr>
        <w:ind w:right="100" w:firstLine="1490"/>
        <w:spacing w:after="0" w:line="31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Series D-2 Preferred Dividends</w:t>
      </w:r>
      <w:r>
        <w:rPr>
          <w:rFonts w:ascii="Arial" w:cs="Arial" w:eastAsia="Arial" w:hAnsi="Arial"/>
          <w:sz w:val="12"/>
          <w:szCs w:val="12"/>
          <w:color w:val="auto"/>
        </w:rPr>
        <w:t>. The holders of the Series D-2 Preferred Stock, in preference to the holders of Series D Preferred Stock, Series C Preferred Stock, Series B Preferred Stock, Series A Preferred Stock, Common Stock and of any other capital stock of the Corporation ranking junior to the Series D-2 Preferred Stock as to payment of dividends, shall be entitled to receive, pari passu, when, as and if declared by the Board of Directors of the Corporation and out of funds legally available therefor, non-cumulative cash dividends at the annual rate of $0.0522 per share (such dividends subject to equitable adjustment in the event of any stock dividend, stock split, combination, reorganization, recapitalization, reclassification or other similar event).</w:t>
      </w:r>
    </w:p>
    <w:p>
      <w:pPr>
        <w:spacing w:after="0" w:line="79" w:lineRule="exact"/>
        <w:rPr>
          <w:sz w:val="20"/>
          <w:szCs w:val="20"/>
          <w:color w:val="auto"/>
        </w:rPr>
      </w:pPr>
    </w:p>
    <w:p>
      <w:pPr>
        <w:ind w:firstLine="1490"/>
        <w:spacing w:after="0" w:line="305"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Series C and D Preferred Dividends</w:t>
      </w:r>
      <w:r>
        <w:rPr>
          <w:rFonts w:ascii="Arial" w:cs="Arial" w:eastAsia="Arial" w:hAnsi="Arial"/>
          <w:sz w:val="12"/>
          <w:szCs w:val="12"/>
          <w:color w:val="auto"/>
        </w:rPr>
        <w:t>. Subject to the prior dividend rights of the holders of the Series D-2 Preferred Stock, the holders of the Series D Preferred Stock and Series C Preferred Stock, in preference to the holders of Series B Preferred Stock, Series A Preferred Stock, Common Stock and of any other capital stock of the Corporation ranking junior to the Series D Preferred Stock and Series C Preferred Stock as to payment of dividends, shall be entitled to receive, pari passu, when, as and if declared by the Board of Directors of the Corporation and out of funds legally available therefor, non-cumulative cash dividends at the annual rate of $0.0324 per share of Series C Preferred Stock and $0.0522 per share of Series D Preferred Stock, as applicable (such dividends subject to equitable adjustment in the event of any stock dividend, stock split, combination, reorganization, recapitalization, reclassification or other similar event).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60"/>
          </w:cols>
          <w:pgMar w:left="220" w:top="247" w:right="219" w:bottom="1440" w:gutter="0" w:footer="0" w:header="0"/>
        </w:sectPr>
      </w:pPr>
    </w:p>
    <w:bookmarkStart w:id="211" w:name="page212"/>
    <w:bookmarkEnd w:id="211"/>
    <w:p>
      <w:pPr>
        <w:ind w:right="80" w:firstLine="149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3.3 </w:t>
      </w:r>
      <w:r>
        <w:rPr>
          <w:rFonts w:ascii="Arial" w:cs="Arial" w:eastAsia="Arial" w:hAnsi="Arial"/>
          <w:sz w:val="14"/>
          <w:szCs w:val="14"/>
          <w:u w:val="single" w:color="auto"/>
          <w:color w:val="auto"/>
        </w:rPr>
        <w:t>Series B Preferred Dividends</w:t>
      </w:r>
      <w:r>
        <w:rPr>
          <w:rFonts w:ascii="Arial" w:cs="Arial" w:eastAsia="Arial" w:hAnsi="Arial"/>
          <w:sz w:val="14"/>
          <w:szCs w:val="14"/>
          <w:color w:val="auto"/>
        </w:rPr>
        <w:t>. Subject to the prior dividend rights of the holders of the Series D-2 Preferred Stock, the Series D Preferred Stock and the Series C Preferred Stock, the holders of the Series B Preferred Stock, in preference to the holders of shares of the Series A Preferred Stock, Common Stock and of any other capital stock of the Corporation ranking junior to the Series B Preferred Stock as to payment of dividends, shall be entitled to receive when, as and if declared by the Board of Directors of the Corporation and out of funds legally available therefor, non-cumulative cash dividends at the annual rate of $0.0341 per share (such dividends subject to equitable adjustment in the event of any stock dividend, stock split, combination, reorganization, recapitalization, reclassification or other similar event).</w:t>
      </w:r>
    </w:p>
    <w:p>
      <w:pPr>
        <w:spacing w:after="0" w:line="113" w:lineRule="exact"/>
        <w:rPr>
          <w:sz w:val="20"/>
          <w:szCs w:val="20"/>
          <w:color w:val="auto"/>
        </w:rPr>
      </w:pPr>
    </w:p>
    <w:p>
      <w:pPr>
        <w:ind w:right="80" w:firstLine="1490"/>
        <w:spacing w:after="0" w:line="253"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Series A Preferred Dividends</w:t>
      </w:r>
      <w:r>
        <w:rPr>
          <w:rFonts w:ascii="Arial" w:cs="Arial" w:eastAsia="Arial" w:hAnsi="Arial"/>
          <w:sz w:val="14"/>
          <w:szCs w:val="14"/>
          <w:color w:val="auto"/>
        </w:rPr>
        <w:t>. Subject to the prior dividend rights of the holders of the Series D-2 Preferred Stock, the Series D Preferred Stock, the Series C Preferred Stock and the Series B Preferred Stock, the holders of the Series A Preferred Stock, in preference to the holders of shares of Common Stock and of any other capital stock of the Corporation ranking junior to the Series A Preferred Stock as to payment of dividends, shall be entitled to receive when, as and if declared by the Board of Directors of the Corporation and out of funds legally available therefor, non-cumulative cash dividends at the annual rate of $0.08 per share (such dividends subject to equitable adjustment in the event of any stock dividend, stock split, combination, reorganization, recapitalization, reclassification or other similar event).</w:t>
      </w:r>
    </w:p>
    <w:p>
      <w:pPr>
        <w:spacing w:after="0" w:line="113" w:lineRule="exact"/>
        <w:rPr>
          <w:sz w:val="20"/>
          <w:szCs w:val="20"/>
          <w:color w:val="auto"/>
        </w:rPr>
      </w:pPr>
    </w:p>
    <w:p>
      <w:pPr>
        <w:ind w:firstLine="1490"/>
        <w:spacing w:after="0" w:line="321"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Dividend Restrictions</w:t>
      </w:r>
      <w:r>
        <w:rPr>
          <w:rFonts w:ascii="Arial" w:cs="Arial" w:eastAsia="Arial" w:hAnsi="Arial"/>
          <w:sz w:val="12"/>
          <w:szCs w:val="12"/>
          <w:color w:val="auto"/>
        </w:rPr>
        <w:t>. Unless and until annual dividends on the Preferred Stock pursuant to Sections 3.1, 3.2, 3.3 and 3.4 shall have been in each case declared and paid in cash, or declared and a sum sufficient for the payment thereof set apart, no dividend shall be paid or declared and no distribution shall be made on any shares of Common Stock (other than a stock dividend on the Common Stock payable solely in the form of additional shares of Common Stock) or any other class of capital stock ranking junior to the Preferred Stock in any respect.</w:t>
      </w:r>
    </w:p>
    <w:p>
      <w:pPr>
        <w:spacing w:after="0" w:line="73" w:lineRule="exact"/>
        <w:rPr>
          <w:sz w:val="20"/>
          <w:szCs w:val="20"/>
          <w:color w:val="auto"/>
        </w:rPr>
      </w:pPr>
    </w:p>
    <w:p>
      <w:pPr>
        <w:ind w:right="140" w:firstLine="1490"/>
        <w:spacing w:after="0" w:line="305" w:lineRule="auto"/>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u w:val="single" w:color="auto"/>
          <w:color w:val="auto"/>
        </w:rPr>
        <w:t>Participating Dividends</w:t>
      </w:r>
      <w:r>
        <w:rPr>
          <w:rFonts w:ascii="Arial" w:cs="Arial" w:eastAsia="Arial" w:hAnsi="Arial"/>
          <w:sz w:val="12"/>
          <w:szCs w:val="12"/>
          <w:color w:val="auto"/>
        </w:rPr>
        <w:t>. In the event that the Board of Directors of the Corporation shall declare a dividend payable in cash or other property on the then-outstanding shares of Common Stock (other than dividends payable in the form of additional shares of Common Stock or other securities substituted for Common Stock in the event of a reorganization), the holders of the Preferred Stock shall be entitled to receive, out of funds legally available therefor and in addition to the dividends that would be payable pursuant to Sections 3.1, 3.2, 3.3 and 3.4, the amount of dividends per share of Preferred Stock that would be payable on the largest number of whole shares of Common Stock into which each share of Preferred Stock held by each holder could then be converted pursuant to Section 6 hereof, such number to be determined as of the record date for the determination of holders of Common Stock entitled to receive such dividend.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440"/>
          </w:cols>
          <w:pgMar w:left="220" w:top="247" w:right="239" w:bottom="1440" w:gutter="0" w:footer="0" w:header="0"/>
        </w:sectPr>
      </w:pPr>
    </w:p>
    <w:bookmarkStart w:id="212" w:name="page213"/>
    <w:bookmarkEnd w:id="212"/>
    <w:p>
      <w:pPr>
        <w:ind w:left="140" w:hanging="140"/>
        <w:spacing w:after="0"/>
        <w:tabs>
          <w:tab w:leader="none" w:pos="140"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Liquidation</w:t>
      </w:r>
      <w:r>
        <w:rPr>
          <w:rFonts w:ascii="Arial" w:cs="Arial" w:eastAsia="Arial" w:hAnsi="Arial"/>
          <w:sz w:val="14"/>
          <w:szCs w:val="14"/>
          <w:color w:val="auto"/>
        </w:rPr>
        <w:t>.</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132" w:lineRule="exact"/>
        <w:rPr>
          <w:sz w:val="20"/>
          <w:szCs w:val="20"/>
          <w:color w:val="auto"/>
        </w:rPr>
      </w:pPr>
    </w:p>
    <w:p>
      <w:pPr>
        <w:ind w:left="-920" w:firstLine="1952"/>
        <w:spacing w:after="0" w:line="298" w:lineRule="auto"/>
        <w:tabs>
          <w:tab w:leader="none" w:pos="1213" w:val="left"/>
        </w:tabs>
        <w:numPr>
          <w:ilvl w:val="0"/>
          <w:numId w:val="132"/>
        </w:numPr>
        <w:rPr>
          <w:rFonts w:ascii="Arial" w:cs="Arial" w:eastAsia="Arial" w:hAnsi="Arial"/>
          <w:sz w:val="12"/>
          <w:szCs w:val="12"/>
          <w:color w:val="auto"/>
        </w:rPr>
      </w:pPr>
      <w:r>
        <w:rPr>
          <w:rFonts w:ascii="Arial" w:cs="Arial" w:eastAsia="Arial" w:hAnsi="Arial"/>
          <w:sz w:val="12"/>
          <w:szCs w:val="12"/>
          <w:color w:val="auto"/>
        </w:rPr>
        <w:t>Upon any liquidation, dissolution or winding up of the Corporation, whether voluntary or involuntary, the holders of the shares of Series D-2 Preferred Stock shall be entitled to be paid, in priority to and before any distribution or payment to the Series D Preferred Stock, Series C Preferred Stock, Series B Preferred Stock, Series A Preferred Stock, Common Stock or any other stock ranking on liquidation junior to the Series D-2 Preferred Stock, an amount equal to $0.6521 per share of Series D-2 Preferred Stock (subject to equitable adjustment in the event of any stock dividend, stock split, combination, reorganization, recapitalization, reclassification or other similar event affecting such shares) plus, in the case of each share, an amount equal to all dividends under Section 3 hereof declared thereon but unpaid, computed to the date payment thereof is made available, such amount payable with respect to one share of Series D-2 Preferred Stock being sometimes referred to as the “</w:t>
      </w:r>
      <w:r>
        <w:rPr>
          <w:rFonts w:ascii="Arial" w:cs="Arial" w:eastAsia="Arial" w:hAnsi="Arial"/>
          <w:sz w:val="12"/>
          <w:szCs w:val="12"/>
          <w:u w:val="single" w:color="auto"/>
          <w:color w:val="auto"/>
        </w:rPr>
        <w:t>Series D-2</w:t>
      </w:r>
      <w:r>
        <w:rPr>
          <w:rFonts w:ascii="Arial" w:cs="Arial" w:eastAsia="Arial" w:hAnsi="Arial"/>
          <w:sz w:val="12"/>
          <w:szCs w:val="12"/>
          <w:color w:val="auto"/>
        </w:rPr>
        <w:t xml:space="preserve"> </w:t>
      </w:r>
      <w:r>
        <w:rPr>
          <w:rFonts w:ascii="Arial" w:cs="Arial" w:eastAsia="Arial" w:hAnsi="Arial"/>
          <w:sz w:val="12"/>
          <w:szCs w:val="12"/>
          <w:u w:val="single" w:color="auto"/>
          <w:color w:val="auto"/>
        </w:rPr>
        <w:t>Liquidation Preference Payment</w:t>
      </w:r>
      <w:r>
        <w:rPr>
          <w:rFonts w:ascii="Arial" w:cs="Arial" w:eastAsia="Arial" w:hAnsi="Arial"/>
          <w:sz w:val="12"/>
          <w:szCs w:val="12"/>
          <w:color w:val="auto"/>
        </w:rPr>
        <w:t>” and with respect to all shares of Series D-2 Preferred Stock being sometimes referred to as the “</w:t>
      </w:r>
      <w:r>
        <w:rPr>
          <w:rFonts w:ascii="Arial" w:cs="Arial" w:eastAsia="Arial" w:hAnsi="Arial"/>
          <w:sz w:val="12"/>
          <w:szCs w:val="12"/>
          <w:u w:val="single" w:color="auto"/>
          <w:color w:val="auto"/>
        </w:rPr>
        <w:t>Series D-2 Liquidation Preference Payments</w:t>
      </w:r>
      <w:r>
        <w:rPr>
          <w:rFonts w:ascii="Arial" w:cs="Arial" w:eastAsia="Arial" w:hAnsi="Arial"/>
          <w:sz w:val="12"/>
          <w:szCs w:val="12"/>
          <w:color w:val="auto"/>
        </w:rPr>
        <w:t>.” If upon such liquidation, dissolution or winding up of the Corporation, whether voluntary or involuntary, the assets to be distributed among the holders of Series D-2 Preferred Stock shall be insufficient to permit payment in full to the holders of Series D-2 Preferred Stock of the Series D-2 Liquidation Preference Payments, then the entire assets of the Corporation to be so distributed shall be distributed ratably among the holders of Series D-2 Preferred Stock in proportion to the amount which each such holder would otherwise be entitled.</w:t>
      </w:r>
    </w:p>
    <w:p>
      <w:pPr>
        <w:spacing w:after="0" w:line="87" w:lineRule="exact"/>
        <w:rPr>
          <w:rFonts w:ascii="Arial" w:cs="Arial" w:eastAsia="Arial" w:hAnsi="Arial"/>
          <w:sz w:val="12"/>
          <w:szCs w:val="12"/>
          <w:color w:val="auto"/>
        </w:rPr>
      </w:pPr>
    </w:p>
    <w:p>
      <w:pPr>
        <w:ind w:left="-920" w:right="40" w:firstLine="1952"/>
        <w:spacing w:after="0" w:line="298" w:lineRule="auto"/>
        <w:tabs>
          <w:tab w:leader="none" w:pos="12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Upon any liquidation, dissolution or winding up of the Corporation, whether voluntary or involuntary, and subject to the prior rights of the holders of Series D-2 Preferred Stock, the holders of the shares of Series D Preferred Stock and Series C Preferred Stock shall be entitled to be paid, pari passu and in priority to and before any distribution or payment to the Series B Preferred Stock, Series A Preferred Stock, Common Stock or any other stock ranking on liquidation junior to the Series D Preferred Stock and Series C Preferred Stock, an amount equal to $0.6521 per share of Series D Preferred Stock and $0.4056 per share of Series C Preferred Stock, as applicable (subject to equitable adjustment in the event of any stock dividend, stock split, combination, reorganization, recapitalization, reclassification or other similar event affecting such shares) plus, in the case of each share, an amount equal to all dividends under Section 3 hereof declared thereon but unpaid, computed to the date payment thereof is made available, such amount payable with respect to one share of Series C Preferred Stock being sometimes referred to as the “</w:t>
      </w:r>
      <w:r>
        <w:rPr>
          <w:rFonts w:ascii="Arial" w:cs="Arial" w:eastAsia="Arial" w:hAnsi="Arial"/>
          <w:sz w:val="12"/>
          <w:szCs w:val="12"/>
          <w:u w:val="single" w:color="auto"/>
          <w:color w:val="auto"/>
        </w:rPr>
        <w:t>Series C Liquidation Preference Payment</w:t>
      </w:r>
      <w:r>
        <w:rPr>
          <w:rFonts w:ascii="Arial" w:cs="Arial" w:eastAsia="Arial" w:hAnsi="Arial"/>
          <w:sz w:val="12"/>
          <w:szCs w:val="12"/>
          <w:color w:val="auto"/>
        </w:rPr>
        <w:t>” and with respect to all shares of Series C Preferred Stock being sometimes referred to as the “</w:t>
      </w:r>
      <w:r>
        <w:rPr>
          <w:rFonts w:ascii="Arial" w:cs="Arial" w:eastAsia="Arial" w:hAnsi="Arial"/>
          <w:sz w:val="12"/>
          <w:szCs w:val="12"/>
          <w:u w:val="single" w:color="auto"/>
          <w:color w:val="auto"/>
        </w:rPr>
        <w:t>Series C Liquidation Preference Payments</w:t>
      </w:r>
      <w:r>
        <w:rPr>
          <w:rFonts w:ascii="Arial" w:cs="Arial" w:eastAsia="Arial" w:hAnsi="Arial"/>
          <w:sz w:val="12"/>
          <w:szCs w:val="12"/>
          <w:color w:val="auto"/>
        </w:rPr>
        <w:t>,” and such amount payable with respect to one share of Series D Preferred Stock being sometimes referred to as the “</w:t>
      </w:r>
      <w:r>
        <w:rPr>
          <w:rFonts w:ascii="Arial" w:cs="Arial" w:eastAsia="Arial" w:hAnsi="Arial"/>
          <w:sz w:val="12"/>
          <w:szCs w:val="12"/>
          <w:u w:val="single" w:color="auto"/>
          <w:color w:val="auto"/>
        </w:rPr>
        <w:t>Series D Liquidation Preference Payment</w:t>
      </w:r>
      <w:r>
        <w:rPr>
          <w:rFonts w:ascii="Arial" w:cs="Arial" w:eastAsia="Arial" w:hAnsi="Arial"/>
          <w:sz w:val="12"/>
          <w:szCs w:val="12"/>
          <w:color w:val="auto"/>
        </w:rPr>
        <w:t>” and with respect to all shares of Series D Preferred Stock being sometimes referred to as the “</w:t>
      </w:r>
      <w:r>
        <w:rPr>
          <w:rFonts w:ascii="Arial" w:cs="Arial" w:eastAsia="Arial" w:hAnsi="Arial"/>
          <w:sz w:val="12"/>
          <w:szCs w:val="12"/>
          <w:u w:val="single" w:color="auto"/>
          <w:color w:val="auto"/>
        </w:rPr>
        <w:t>Series D Liquidation Preference Payments</w:t>
      </w:r>
      <w:r>
        <w:rPr>
          <w:rFonts w:ascii="Arial" w:cs="Arial" w:eastAsia="Arial" w:hAnsi="Arial"/>
          <w:sz w:val="12"/>
          <w:szCs w:val="12"/>
          <w:color w:val="auto"/>
        </w:rPr>
        <w:t>.” If upon such liquidation, dissolution or winding up of the Corporation, whether voluntary or involuntary, the assets to be distributed among the holders of Series D Preferred Stock and</w:t>
      </w:r>
    </w:p>
    <w:p>
      <w:pPr>
        <w:spacing w:after="0" w:line="77" w:lineRule="exact"/>
        <w:rPr>
          <w:rFonts w:ascii="Arial" w:cs="Arial" w:eastAsia="Arial" w:hAnsi="Arial"/>
          <w:sz w:val="12"/>
          <w:szCs w:val="12"/>
          <w:color w:val="auto"/>
        </w:rPr>
      </w:pPr>
    </w:p>
    <w:p>
      <w:pPr>
        <w:ind w:left="4780" w:hanging="79"/>
        <w:spacing w:after="0"/>
        <w:tabs>
          <w:tab w:leader="none" w:pos="478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6 -</w:t>
      </w:r>
    </w:p>
    <w:p>
      <w:pPr>
        <w:sectPr>
          <w:pgSz w:w="11900" w:h="16838" w:orient="portrait"/>
          <w:cols w:equalWidth="0" w:num="1">
            <w:col w:w="10520"/>
          </w:cols>
          <w:pgMar w:left="1140" w:top="247" w:right="239" w:bottom="1440" w:gutter="0" w:footer="0" w:header="0"/>
        </w:sectPr>
      </w:pPr>
    </w:p>
    <w:bookmarkStart w:id="213" w:name="page214"/>
    <w:bookmarkEnd w:id="213"/>
    <w:p>
      <w:pPr>
        <w:ind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Series C Preferred Stock shall be insufficient to permit payment in full to the holders of Series D Preferred Stock of the Series D Liquidation Preference Payments and the Series C Preferred Stock of the Series C Liquidation Preference Payments, then the entire assets of the Corporation to be so distributed (the “</w:t>
      </w:r>
      <w:r>
        <w:rPr>
          <w:rFonts w:ascii="Arial" w:cs="Arial" w:eastAsia="Arial" w:hAnsi="Arial"/>
          <w:sz w:val="14"/>
          <w:szCs w:val="14"/>
          <w:u w:val="single" w:color="auto"/>
          <w:color w:val="auto"/>
        </w:rPr>
        <w:t>Distributable Assets</w:t>
      </w:r>
      <w:r>
        <w:rPr>
          <w:rFonts w:ascii="Arial" w:cs="Arial" w:eastAsia="Arial" w:hAnsi="Arial"/>
          <w:sz w:val="14"/>
          <w:szCs w:val="14"/>
          <w:color w:val="auto"/>
        </w:rPr>
        <w:t>”) shall be distributed ratably among the holders of Series D Preferred Stock and Series C Preferred Stock in proportion to the amount which each such holder would otherwise be entitled as follows:</w:t>
      </w:r>
    </w:p>
    <w:p>
      <w:pPr>
        <w:spacing w:after="0" w:line="108" w:lineRule="exact"/>
        <w:rPr>
          <w:sz w:val="20"/>
          <w:szCs w:val="20"/>
          <w:color w:val="auto"/>
        </w:rPr>
      </w:pPr>
    </w:p>
    <w:p>
      <w:pPr>
        <w:ind w:left="2580" w:hanging="170"/>
        <w:spacing w:after="0"/>
        <w:tabs>
          <w:tab w:leader="none" w:pos="2580" w:val="left"/>
        </w:tabs>
        <w:numPr>
          <w:ilvl w:val="2"/>
          <w:numId w:val="133"/>
        </w:numPr>
        <w:rPr>
          <w:rFonts w:ascii="Arial" w:cs="Arial" w:eastAsia="Arial" w:hAnsi="Arial"/>
          <w:sz w:val="12"/>
          <w:szCs w:val="12"/>
          <w:color w:val="auto"/>
        </w:rPr>
      </w:pPr>
      <w:r>
        <w:rPr>
          <w:rFonts w:ascii="Arial" w:cs="Arial" w:eastAsia="Arial" w:hAnsi="Arial"/>
          <w:sz w:val="12"/>
          <w:szCs w:val="12"/>
          <w:color w:val="auto"/>
        </w:rPr>
        <w:t>The holders of Series D Preferred Stock shall be entitled to a percentage of the Distributable Assets equal to the product of (A) the result obtained by dividing</w:t>
      </w:r>
    </w:p>
    <w:p>
      <w:pPr>
        <w:spacing w:after="0" w:line="35" w:lineRule="exact"/>
        <w:rPr>
          <w:rFonts w:ascii="Arial" w:cs="Arial" w:eastAsia="Arial" w:hAnsi="Arial"/>
          <w:sz w:val="12"/>
          <w:szCs w:val="12"/>
          <w:color w:val="auto"/>
        </w:rPr>
      </w:pPr>
    </w:p>
    <w:p>
      <w:pPr>
        <w:ind w:firstLine="4"/>
        <w:spacing w:after="0" w:line="316" w:lineRule="auto"/>
        <w:tabs>
          <w:tab w:leader="none" w:pos="17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 xml:space="preserve">the product of (x) the number of then-outstanding shares of Series D Preferred Stock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(y) $0.6521 (the “</w:t>
      </w:r>
      <w:r>
        <w:rPr>
          <w:rFonts w:ascii="Arial" w:cs="Arial" w:eastAsia="Arial" w:hAnsi="Arial"/>
          <w:sz w:val="12"/>
          <w:szCs w:val="12"/>
          <w:u w:val="single" w:color="auto"/>
          <w:color w:val="auto"/>
        </w:rPr>
        <w:t>Gross Series D Preference Amount</w:t>
      </w:r>
      <w:r>
        <w:rPr>
          <w:rFonts w:ascii="Arial" w:cs="Arial" w:eastAsia="Arial" w:hAnsi="Arial"/>
          <w:sz w:val="12"/>
          <w:szCs w:val="12"/>
          <w:color w:val="auto"/>
        </w:rPr>
        <w:t xml:space="preserve">”) by (II) the sum of (x) the product of (1) the number of then-outstanding shares of Series C Preferred Stock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(2) $0.4056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(y) the Gross Series D Preference Amount multiplied by (B) 100 (such percentage, the “</w:t>
      </w:r>
      <w:r>
        <w:rPr>
          <w:rFonts w:ascii="Arial" w:cs="Arial" w:eastAsia="Arial" w:hAnsi="Arial"/>
          <w:sz w:val="12"/>
          <w:szCs w:val="12"/>
          <w:u w:val="single" w:color="auto"/>
          <w:color w:val="auto"/>
        </w:rPr>
        <w:t>Series D Shortfall Percentage</w:t>
      </w:r>
      <w:r>
        <w:rPr>
          <w:rFonts w:ascii="Arial" w:cs="Arial" w:eastAsia="Arial" w:hAnsi="Arial"/>
          <w:sz w:val="12"/>
          <w:szCs w:val="12"/>
          <w:color w:val="auto"/>
        </w:rPr>
        <w:t>”). The difference between one hundred percent (100%) and the Series D Shortfall Percentage shall equal the “</w:t>
      </w:r>
      <w:r>
        <w:rPr>
          <w:rFonts w:ascii="Arial" w:cs="Arial" w:eastAsia="Arial" w:hAnsi="Arial"/>
          <w:sz w:val="12"/>
          <w:szCs w:val="12"/>
          <w:u w:val="single" w:color="auto"/>
          <w:color w:val="auto"/>
        </w:rPr>
        <w:t>Series C Shortfall Percentage</w:t>
      </w:r>
      <w:r>
        <w:rPr>
          <w:rFonts w:ascii="Arial" w:cs="Arial" w:eastAsia="Arial" w:hAnsi="Arial"/>
          <w:sz w:val="12"/>
          <w:szCs w:val="12"/>
          <w:color w:val="auto"/>
        </w:rPr>
        <w:t>.”</w:t>
      </w:r>
    </w:p>
    <w:p>
      <w:pPr>
        <w:spacing w:after="0" w:line="75" w:lineRule="exact"/>
        <w:rPr>
          <w:rFonts w:ascii="Arial" w:cs="Arial" w:eastAsia="Arial" w:hAnsi="Arial"/>
          <w:sz w:val="12"/>
          <w:szCs w:val="12"/>
          <w:color w:val="auto"/>
        </w:rPr>
      </w:pPr>
    </w:p>
    <w:p>
      <w:pPr>
        <w:ind w:left="2620" w:hanging="210"/>
        <w:spacing w:after="0"/>
        <w:tabs>
          <w:tab w:leader="none" w:pos="2620" w:val="left"/>
        </w:tabs>
        <w:numPr>
          <w:ilvl w:val="2"/>
          <w:numId w:val="134"/>
        </w:numPr>
        <w:rPr>
          <w:rFonts w:ascii="Arial" w:cs="Arial" w:eastAsia="Arial" w:hAnsi="Arial"/>
          <w:sz w:val="12"/>
          <w:szCs w:val="12"/>
          <w:color w:val="auto"/>
        </w:rPr>
      </w:pPr>
      <w:r>
        <w:rPr>
          <w:rFonts w:ascii="Arial" w:cs="Arial" w:eastAsia="Arial" w:hAnsi="Arial"/>
          <w:sz w:val="12"/>
          <w:szCs w:val="12"/>
          <w:color w:val="auto"/>
        </w:rPr>
        <w:t xml:space="preserve">The proceeds available for distribution to the holders of Series D Preferred Stock shall equal the product of (A) the Series D Shortfall Percentage </w:t>
      </w:r>
      <w:r>
        <w:rPr>
          <w:rFonts w:ascii="Arial" w:cs="Arial" w:eastAsia="Arial" w:hAnsi="Arial"/>
          <w:sz w:val="12"/>
          <w:szCs w:val="12"/>
          <w:u w:val="single" w:color="auto"/>
          <w:color w:val="auto"/>
        </w:rPr>
        <w:t>multiplied by</w:t>
      </w:r>
    </w:p>
    <w:p>
      <w:pPr>
        <w:spacing w:after="0" w:line="35" w:lineRule="exact"/>
        <w:rPr>
          <w:rFonts w:ascii="Arial" w:cs="Arial" w:eastAsia="Arial" w:hAnsi="Arial"/>
          <w:sz w:val="12"/>
          <w:szCs w:val="12"/>
          <w:color w:val="auto"/>
        </w:rPr>
      </w:pPr>
    </w:p>
    <w:p>
      <w:pPr>
        <w:ind w:left="220" w:hanging="216"/>
        <w:spacing w:after="0"/>
        <w:tabs>
          <w:tab w:leader="none" w:pos="2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Distributable Assets (the “</w:t>
      </w:r>
      <w:r>
        <w:rPr>
          <w:rFonts w:ascii="Arial" w:cs="Arial" w:eastAsia="Arial" w:hAnsi="Arial"/>
          <w:sz w:val="14"/>
          <w:szCs w:val="14"/>
          <w:u w:val="single" w:color="auto"/>
          <w:color w:val="auto"/>
        </w:rPr>
        <w:t>Series D Shortfall Amount</w:t>
      </w:r>
      <w:r>
        <w:rPr>
          <w:rFonts w:ascii="Arial" w:cs="Arial" w:eastAsia="Arial" w:hAnsi="Arial"/>
          <w:sz w:val="14"/>
          <w:szCs w:val="14"/>
          <w:color w:val="auto"/>
        </w:rPr>
        <w:t>”). The Series D Shortfall Amount shall be distributed among the holders of Series D Preferred Stock on a pro rata basis.</w:t>
      </w:r>
    </w:p>
    <w:p>
      <w:pPr>
        <w:spacing w:after="0" w:line="125" w:lineRule="exact"/>
        <w:rPr>
          <w:rFonts w:ascii="Arial" w:cs="Arial" w:eastAsia="Arial" w:hAnsi="Arial"/>
          <w:sz w:val="14"/>
          <w:szCs w:val="14"/>
          <w:color w:val="auto"/>
        </w:rPr>
      </w:pPr>
    </w:p>
    <w:p>
      <w:pPr>
        <w:ind w:left="2640" w:hanging="230"/>
        <w:spacing w:after="0"/>
        <w:tabs>
          <w:tab w:leader="none" w:pos="2640" w:val="left"/>
        </w:tabs>
        <w:numPr>
          <w:ilvl w:val="2"/>
          <w:numId w:val="135"/>
        </w:numPr>
        <w:rPr>
          <w:rFonts w:ascii="Arial" w:cs="Arial" w:eastAsia="Arial" w:hAnsi="Arial"/>
          <w:sz w:val="12"/>
          <w:szCs w:val="12"/>
          <w:color w:val="auto"/>
        </w:rPr>
      </w:pPr>
      <w:r>
        <w:rPr>
          <w:rFonts w:ascii="Arial" w:cs="Arial" w:eastAsia="Arial" w:hAnsi="Arial"/>
          <w:sz w:val="12"/>
          <w:szCs w:val="12"/>
          <w:color w:val="auto"/>
        </w:rPr>
        <w:t xml:space="preserve">The proceeds available for distribution to the holders of Series C Preferred Stock shall equal the product of (A) the Series C Shortfall Percentage </w:t>
      </w:r>
      <w:r>
        <w:rPr>
          <w:rFonts w:ascii="Arial" w:cs="Arial" w:eastAsia="Arial" w:hAnsi="Arial"/>
          <w:sz w:val="12"/>
          <w:szCs w:val="12"/>
          <w:u w:val="single" w:color="auto"/>
          <w:color w:val="auto"/>
        </w:rPr>
        <w:t>multiplied by</w:t>
      </w:r>
    </w:p>
    <w:p>
      <w:pPr>
        <w:spacing w:after="0" w:line="35" w:lineRule="exact"/>
        <w:rPr>
          <w:rFonts w:ascii="Arial" w:cs="Arial" w:eastAsia="Arial" w:hAnsi="Arial"/>
          <w:sz w:val="12"/>
          <w:szCs w:val="12"/>
          <w:color w:val="auto"/>
        </w:rPr>
      </w:pPr>
    </w:p>
    <w:p>
      <w:pPr>
        <w:ind w:left="220" w:hanging="216"/>
        <w:spacing w:after="0"/>
        <w:tabs>
          <w:tab w:leader="none" w:pos="2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Distributable Assets (the “</w:t>
      </w:r>
      <w:r>
        <w:rPr>
          <w:rFonts w:ascii="Arial" w:cs="Arial" w:eastAsia="Arial" w:hAnsi="Arial"/>
          <w:sz w:val="14"/>
          <w:szCs w:val="14"/>
          <w:u w:val="single" w:color="auto"/>
          <w:color w:val="auto"/>
        </w:rPr>
        <w:t>Series C Shortfall Amount</w:t>
      </w:r>
      <w:r>
        <w:rPr>
          <w:rFonts w:ascii="Arial" w:cs="Arial" w:eastAsia="Arial" w:hAnsi="Arial"/>
          <w:sz w:val="14"/>
          <w:szCs w:val="14"/>
          <w:color w:val="auto"/>
        </w:rPr>
        <w:t>”). The Series C Shortfall Amount shall be distributed among the holders of Series C Preferred Stock on a pro rata basis.</w:t>
      </w:r>
    </w:p>
    <w:p>
      <w:pPr>
        <w:spacing w:after="0" w:line="125" w:lineRule="exact"/>
        <w:rPr>
          <w:rFonts w:ascii="Arial" w:cs="Arial" w:eastAsia="Arial" w:hAnsi="Arial"/>
          <w:sz w:val="14"/>
          <w:szCs w:val="14"/>
          <w:color w:val="auto"/>
        </w:rPr>
      </w:pPr>
    </w:p>
    <w:p>
      <w:pPr>
        <w:ind w:right="180" w:firstLine="2410"/>
        <w:spacing w:after="0" w:line="267" w:lineRule="auto"/>
        <w:tabs>
          <w:tab w:leader="none" w:pos="2637" w:val="left"/>
        </w:tabs>
        <w:numPr>
          <w:ilvl w:val="2"/>
          <w:numId w:val="136"/>
        </w:numPr>
        <w:rPr>
          <w:rFonts w:ascii="Arial" w:cs="Arial" w:eastAsia="Arial" w:hAnsi="Arial"/>
          <w:sz w:val="14"/>
          <w:szCs w:val="14"/>
          <w:color w:val="auto"/>
        </w:rPr>
      </w:pPr>
      <w:r>
        <w:rPr>
          <w:rFonts w:ascii="Arial" w:cs="Arial" w:eastAsia="Arial" w:hAnsi="Arial"/>
          <w:sz w:val="14"/>
          <w:szCs w:val="14"/>
          <w:color w:val="auto"/>
        </w:rPr>
        <w:t>Any payments to the holders of Series C Preferred Stock and Series D Preferred Stock pursuant to this Section 4.1(b) shall be deemed the Series D Liquidation Preference Payment or Series C Liquidation Preference Payment, as applicable.</w:t>
      </w:r>
    </w:p>
    <w:p>
      <w:pPr>
        <w:spacing w:after="0" w:line="101" w:lineRule="exact"/>
        <w:rPr>
          <w:rFonts w:ascii="Arial" w:cs="Arial" w:eastAsia="Arial" w:hAnsi="Arial"/>
          <w:sz w:val="14"/>
          <w:szCs w:val="14"/>
          <w:color w:val="auto"/>
        </w:rPr>
      </w:pPr>
    </w:p>
    <w:p>
      <w:pPr>
        <w:ind w:right="20" w:firstLine="1952"/>
        <w:spacing w:after="0" w:line="302" w:lineRule="auto"/>
        <w:tabs>
          <w:tab w:leader="none" w:pos="2133" w:val="left"/>
        </w:tabs>
        <w:numPr>
          <w:ilvl w:val="1"/>
          <w:numId w:val="136"/>
        </w:numPr>
        <w:rPr>
          <w:rFonts w:ascii="Arial" w:cs="Arial" w:eastAsia="Arial" w:hAnsi="Arial"/>
          <w:sz w:val="12"/>
          <w:szCs w:val="12"/>
          <w:color w:val="auto"/>
        </w:rPr>
      </w:pPr>
      <w:r>
        <w:rPr>
          <w:rFonts w:ascii="Arial" w:cs="Arial" w:eastAsia="Arial" w:hAnsi="Arial"/>
          <w:sz w:val="12"/>
          <w:szCs w:val="12"/>
          <w:color w:val="auto"/>
        </w:rPr>
        <w:t>Upon any liquidation, dissolution or winding up of the Corporation, whether voluntary or involuntary and subject to the prior rights of the holders of the Series D-2 Preferred Stock, Series D Preferred Stock and Series C Preferred Stock, the holders of the shares of Series B Preferred Stock shall be entitled, in priority to and before any distribution or payment is made upon the Series A Preferred Stock, Common Stock or any other stock ranking on liquidation junior to the Series B Preferred Stock, to be paid an amount equal to $0.37468 per share (subject to equitable adjustment in the event of any stock dividend, stock split, combination, reorganization, recapitalization, reclassification or other similar event affecting such shares) plus, in the case of each share, an amount equal to all dividends under Section 3 hereof declared thereon but unpaid, computed to the date payment thereof is made available, such amount payable with respect to one share of Series B Preferred Stock being sometimes referred to as the “</w:t>
      </w:r>
      <w:r>
        <w:rPr>
          <w:rFonts w:ascii="Arial" w:cs="Arial" w:eastAsia="Arial" w:hAnsi="Arial"/>
          <w:sz w:val="12"/>
          <w:szCs w:val="12"/>
          <w:u w:val="single" w:color="auto"/>
          <w:color w:val="auto"/>
        </w:rPr>
        <w:t>Series B Liquidation Preference</w:t>
      </w:r>
      <w:r>
        <w:rPr>
          <w:rFonts w:ascii="Arial" w:cs="Arial" w:eastAsia="Arial" w:hAnsi="Arial"/>
          <w:sz w:val="12"/>
          <w:szCs w:val="12"/>
          <w:color w:val="auto"/>
        </w:rPr>
        <w:t>” and with respect to all shares of Series B Preferred Stock being</w:t>
      </w:r>
    </w:p>
    <w:p>
      <w:pPr>
        <w:spacing w:after="0" w:line="76" w:lineRule="exact"/>
        <w:rPr>
          <w:rFonts w:ascii="Arial" w:cs="Arial" w:eastAsia="Arial" w:hAnsi="Arial"/>
          <w:sz w:val="12"/>
          <w:szCs w:val="12"/>
          <w:color w:val="auto"/>
        </w:rPr>
      </w:pPr>
    </w:p>
    <w:p>
      <w:pPr>
        <w:ind w:left="5700" w:hanging="79"/>
        <w:spacing w:after="0"/>
        <w:tabs>
          <w:tab w:leader="none" w:pos="5700" w:val="left"/>
        </w:tabs>
        <w:numPr>
          <w:ilvl w:val="3"/>
          <w:numId w:val="136"/>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11460"/>
          </w:cols>
          <w:pgMar w:left="220" w:top="247" w:right="219" w:bottom="1440" w:gutter="0" w:footer="0" w:header="0"/>
        </w:sectPr>
      </w:pPr>
    </w:p>
    <w:bookmarkStart w:id="214" w:name="page215"/>
    <w:bookmarkEnd w:id="214"/>
    <w:p>
      <w:pPr>
        <w:ind w:right="10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sometimes referred to as the “</w:t>
      </w:r>
      <w:r>
        <w:rPr>
          <w:rFonts w:ascii="Arial" w:cs="Arial" w:eastAsia="Arial" w:hAnsi="Arial"/>
          <w:sz w:val="12"/>
          <w:szCs w:val="12"/>
          <w:u w:val="single" w:color="auto"/>
          <w:color w:val="auto"/>
        </w:rPr>
        <w:t>Series B Liquidation Preference Payments</w:t>
      </w:r>
      <w:r>
        <w:rPr>
          <w:rFonts w:ascii="Arial" w:cs="Arial" w:eastAsia="Arial" w:hAnsi="Arial"/>
          <w:sz w:val="12"/>
          <w:szCs w:val="12"/>
          <w:color w:val="auto"/>
        </w:rPr>
        <w:t>.” If upon such liquidation, dissolution or winding up of the Corporation, whether voluntary or involuntary, the assets to be distributed among the holders of Series B Preferred Stock shall be insufficient to permit payment in full to the holders of Series B Preferred Stock of the Series B Liquidation Preference Payments, then the entire assets of the Corporation to be so distributed shall be distributed ratably among the holders of Series B Preferred Stock in proportion to the amount which each such holder would otherwise be entitled.</w:t>
      </w:r>
    </w:p>
    <w:p>
      <w:pPr>
        <w:spacing w:after="0" w:line="73" w:lineRule="exact"/>
        <w:rPr>
          <w:sz w:val="20"/>
          <w:szCs w:val="20"/>
          <w:color w:val="auto"/>
        </w:rPr>
      </w:pPr>
    </w:p>
    <w:p>
      <w:pPr>
        <w:ind w:firstLine="1952"/>
        <w:spacing w:after="0" w:line="298" w:lineRule="auto"/>
        <w:tabs>
          <w:tab w:leader="none" w:pos="2141" w:val="left"/>
        </w:tabs>
        <w:numPr>
          <w:ilvl w:val="0"/>
          <w:numId w:val="137"/>
        </w:numPr>
        <w:rPr>
          <w:rFonts w:ascii="Arial" w:cs="Arial" w:eastAsia="Arial" w:hAnsi="Arial"/>
          <w:sz w:val="12"/>
          <w:szCs w:val="12"/>
          <w:color w:val="auto"/>
        </w:rPr>
      </w:pPr>
      <w:r>
        <w:rPr>
          <w:rFonts w:ascii="Arial" w:cs="Arial" w:eastAsia="Arial" w:hAnsi="Arial"/>
          <w:sz w:val="12"/>
          <w:szCs w:val="12"/>
          <w:color w:val="auto"/>
        </w:rPr>
        <w:t>Upon any liquidation, dissolution or winding up of the Corporation, whether voluntary or involuntary and subject to the prior rights of the holders of the Series D-2 Preferred Stock, Series D Preferred Stock, Series C Preferred Stock and Series B Preferred Stock, the holders of the shares of Series A Preferred Stock shall be entitled, in priority to and before any distribution or payment is made upon the Common Stock or any other stock ranking on liquidation junior to the Series A Preferred Stock, to be paid an amount equal to $0.66394 per share (subject to equitable adjustment in the event of any stock dividend, stock split, combination, reorganization, recapitalization, reclassification or other similar event affecting such shares) plus, in the case of each share, an amount equal to all dividends under Section 3 hereof declared thereon but unpaid, computed to the date payment thereof is made available, such amount payable with respect to one share of Series A Preferred Stock being sometimes referred to as the “</w:t>
      </w:r>
      <w:r>
        <w:rPr>
          <w:rFonts w:ascii="Arial" w:cs="Arial" w:eastAsia="Arial" w:hAnsi="Arial"/>
          <w:sz w:val="12"/>
          <w:szCs w:val="12"/>
          <w:u w:val="single" w:color="auto"/>
          <w:color w:val="auto"/>
        </w:rPr>
        <w:t>Series A Liquidation Preference Payment</w:t>
      </w:r>
      <w:r>
        <w:rPr>
          <w:rFonts w:ascii="Arial" w:cs="Arial" w:eastAsia="Arial" w:hAnsi="Arial"/>
          <w:sz w:val="12"/>
          <w:szCs w:val="12"/>
          <w:color w:val="auto"/>
        </w:rPr>
        <w:t>” and with respect to all shares of Series A Preferred Stock being sometimes referred to as the “</w:t>
      </w:r>
      <w:r>
        <w:rPr>
          <w:rFonts w:ascii="Arial" w:cs="Arial" w:eastAsia="Arial" w:hAnsi="Arial"/>
          <w:sz w:val="12"/>
          <w:szCs w:val="12"/>
          <w:u w:val="single" w:color="auto"/>
          <w:color w:val="auto"/>
        </w:rPr>
        <w:t>Series A Liquidation Preference</w:t>
      </w:r>
      <w:r>
        <w:rPr>
          <w:rFonts w:ascii="Arial" w:cs="Arial" w:eastAsia="Arial" w:hAnsi="Arial"/>
          <w:sz w:val="12"/>
          <w:szCs w:val="12"/>
          <w:color w:val="auto"/>
        </w:rPr>
        <w:t xml:space="preserve"> </w:t>
      </w:r>
      <w:r>
        <w:rPr>
          <w:rFonts w:ascii="Arial" w:cs="Arial" w:eastAsia="Arial" w:hAnsi="Arial"/>
          <w:sz w:val="12"/>
          <w:szCs w:val="12"/>
          <w:u w:val="single" w:color="auto"/>
          <w:color w:val="auto"/>
        </w:rPr>
        <w:t>Payments</w:t>
      </w:r>
      <w:r>
        <w:rPr>
          <w:rFonts w:ascii="Arial" w:cs="Arial" w:eastAsia="Arial" w:hAnsi="Arial"/>
          <w:sz w:val="12"/>
          <w:szCs w:val="12"/>
          <w:color w:val="auto"/>
        </w:rPr>
        <w:t>.” If upon such liquidation, dissolution or winding up of the Corporation, whether voluntary or involuntary, the assets to be distributed among the holders of Series A Preferred Stock shall be insufficient to permit payment in full to the holders of Series A Preferred Stock of the Series A Liquidation Preference Payments, then the entire assets of the Corporation to be so distributed shall be distributed ratably among the holders of Series A Preferred Stock in proportion to the amount which each such holder would otherwise be entitled.</w:t>
      </w:r>
    </w:p>
    <w:p>
      <w:pPr>
        <w:spacing w:after="0" w:line="87" w:lineRule="exact"/>
        <w:rPr>
          <w:rFonts w:ascii="Arial" w:cs="Arial" w:eastAsia="Arial" w:hAnsi="Arial"/>
          <w:sz w:val="12"/>
          <w:szCs w:val="12"/>
          <w:color w:val="auto"/>
        </w:rPr>
      </w:pPr>
    </w:p>
    <w:p>
      <w:pPr>
        <w:ind w:right="60" w:firstLine="1952"/>
        <w:spacing w:after="0" w:line="305" w:lineRule="auto"/>
        <w:tabs>
          <w:tab w:leader="none" w:pos="2133" w:val="left"/>
        </w:tabs>
        <w:numPr>
          <w:ilvl w:val="0"/>
          <w:numId w:val="137"/>
        </w:numPr>
        <w:rPr>
          <w:rFonts w:ascii="Arial" w:cs="Arial" w:eastAsia="Arial" w:hAnsi="Arial"/>
          <w:sz w:val="12"/>
          <w:szCs w:val="12"/>
          <w:color w:val="auto"/>
        </w:rPr>
      </w:pPr>
      <w:r>
        <w:rPr>
          <w:rFonts w:ascii="Arial" w:cs="Arial" w:eastAsia="Arial" w:hAnsi="Arial"/>
          <w:sz w:val="12"/>
          <w:szCs w:val="12"/>
          <w:color w:val="auto"/>
        </w:rPr>
        <w:t>Upon any such liquidation, dissolution or winding up of the Corporation, immediately after the holders of the Series D-2 Preferred Stock, Series D Preferred Stock, Series C Preferred Stock, Series B Preferred Stock and Series A Preferred Stock shall have been paid in full the Series D-2 Liquidation Preference Payments, Series D Liquidation Preference Payments, Series C Liquidation Preference Payments, Series B Liquidation Preference Payments and Series A Liquidation Preference Payments, the remaining net assets of the Corporation available for distribution shall be distributed ratably among the holders of Preferred Stock and Common Stock (with each share of Preferred Stock being deemed, for such purpose, to be equal to the number of shares of Common Stock (including fractions of a share) into which such share of Preferred Stock is convertible immediately prior to the close of business on the business day fixed for such distribution).</w:t>
      </w:r>
    </w:p>
    <w:p>
      <w:pPr>
        <w:spacing w:after="0" w:line="84" w:lineRule="exact"/>
        <w:rPr>
          <w:rFonts w:ascii="Arial" w:cs="Arial" w:eastAsia="Arial" w:hAnsi="Arial"/>
          <w:sz w:val="12"/>
          <w:szCs w:val="12"/>
          <w:color w:val="auto"/>
        </w:rPr>
      </w:pPr>
    </w:p>
    <w:p>
      <w:pPr>
        <w:ind w:right="60" w:firstLine="1952"/>
        <w:spacing w:after="0" w:line="258" w:lineRule="auto"/>
        <w:tabs>
          <w:tab w:leader="none" w:pos="211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Written notice of such liquidation, dissolution or winding up, stating a payment date, the amount of the Series D-2 Liquidation Preference Payments, Series D Liquidation Preference Payments, Series C Liquidation Preference Payments, Series B Liquidation Preference Payments and Series A Liquidation Preference Payments, as applicable, and the place where said Series D-2 Liquidation Preference</w:t>
      </w:r>
    </w:p>
    <w:p>
      <w:pPr>
        <w:spacing w:after="0" w:line="97" w:lineRule="exact"/>
        <w:rPr>
          <w:rFonts w:ascii="Arial" w:cs="Arial" w:eastAsia="Arial" w:hAnsi="Arial"/>
          <w:sz w:val="14"/>
          <w:szCs w:val="14"/>
          <w:color w:val="auto"/>
        </w:rPr>
      </w:pPr>
    </w:p>
    <w:p>
      <w:pPr>
        <w:ind w:left="5700" w:hanging="79"/>
        <w:spacing w:after="0"/>
        <w:tabs>
          <w:tab w:leader="none" w:pos="570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8 -</w:t>
      </w:r>
    </w:p>
    <w:p>
      <w:pPr>
        <w:sectPr>
          <w:pgSz w:w="11900" w:h="16838" w:orient="portrait"/>
          <w:cols w:equalWidth="0" w:num="1">
            <w:col w:w="11440"/>
          </w:cols>
          <w:pgMar w:left="220" w:top="247" w:right="239" w:bottom="1440" w:gutter="0" w:footer="0" w:header="0"/>
        </w:sectPr>
      </w:pPr>
    </w:p>
    <w:bookmarkStart w:id="215" w:name="page216"/>
    <w:bookmarkEnd w:id="215"/>
    <w:p>
      <w:pPr>
        <w:ind w:right="10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Payments, Series D Liquidation Preference Payments, Series C Liquidation Preference Payments, Series B Liquidation Preference Payments or Series A Liquidation Preference Payments shall be payable, shall be delivered in person, mailed by certified or registered mail, return receipt requested, or sent by telecopier or telex, not less than 5 days prior to the payment date stated therein, to the holders of record of Preferred Stock, such notice to be addressed to each such holder at its address as shown by the records of the Corporation.</w:t>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Maximum Liquidation Preference</w:t>
      </w:r>
      <w:r>
        <w:rPr>
          <w:rFonts w:ascii="Arial" w:cs="Arial" w:eastAsia="Arial" w:hAnsi="Arial"/>
          <w:sz w:val="14"/>
          <w:szCs w:val="14"/>
          <w:color w:val="auto"/>
        </w:rPr>
        <w:t>.</w:t>
      </w:r>
    </w:p>
    <w:p>
      <w:pPr>
        <w:spacing w:after="0" w:line="132" w:lineRule="exact"/>
        <w:rPr>
          <w:sz w:val="20"/>
          <w:szCs w:val="20"/>
          <w:color w:val="auto"/>
        </w:rPr>
      </w:pPr>
    </w:p>
    <w:p>
      <w:pPr>
        <w:ind w:firstLine="1952"/>
        <w:spacing w:after="0" w:line="300" w:lineRule="auto"/>
        <w:tabs>
          <w:tab w:leader="none" w:pos="213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In the event that the aggregate payments pursuant to Section 4.1 would cause the holders of Series D-2 Preferred Stock to receive an amount greater than $1.9563 per share (subject to equitable adjustment in the event of any stock dividend, stock split, combination, reorganization, recapitalization, reclassification or other similar event affecting such shares), then the provisions of Section 4.1 shall not apply to such liquidation event and the holders of Series D-2 Preferred Stock shall be entitled to receive instead the greater of (i) $1.9563 per share of Series D-2 Preferred Stock (subject to equitable adjustment in the event of any stock dividend, stock split, combination, reorganization, recapitalization, reclassification or other similar event affecting such shares), payable before any payment shall be made to the holders of the Series D Preferred Stock, Series C Preferred Stock, Series B Preferred Stock, Series A Preferred Stock, the Common Stock or any other stock ranking junior to the Series D-2 Preferred Stock by reason of their ownership thereof and (ii) such amount per share, payable on a pro rata basis with the Common Stock, as would have been payable had such share of Series D-2 Preferred Stock been converted into Common Stock pursuant to the provisions of Section 6 immediately prior to such liquidation, dissolution or winding up.</w:t>
      </w:r>
    </w:p>
    <w:p>
      <w:pPr>
        <w:spacing w:after="0" w:line="88" w:lineRule="exact"/>
        <w:rPr>
          <w:rFonts w:ascii="Arial" w:cs="Arial" w:eastAsia="Arial" w:hAnsi="Arial"/>
          <w:sz w:val="12"/>
          <w:szCs w:val="12"/>
          <w:color w:val="auto"/>
        </w:rPr>
      </w:pPr>
    </w:p>
    <w:p>
      <w:pPr>
        <w:ind w:right="40" w:firstLine="1952"/>
        <w:spacing w:after="0" w:line="300" w:lineRule="auto"/>
        <w:tabs>
          <w:tab w:leader="none" w:pos="2141" w:val="left"/>
        </w:tabs>
        <w:numPr>
          <w:ilvl w:val="0"/>
          <w:numId w:val="138"/>
        </w:numPr>
        <w:rPr>
          <w:rFonts w:ascii="Arial" w:cs="Arial" w:eastAsia="Arial" w:hAnsi="Arial"/>
          <w:sz w:val="12"/>
          <w:szCs w:val="12"/>
          <w:color w:val="auto"/>
        </w:rPr>
      </w:pPr>
      <w:r>
        <w:rPr>
          <w:rFonts w:ascii="Arial" w:cs="Arial" w:eastAsia="Arial" w:hAnsi="Arial"/>
          <w:sz w:val="12"/>
          <w:szCs w:val="12"/>
          <w:color w:val="auto"/>
        </w:rPr>
        <w:t>In the event that the aggregate payments pursuant to Section 4.1 would cause the holders of Series D Preferred Stock to receive an amount greater than $1.9563 per share (subject to equitable adjustment in the event of any stock dividend, stock split, combination, reorganization, recapitalization, reclassification or other similar event affecting such shares), then the provisions of Section 4.1 shall not apply to such liquidation event and the holders of Series D Preferred Stock shall be entitled to receive instead the greater of (i) $1.9563 per share of Series D Preferred Stock (subject to equitable adjustment in the event of any stock dividend, stock split, combination, reorganization, recapitalization, reclassification or other similar event affecting such shares), payable before any payment shall be made to the holders of the Series C Preferred Stock, Series B Preferred Stock, Series A Preferred Stock, the Common Stock or any other stock ranking junior to the Series D Preferred Stock by reason of their ownership thereof and (ii) such amount per share, payable on a pro rata basis with the Common Stock, as would have been payable had such share of Series D Preferred Stock been converted into Common Stock pursuant to the provisions of Section 6 immediately prior to such liquidation, dissolution or winding up.</w:t>
      </w:r>
    </w:p>
    <w:p>
      <w:pPr>
        <w:spacing w:after="0" w:line="88" w:lineRule="exact"/>
        <w:rPr>
          <w:rFonts w:ascii="Arial" w:cs="Arial" w:eastAsia="Arial" w:hAnsi="Arial"/>
          <w:sz w:val="12"/>
          <w:szCs w:val="12"/>
          <w:color w:val="auto"/>
        </w:rPr>
      </w:pPr>
    </w:p>
    <w:p>
      <w:pPr>
        <w:ind w:right="120" w:firstLine="1952"/>
        <w:spacing w:after="0" w:line="267" w:lineRule="auto"/>
        <w:tabs>
          <w:tab w:leader="none" w:pos="213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 the event that the aggregate payments pursuant to Section 4.1 would cause the holders of Series C Preferred Stock to receive an amount greater than $1.2168 per share (subject to equitable adjustment in the event of any stock dividend, stock split, combination, reorganization, recapitalization, reclassification or other</w:t>
      </w:r>
    </w:p>
    <w:p>
      <w:pPr>
        <w:spacing w:after="0" w:line="91" w:lineRule="exact"/>
        <w:rPr>
          <w:rFonts w:ascii="Arial" w:cs="Arial" w:eastAsia="Arial" w:hAnsi="Arial"/>
          <w:sz w:val="14"/>
          <w:szCs w:val="14"/>
          <w:color w:val="auto"/>
        </w:rPr>
      </w:pPr>
    </w:p>
    <w:p>
      <w:pPr>
        <w:ind w:left="5700" w:hanging="79"/>
        <w:spacing w:after="0"/>
        <w:tabs>
          <w:tab w:leader="none" w:pos="570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9 -</w:t>
      </w:r>
    </w:p>
    <w:p>
      <w:pPr>
        <w:sectPr>
          <w:pgSz w:w="11900" w:h="16838" w:orient="portrait"/>
          <w:cols w:equalWidth="0" w:num="1">
            <w:col w:w="11460"/>
          </w:cols>
          <w:pgMar w:left="220" w:top="247" w:right="219" w:bottom="1440" w:gutter="0" w:footer="0" w:header="0"/>
        </w:sectPr>
      </w:pPr>
    </w:p>
    <w:bookmarkStart w:id="216" w:name="page217"/>
    <w:bookmarkEnd w:id="21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similar event affecting such shares), then the provisions of Section 4.1 shall not apply to such liquidation event and the holders of Series C Preferred Stock shall be entitled to receive instead the greater of</w:t>
      </w:r>
    </w:p>
    <w:p>
      <w:pPr>
        <w:spacing w:after="0" w:line="35" w:lineRule="exact"/>
        <w:rPr>
          <w:sz w:val="20"/>
          <w:szCs w:val="20"/>
          <w:color w:val="auto"/>
        </w:rPr>
      </w:pPr>
    </w:p>
    <w:p>
      <w:pPr>
        <w:ind w:right="20" w:firstLine="4"/>
        <w:spacing w:after="0" w:line="307" w:lineRule="auto"/>
        <w:tabs>
          <w:tab w:leader="none" w:pos="162" w:val="left"/>
        </w:tabs>
        <w:numPr>
          <w:ilvl w:val="0"/>
          <w:numId w:val="139"/>
        </w:numPr>
        <w:rPr>
          <w:rFonts w:ascii="Arial" w:cs="Arial" w:eastAsia="Arial" w:hAnsi="Arial"/>
          <w:sz w:val="12"/>
          <w:szCs w:val="12"/>
          <w:color w:val="auto"/>
        </w:rPr>
      </w:pPr>
      <w:r>
        <w:rPr>
          <w:rFonts w:ascii="Arial" w:cs="Arial" w:eastAsia="Arial" w:hAnsi="Arial"/>
          <w:sz w:val="12"/>
          <w:szCs w:val="12"/>
          <w:color w:val="auto"/>
        </w:rPr>
        <w:t>$1.2168 per share of Series C Preferred Stock (subject to equitable adjustment in the event of any stock dividend, stock split, combination, reorganization, recapitalization, reclassification or other similar event affecting such shares), payable before any payment shall be made to the holders of the Series B Preferred Stock, Series A Preferred Stock, the Common Stock or any other stock ranking junior to the Series C Preferred Stock by reason of their ownership thereof and (ii) such amount per share, payable on a pro rata basis with the Common Stock, as would have been payable had such share of Series C Preferred Stock been converted into Common Stock pursuant to the provisions of Section 6 immediately prior to such liquidation, dissolution or winding up.</w:t>
      </w:r>
    </w:p>
    <w:p>
      <w:pPr>
        <w:spacing w:after="0" w:line="82" w:lineRule="exact"/>
        <w:rPr>
          <w:rFonts w:ascii="Arial" w:cs="Arial" w:eastAsia="Arial" w:hAnsi="Arial"/>
          <w:sz w:val="12"/>
          <w:szCs w:val="12"/>
          <w:color w:val="auto"/>
        </w:rPr>
      </w:pPr>
    </w:p>
    <w:p>
      <w:pPr>
        <w:ind w:firstLine="1952"/>
        <w:spacing w:after="0" w:line="300" w:lineRule="auto"/>
        <w:tabs>
          <w:tab w:leader="none" w:pos="2141" w:val="left"/>
        </w:tabs>
        <w:numPr>
          <w:ilvl w:val="1"/>
          <w:numId w:val="139"/>
        </w:numPr>
        <w:rPr>
          <w:rFonts w:ascii="Arial" w:cs="Arial" w:eastAsia="Arial" w:hAnsi="Arial"/>
          <w:sz w:val="12"/>
          <w:szCs w:val="12"/>
          <w:color w:val="auto"/>
        </w:rPr>
      </w:pPr>
      <w:r>
        <w:rPr>
          <w:rFonts w:ascii="Arial" w:cs="Arial" w:eastAsia="Arial" w:hAnsi="Arial"/>
          <w:sz w:val="12"/>
          <w:szCs w:val="12"/>
          <w:color w:val="auto"/>
        </w:rPr>
        <w:t>In the event that the aggregate payments pursuant to Section 4.1 would cause the holders of Series B Preferred Stock to receive an amount greater than $1.12404 per share (subject to equitable adjustment in the event of any stock dividend, stock split, combination, reorganization, recapitalization, reclassification or other similar event affecting such shares), then the provisions of Section 4.1 shall not apply to such liquidation event and the holders of Series B Preferred Stock shall be entitled to receive instead the greater of (i) $1.12404 per share of Series B Preferred Stock (subject to equitable adjustment in the event of any stock dividend, stock split, combination, reorganization, recapitalization, reclassification or other similar event affecting such shares) payable before any payment shall be made to the holders of the Series A Preferred Stock, the Common Stock or any other stock ranking junior to the Series B Preferred Stock by reason of their ownership thereof and (ii) such amount per share, payable on a pro rata basis with the Common Stock, as would have been payable had such share of Series B Preferred Stock been converted into Common Stock pursuant to the provisions of Section 6 immediately prior to such liquidation, dissolution or winding up.</w:t>
      </w:r>
    </w:p>
    <w:p>
      <w:pPr>
        <w:spacing w:after="0" w:line="88" w:lineRule="exact"/>
        <w:rPr>
          <w:rFonts w:ascii="Arial" w:cs="Arial" w:eastAsia="Arial" w:hAnsi="Arial"/>
          <w:sz w:val="12"/>
          <w:szCs w:val="12"/>
          <w:color w:val="auto"/>
        </w:rPr>
      </w:pPr>
    </w:p>
    <w:p>
      <w:pPr>
        <w:ind w:right="140" w:firstLine="1952"/>
        <w:spacing w:after="0" w:line="252" w:lineRule="auto"/>
        <w:tabs>
          <w:tab w:leader="none" w:pos="2133" w:val="left"/>
        </w:tabs>
        <w:numPr>
          <w:ilvl w:val="1"/>
          <w:numId w:val="139"/>
        </w:numPr>
        <w:rPr>
          <w:rFonts w:ascii="Arial" w:cs="Arial" w:eastAsia="Arial" w:hAnsi="Arial"/>
          <w:sz w:val="14"/>
          <w:szCs w:val="14"/>
          <w:color w:val="auto"/>
        </w:rPr>
      </w:pPr>
      <w:r>
        <w:rPr>
          <w:rFonts w:ascii="Arial" w:cs="Arial" w:eastAsia="Arial" w:hAnsi="Arial"/>
          <w:sz w:val="14"/>
          <w:szCs w:val="14"/>
          <w:color w:val="auto"/>
        </w:rPr>
        <w:t>In the event that the aggregate payments pursuant to Section 4.1 would cause the holders of Series A Preferred Stock to receive an amount greater than $1.98 per share (subject to equitable adjustment in the event of any stock dividend, stock split, combination, reorganization, recapitalization, reclassification or other similar event affecting such shares), then the provisions of Section 4.1 shall not apply to such liquidation event and the holders of Series A Preferred Stock shall be entitled to receive instead the greater of (i) $1.98 per share of Series A Preferred Stock (subject to equitable adjustment in the event of any stock dividend, stock split, combination, reorganization, recapitalization, reclassification or other similar event affecting such shares), payable before any payment shall be made to the holders of the Common Stock or any other stock ranking junior to the Series A Preferred Stock by reason of their ownership thereof and (ii) such amount per share, payable on a pro rata basis with the Common Stock, as would have been payable had such share of Series A Preferred Stock been converted into Common Stock pursuant to the provisions of Section 6 immediately prior to such liquidation, dissolution or winding up.</w:t>
      </w:r>
    </w:p>
    <w:p>
      <w:pPr>
        <w:spacing w:after="0" w:line="112"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Treatment of Mergers, Consolidations and Sales of Assets</w:t>
      </w:r>
      <w:r>
        <w:rPr>
          <w:rFonts w:ascii="Arial" w:cs="Arial" w:eastAsia="Arial" w:hAnsi="Arial"/>
          <w:sz w:val="14"/>
          <w:szCs w:val="14"/>
          <w:color w:val="auto"/>
        </w:rPr>
        <w:t>. The (i) consolidation or merger of the Corporation into or with any other entity or entities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- 10 -</w:t>
      </w:r>
    </w:p>
    <w:p>
      <w:pPr>
        <w:sectPr>
          <w:pgSz w:w="11900" w:h="16838" w:orient="portrait"/>
          <w:cols w:equalWidth="0" w:num="1">
            <w:col w:w="11460"/>
          </w:cols>
          <w:pgMar w:left="220" w:top="247" w:right="219" w:bottom="1440" w:gutter="0" w:footer="0" w:header="0"/>
        </w:sectPr>
      </w:pPr>
    </w:p>
    <w:bookmarkStart w:id="217" w:name="page218"/>
    <w:bookmarkEnd w:id="217"/>
    <w:p>
      <w:pPr>
        <w:ind w:right="20"/>
        <w:spacing w:after="0" w:line="29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(other than a merger to reincorporate the Corporation in a different jurisdiction), or any other transaction or series of transactions, as a result of which the holders of outstanding voting stock of the Corporation immediately preceding the consummation of such event shall, immediately following such event, hold as a group less than a majority of the voting securities of the surviving or successor entity, and (ii) sale, lease, abandonment, transfer or other disposition by the Corporation of greater than fifty percent (50%) of the value of its assets, shall be deemed to be a liquidation, dissolution or winding up of the Corporation within the meaning of the provisions of this Section 4. In connection with any such transaction contemplated by the preceding sentence, all consideration payable to the stockholders of the Corporation, in connection with a merger or consolidation, or all consideration payable to the Corporation, together with all other available assets of the Corporation (net of obligations owed by the Corporation), in the case of an asset sale, shall be paid to and deemed (to the fullest extent permitted by law) distributed (in the case of a merger or consolidation) or available for distribution and payment as provided herein (in the case of a sale of assets), as applicable, to the holders of capital stock of the Corporation in accordance with the preference and priorities set forth in this Section 4, with such preferences and priorities specifically intended to be applicable in any such merger, consolidation or sale transaction as if the same were a liquidation, dissolution or winding up. If applicable, the Corporation shall either (i) cause the agreement and plan of merger or consolidation to provide as a consequence of such merger or consolidation for the conversion of the Series D-2 Preferred Stock, Series D Preferred Stock, Series C Preferred Stock, Series B Preferred Stock and/or Series A Preferred Stock into the right to receive an amount (either in cash or, in the case of a merger or consolidation for stock, stock of the surviving corporation) equal to the applicable amount payable under this Section 4; or (ii) concurrent with the consummation with the sale of all or substantially all of the assets of the Corporation, cause the redemption of all outstanding shares of the Series D-2 Preferred Stock, Series D Preferred Stock, Series C Preferred Stock, Series B Preferred Stock and/or Series A Preferred Stock for an amount either in cash or, in the case of a sale of assets for other property, other property equal to the applicable amount payable to such class of Preferred Stock under this Section 4. In the event of the foregoing redemption for property other than cash, the Board of Directors shall determine in good faith the value of such property.</w:t>
      </w:r>
    </w:p>
    <w:p>
      <w:pPr>
        <w:spacing w:after="0" w:line="91" w:lineRule="exact"/>
        <w:rPr>
          <w:sz w:val="20"/>
          <w:szCs w:val="20"/>
          <w:color w:val="auto"/>
        </w:rPr>
      </w:pPr>
    </w:p>
    <w:p>
      <w:pPr>
        <w:ind w:right="220" w:firstLine="920"/>
        <w:spacing w:after="0" w:line="311" w:lineRule="auto"/>
        <w:tabs>
          <w:tab w:leader="none" w:pos="1053"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Restrictions</w:t>
      </w:r>
      <w:r>
        <w:rPr>
          <w:rFonts w:ascii="Arial" w:cs="Arial" w:eastAsia="Arial" w:hAnsi="Arial"/>
          <w:sz w:val="12"/>
          <w:szCs w:val="12"/>
          <w:color w:val="auto"/>
        </w:rPr>
        <w:t>. For so long as at least 30,400,000 shares of Preferred Stock are outstanding (subject to equitable adjustment in the event of any stock dividend, stock split, combination, reorganization, recapitalization, reclassification or other similar event affecting such shares), and except where the vote or written consent of the holders of a greater number of shares of the Corporation is required by law or by the Certificate of Incorporation, and in addition to any other vote required by law or the Certificate of Incorporation, without the approval of a majority of the then-outstanding shares of Preferred Stock, given in writing or by vote at a meeting, consenting or voting (as the case may be) separately as a class and on an as-if-converted basis to Common Stock, the Corporation will not:</w:t>
      </w:r>
    </w:p>
    <w:p>
      <w:pPr>
        <w:spacing w:after="0" w:line="78" w:lineRule="exact"/>
        <w:rPr>
          <w:rFonts w:ascii="Arial" w:cs="Arial" w:eastAsia="Arial" w:hAnsi="Arial"/>
          <w:sz w:val="12"/>
          <w:szCs w:val="12"/>
          <w:color w:val="auto"/>
        </w:rPr>
      </w:pPr>
    </w:p>
    <w:p>
      <w:pPr>
        <w:ind w:firstLine="1952"/>
        <w:spacing w:after="0" w:line="267" w:lineRule="auto"/>
        <w:tabs>
          <w:tab w:leader="none" w:pos="2133" w:val="left"/>
        </w:tabs>
        <w:numPr>
          <w:ilvl w:val="1"/>
          <w:numId w:val="140"/>
        </w:numPr>
        <w:rPr>
          <w:rFonts w:ascii="Arial" w:cs="Arial" w:eastAsia="Arial" w:hAnsi="Arial"/>
          <w:sz w:val="14"/>
          <w:szCs w:val="14"/>
          <w:color w:val="auto"/>
        </w:rPr>
      </w:pPr>
      <w:r>
        <w:rPr>
          <w:rFonts w:ascii="Arial" w:cs="Arial" w:eastAsia="Arial" w:hAnsi="Arial"/>
          <w:sz w:val="14"/>
          <w:szCs w:val="14"/>
          <w:color w:val="auto"/>
        </w:rPr>
        <w:t>By merger, consolidation, reclassification or otherwise (i) create or authorize the creation of any additional class or series of shares of stock senior to or on a parity with the Series A Preferred Stock, Series B Preferred Stock,</w:t>
      </w:r>
    </w:p>
    <w:p>
      <w:pPr>
        <w:spacing w:after="0" w:line="91" w:lineRule="exact"/>
        <w:rPr>
          <w:rFonts w:ascii="Arial" w:cs="Arial" w:eastAsia="Arial" w:hAnsi="Arial"/>
          <w:sz w:val="14"/>
          <w:szCs w:val="14"/>
          <w:color w:val="auto"/>
        </w:rPr>
      </w:pPr>
    </w:p>
    <w:p>
      <w:pPr>
        <w:ind w:left="5660" w:hanging="71"/>
        <w:spacing w:after="0"/>
        <w:tabs>
          <w:tab w:leader="none" w:pos="5660" w:val="left"/>
        </w:tabs>
        <w:numPr>
          <w:ilvl w:val="2"/>
          <w:numId w:val="140"/>
        </w:numPr>
        <w:rPr>
          <w:rFonts w:ascii="Arial" w:cs="Arial" w:eastAsia="Arial" w:hAnsi="Arial"/>
          <w:sz w:val="14"/>
          <w:szCs w:val="14"/>
          <w:color w:val="auto"/>
        </w:rPr>
      </w:pPr>
      <w:r>
        <w:rPr>
          <w:rFonts w:ascii="Arial" w:cs="Arial" w:eastAsia="Arial" w:hAnsi="Arial"/>
          <w:sz w:val="14"/>
          <w:szCs w:val="14"/>
          <w:color w:val="auto"/>
        </w:rPr>
        <w:t>11 -</w:t>
      </w:r>
    </w:p>
    <w:p>
      <w:pPr>
        <w:sectPr>
          <w:pgSz w:w="11900" w:h="16838" w:orient="portrait"/>
          <w:cols w:equalWidth="0" w:num="1">
            <w:col w:w="11460"/>
          </w:cols>
          <w:pgMar w:left="220" w:top="247" w:right="219" w:bottom="1440" w:gutter="0" w:footer="0" w:header="0"/>
        </w:sectPr>
      </w:pPr>
    </w:p>
    <w:bookmarkStart w:id="218" w:name="page219"/>
    <w:bookmarkEnd w:id="218"/>
    <w:p>
      <w:pPr>
        <w:ind w:right="4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Series C Preferred Stock, Series D Preferred Stock or Series D-2 Preferred Stock in any respect, or (ii) increase or decrease the authorized amount of any class or series of shares of capital stock, or (iii) create or authorize any obligation or security convertible into shares of Series A Preferred Stock, Series B Preferred Stock, Series C Preferred Stock, Series D Preferred Stock or Series D-2 Preferred Stock or into shares of any other class or series of stock senior to or on a parity with the Series A Preferred Stock, Series B Preferred Stock, Series C Preferred Stock, Series D Preferred Stock or Series D-2 Preferred Stock in any respect;</w:t>
      </w:r>
    </w:p>
    <w:p>
      <w:pPr>
        <w:spacing w:after="0" w:line="110" w:lineRule="exact"/>
        <w:rPr>
          <w:sz w:val="20"/>
          <w:szCs w:val="20"/>
          <w:color w:val="auto"/>
        </w:rPr>
      </w:pPr>
    </w:p>
    <w:p>
      <w:pPr>
        <w:ind w:right="60" w:firstLine="1952"/>
        <w:spacing w:after="0" w:line="321" w:lineRule="auto"/>
        <w:tabs>
          <w:tab w:leader="none" w:pos="2141" w:val="left"/>
        </w:tabs>
        <w:numPr>
          <w:ilvl w:val="0"/>
          <w:numId w:val="141"/>
        </w:numPr>
        <w:rPr>
          <w:rFonts w:ascii="Arial" w:cs="Arial" w:eastAsia="Arial" w:hAnsi="Arial"/>
          <w:sz w:val="12"/>
          <w:szCs w:val="12"/>
          <w:color w:val="auto"/>
        </w:rPr>
      </w:pPr>
      <w:r>
        <w:rPr>
          <w:rFonts w:ascii="Arial" w:cs="Arial" w:eastAsia="Arial" w:hAnsi="Arial"/>
          <w:sz w:val="12"/>
          <w:szCs w:val="12"/>
          <w:color w:val="auto"/>
        </w:rPr>
        <w:t>Sell, lease, abandon, transfer or otherwise dispose of all or substantially all of its assets in a single transaction or a series of related transactions, or enter into a merger, consolidation, reorganization or other business combination, or any other transaction or series of related transactions, in which the stockholders of the Corporation after such event would hold stock representing less than a majority of the stock of the surviving corporation, or consent to, or take any action deemed to be, a dissolution, liquidation or winding up of the Corporation;</w:t>
      </w:r>
    </w:p>
    <w:p>
      <w:pPr>
        <w:spacing w:after="0" w:line="73" w:lineRule="exact"/>
        <w:rPr>
          <w:rFonts w:ascii="Arial" w:cs="Arial" w:eastAsia="Arial" w:hAnsi="Arial"/>
          <w:sz w:val="12"/>
          <w:szCs w:val="12"/>
          <w:color w:val="auto"/>
        </w:rPr>
      </w:pPr>
    </w:p>
    <w:p>
      <w:pPr>
        <w:ind w:firstLine="1952"/>
        <w:spacing w:after="0" w:line="267" w:lineRule="auto"/>
        <w:tabs>
          <w:tab w:leader="none" w:pos="213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Alter or change the rights, preferences or privileges of the Preferred Stock or an series thereof, or the qualifications, limitations or restrictions thereof, if any such alteration or change would adversely affect the rights of the holders of the Preferred Stock;</w:t>
      </w:r>
    </w:p>
    <w:p>
      <w:pPr>
        <w:spacing w:after="0" w:line="101" w:lineRule="exact"/>
        <w:rPr>
          <w:rFonts w:ascii="Arial" w:cs="Arial" w:eastAsia="Arial" w:hAnsi="Arial"/>
          <w:sz w:val="14"/>
          <w:szCs w:val="14"/>
          <w:color w:val="auto"/>
        </w:rPr>
      </w:pPr>
    </w:p>
    <w:p>
      <w:pPr>
        <w:ind w:left="2140" w:hanging="188"/>
        <w:spacing w:after="0"/>
        <w:tabs>
          <w:tab w:leader="none" w:pos="214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Amend, alter, repeal or effect the waiver of any provision of its Amended and Restated Certification of Incorporation or By-laws, whether by way of merger, consolidation</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otherwise;</w:t>
      </w:r>
    </w:p>
    <w:p>
      <w:pPr>
        <w:spacing w:after="0" w:line="125" w:lineRule="exact"/>
        <w:rPr>
          <w:rFonts w:ascii="Arial" w:cs="Arial" w:eastAsia="Arial" w:hAnsi="Arial"/>
          <w:sz w:val="12"/>
          <w:szCs w:val="12"/>
          <w:color w:val="auto"/>
        </w:rPr>
      </w:pPr>
    </w:p>
    <w:p>
      <w:pPr>
        <w:ind w:right="120" w:firstLine="1952"/>
        <w:spacing w:after="0" w:line="255" w:lineRule="auto"/>
        <w:tabs>
          <w:tab w:leader="none" w:pos="213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Purchase or set aside any sums for the purchase of, redeem or otherwise acquire for value, or pay any dividend or make any distribution on, any shares of capital stock or other securities of the Corporation, except (i) for dividends or other distributions payable on the Common Stock solely in the form of additional shares of Common Stock and (ii) under any buy-back arrangements pursuant to any equity incentive plan or agreement approved by the Board of Directors, providing for the repurchase of shares upon termination of the service or employment of a consultant, director or employee;</w:t>
      </w:r>
    </w:p>
    <w:p>
      <w:pPr>
        <w:spacing w:after="0" w:line="109" w:lineRule="exact"/>
        <w:rPr>
          <w:rFonts w:ascii="Arial" w:cs="Arial" w:eastAsia="Arial" w:hAnsi="Arial"/>
          <w:sz w:val="14"/>
          <w:szCs w:val="14"/>
          <w:color w:val="auto"/>
        </w:rPr>
      </w:pPr>
    </w:p>
    <w:p>
      <w:pPr>
        <w:ind w:left="2120" w:hanging="168"/>
        <w:spacing w:after="0"/>
        <w:tabs>
          <w:tab w:leader="none" w:pos="21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Increase or decrease the number of members constituting the Corporation’s Board of Directors;</w:t>
      </w:r>
    </w:p>
    <w:p>
      <w:pPr>
        <w:spacing w:after="0" w:line="131" w:lineRule="exact"/>
        <w:rPr>
          <w:rFonts w:ascii="Arial" w:cs="Arial" w:eastAsia="Arial" w:hAnsi="Arial"/>
          <w:sz w:val="14"/>
          <w:szCs w:val="14"/>
          <w:color w:val="auto"/>
        </w:rPr>
      </w:pPr>
    </w:p>
    <w:p>
      <w:pPr>
        <w:jc w:val="both"/>
        <w:ind w:firstLine="1952"/>
        <w:spacing w:after="0" w:line="258" w:lineRule="auto"/>
        <w:tabs>
          <w:tab w:leader="none" w:pos="2141"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Enter into any agreement or agreements to or otherwise take action that results in the transfer of material assets of the Corporation to any person, other than (i) a transfer to a wholly owned subsidiary of the Corporation, (ii) the license of technology in any transaction approved by the Board of Directors of the Corporation or (iii) the sale of product in the ordinary course of business; or</w:t>
      </w:r>
    </w:p>
    <w:p>
      <w:pPr>
        <w:spacing w:after="0" w:line="107" w:lineRule="exact"/>
        <w:rPr>
          <w:rFonts w:ascii="Arial" w:cs="Arial" w:eastAsia="Arial" w:hAnsi="Arial"/>
          <w:sz w:val="14"/>
          <w:szCs w:val="14"/>
          <w:color w:val="auto"/>
        </w:rPr>
      </w:pPr>
    </w:p>
    <w:p>
      <w:pPr>
        <w:ind w:left="2140" w:hanging="188"/>
        <w:spacing w:after="0"/>
        <w:tabs>
          <w:tab w:leader="none" w:pos="21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Approve the filing of a petition under any bankruptcy or insolvency law.</w:t>
      </w:r>
    </w:p>
    <w:p>
      <w:pPr>
        <w:spacing w:after="0" w:line="121" w:lineRule="exact"/>
        <w:rPr>
          <w:rFonts w:ascii="Arial" w:cs="Arial" w:eastAsia="Arial" w:hAnsi="Arial"/>
          <w:sz w:val="14"/>
          <w:szCs w:val="14"/>
          <w:color w:val="auto"/>
        </w:rPr>
      </w:pPr>
    </w:p>
    <w:p>
      <w:pPr>
        <w:ind w:left="5660" w:hanging="73"/>
        <w:spacing w:after="0"/>
        <w:tabs>
          <w:tab w:leader="none" w:pos="566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12 -</w:t>
      </w:r>
    </w:p>
    <w:p>
      <w:pPr>
        <w:sectPr>
          <w:pgSz w:w="11900" w:h="16838" w:orient="portrait"/>
          <w:cols w:equalWidth="0" w:num="1">
            <w:col w:w="11460"/>
          </w:cols>
          <w:pgMar w:left="220" w:top="247" w:right="219" w:bottom="1440" w:gutter="0" w:footer="0" w:header="0"/>
        </w:sectPr>
      </w:pPr>
    </w:p>
    <w:bookmarkStart w:id="219" w:name="page220"/>
    <w:bookmarkEnd w:id="219"/>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 </w:t>
      </w:r>
      <w:r>
        <w:rPr>
          <w:rFonts w:ascii="Arial" w:cs="Arial" w:eastAsia="Arial" w:hAnsi="Arial"/>
          <w:sz w:val="14"/>
          <w:szCs w:val="14"/>
          <w:u w:val="single" w:color="auto"/>
          <w:color w:val="auto"/>
        </w:rPr>
        <w:t>Conversions</w:t>
      </w:r>
      <w:r>
        <w:rPr>
          <w:rFonts w:ascii="Arial" w:cs="Arial" w:eastAsia="Arial" w:hAnsi="Arial"/>
          <w:sz w:val="14"/>
          <w:szCs w:val="14"/>
          <w:color w:val="auto"/>
        </w:rPr>
        <w:t>. The holders of shares of Preferred Stock shall have the following conversion rights:</w:t>
      </w:r>
    </w:p>
    <w:p>
      <w:pPr>
        <w:spacing w:after="0" w:line="132" w:lineRule="exact"/>
        <w:rPr>
          <w:sz w:val="20"/>
          <w:szCs w:val="20"/>
          <w:color w:val="auto"/>
        </w:rPr>
      </w:pPr>
    </w:p>
    <w:p>
      <w:pPr>
        <w:ind w:right="40" w:firstLine="1490"/>
        <w:spacing w:after="0" w:line="300"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Right to Convert</w:t>
      </w:r>
      <w:r>
        <w:rPr>
          <w:rFonts w:ascii="Arial" w:cs="Arial" w:eastAsia="Arial" w:hAnsi="Arial"/>
          <w:sz w:val="12"/>
          <w:szCs w:val="12"/>
          <w:color w:val="auto"/>
        </w:rPr>
        <w:t>. Subject to the terms and conditions of this Section 6, the holder of any share or shares of Preferred Stock shall have the right, at its option at any time, to convert any such shares of Preferred Stock (except that upon any liquidation of the Corporation the right of conversion shall terminate at the close of business on the business day fixed for payment of the amount distributable on the Preferred Stock) into such number of fully paid and nonassessable shares of Common Stock as is obtained by multiplying the number of shares of Preferred Stock to be converted by the Preferred Stock Conversion Rate (as defined in Section 6.4(a)) then in effect for the applicable series of Preferred Stock. Such rights of conversion shall be exercised by the holder thereof by giving written notice that the holder elects to convert a stated number of shares of Preferred Stock into Common Stock and by surrender of a certificate or certificates for the shares so to be converted to the Corporation at its principal office (or such other office or agency of the Corporation as the Corporation may designate by notice in writing to the holders of the Preferred Stock) at any time during its usual business hours on the date set forth in such notice, together with a statement of the name or names (with address) in which the certificate or certificates for shares of Common Stock shall be issued.</w:t>
      </w:r>
    </w:p>
    <w:p>
      <w:pPr>
        <w:spacing w:after="0" w:line="88" w:lineRule="exact"/>
        <w:rPr>
          <w:sz w:val="20"/>
          <w:szCs w:val="20"/>
          <w:color w:val="auto"/>
        </w:rPr>
      </w:pPr>
    </w:p>
    <w:p>
      <w:pPr>
        <w:ind w:firstLine="1490"/>
        <w:spacing w:after="0" w:line="299"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Issuance of Certificates; Time Conversion Effected</w:t>
      </w:r>
      <w:r>
        <w:rPr>
          <w:rFonts w:ascii="Arial" w:cs="Arial" w:eastAsia="Arial" w:hAnsi="Arial"/>
          <w:sz w:val="12"/>
          <w:szCs w:val="12"/>
          <w:color w:val="auto"/>
        </w:rPr>
        <w:t>, Promptly after the receipt of the written notice referred to in Section 6.1 and surrender of the certificate or certificates for the share or shares of Preferred Stock to be converted, the Corporation shall issue and deliver, or cause to be issued and delivered, to the holder, registered in such name or names as such holder may direct, a certificate or certificates for the number of whole shares of Common Stock issuable upon the conversion of such share or shares of Preferred Stock. The applicable Preferred Stock Conversion Price with respect to any conversion pursuant to this Section 6 shall be the lowest Preferred Stock Conversion Price of the applicable class or series of Preferred Stock being converted in effect immediately prior to such conversion. To the extent permitted by law, such conversion shall be deemed to have been effected and the Preferred Stock Conversion Price shall be determined as of the close of business on the date on which such written notice shall have been received by the Corporation and the certificate or certificates for such share or shares shall have been surrendered as aforesaid, and at such time the rights of the holder of such share or shares of Preferred Stock shall cease, and the person or persons in whose name or names any certificate or certificates for shares of Common Stock shall be issuable upon such conversion shall be deemed to have become the holder or holders of record of the shares represented thereby.</w:t>
      </w:r>
    </w:p>
    <w:p>
      <w:pPr>
        <w:spacing w:after="0" w:line="87" w:lineRule="exact"/>
        <w:rPr>
          <w:sz w:val="20"/>
          <w:szCs w:val="20"/>
          <w:color w:val="auto"/>
        </w:rPr>
      </w:pPr>
    </w:p>
    <w:p>
      <w:pPr>
        <w:jc w:val="both"/>
        <w:ind w:right="20" w:firstLine="1490"/>
        <w:spacing w:after="0" w:line="321"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Fractional Shares; Dividends; Partial Conversion</w:t>
      </w:r>
      <w:r>
        <w:rPr>
          <w:rFonts w:ascii="Arial" w:cs="Arial" w:eastAsia="Arial" w:hAnsi="Arial"/>
          <w:sz w:val="12"/>
          <w:szCs w:val="12"/>
          <w:color w:val="auto"/>
        </w:rPr>
        <w:t>. No fractional shares shall be issued upon conversion of Preferred Stock into Common Stock and no payment or adjustment shall be made upon any conversion on account of any dividends on the Common Stock. At the time of each conversion, the Corporation shall pay in cash an amount equal to all cash dividends declared but unpaid on the shares of Preferred Stock surrendered for conversion to the date upon which such conversion is deemed to take place as provided in Section 6.2. In case the number of shares of Preferred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- 13 -</w:t>
      </w:r>
    </w:p>
    <w:p>
      <w:pPr>
        <w:sectPr>
          <w:pgSz w:w="11900" w:h="16838" w:orient="portrait"/>
          <w:cols w:equalWidth="0" w:num="1">
            <w:col w:w="11440"/>
          </w:cols>
          <w:pgMar w:left="220" w:top="247" w:right="239" w:bottom="1440" w:gutter="0" w:footer="0" w:header="0"/>
        </w:sectPr>
      </w:pPr>
    </w:p>
    <w:bookmarkStart w:id="220" w:name="page221"/>
    <w:bookmarkEnd w:id="220"/>
    <w:p>
      <w:pPr>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Stock represented by the certificate or certificates surrendered pursuant to Section 6.1 exceeds the number of shares converted, the Corporation shall, upon such conversion, execute and deliver to the holder, at the expense of the Corporation, a new certificate or certificates for the number of shares of Preferred Stock represented by the certificate or certificates surrendered which are not to be converted. If any fractional share of Common Stock would, except for the provisions of the first sentence of this Section 6.3, be delivered upon such conversion, the Corporation, in lieu of delivering such fractional share, shall pay to the holder surrendering the Preferred Stock for conversion an amount in cash equal to the current market price of such fractional share as determined in good faith by the Board of Directors of the Corporation.</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Preferred Stock Conversion Price and Conversion Rate</w:t>
      </w:r>
      <w:r>
        <w:rPr>
          <w:rFonts w:ascii="Arial" w:cs="Arial" w:eastAsia="Arial" w:hAnsi="Arial"/>
          <w:sz w:val="14"/>
          <w:szCs w:val="14"/>
          <w:color w:val="auto"/>
        </w:rPr>
        <w:t>.</w:t>
      </w:r>
    </w:p>
    <w:p>
      <w:pPr>
        <w:spacing w:after="0" w:line="132" w:lineRule="exact"/>
        <w:rPr>
          <w:sz w:val="20"/>
          <w:szCs w:val="20"/>
          <w:color w:val="auto"/>
        </w:rPr>
      </w:pPr>
    </w:p>
    <w:p>
      <w:pPr>
        <w:ind w:right="20" w:firstLine="1952"/>
        <w:spacing w:after="0" w:line="258" w:lineRule="auto"/>
        <w:tabs>
          <w:tab w:leader="none" w:pos="2133" w:val="left"/>
        </w:tabs>
        <w:numPr>
          <w:ilvl w:val="1"/>
          <w:numId w:val="142"/>
        </w:numPr>
        <w:rPr>
          <w:rFonts w:ascii="Arial" w:cs="Arial" w:eastAsia="Arial" w:hAnsi="Arial"/>
          <w:sz w:val="14"/>
          <w:szCs w:val="14"/>
          <w:color w:val="auto"/>
        </w:rPr>
      </w:pPr>
      <w:r>
        <w:rPr>
          <w:rFonts w:ascii="Arial" w:cs="Arial" w:eastAsia="Arial" w:hAnsi="Arial"/>
          <w:sz w:val="14"/>
          <w:szCs w:val="14"/>
          <w:u w:val="single" w:color="auto"/>
          <w:color w:val="auto"/>
        </w:rPr>
        <w:t>Preferred Stock Conversion, Rate</w:t>
      </w:r>
      <w:r>
        <w:rPr>
          <w:rFonts w:ascii="Arial" w:cs="Arial" w:eastAsia="Arial" w:hAnsi="Arial"/>
          <w:sz w:val="14"/>
          <w:szCs w:val="14"/>
          <w:color w:val="auto"/>
        </w:rPr>
        <w:t>. The conversion rate in effect at any time for conversion of a series of Preferred Stock (the “</w:t>
      </w:r>
      <w:r>
        <w:rPr>
          <w:rFonts w:ascii="Arial" w:cs="Arial" w:eastAsia="Arial" w:hAnsi="Arial"/>
          <w:sz w:val="14"/>
          <w:szCs w:val="14"/>
          <w:u w:val="single" w:color="auto"/>
          <w:color w:val="auto"/>
        </w:rPr>
        <w:t>Preferred Stock Conversion Rate</w:t>
      </w:r>
      <w:r>
        <w:rPr>
          <w:rFonts w:ascii="Arial" w:cs="Arial" w:eastAsia="Arial" w:hAnsi="Arial"/>
          <w:sz w:val="14"/>
          <w:szCs w:val="14"/>
          <w:color w:val="auto"/>
        </w:rPr>
        <w:t>”) shall be the quotient obtained by dividing the Original Issue Price (as defined below) of such series of Preferred Stock by the “Preferred Stock Conversion Price” for such series of Preferred Stock, calculated as provided in Section 6.4(b).</w:t>
      </w:r>
    </w:p>
    <w:p>
      <w:pPr>
        <w:spacing w:after="0" w:line="107" w:lineRule="exact"/>
        <w:rPr>
          <w:rFonts w:ascii="Arial" w:cs="Arial" w:eastAsia="Arial" w:hAnsi="Arial"/>
          <w:sz w:val="14"/>
          <w:szCs w:val="14"/>
          <w:color w:val="auto"/>
        </w:rPr>
      </w:pPr>
    </w:p>
    <w:p>
      <w:pPr>
        <w:ind w:left="2140" w:hanging="188"/>
        <w:spacing w:after="0"/>
        <w:tabs>
          <w:tab w:leader="none" w:pos="2140" w:val="left"/>
        </w:tabs>
        <w:numPr>
          <w:ilvl w:val="1"/>
          <w:numId w:val="142"/>
        </w:numPr>
        <w:rPr>
          <w:rFonts w:ascii="Arial" w:cs="Arial" w:eastAsia="Arial" w:hAnsi="Arial"/>
          <w:sz w:val="12"/>
          <w:szCs w:val="12"/>
          <w:color w:val="auto"/>
        </w:rPr>
      </w:pPr>
      <w:r>
        <w:rPr>
          <w:rFonts w:ascii="Arial" w:cs="Arial" w:eastAsia="Arial" w:hAnsi="Arial"/>
          <w:sz w:val="12"/>
          <w:szCs w:val="12"/>
          <w:u w:val="single" w:color="auto"/>
          <w:color w:val="auto"/>
        </w:rPr>
        <w:t>Preferred Stock Conversion Price</w:t>
      </w:r>
      <w:r>
        <w:rPr>
          <w:rFonts w:ascii="Arial" w:cs="Arial" w:eastAsia="Arial" w:hAnsi="Arial"/>
          <w:sz w:val="12"/>
          <w:szCs w:val="12"/>
          <w:color w:val="auto"/>
        </w:rPr>
        <w:t>. The conversion price (the “</w:t>
      </w:r>
      <w:r>
        <w:rPr>
          <w:rFonts w:ascii="Arial" w:cs="Arial" w:eastAsia="Arial" w:hAnsi="Arial"/>
          <w:sz w:val="12"/>
          <w:szCs w:val="12"/>
          <w:u w:val="single" w:color="auto"/>
          <w:color w:val="auto"/>
        </w:rPr>
        <w:t>Preferred Stock Conversion Price</w:t>
      </w:r>
      <w:r>
        <w:rPr>
          <w:rFonts w:ascii="Arial" w:cs="Arial" w:eastAsia="Arial" w:hAnsi="Arial"/>
          <w:sz w:val="12"/>
          <w:szCs w:val="12"/>
          <w:color w:val="auto"/>
        </w:rPr>
        <w:t>”) shall initially be (i) $0.66394 for the Series A-1 Preferred Stock,</w:t>
      </w:r>
    </w:p>
    <w:p>
      <w:pPr>
        <w:spacing w:after="0" w:line="35" w:lineRule="exact"/>
        <w:rPr>
          <w:rFonts w:ascii="Arial" w:cs="Arial" w:eastAsia="Arial" w:hAnsi="Arial"/>
          <w:sz w:val="12"/>
          <w:szCs w:val="12"/>
          <w:color w:val="auto"/>
        </w:rPr>
      </w:pPr>
    </w:p>
    <w:p>
      <w:pPr>
        <w:ind w:right="40" w:firstLine="4"/>
        <w:spacing w:after="0" w:line="253" w:lineRule="auto"/>
        <w:tabs>
          <w:tab w:leader="none" w:pos="2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$1.00 for the Series A-2 Preferred Stock, (iii) $0.37468 for the Series B Preferred Stock, (iv) $0.40560 for the Series C Preferred Stock, (v) $0.65210 for the Series D Preferred Stock, and (vi) $0.65210 for the Series D-2 Preferred Stock. Such initial Preferred Stock Conversion Prices shall be adjusted from time to time in accordance with this Section 6. All references to the Preferred Stock Conversion Price herein shall mean the Preferred Stock Conversion Price as so adjusted.</w:t>
      </w:r>
    </w:p>
    <w:p>
      <w:pPr>
        <w:spacing w:after="0" w:line="111" w:lineRule="exact"/>
        <w:rPr>
          <w:rFonts w:ascii="Arial" w:cs="Arial" w:eastAsia="Arial" w:hAnsi="Arial"/>
          <w:sz w:val="14"/>
          <w:szCs w:val="14"/>
          <w:color w:val="auto"/>
        </w:rPr>
      </w:pPr>
    </w:p>
    <w:p>
      <w:pPr>
        <w:ind w:right="240" w:firstLine="1952"/>
        <w:spacing w:after="0" w:line="351" w:lineRule="auto"/>
        <w:tabs>
          <w:tab w:leader="none" w:pos="2133" w:val="left"/>
        </w:tabs>
        <w:numPr>
          <w:ilvl w:val="1"/>
          <w:numId w:val="143"/>
        </w:numPr>
        <w:rPr>
          <w:rFonts w:ascii="Arial" w:cs="Arial" w:eastAsia="Arial" w:hAnsi="Arial"/>
          <w:sz w:val="12"/>
          <w:szCs w:val="12"/>
          <w:color w:val="auto"/>
        </w:rPr>
      </w:pPr>
      <w:r>
        <w:rPr>
          <w:rFonts w:ascii="Arial" w:cs="Arial" w:eastAsia="Arial" w:hAnsi="Arial"/>
          <w:sz w:val="12"/>
          <w:szCs w:val="12"/>
          <w:u w:val="single" w:color="auto"/>
          <w:color w:val="auto"/>
        </w:rPr>
        <w:t>Original Issue Price</w:t>
      </w:r>
      <w:r>
        <w:rPr>
          <w:rFonts w:ascii="Arial" w:cs="Arial" w:eastAsia="Arial" w:hAnsi="Arial"/>
          <w:sz w:val="12"/>
          <w:szCs w:val="12"/>
          <w:color w:val="auto"/>
        </w:rPr>
        <w:t>. The “</w:t>
      </w:r>
      <w:r>
        <w:rPr>
          <w:rFonts w:ascii="Arial" w:cs="Arial" w:eastAsia="Arial" w:hAnsi="Arial"/>
          <w:sz w:val="12"/>
          <w:szCs w:val="12"/>
          <w:u w:val="single" w:color="auto"/>
          <w:color w:val="auto"/>
        </w:rPr>
        <w:t>Original Issue Price</w:t>
      </w:r>
      <w:r>
        <w:rPr>
          <w:rFonts w:ascii="Arial" w:cs="Arial" w:eastAsia="Arial" w:hAnsi="Arial"/>
          <w:sz w:val="12"/>
          <w:szCs w:val="12"/>
          <w:color w:val="auto"/>
        </w:rPr>
        <w:t>” shall be (A) $1.00 for each share of the Series A Preferred Stock, (B) $0.42716 for each share of the Series B Preferred Stock, (C) $0.40560 for each share of the Series C Preferred Stock, (D) $0.65210 for each share of the Series D Preferred Stock, and (E) $0.65210 for each share of the Series D-2 Preferred Stock.</w:t>
      </w:r>
    </w:p>
    <w:p>
      <w:pPr>
        <w:spacing w:after="0" w:line="56" w:lineRule="exact"/>
        <w:rPr>
          <w:sz w:val="20"/>
          <w:szCs w:val="20"/>
          <w:color w:val="auto"/>
        </w:rPr>
      </w:pPr>
    </w:p>
    <w:p>
      <w:pPr>
        <w:ind w:right="40" w:firstLine="1490"/>
        <w:spacing w:after="0" w:line="302"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Adjustment of Conversion Price Upon Issuance of Common Stock</w:t>
      </w:r>
      <w:r>
        <w:rPr>
          <w:rFonts w:ascii="Arial" w:cs="Arial" w:eastAsia="Arial" w:hAnsi="Arial"/>
          <w:sz w:val="12"/>
          <w:szCs w:val="12"/>
          <w:color w:val="auto"/>
        </w:rPr>
        <w:t>. Except as provided in Section 6.6, if and whenever the Corporation shall issue or sell, or is, in accordance with Sections 6.5(a) through (g), deemed to have issued or sold, any shares of Common Stock for consideration per share less than the applicable Preferred Stock Conversion Price in effect immediately prior to the time of such issue or sale, then, forthwith upon such issue or sale, the applicable Preferred Stock Conversion Price for the Series A-1 Preferred Stock, the Series B Preferred Stock, the Series C Preferred Stock, the Series D Preferred Stock and the Series D-2 Preferred Stock shall be reduced to the price determined by dividing (i) an amount equal to the sum of (A) the number of shares of Common Stock deemed outstanding (as defined below) immediately prior to such issue or sale multiplied by the applicable then-existing Preferred Stock Conversion Price and (B) the consideration, if any, received by the Corporation upon such issue or sale, by (ii) the total number of shares of Common Stock deemed outstanding immediately after such issue or sale.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- 14 -</w:t>
      </w:r>
    </w:p>
    <w:p>
      <w:pPr>
        <w:sectPr>
          <w:pgSz w:w="11900" w:h="16838" w:orient="portrait"/>
          <w:cols w:equalWidth="0" w:num="1">
            <w:col w:w="11460"/>
          </w:cols>
          <w:pgMar w:left="220" w:top="247" w:right="219" w:bottom="1440" w:gutter="0" w:footer="0" w:header="0"/>
        </w:sectPr>
      </w:pPr>
    </w:p>
    <w:bookmarkStart w:id="221" w:name="page222"/>
    <w:bookmarkEnd w:id="221"/>
    <w:p>
      <w:pPr>
        <w:ind w:right="200" w:firstLine="458"/>
        <w:spacing w:after="0" w:line="29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For the purposes of the preceding paragraph, the number of shares of Common Stock deemed to be outstanding as of a given date shall be the sum of (A) the number of shares of Common Stock outstanding, (B) the number of shares of Common Stock into which the then-outstanding shares of Preferred Stock could be converted if fully converted on the day immediately preceding the given date, and</w:t>
      </w:r>
    </w:p>
    <w:p>
      <w:pPr>
        <w:spacing w:after="0" w:line="1" w:lineRule="exact"/>
        <w:rPr>
          <w:sz w:val="20"/>
          <w:szCs w:val="20"/>
          <w:color w:val="auto"/>
        </w:rPr>
      </w:pPr>
    </w:p>
    <w:p>
      <w:pPr>
        <w:ind w:right="140" w:firstLine="4"/>
        <w:spacing w:after="0" w:line="258" w:lineRule="auto"/>
        <w:tabs>
          <w:tab w:leader="none" w:pos="215"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number of shares of Common Stock which could be obtained through the exercise or conversion of all other rights, options and convertible securities outstanding on the date immediately preceding the given date and which may be convertible or exercisable pursuant to their terms as of such date.</w:t>
      </w:r>
    </w:p>
    <w:p>
      <w:pPr>
        <w:spacing w:after="0" w:line="108" w:lineRule="exact"/>
        <w:rPr>
          <w:sz w:val="20"/>
          <w:szCs w:val="20"/>
          <w:color w:val="auto"/>
        </w:rPr>
      </w:pPr>
    </w:p>
    <w:p>
      <w:pPr>
        <w:ind w:right="120" w:firstLine="458"/>
        <w:spacing w:after="0" w:line="321" w:lineRule="auto"/>
        <w:rPr>
          <w:sz w:val="20"/>
          <w:szCs w:val="20"/>
          <w:color w:val="auto"/>
        </w:rPr>
      </w:pPr>
      <w:r>
        <w:rPr>
          <w:rFonts w:ascii="Arial" w:cs="Arial" w:eastAsia="Arial" w:hAnsi="Arial"/>
          <w:sz w:val="12"/>
          <w:szCs w:val="12"/>
          <w:color w:val="auto"/>
        </w:rPr>
        <w:t>Notwithstanding any other provision herein, no adjustment shall be made under this Section 6.5 to the applicable Preferred Stock Conversion Price for the Series A-2 Preferred Stock. Notwithstanding any other provision herein, in addition, no adjustment to the Preferred Stock Conversion Price shall be made under this Section 6.5 for the Series A-1 Preferred Stock for any issuance or deemed issuance of Common Stock, Preferred Stock, Options or Convertible Securities at a price greater than the then-applicable Series C Conversion Price.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purposes of this Section 6.5, the following Sections 6.5(a) through (g) shall also be applicable:</w:t>
      </w:r>
    </w:p>
    <w:p>
      <w:pPr>
        <w:spacing w:after="0" w:line="132" w:lineRule="exact"/>
        <w:rPr>
          <w:sz w:val="20"/>
          <w:szCs w:val="20"/>
          <w:color w:val="auto"/>
        </w:rPr>
      </w:pPr>
    </w:p>
    <w:p>
      <w:pPr>
        <w:ind w:firstLine="1952"/>
        <w:spacing w:after="0" w:line="297" w:lineRule="auto"/>
        <w:tabs>
          <w:tab w:leader="none" w:pos="2133"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Issuance of Rights or Options</w:t>
      </w:r>
      <w:r>
        <w:rPr>
          <w:rFonts w:ascii="Arial" w:cs="Arial" w:eastAsia="Arial" w:hAnsi="Arial"/>
          <w:sz w:val="12"/>
          <w:szCs w:val="12"/>
          <w:color w:val="auto"/>
        </w:rPr>
        <w:t>. In case at any time the Corporation shall in any manner grant (whether directly or by assumption in a merger or otherwise) any warrants or other rights to subscribe for or to purchase, or any options for the purchase of, Common Stock or any stock or security convertible into or exchangeable for Common Stock (such warrants, rights or options being called “</w:t>
      </w:r>
      <w:r>
        <w:rPr>
          <w:rFonts w:ascii="Arial" w:cs="Arial" w:eastAsia="Arial" w:hAnsi="Arial"/>
          <w:sz w:val="12"/>
          <w:szCs w:val="12"/>
          <w:u w:val="single" w:color="auto"/>
          <w:color w:val="auto"/>
        </w:rPr>
        <w:t>Options</w:t>
      </w:r>
      <w:r>
        <w:rPr>
          <w:rFonts w:ascii="Arial" w:cs="Arial" w:eastAsia="Arial" w:hAnsi="Arial"/>
          <w:sz w:val="12"/>
          <w:szCs w:val="12"/>
          <w:color w:val="auto"/>
        </w:rPr>
        <w:t>” and such convertible or exchangeable stock or securities being called “</w:t>
      </w:r>
      <w:r>
        <w:rPr>
          <w:rFonts w:ascii="Arial" w:cs="Arial" w:eastAsia="Arial" w:hAnsi="Arial"/>
          <w:sz w:val="12"/>
          <w:szCs w:val="12"/>
          <w:u w:val="single" w:color="auto"/>
          <w:color w:val="auto"/>
        </w:rPr>
        <w:t>Convertible Securities</w:t>
      </w:r>
      <w:r>
        <w:rPr>
          <w:rFonts w:ascii="Arial" w:cs="Arial" w:eastAsia="Arial" w:hAnsi="Arial"/>
          <w:sz w:val="12"/>
          <w:szCs w:val="12"/>
          <w:color w:val="auto"/>
        </w:rPr>
        <w:t>”) whether or not such Options or the right to convert or exchange any such Convertible Securities are immediately exercisable, and the price per share for which Common Stock is issuable upon the exercise of such Options or upon the conversion or exchange of such Convertible Securities (determined by dividing (1) the total amount, if any, received or receivable by the Corporation as consideration for the granting of such Options, plus the minimum aggregate amount of additional consideration payable to the Corporation upon the exercise of all such Options plus, in the case of such Options which relate to Convertible Securities, the minimum aggregate amount of additional consideration, if any, payable upon the issue or sale of such Convertible Securities and upon the conversion or exchange thereof, by (ii) the total maximum number of shares of Common Stock issuable upon the exercise of such Options or upon the conversion or exchange of all such Convertible Securities issuable upon the exercise of such Options) shall be less than the applicable Preferred Stock Conversion Price in effect immediately prior to the time of the granting of such Options, then the total maximum number of shares of Common Stock issuable upon the exercise of such Options or upon conversion or exchange of the total maximum amount of such Convertible Securities issuable upon the exercise of such Options shall be deemed to have been issued for such price per share as of</w:t>
      </w:r>
    </w:p>
    <w:p>
      <w:pPr>
        <w:spacing w:after="0" w:line="78" w:lineRule="exact"/>
        <w:rPr>
          <w:rFonts w:ascii="Arial" w:cs="Arial" w:eastAsia="Arial" w:hAnsi="Arial"/>
          <w:sz w:val="12"/>
          <w:szCs w:val="12"/>
          <w:color w:val="auto"/>
        </w:rPr>
      </w:pPr>
    </w:p>
    <w:p>
      <w:pPr>
        <w:ind w:left="5660" w:hanging="73"/>
        <w:spacing w:after="0"/>
        <w:tabs>
          <w:tab w:leader="none" w:pos="566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15 -</w:t>
      </w:r>
    </w:p>
    <w:p>
      <w:pPr>
        <w:sectPr>
          <w:pgSz w:w="11900" w:h="16838" w:orient="portrait"/>
          <w:cols w:equalWidth="0" w:num="1">
            <w:col w:w="11440"/>
          </w:cols>
          <w:pgMar w:left="220" w:top="247" w:right="239" w:bottom="1440" w:gutter="0" w:footer="0" w:header="0"/>
        </w:sectPr>
      </w:pPr>
    </w:p>
    <w:bookmarkStart w:id="222" w:name="page223"/>
    <w:bookmarkEnd w:id="222"/>
    <w:p>
      <w:pPr>
        <w:jc w:val="both"/>
        <w:ind w:right="5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date of granting of such Options or the issuance of such Convertible Securities and thereafter shall be deemed to be outstanding. Except as otherwise provided in Section 6.5(c), no adjustment of the applicable Preferred Stock Conversion Price shall be made upon the actual issue of such Common Stock or of such Convertible Securities upon exercise of such Options or upon the actual issue of such Common Stock upon conversion or exchange of such Convertible Securities.</w:t>
      </w:r>
    </w:p>
    <w:p>
      <w:pPr>
        <w:spacing w:after="0" w:line="108" w:lineRule="exact"/>
        <w:rPr>
          <w:sz w:val="20"/>
          <w:szCs w:val="20"/>
          <w:color w:val="auto"/>
        </w:rPr>
      </w:pPr>
    </w:p>
    <w:p>
      <w:pPr>
        <w:ind w:firstLine="1952"/>
        <w:spacing w:after="0" w:line="292" w:lineRule="auto"/>
        <w:tabs>
          <w:tab w:leader="none" w:pos="2141" w:val="left"/>
        </w:tabs>
        <w:numPr>
          <w:ilvl w:val="1"/>
          <w:numId w:val="146"/>
        </w:numPr>
        <w:rPr>
          <w:rFonts w:ascii="Arial" w:cs="Arial" w:eastAsia="Arial" w:hAnsi="Arial"/>
          <w:sz w:val="12"/>
          <w:szCs w:val="12"/>
          <w:color w:val="auto"/>
        </w:rPr>
      </w:pPr>
      <w:r>
        <w:rPr>
          <w:rFonts w:ascii="Arial" w:cs="Arial" w:eastAsia="Arial" w:hAnsi="Arial"/>
          <w:sz w:val="12"/>
          <w:szCs w:val="12"/>
          <w:u w:val="single" w:color="auto"/>
          <w:color w:val="auto"/>
        </w:rPr>
        <w:t>Issuance of Convertible Securities</w:t>
      </w:r>
      <w:r>
        <w:rPr>
          <w:rFonts w:ascii="Arial" w:cs="Arial" w:eastAsia="Arial" w:hAnsi="Arial"/>
          <w:sz w:val="12"/>
          <w:szCs w:val="12"/>
          <w:color w:val="auto"/>
        </w:rPr>
        <w:t xml:space="preserve">. In case the Corporation shall in any manner issue or sell any Convertible Securities, whether or not the rights to exchange or convert any such Convertible Securities are immediately exercisable, and the price per share for which Common Stock is issuable upon such conversion or exchange (determined by dividing (i) the total amount received or receivable by the Corporation as consideration for the issue or sale of such Convertible Securities, plus the minimum aggregate amount of additional consideration, if any, payable to the Corporation upon the conversion at exchange thereof; by (ii) the total maximum number of shares of Common Stock issuable upon the conversion or exchange of all such Convertible Securities) shall be less than the applicable Preferred Stock Conversion Price in effect immediately prior to the time of such issue or sale, then the total maximum number of shares of Common Stock issuable upon conversion or exchange of all such Convertible Securities shall be deemed to have been issued for such price per share as of the date of the issue or sale of such Convertible Securities and thereafter shall be deemed to be outstanding,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1" w:lineRule="exact"/>
        <w:rPr>
          <w:rFonts w:ascii="Arial" w:cs="Arial" w:eastAsia="Arial" w:hAnsi="Arial"/>
          <w:sz w:val="12"/>
          <w:szCs w:val="12"/>
          <w:color w:val="auto"/>
        </w:rPr>
      </w:pPr>
    </w:p>
    <w:p>
      <w:pPr>
        <w:ind w:right="40" w:firstLine="4"/>
        <w:spacing w:after="0" w:line="252" w:lineRule="auto"/>
        <w:tabs>
          <w:tab w:leader="none" w:pos="22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except as otherwise provided in Section 6.5(c), no adjustment of the applicable Preferred Stock Conversion Price shall be made upon the actual issue of such Common Stock upon conversion or exchange of such Convertible Securities and (B) if any such issue or sale of such Convertible Securities is made upon exercise of any Options to purchase any such Convertible Securities for which adjustments of the applicable Preferred Stock Conversion Price have been or are to be made pursuant to other provisions of this Section 6.5, no further adjustment of the applicable Preferred Stock Conversion Price shall be made by reason of such issue or sale.</w:t>
      </w:r>
    </w:p>
    <w:p>
      <w:pPr>
        <w:spacing w:after="0" w:line="111" w:lineRule="exact"/>
        <w:rPr>
          <w:rFonts w:ascii="Arial" w:cs="Arial" w:eastAsia="Arial" w:hAnsi="Arial"/>
          <w:sz w:val="14"/>
          <w:szCs w:val="14"/>
          <w:color w:val="auto"/>
        </w:rPr>
      </w:pPr>
    </w:p>
    <w:p>
      <w:pPr>
        <w:ind w:firstLine="1952"/>
        <w:spacing w:after="0" w:line="299" w:lineRule="auto"/>
        <w:tabs>
          <w:tab w:leader="none" w:pos="2133" w:val="left"/>
        </w:tabs>
        <w:numPr>
          <w:ilvl w:val="1"/>
          <w:numId w:val="147"/>
        </w:numPr>
        <w:rPr>
          <w:rFonts w:ascii="Arial" w:cs="Arial" w:eastAsia="Arial" w:hAnsi="Arial"/>
          <w:sz w:val="12"/>
          <w:szCs w:val="12"/>
          <w:color w:val="auto"/>
        </w:rPr>
      </w:pPr>
      <w:r>
        <w:rPr>
          <w:rFonts w:ascii="Arial" w:cs="Arial" w:eastAsia="Arial" w:hAnsi="Arial"/>
          <w:sz w:val="12"/>
          <w:szCs w:val="12"/>
          <w:u w:val="single" w:color="auto"/>
          <w:color w:val="auto"/>
        </w:rPr>
        <w:t>Change in Option Price or Conversion Rate</w:t>
      </w:r>
      <w:r>
        <w:rPr>
          <w:rFonts w:ascii="Arial" w:cs="Arial" w:eastAsia="Arial" w:hAnsi="Arial"/>
          <w:sz w:val="12"/>
          <w:szCs w:val="12"/>
          <w:color w:val="auto"/>
        </w:rPr>
        <w:t>. Upon the happening of any of the following events, namely, if (i) the purchase price provided for in any Option referred to in Section 6.5(a), (ii) the additional consideration, if any, payable upon the conversion or exchange of any Convertible Securities referred to in Section 6.5(a) or 6.5(b), or (iii) the rate at which Convertible Securities referred to in Section 6.5(a) or 6.5(b) are convertible into or exchangeable for Common Stock shall change at any time (including, but not limited to, changes under or by reason of provisions designed to protect against dilution), then the applicable Preferred Stock Conversion Price in effect at, the time of such event shall forthwith be readjusted to the Preferred Stock Conversion Price which would have been in effect at such time had such Options or Convertible Securities still outstanding provided for such changed purchase price, additional consideration or conversion rate, as the case may be at the time initially granted, issued or sold, but only if as a result of such adjustment the applicable Preferred Stock Conversion Price then in effect hereunder is thereby reduced; and on the termination of any such Option or any such right to convert or exchange such Convertible Securities, the applicable Preferred Stock Conversion Price then in effect hereunder shall forthwith be increased to the Preferred Stock Conversion Price which would have been in effect at the time of such termination had such Option or Convertible Securities, to the extent outstanding immediately prior to such termination, never been issued.</w:t>
      </w:r>
    </w:p>
    <w:p>
      <w:pPr>
        <w:spacing w:after="0" w:line="76" w:lineRule="exact"/>
        <w:rPr>
          <w:rFonts w:ascii="Arial" w:cs="Arial" w:eastAsia="Arial" w:hAnsi="Arial"/>
          <w:sz w:val="12"/>
          <w:szCs w:val="12"/>
          <w:color w:val="auto"/>
        </w:rPr>
      </w:pPr>
    </w:p>
    <w:p>
      <w:pPr>
        <w:ind w:left="5660" w:hanging="73"/>
        <w:spacing w:after="0"/>
        <w:tabs>
          <w:tab w:leader="none" w:pos="5660" w:val="left"/>
        </w:tabs>
        <w:numPr>
          <w:ilvl w:val="2"/>
          <w:numId w:val="147"/>
        </w:numPr>
        <w:rPr>
          <w:rFonts w:ascii="Arial" w:cs="Arial" w:eastAsia="Arial" w:hAnsi="Arial"/>
          <w:sz w:val="14"/>
          <w:szCs w:val="14"/>
          <w:color w:val="auto"/>
        </w:rPr>
      </w:pPr>
      <w:r>
        <w:rPr>
          <w:rFonts w:ascii="Arial" w:cs="Arial" w:eastAsia="Arial" w:hAnsi="Arial"/>
          <w:sz w:val="14"/>
          <w:szCs w:val="14"/>
          <w:color w:val="auto"/>
        </w:rPr>
        <w:t>16 -</w:t>
      </w:r>
    </w:p>
    <w:p>
      <w:pPr>
        <w:sectPr>
          <w:pgSz w:w="11900" w:h="16838" w:orient="portrait"/>
          <w:cols w:equalWidth="0" w:num="1">
            <w:col w:w="11460"/>
          </w:cols>
          <w:pgMar w:left="220" w:top="247" w:right="219" w:bottom="1440" w:gutter="0" w:footer="0" w:header="0"/>
        </w:sectPr>
      </w:pPr>
    </w:p>
    <w:bookmarkStart w:id="223" w:name="page224"/>
    <w:bookmarkEnd w:id="223"/>
    <w:p>
      <w:pPr>
        <w:ind w:firstLine="1952"/>
        <w:spacing w:after="0" w:line="258" w:lineRule="auto"/>
        <w:tabs>
          <w:tab w:leader="none" w:pos="2141"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Stock Dividends</w:t>
      </w:r>
      <w:r>
        <w:rPr>
          <w:rFonts w:ascii="Arial" w:cs="Arial" w:eastAsia="Arial" w:hAnsi="Arial"/>
          <w:sz w:val="14"/>
          <w:szCs w:val="14"/>
          <w:color w:val="auto"/>
        </w:rPr>
        <w:t>. In case the Corporation shall declare a dividend or make any other distribution upon any stock of the Corporation payable in Common Stock, Options or Convertible Securities (other than a dividend or other distribution on the Common Stock that is payable in Common Stock), then any Common Stock, Options or Convertible Securities, as the case may be, issuable in payment of such dividend or distribution shall be deemed to have been issued or sold without consideration.</w:t>
      </w:r>
    </w:p>
    <w:p>
      <w:pPr>
        <w:spacing w:after="0" w:line="107" w:lineRule="exact"/>
        <w:rPr>
          <w:rFonts w:ascii="Arial" w:cs="Arial" w:eastAsia="Arial" w:hAnsi="Arial"/>
          <w:sz w:val="14"/>
          <w:szCs w:val="14"/>
          <w:color w:val="auto"/>
        </w:rPr>
      </w:pPr>
    </w:p>
    <w:p>
      <w:pPr>
        <w:ind w:firstLine="1952"/>
        <w:spacing w:after="0" w:line="300" w:lineRule="auto"/>
        <w:tabs>
          <w:tab w:leader="none" w:pos="2133"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Consideration for Stock</w:t>
      </w:r>
      <w:r>
        <w:rPr>
          <w:rFonts w:ascii="Arial" w:cs="Arial" w:eastAsia="Arial" w:hAnsi="Arial"/>
          <w:sz w:val="12"/>
          <w:szCs w:val="12"/>
          <w:color w:val="auto"/>
        </w:rPr>
        <w:t>. In case any shares of Common Stock, Options or Convertible Securities shall be issued or sold for cash, the consideration received therefor shall be deemed to be the amount received by the Corporation therefor, without deduction therefrom of any expenses incurred or any underwriting commissions or concessions paid or allowed by the Corporation in connection therewith. In case any shares of Common Stock, Options or Convertible Securities shall be issued or sold for a consideration other than cash, the amount of the consideration other than cash received by the Corporation shall be deemed to be the fair value of such consideration as determined in good faith by the Board of Directors of the Corporation, without deduction of any expenses incurred or any underwriting commissions or concessions paid or allowed by the Corporation in connection therewith. In case any Options shall be issued in connection with the issue and sale of other securities of the Corporation, together comprising one integral transaction in which no specific consideration is allocated to such Options by the parties thereto, such Options shall be deemed to have been issued for such consideration as determined in good faith by the Board of Directors of the Corporation.</w:t>
      </w:r>
    </w:p>
    <w:p>
      <w:pPr>
        <w:spacing w:after="0" w:line="88" w:lineRule="exact"/>
        <w:rPr>
          <w:rFonts w:ascii="Arial" w:cs="Arial" w:eastAsia="Arial" w:hAnsi="Arial"/>
          <w:sz w:val="12"/>
          <w:szCs w:val="12"/>
          <w:color w:val="auto"/>
        </w:rPr>
      </w:pPr>
    </w:p>
    <w:p>
      <w:pPr>
        <w:ind w:right="20" w:firstLine="1952"/>
        <w:spacing w:after="0" w:line="255" w:lineRule="auto"/>
        <w:tabs>
          <w:tab w:leader="none" w:pos="2118"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Record Date</w:t>
      </w:r>
      <w:r>
        <w:rPr>
          <w:rFonts w:ascii="Arial" w:cs="Arial" w:eastAsia="Arial" w:hAnsi="Arial"/>
          <w:sz w:val="14"/>
          <w:szCs w:val="14"/>
          <w:color w:val="auto"/>
        </w:rPr>
        <w:t>. In case the Corporation shall take a record of the holders of its Common Stock for the purpose of entitling them (i) to receive a dividend or other distribution payable in Common Stock, Options or Convertible Securities or (ii) to subscribe for or purchase Common Stock, Options or Convertible Securities, then such record date shall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09" w:lineRule="exact"/>
        <w:rPr>
          <w:rFonts w:ascii="Arial" w:cs="Arial" w:eastAsia="Arial" w:hAnsi="Arial"/>
          <w:sz w:val="14"/>
          <w:szCs w:val="14"/>
          <w:color w:val="auto"/>
        </w:rPr>
      </w:pPr>
    </w:p>
    <w:p>
      <w:pPr>
        <w:ind w:right="100" w:firstLine="1952"/>
        <w:spacing w:after="0" w:line="267" w:lineRule="auto"/>
        <w:tabs>
          <w:tab w:leader="none" w:pos="2141"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Treasury Shares</w:t>
      </w:r>
      <w:r>
        <w:rPr>
          <w:rFonts w:ascii="Arial" w:cs="Arial" w:eastAsia="Arial" w:hAnsi="Arial"/>
          <w:sz w:val="14"/>
          <w:szCs w:val="14"/>
          <w:color w:val="auto"/>
        </w:rPr>
        <w:t>. The number of shares of Common Stock outstanding at any given time shall not include shares owned or held by or for the account of the Corporation, and the disposition of any such shares shall be considered an issue or sale of Common Stock for the purpose of this Section 6.5.</w:t>
      </w:r>
    </w:p>
    <w:p>
      <w:pPr>
        <w:spacing w:after="0" w:line="101" w:lineRule="exact"/>
        <w:rPr>
          <w:sz w:val="20"/>
          <w:szCs w:val="20"/>
          <w:color w:val="auto"/>
        </w:rPr>
      </w:pPr>
    </w:p>
    <w:p>
      <w:pPr>
        <w:ind w:right="140" w:firstLine="1490"/>
        <w:spacing w:after="0" w:line="258"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Certain Issues of Common Stock Excepted</w:t>
      </w:r>
      <w:r>
        <w:rPr>
          <w:rFonts w:ascii="Arial" w:cs="Arial" w:eastAsia="Arial" w:hAnsi="Arial"/>
          <w:sz w:val="14"/>
          <w:szCs w:val="14"/>
          <w:color w:val="auto"/>
        </w:rPr>
        <w:t>. Anything herein to the contrary notwithstanding, the Corporation shall not be required to make any adjustment of the applicable Preferred Stock Conversion Price in the case of Common Stock issued (or, pursuant to Sections 6.5(a) through (g), deemed to be issued) from and after the date of the original issuance of shares of Series D-2 Preferred Stock (the “</w:t>
      </w:r>
      <w:r>
        <w:rPr>
          <w:rFonts w:ascii="Arial" w:cs="Arial" w:eastAsia="Arial" w:hAnsi="Arial"/>
          <w:sz w:val="14"/>
          <w:szCs w:val="14"/>
          <w:u w:val="single" w:color="auto"/>
          <w:color w:val="auto"/>
        </w:rPr>
        <w:t>Original Issue Date</w:t>
      </w:r>
      <w:r>
        <w:rPr>
          <w:rFonts w:ascii="Arial" w:cs="Arial" w:eastAsia="Arial" w:hAnsi="Arial"/>
          <w:sz w:val="14"/>
          <w:szCs w:val="14"/>
          <w:color w:val="auto"/>
        </w:rPr>
        <w:t>”):</w:t>
      </w:r>
    </w:p>
    <w:p>
      <w:pPr>
        <w:spacing w:after="0" w:line="108"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upon the conversion of shares of Preferred Stock;</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- 17 -</w:t>
      </w:r>
    </w:p>
    <w:p>
      <w:pPr>
        <w:sectPr>
          <w:pgSz w:w="11900" w:h="16838" w:orient="portrait"/>
          <w:cols w:equalWidth="0" w:num="1">
            <w:col w:w="11400"/>
          </w:cols>
          <w:pgMar w:left="220" w:top="247" w:right="279" w:bottom="1440" w:gutter="0" w:footer="0" w:header="0"/>
        </w:sectPr>
      </w:pPr>
    </w:p>
    <w:bookmarkStart w:id="224" w:name="page225"/>
    <w:bookmarkEnd w:id="224"/>
    <w:p>
      <w:pPr>
        <w:ind w:right="120" w:firstLine="1952"/>
        <w:spacing w:after="0" w:line="253" w:lineRule="auto"/>
        <w:tabs>
          <w:tab w:leader="none" w:pos="2141" w:val="left"/>
        </w:tabs>
        <w:numPr>
          <w:ilvl w:val="0"/>
          <w:numId w:val="14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upon the granting of rights, options or warrants or the issuance of Common Stock on or after the Original Issue Date (or the subsequent exercise thereof) to employees, officers, directors or consultants of the Corporation pursuant to any equity incentive plan or agreement approved by the Board of Directors of up to 21,056,776 shares of Common Stock (subject to equitable adjustment in the event of any stock dividend, stock split, combination, reorganization, recapitalization, reclassification or other similar event affecting such shares), or such other amount of shares of Common Stock as (i) approved by the Board of Directors, (ii) unanimously approved by the Compensation Committee of the Board of Directors and (iii) approved by the holders of a majority of the Preferred Stock (voting together as a single class on an as if-converted basis);</w:t>
      </w:r>
    </w:p>
    <w:p>
      <w:pPr>
        <w:spacing w:after="0" w:line="112" w:lineRule="exact"/>
        <w:rPr>
          <w:rFonts w:ascii="Arial" w:cs="Arial" w:eastAsia="Arial" w:hAnsi="Arial"/>
          <w:sz w:val="14"/>
          <w:szCs w:val="14"/>
          <w:color w:val="auto"/>
        </w:rPr>
      </w:pPr>
    </w:p>
    <w:p>
      <w:pPr>
        <w:ind w:left="2140" w:hanging="188"/>
        <w:spacing w:after="0"/>
        <w:tabs>
          <w:tab w:leader="none" w:pos="21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upon the exercise, conversion or exchange, at any time from and after the Original Issue Date, of Options or Convertible Securities granted or issued before the Original</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Issue Date;</w:t>
      </w:r>
    </w:p>
    <w:p>
      <w:pPr>
        <w:spacing w:after="0" w:line="125" w:lineRule="exact"/>
        <w:rPr>
          <w:rFonts w:ascii="Arial" w:cs="Arial" w:eastAsia="Arial" w:hAnsi="Arial"/>
          <w:sz w:val="12"/>
          <w:szCs w:val="12"/>
          <w:color w:val="auto"/>
        </w:rPr>
      </w:pPr>
    </w:p>
    <w:p>
      <w:pPr>
        <w:ind w:left="2140" w:hanging="188"/>
        <w:spacing w:after="0"/>
        <w:tabs>
          <w:tab w:leader="none" w:pos="21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as a dividend, stock split or other distribution on shares of Common Stock;</w:t>
      </w:r>
    </w:p>
    <w:p>
      <w:pPr>
        <w:spacing w:after="0" w:line="131" w:lineRule="exact"/>
        <w:rPr>
          <w:rFonts w:ascii="Arial" w:cs="Arial" w:eastAsia="Arial" w:hAnsi="Arial"/>
          <w:sz w:val="14"/>
          <w:szCs w:val="14"/>
          <w:color w:val="auto"/>
        </w:rPr>
      </w:pPr>
    </w:p>
    <w:p>
      <w:pPr>
        <w:ind w:right="200" w:firstLine="1952"/>
        <w:spacing w:after="0" w:line="321" w:lineRule="auto"/>
        <w:tabs>
          <w:tab w:leader="none" w:pos="2133"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in connection with warrants issued in conjunction with (x) establishing lines of credit and leasing arrangements with commercial lenders or banks which have been approved by the Board of Directors, (y) an acquisition of all or substantially all of the stock or assets of any other entity (whether by merger or otherwise) by the Corporation or its subsidiaries (if any), which acquisition has been approved by the Corporation’s Board of Directors, or, (z) the issuance of Series D-2 Preferred Stock by the Corporation; or</w:t>
      </w:r>
    </w:p>
    <w:p>
      <w:pPr>
        <w:spacing w:after="0" w:line="73" w:lineRule="exact"/>
        <w:rPr>
          <w:rFonts w:ascii="Arial" w:cs="Arial" w:eastAsia="Arial" w:hAnsi="Arial"/>
          <w:sz w:val="12"/>
          <w:szCs w:val="12"/>
          <w:color w:val="auto"/>
        </w:rPr>
      </w:pPr>
    </w:p>
    <w:p>
      <w:pPr>
        <w:ind w:right="200" w:firstLine="1952"/>
        <w:spacing w:after="0" w:line="258" w:lineRule="auto"/>
        <w:tabs>
          <w:tab w:leader="none" w:pos="2118"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 connection with the issuance of shares of Preferred Stock, or pursuant to any binding agreements to issue shares of the Preferred Stock entered into, on or prior to the one hundred eightieth (180</w:t>
      </w:r>
      <w:r>
        <w:rPr>
          <w:rFonts w:ascii="Arial" w:cs="Arial" w:eastAsia="Arial" w:hAnsi="Arial"/>
          <w:sz w:val="8"/>
          <w:szCs w:val="8"/>
          <w:color w:val="auto"/>
        </w:rPr>
        <w:t>th</w:t>
      </w:r>
      <w:r>
        <w:rPr>
          <w:rFonts w:ascii="Arial" w:cs="Arial" w:eastAsia="Arial" w:hAnsi="Arial"/>
          <w:sz w:val="14"/>
          <w:szCs w:val="14"/>
          <w:color w:val="auto"/>
        </w:rPr>
        <w:t>) day after filing of this Amended and Restated Certificate of Incorporation, which issuances and/or agreements are at a per share price equal to or greater than the Original Issue Price of the Series D-2 Preferred Stock and have been approved by the Board of Directors.</w:t>
      </w:r>
    </w:p>
    <w:p>
      <w:pPr>
        <w:spacing w:after="0" w:line="108" w:lineRule="exact"/>
        <w:rPr>
          <w:sz w:val="20"/>
          <w:szCs w:val="20"/>
          <w:color w:val="auto"/>
        </w:rPr>
      </w:pPr>
    </w:p>
    <w:p>
      <w:pPr>
        <w:ind w:firstLine="1490"/>
        <w:spacing w:after="0" w:line="255"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Subdivision or Common Stock</w:t>
      </w:r>
      <w:r>
        <w:rPr>
          <w:rFonts w:ascii="Arial" w:cs="Arial" w:eastAsia="Arial" w:hAnsi="Arial"/>
          <w:sz w:val="14"/>
          <w:szCs w:val="14"/>
          <w:color w:val="auto"/>
        </w:rPr>
        <w:t>. In case the Corporation shall at any time subdivide (by any stock split, stock dividend or otherwise) its outstanding shares of Common Stock into a greater number of shares, the applicable Preferred Stock Conversion Price in effect immediately prior to such subdivision shall be proportionately reduced, and, conversely, in case the outstanding shares of Common Stock shall be combined into a smaller number of shares, the applicable Preferred Stock Conversion Price in effect immediately prior to such combination shall be proportionately increased. In the case of any such subdivision, no further adjustment shall be made pursuant to Section 6.5(d) by reason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- 18 -</w:t>
      </w:r>
    </w:p>
    <w:p>
      <w:pPr>
        <w:sectPr>
          <w:pgSz w:w="11900" w:h="16838" w:orient="portrait"/>
          <w:cols w:equalWidth="0" w:num="1">
            <w:col w:w="11440"/>
          </w:cols>
          <w:pgMar w:left="220" w:top="247" w:right="239" w:bottom="1440" w:gutter="0" w:footer="0" w:header="0"/>
        </w:sectPr>
      </w:pPr>
    </w:p>
    <w:bookmarkStart w:id="225" w:name="page226"/>
    <w:bookmarkEnd w:id="225"/>
    <w:p>
      <w:pPr>
        <w:ind w:firstLine="1490"/>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6.8 </w:t>
      </w:r>
      <w:r>
        <w:rPr>
          <w:rFonts w:ascii="Arial" w:cs="Arial" w:eastAsia="Arial" w:hAnsi="Arial"/>
          <w:sz w:val="12"/>
          <w:szCs w:val="12"/>
          <w:u w:val="single" w:color="auto"/>
          <w:color w:val="auto"/>
        </w:rPr>
        <w:t>Reorganization or Reclassification</w:t>
      </w:r>
      <w:r>
        <w:rPr>
          <w:rFonts w:ascii="Arial" w:cs="Arial" w:eastAsia="Arial" w:hAnsi="Arial"/>
          <w:sz w:val="12"/>
          <w:szCs w:val="12"/>
          <w:color w:val="auto"/>
        </w:rPr>
        <w:t>. If any capital reorganization or reclassification of the capital stock of the Corporation shall be effected in such a way that holders of Common Stock shall be entitled to receive stock, securities or assets with respect to or in exchange for Common Stock, then, as a condition of such reorganization or reclassification, lawful and adequate provisions shall be made whereby each holder of a share or shares of Preferred Stock shall thereupon have the right to receive, upon the basis and upon the terms and conditions specified herein and in lieu of the shares of Common Stock immediately theretofore receivable upon the conversion of such share or shares of Preferred Stock, such shares of stock, securities or assets as may be issued or payable with respect to or in exchange for a number of outstanding shares of such Common Stock equal to the number of shares of such Common Stock immediately theretofore receivable upon such conversion had such reorganization or reclassification not taken place, and in any such case appropriate provisions shall be made with respect to the rights and interests of such holder to the end that the provisions hereof (including without limitation provisions for adjustments of the applicable Preferred Stock Conversion Price) shall thereafter be applicable, as nearly as may be, in relation to any shares of stock, securities or assets thereafter deliverable upon the exercise of such conversion rights.</w:t>
      </w:r>
    </w:p>
    <w:p>
      <w:pPr>
        <w:spacing w:after="0" w:line="87" w:lineRule="exact"/>
        <w:rPr>
          <w:sz w:val="20"/>
          <w:szCs w:val="20"/>
          <w:color w:val="auto"/>
        </w:rPr>
      </w:pPr>
    </w:p>
    <w:p>
      <w:pPr>
        <w:ind w:firstLine="1490"/>
        <w:spacing w:after="0" w:line="255" w:lineRule="auto"/>
        <w:rPr>
          <w:sz w:val="20"/>
          <w:szCs w:val="20"/>
          <w:color w:val="auto"/>
        </w:rPr>
      </w:pPr>
      <w:r>
        <w:rPr>
          <w:rFonts w:ascii="Arial" w:cs="Arial" w:eastAsia="Arial" w:hAnsi="Arial"/>
          <w:sz w:val="14"/>
          <w:szCs w:val="14"/>
          <w:color w:val="auto"/>
        </w:rPr>
        <w:t xml:space="preserve">6.9 </w:t>
      </w:r>
      <w:r>
        <w:rPr>
          <w:rFonts w:ascii="Arial" w:cs="Arial" w:eastAsia="Arial" w:hAnsi="Arial"/>
          <w:sz w:val="14"/>
          <w:szCs w:val="14"/>
          <w:u w:val="single" w:color="auto"/>
          <w:color w:val="auto"/>
        </w:rPr>
        <w:t>Notice of Adjustment</w:t>
      </w:r>
      <w:r>
        <w:rPr>
          <w:rFonts w:ascii="Arial" w:cs="Arial" w:eastAsia="Arial" w:hAnsi="Arial"/>
          <w:sz w:val="14"/>
          <w:szCs w:val="14"/>
          <w:color w:val="auto"/>
        </w:rPr>
        <w:t>. Upon any adjustment of the Preferred Stock Conversion Price of any series of Preferred Stock, then and in each such case the Corporation shall give written notice thereof, by delivery in person, certified or registered mail, return receipt requested, telecopier or telex, addressed to each holder of shares of such series of Preferred Stock at the address of such holder as shown on the books of the Corporation, which notice shall state the applicable Preferred Stock Conversion Price resulting from such adjustment, setting forth in reasonable detail the method upon which such calculation is based.</w:t>
      </w:r>
    </w:p>
    <w:p>
      <w:pPr>
        <w:spacing w:after="0" w:line="11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xml:space="preserve">6.10 </w:t>
      </w:r>
      <w:r>
        <w:rPr>
          <w:rFonts w:ascii="Arial" w:cs="Arial" w:eastAsia="Arial" w:hAnsi="Arial"/>
          <w:sz w:val="14"/>
          <w:szCs w:val="14"/>
          <w:u w:val="single" w:color="auto"/>
          <w:color w:val="auto"/>
        </w:rPr>
        <w:t>Other Notices</w:t>
      </w:r>
      <w:r>
        <w:rPr>
          <w:rFonts w:ascii="Arial" w:cs="Arial" w:eastAsia="Arial" w:hAnsi="Arial"/>
          <w:sz w:val="14"/>
          <w:szCs w:val="14"/>
          <w:color w:val="auto"/>
        </w:rPr>
        <w:t>. In case at any time:</w:t>
      </w:r>
    </w:p>
    <w:p>
      <w:pPr>
        <w:spacing w:after="0" w:line="132" w:lineRule="exact"/>
        <w:rPr>
          <w:sz w:val="20"/>
          <w:szCs w:val="20"/>
          <w:color w:val="auto"/>
        </w:rPr>
      </w:pPr>
    </w:p>
    <w:p>
      <w:pPr>
        <w:ind w:left="2140" w:hanging="188"/>
        <w:spacing w:after="0"/>
        <w:tabs>
          <w:tab w:leader="none" w:pos="21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 Corporation shall declare any dividend upon its Common Stock payable in cash or stock or make any other distribution to the holders of its Common Stock;</w:t>
      </w:r>
    </w:p>
    <w:p>
      <w:pPr>
        <w:spacing w:after="0" w:line="154" w:lineRule="exact"/>
        <w:rPr>
          <w:rFonts w:ascii="Arial" w:cs="Arial" w:eastAsia="Arial" w:hAnsi="Arial"/>
          <w:sz w:val="12"/>
          <w:szCs w:val="12"/>
          <w:color w:val="auto"/>
        </w:rPr>
      </w:pPr>
    </w:p>
    <w:p>
      <w:pPr>
        <w:ind w:left="2140" w:hanging="188"/>
        <w:spacing w:after="0"/>
        <w:tabs>
          <w:tab w:leader="none" w:pos="21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Corporation shall offer for subscription pro rata to the holders of its Common Stock any additional shares of stock of any class or other rights;</w:t>
      </w:r>
    </w:p>
    <w:p>
      <w:pPr>
        <w:spacing w:after="0" w:line="131" w:lineRule="exact"/>
        <w:rPr>
          <w:rFonts w:ascii="Arial" w:cs="Arial" w:eastAsia="Arial" w:hAnsi="Arial"/>
          <w:sz w:val="14"/>
          <w:szCs w:val="14"/>
          <w:color w:val="auto"/>
        </w:rPr>
      </w:pPr>
    </w:p>
    <w:p>
      <w:pPr>
        <w:ind w:right="260" w:firstLine="1952"/>
        <w:spacing w:after="0" w:line="267" w:lineRule="auto"/>
        <w:tabs>
          <w:tab w:leader="none" w:pos="2133"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there shall be any capital reorganization or reclassification of the capital stock of the Corporation, or a consolidation or merger of the Corporation with or into another entity or entities, or a sale, lease, abandonment, transfer or other disposition of all or substantially all its assets; or</w:t>
      </w:r>
    </w:p>
    <w:p>
      <w:pPr>
        <w:spacing w:after="0" w:line="101" w:lineRule="exact"/>
        <w:rPr>
          <w:rFonts w:ascii="Arial" w:cs="Arial" w:eastAsia="Arial" w:hAnsi="Arial"/>
          <w:sz w:val="14"/>
          <w:szCs w:val="14"/>
          <w:color w:val="auto"/>
        </w:rPr>
      </w:pPr>
    </w:p>
    <w:p>
      <w:pPr>
        <w:ind w:left="2140" w:hanging="188"/>
        <w:spacing w:after="0"/>
        <w:tabs>
          <w:tab w:leader="none" w:pos="21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there shall be a voluntary or involuntary dissolution, liquidation or winding up of the Corporation;</w:t>
      </w:r>
    </w:p>
    <w:p>
      <w:pPr>
        <w:spacing w:after="0" w:line="132" w:lineRule="exact"/>
        <w:rPr>
          <w:sz w:val="20"/>
          <w:szCs w:val="20"/>
          <w:color w:val="auto"/>
        </w:rPr>
      </w:pPr>
    </w:p>
    <w:p>
      <w:pPr>
        <w:ind w:right="460"/>
        <w:spacing w:after="0" w:line="267" w:lineRule="auto"/>
        <w:rPr>
          <w:sz w:val="20"/>
          <w:szCs w:val="20"/>
          <w:color w:val="auto"/>
        </w:rPr>
      </w:pPr>
      <w:r>
        <w:rPr>
          <w:rFonts w:ascii="Arial" w:cs="Arial" w:eastAsia="Arial" w:hAnsi="Arial"/>
          <w:sz w:val="14"/>
          <w:szCs w:val="14"/>
          <w:color w:val="auto"/>
        </w:rPr>
        <w:t>then, in any one or more of said cases, the Corporation shall give, by delivery in person, certified or registered mail, return receipt requested, telecopier or telex, addressed to each holder of any shares of Preferred Stock at the address of such holder as shown on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- 19 -</w:t>
      </w:r>
    </w:p>
    <w:p>
      <w:pPr>
        <w:sectPr>
          <w:pgSz w:w="11900" w:h="16838" w:orient="portrait"/>
          <w:cols w:equalWidth="0" w:num="1">
            <w:col w:w="11420"/>
          </w:cols>
          <w:pgMar w:left="220" w:top="247" w:right="259" w:bottom="1440" w:gutter="0" w:footer="0" w:header="0"/>
        </w:sectPr>
      </w:pPr>
    </w:p>
    <w:bookmarkStart w:id="226" w:name="page227"/>
    <w:bookmarkEnd w:id="226"/>
    <w:p>
      <w:pPr>
        <w:ind w:right="8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books of the Corporation, (i) at least 10 days’ prior written notice of the date on which the books of the Corporation shall close or a record shall be taken for such dividend, distribution or subscription rights or for determining rights to vote in respect of any such reorganization, reclassification, consolidation, merger, disposition, dissolution, liquidation or winding up and (ii) in the case of any such reorganization, reclassification, consolidation, merger, disposition, dissolution, liquidation or winding up, at least 20 days’ prior written notice of the date when the same shall take place. Such notice in accordance with the foregoing clause (i) shall also specify, in the case of any such dividend, distribution or subscription rights, the date on which the holders of Common Stock shall be entitled thereto and such notice in accordance with the foregoing clause (ii) shall also specify the date on which the holders of Common Stock shall be entitled to exchange their Common Stock for securities or other property deliverable upon such reorganization, reclassification, consolidation, merger, disposition, dissolution, liquidation or winding up, as the case may be.</w:t>
      </w:r>
    </w:p>
    <w:p>
      <w:pPr>
        <w:spacing w:after="0" w:line="86" w:lineRule="exact"/>
        <w:rPr>
          <w:sz w:val="20"/>
          <w:szCs w:val="20"/>
          <w:color w:val="auto"/>
        </w:rPr>
      </w:pPr>
    </w:p>
    <w:p>
      <w:pPr>
        <w:ind w:right="60" w:firstLine="1490"/>
        <w:spacing w:after="0" w:line="299" w:lineRule="auto"/>
        <w:rPr>
          <w:sz w:val="20"/>
          <w:szCs w:val="20"/>
          <w:color w:val="auto"/>
        </w:rPr>
      </w:pPr>
      <w:r>
        <w:rPr>
          <w:rFonts w:ascii="Arial" w:cs="Arial" w:eastAsia="Arial" w:hAnsi="Arial"/>
          <w:sz w:val="12"/>
          <w:szCs w:val="12"/>
          <w:color w:val="auto"/>
        </w:rPr>
        <w:t xml:space="preserve">6.11 </w:t>
      </w:r>
      <w:r>
        <w:rPr>
          <w:rFonts w:ascii="Arial" w:cs="Arial" w:eastAsia="Arial" w:hAnsi="Arial"/>
          <w:sz w:val="12"/>
          <w:szCs w:val="12"/>
          <w:u w:val="single" w:color="auto"/>
          <w:color w:val="auto"/>
        </w:rPr>
        <w:t>Stock to be Reserved</w:t>
      </w:r>
      <w:r>
        <w:rPr>
          <w:rFonts w:ascii="Arial" w:cs="Arial" w:eastAsia="Arial" w:hAnsi="Arial"/>
          <w:sz w:val="12"/>
          <w:szCs w:val="12"/>
          <w:color w:val="auto"/>
        </w:rPr>
        <w:t>. The Corporation shall at all times reserve and keep available out of its authorized capital stock, solely for the purpose of issuance upon the conversion of Preferred Stock as herein provided, such number of shares of Common Stock as shall then be issuable upon the conversion of all outstanding shares of Preferred Stock. The Corporation covenants that all shares of Common Stock which shall be so issued shall be duly and validly issued and fully paid and nonassessable and free from all taxes, liens and charges with respect to the issue thereof, and, without limiting the generality of the foregoing, the Corporation covenants that it will from time to time take all such action as may be requisite to assure that the par value per share of the Common Stock is at all times equal to or less than any Preferred Stock Conversion Price in effect at the time. The Corporation will take all such action as may be necessary to assure that all such shares of Common Stock may be so issued without violation of any applicable law or regulation, or of any requirement of any national securities exchange upon which the Common Stock may be listed. The Corporation will not take any action which results in any adjustment of any Preferred Stock Conversion Price if the total number of shares of Common Stock issued and issuable after such action upon conversion of the Preferred Stock would exceed the total number of shares of Common Stock then authorized by the Certificate of Incorporation of the Corporation.</w:t>
      </w:r>
    </w:p>
    <w:p>
      <w:pPr>
        <w:spacing w:after="0" w:line="87"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u w:val="single" w:color="auto"/>
          <w:color w:val="auto"/>
        </w:rPr>
        <w:t>No Reissuance of Preferred Stock</w:t>
      </w:r>
      <w:r>
        <w:rPr>
          <w:rFonts w:ascii="Arial" w:cs="Arial" w:eastAsia="Arial" w:hAnsi="Arial"/>
          <w:sz w:val="14"/>
          <w:szCs w:val="14"/>
          <w:color w:val="auto"/>
        </w:rPr>
        <w:t>. Shares of Preferred Stock which are converted into shares of Common Stock as provided herein shall not be reissued.</w:t>
      </w:r>
    </w:p>
    <w:p>
      <w:pPr>
        <w:spacing w:after="0" w:line="132" w:lineRule="exact"/>
        <w:rPr>
          <w:sz w:val="20"/>
          <w:szCs w:val="20"/>
          <w:color w:val="auto"/>
        </w:rPr>
      </w:pPr>
    </w:p>
    <w:p>
      <w:pPr>
        <w:jc w:val="both"/>
        <w:ind w:firstLine="1490"/>
        <w:spacing w:after="0" w:line="258" w:lineRule="auto"/>
        <w:rPr>
          <w:sz w:val="20"/>
          <w:szCs w:val="20"/>
          <w:color w:val="auto"/>
        </w:rPr>
      </w:pPr>
      <w:r>
        <w:rPr>
          <w:rFonts w:ascii="Arial" w:cs="Arial" w:eastAsia="Arial" w:hAnsi="Arial"/>
          <w:sz w:val="14"/>
          <w:szCs w:val="14"/>
          <w:color w:val="auto"/>
        </w:rPr>
        <w:t xml:space="preserve">6.13 </w:t>
      </w:r>
      <w:r>
        <w:rPr>
          <w:rFonts w:ascii="Arial" w:cs="Arial" w:eastAsia="Arial" w:hAnsi="Arial"/>
          <w:sz w:val="14"/>
          <w:szCs w:val="14"/>
          <w:u w:val="single" w:color="auto"/>
          <w:color w:val="auto"/>
        </w:rPr>
        <w:t>Issue Tax</w:t>
      </w:r>
      <w:r>
        <w:rPr>
          <w:rFonts w:ascii="Arial" w:cs="Arial" w:eastAsia="Arial" w:hAnsi="Arial"/>
          <w:sz w:val="14"/>
          <w:szCs w:val="14"/>
          <w:color w:val="auto"/>
        </w:rPr>
        <w:t xml:space="preserve">. The issuance of certificates for shares of Common Stock upon conversion of Preferred Stock shall be made without charge to the holders thereof for any issuance tax in respect thereof,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the Corporation shall not be required to pay any tax which may be payable in respect of any transfer involved in the issuance and delivery of any certificate in a name other than that of the holder of the Preferred Stock which is being converted.</w:t>
      </w:r>
    </w:p>
    <w:p>
      <w:pPr>
        <w:spacing w:after="0" w:line="108" w:lineRule="exact"/>
        <w:rPr>
          <w:sz w:val="20"/>
          <w:szCs w:val="20"/>
          <w:color w:val="auto"/>
        </w:rPr>
      </w:pPr>
    </w:p>
    <w:p>
      <w:pPr>
        <w:jc w:val="both"/>
        <w:ind w:firstLine="1490"/>
        <w:spacing w:after="0" w:line="351" w:lineRule="auto"/>
        <w:rPr>
          <w:sz w:val="20"/>
          <w:szCs w:val="20"/>
          <w:color w:val="auto"/>
        </w:rPr>
      </w:pPr>
      <w:r>
        <w:rPr>
          <w:rFonts w:ascii="Arial" w:cs="Arial" w:eastAsia="Arial" w:hAnsi="Arial"/>
          <w:sz w:val="12"/>
          <w:szCs w:val="12"/>
          <w:color w:val="auto"/>
        </w:rPr>
        <w:t xml:space="preserve">6.14 </w:t>
      </w:r>
      <w:r>
        <w:rPr>
          <w:rFonts w:ascii="Arial" w:cs="Arial" w:eastAsia="Arial" w:hAnsi="Arial"/>
          <w:sz w:val="12"/>
          <w:szCs w:val="12"/>
          <w:u w:val="single" w:color="auto"/>
          <w:color w:val="auto"/>
        </w:rPr>
        <w:t>Closing of Books</w:t>
      </w:r>
      <w:r>
        <w:rPr>
          <w:rFonts w:ascii="Arial" w:cs="Arial" w:eastAsia="Arial" w:hAnsi="Arial"/>
          <w:sz w:val="12"/>
          <w:szCs w:val="12"/>
          <w:color w:val="auto"/>
        </w:rPr>
        <w:t>. The Corporation will at no time close its transfer books against the transfer of any Preferred Stock or of any shares of Common Stock issued or issuable upon the conversion of any shares of Preferred Stock in any manner which interferes with the timely conversion of such Preferred Stock, except as may otherwise be required to comply with applicable securities laws.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- 20 -</w:t>
      </w:r>
    </w:p>
    <w:p>
      <w:pPr>
        <w:sectPr>
          <w:pgSz w:w="11900" w:h="16838" w:orient="portrait"/>
          <w:cols w:equalWidth="0" w:num="1">
            <w:col w:w="11460"/>
          </w:cols>
          <w:pgMar w:left="220" w:top="247" w:right="219" w:bottom="1440" w:gutter="0" w:footer="0" w:header="0"/>
        </w:sectPr>
      </w:pPr>
    </w:p>
    <w:bookmarkStart w:id="227" w:name="page228"/>
    <w:bookmarkEnd w:id="227"/>
    <w:p>
      <w:pPr>
        <w:ind w:firstLine="1490"/>
        <w:spacing w:after="0" w:line="29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6.15 </w:t>
      </w:r>
      <w:r>
        <w:rPr>
          <w:rFonts w:ascii="Arial" w:cs="Arial" w:eastAsia="Arial" w:hAnsi="Arial"/>
          <w:sz w:val="12"/>
          <w:szCs w:val="12"/>
          <w:u w:val="single" w:color="auto"/>
          <w:color w:val="auto"/>
        </w:rPr>
        <w:t>Mandatory Conversion</w:t>
      </w:r>
      <w:r>
        <w:rPr>
          <w:rFonts w:ascii="Arial" w:cs="Arial" w:eastAsia="Arial" w:hAnsi="Arial"/>
          <w:sz w:val="12"/>
          <w:szCs w:val="12"/>
          <w:color w:val="auto"/>
        </w:rPr>
        <w:t>. All outstanding shares of Preferred Stock shall automatically convert to shares of Common Stock on the basis set forth in this Section 6 upon the earlier of (i) the closing of a firm commitment underwritten public offering of shares of Common Stock of the Corporation in which (A) the aggregate gross proceeds to the Corporation (prior to deduction of underwriting discounts and commissions and expenses related to the offering) shall be at least forty million dollars ($40,000,000) and (B) the price paid by the public for such shares shall be at least $1.9563 per share (subject to equitable adjustment in the event of any stock dividend, stock split, combination, reorganization, recapitalization, reclassification, or other similar event affecting such shares) or (ii) the written consent of holders of at least a Two-Thirds Interest of the then-outstanding shares of Preferred Stock (voting together as a single class on an as-if-converted basis). Each outstanding share of Preferred Stock shall convert into such number of shares of Common Stock as is obtained by multiplying the number of shares of Preferred Stock to be converted by the Preferred Stock Conversion Rate then in effect for the applicable series of Preferred Stock. Holders of shares of Preferred Stock so converted may deliver to the Corporation at its principal office (or such other office or agency of the Corporation as the Corporation may designate by notice in writing to such holders) during its usual business hours, the certificate or certificates for the shares so converted. As promptly as practicable thereafter, the Corporation shall issue and deliver to such holder a certificate or certificates for the number of whole shares of Common Stock to which such holder is entitled, together with any cash payment in lieu of fractional shares to which such holder may be entitled pursuant to Section 6.4. Until such time as a holder of shares of Preferred Stock shall surrender his or its certificates therefor as provided above, such certificates shall be deemed to represent the shares of Common Stock to which such holder shall be entitled upon the surrender thereof.</w:t>
      </w:r>
    </w:p>
    <w:p>
      <w:pPr>
        <w:spacing w:after="0" w:line="92" w:lineRule="exact"/>
        <w:rPr>
          <w:sz w:val="20"/>
          <w:szCs w:val="20"/>
          <w:color w:val="auto"/>
        </w:rPr>
      </w:pPr>
    </w:p>
    <w:p>
      <w:pPr>
        <w:ind w:left="1060" w:hanging="140"/>
        <w:spacing w:after="0"/>
        <w:tabs>
          <w:tab w:leader="none" w:pos="1060" w:val="left"/>
        </w:tabs>
        <w:numPr>
          <w:ilvl w:val="0"/>
          <w:numId w:val="151"/>
        </w:numPr>
        <w:rPr>
          <w:rFonts w:ascii="Arial" w:cs="Arial" w:eastAsia="Arial" w:hAnsi="Arial"/>
          <w:sz w:val="14"/>
          <w:szCs w:val="14"/>
          <w:color w:val="auto"/>
        </w:rPr>
      </w:pPr>
      <w:r>
        <w:rPr>
          <w:rFonts w:ascii="Arial" w:cs="Arial" w:eastAsia="Arial" w:hAnsi="Arial"/>
          <w:sz w:val="14"/>
          <w:szCs w:val="14"/>
          <w:u w:val="single" w:color="auto"/>
          <w:color w:val="auto"/>
        </w:rPr>
        <w:t>Drag-Alone Obligation</w:t>
      </w:r>
      <w:r>
        <w:rPr>
          <w:rFonts w:ascii="Arial" w:cs="Arial" w:eastAsia="Arial" w:hAnsi="Arial"/>
          <w:sz w:val="14"/>
          <w:szCs w:val="14"/>
          <w:color w:val="auto"/>
        </w:rPr>
        <w:t>.</w:t>
      </w:r>
    </w:p>
    <w:p>
      <w:pPr>
        <w:spacing w:after="0" w:line="132" w:lineRule="exact"/>
        <w:rPr>
          <w:sz w:val="20"/>
          <w:szCs w:val="20"/>
          <w:color w:val="auto"/>
        </w:rPr>
      </w:pPr>
    </w:p>
    <w:p>
      <w:pPr>
        <w:ind w:right="20" w:firstLine="1490"/>
        <w:spacing w:after="0" w:line="300"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General Requirements</w:t>
      </w:r>
      <w:r>
        <w:rPr>
          <w:rFonts w:ascii="Arial" w:cs="Arial" w:eastAsia="Arial" w:hAnsi="Arial"/>
          <w:sz w:val="12"/>
          <w:szCs w:val="12"/>
          <w:color w:val="auto"/>
        </w:rPr>
        <w:t>. In the event that any holder or holders of capital stock of the Corporation representing at least a Two-Thirds Interest of the then-outstanding shares of Common Stock and Preferred Stock without duplication, calculated on an as-if-converted basis (collectively, the “</w:t>
      </w:r>
      <w:r>
        <w:rPr>
          <w:rFonts w:ascii="Arial" w:cs="Arial" w:eastAsia="Arial" w:hAnsi="Arial"/>
          <w:sz w:val="12"/>
          <w:szCs w:val="12"/>
          <w:u w:val="single" w:color="auto"/>
          <w:color w:val="auto"/>
        </w:rPr>
        <w:t>Drag-Along Holders</w:t>
      </w:r>
      <w:r>
        <w:rPr>
          <w:rFonts w:ascii="Arial" w:cs="Arial" w:eastAsia="Arial" w:hAnsi="Arial"/>
          <w:sz w:val="12"/>
          <w:szCs w:val="12"/>
          <w:color w:val="auto"/>
        </w:rPr>
        <w:t>”), desire, at any time, to sell, transfer, assign or otherwise dispose of all of their Common Stock and Preferred Stock in a single transaction or a series of related transactions to one or more third-parties (a “</w:t>
      </w:r>
      <w:r>
        <w:rPr>
          <w:rFonts w:ascii="Arial" w:cs="Arial" w:eastAsia="Arial" w:hAnsi="Arial"/>
          <w:sz w:val="12"/>
          <w:szCs w:val="12"/>
          <w:u w:val="single" w:color="auto"/>
          <w:color w:val="auto"/>
        </w:rPr>
        <w:t>Drag-Along Sale</w:t>
      </w:r>
      <w:r>
        <w:rPr>
          <w:rFonts w:ascii="Arial" w:cs="Arial" w:eastAsia="Arial" w:hAnsi="Arial"/>
          <w:sz w:val="12"/>
          <w:szCs w:val="12"/>
          <w:color w:val="auto"/>
        </w:rPr>
        <w:t>”), where such Drag-Along Sale is conditioned upon the sale of all remaining shares of Common Stock and Preferred Stock to such third parties, the remaining holders of capital stock of the Corporation shall dispose of their shares of capital stock of the Corporation, including any Convertible Securities and Options (collectively, the “</w:t>
      </w:r>
      <w:r>
        <w:rPr>
          <w:rFonts w:ascii="Arial" w:cs="Arial" w:eastAsia="Arial" w:hAnsi="Arial"/>
          <w:sz w:val="12"/>
          <w:szCs w:val="12"/>
          <w:u w:val="single" w:color="auto"/>
          <w:color w:val="auto"/>
        </w:rPr>
        <w:t>Drag-Along Securities</w:t>
      </w:r>
      <w:r>
        <w:rPr>
          <w:rFonts w:ascii="Arial" w:cs="Arial" w:eastAsia="Arial" w:hAnsi="Arial"/>
          <w:sz w:val="12"/>
          <w:szCs w:val="12"/>
          <w:color w:val="auto"/>
        </w:rPr>
        <w:t>”), on the same terms and conditions that the Drag-Along Holders are selling their shares of Common Stock and Preferred Stock and on equitable terms and conditions with respect to any Convertible Securities and Options being sold, but in any event subject to the rights, privileges, restrictions and conditions, including all liquidation preferences attaching to the capital stock of the Corporation, as set forth herein.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- 21 -</w:t>
      </w:r>
    </w:p>
    <w:p>
      <w:pPr>
        <w:sectPr>
          <w:pgSz w:w="11900" w:h="16838" w:orient="portrait"/>
          <w:cols w:equalWidth="0" w:num="1">
            <w:col w:w="11460"/>
          </w:cols>
          <w:pgMar w:left="220" w:top="247" w:right="219" w:bottom="1440" w:gutter="0" w:footer="0" w:header="0"/>
        </w:sectPr>
      </w:pPr>
    </w:p>
    <w:bookmarkStart w:id="228" w:name="page229"/>
    <w:bookmarkEnd w:id="228"/>
    <w:p>
      <w:pPr>
        <w:ind w:firstLine="149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7.2 </w:t>
      </w:r>
      <w:r>
        <w:rPr>
          <w:rFonts w:ascii="Arial" w:cs="Arial" w:eastAsia="Arial" w:hAnsi="Arial"/>
          <w:sz w:val="12"/>
          <w:szCs w:val="12"/>
          <w:u w:val="single" w:color="auto"/>
          <w:color w:val="auto"/>
        </w:rPr>
        <w:t>Notice</w:t>
      </w:r>
      <w:r>
        <w:rPr>
          <w:rFonts w:ascii="Arial" w:cs="Arial" w:eastAsia="Arial" w:hAnsi="Arial"/>
          <w:sz w:val="12"/>
          <w:szCs w:val="12"/>
          <w:color w:val="auto"/>
        </w:rPr>
        <w:t>. At least 15 days before the date of consummation of the Drag-Along Sale, the Drag-Along Holders shall deliver a notice (the “</w:t>
      </w:r>
      <w:r>
        <w:rPr>
          <w:rFonts w:ascii="Arial" w:cs="Arial" w:eastAsia="Arial" w:hAnsi="Arial"/>
          <w:sz w:val="12"/>
          <w:szCs w:val="12"/>
          <w:u w:val="single" w:color="auto"/>
          <w:color w:val="auto"/>
        </w:rPr>
        <w:t>Drag-Along Notice</w:t>
      </w:r>
      <w:r>
        <w:rPr>
          <w:rFonts w:ascii="Arial" w:cs="Arial" w:eastAsia="Arial" w:hAnsi="Arial"/>
          <w:sz w:val="12"/>
          <w:szCs w:val="12"/>
          <w:color w:val="auto"/>
        </w:rPr>
        <w:t>”) to the Corporation which shall as soon as reasonably possible thereafter send a copy of such Drag-Along Notice to the other stockholders at their respective addresses on file with the Corporation. The Drag-Along Notice shall state (i) that the Drag-Along Holders have the bona fide intention to sell or transfer the shares of capital stock of the Corporation in the Drag-Along Sale, (ii) the price for which the Drag-Along Securities will be sold, (iii) the name of the proposed purchaser(s) or transferee(s), and (iv) all other material terms and provisions relating to the Drag-Along Sale.</w:t>
      </w:r>
    </w:p>
    <w:p>
      <w:pPr>
        <w:spacing w:after="0" w:line="79" w:lineRule="exact"/>
        <w:rPr>
          <w:sz w:val="20"/>
          <w:szCs w:val="20"/>
          <w:color w:val="auto"/>
        </w:rPr>
      </w:pPr>
    </w:p>
    <w:p>
      <w:pPr>
        <w:ind w:right="20" w:firstLine="1490"/>
        <w:spacing w:after="0" w:line="302"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Deposit of Consideration and Effect</w:t>
      </w:r>
      <w:r>
        <w:rPr>
          <w:rFonts w:ascii="Arial" w:cs="Arial" w:eastAsia="Arial" w:hAnsi="Arial"/>
          <w:sz w:val="12"/>
          <w:szCs w:val="12"/>
          <w:color w:val="auto"/>
        </w:rPr>
        <w:t>. On or before the date of the consummation of the Drag-Along Sale, the Drag-Along Holders or the purchaser(s) shall deposit the full amount of the consideration to be paid for the Drag-Along Securities with a bank, transfer agent, law firm or other entity selected by the Corporation (the “</w:t>
      </w:r>
      <w:r>
        <w:rPr>
          <w:rFonts w:ascii="Arial" w:cs="Arial" w:eastAsia="Arial" w:hAnsi="Arial"/>
          <w:sz w:val="12"/>
          <w:szCs w:val="12"/>
          <w:u w:val="single" w:color="auto"/>
          <w:color w:val="auto"/>
        </w:rPr>
        <w:t>Payment Agent</w:t>
      </w:r>
      <w:r>
        <w:rPr>
          <w:rFonts w:ascii="Arial" w:cs="Arial" w:eastAsia="Arial" w:hAnsi="Arial"/>
          <w:sz w:val="12"/>
          <w:szCs w:val="12"/>
          <w:color w:val="auto"/>
        </w:rPr>
        <w:t>”). Cash, if any, and other consideration, if any, deposited with the Payment Agent shall be delivered in trust for the benefit of the holders of the Drag-Along Securities. Immediately upon the deposit of the full amount of the consideration then, notwithstanding that any certificate or other document representing the Drag-Along Securities shall not have been surrendered, all Drag-Along Securities shall no longer be deemed to be outstanding on and after the consummation of the Drag-Along Sale by the Drag-Along Holders, and all rights with respect to such securities shall forthwith cease and terminate at the close of business on such date, except only the right of the holders of Drag-Along Securities to receive the consideration to be paid for the Drag-Along Securities required under this Section 7, without any interest accruing thereon.</w:t>
      </w:r>
    </w:p>
    <w:p>
      <w:pPr>
        <w:spacing w:after="0" w:line="86" w:lineRule="exact"/>
        <w:rPr>
          <w:sz w:val="20"/>
          <w:szCs w:val="20"/>
          <w:color w:val="auto"/>
        </w:rPr>
      </w:pPr>
    </w:p>
    <w:p>
      <w:pPr>
        <w:ind w:right="200" w:firstLine="1490"/>
        <w:spacing w:after="0" w:line="311"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u w:val="single" w:color="auto"/>
          <w:color w:val="auto"/>
        </w:rPr>
        <w:t>Delivery of Certificates and Documents to Payment Agent</w:t>
      </w:r>
      <w:r>
        <w:rPr>
          <w:rFonts w:ascii="Arial" w:cs="Arial" w:eastAsia="Arial" w:hAnsi="Arial"/>
          <w:sz w:val="12"/>
          <w:szCs w:val="12"/>
          <w:color w:val="auto"/>
        </w:rPr>
        <w:t>. The holders of capital stock of the Corporation and Convertible Securities and Options who are required to sell their securities pursuant to this Section 7 must deliver, on or before the date of the consummation of the Drag-Along Sale set forth in the Drag-Along Notice, one or more certificates and other documents, as applicable, properly endorsed for transfer (which represent the number of shares of capital stock of the Corporation, Convertible Securities and Options that such holders are required to sell pursuant to this Section 7) to the Payment Agent, which shall serve as custodian of the certificates and documents until delivered to the proposed purchaser(s) upon consummation of the Drag-Along Sale.</w:t>
      </w:r>
    </w:p>
    <w:p>
      <w:pPr>
        <w:spacing w:after="0" w:line="79" w:lineRule="exact"/>
        <w:rPr>
          <w:sz w:val="20"/>
          <w:szCs w:val="20"/>
          <w:color w:val="auto"/>
        </w:rPr>
      </w:pPr>
    </w:p>
    <w:p>
      <w:pPr>
        <w:ind w:right="100" w:firstLine="1490"/>
        <w:spacing w:after="0" w:line="321" w:lineRule="auto"/>
        <w:rPr>
          <w:sz w:val="20"/>
          <w:szCs w:val="20"/>
          <w:color w:val="auto"/>
        </w:rPr>
      </w:pPr>
      <w:r>
        <w:rPr>
          <w:rFonts w:ascii="Arial" w:cs="Arial" w:eastAsia="Arial" w:hAnsi="Arial"/>
          <w:sz w:val="12"/>
          <w:szCs w:val="12"/>
          <w:color w:val="auto"/>
        </w:rPr>
        <w:t xml:space="preserve">7.5 </w:t>
      </w:r>
      <w:r>
        <w:rPr>
          <w:rFonts w:ascii="Arial" w:cs="Arial" w:eastAsia="Arial" w:hAnsi="Arial"/>
          <w:sz w:val="12"/>
          <w:szCs w:val="12"/>
          <w:u w:val="single" w:color="auto"/>
          <w:color w:val="auto"/>
        </w:rPr>
        <w:t>Delivery of Certificates and Documents to Purchaser and Consideration to Drag-Along Holders</w:t>
      </w:r>
      <w:r>
        <w:rPr>
          <w:rFonts w:ascii="Arial" w:cs="Arial" w:eastAsia="Arial" w:hAnsi="Arial"/>
          <w:sz w:val="12"/>
          <w:szCs w:val="12"/>
          <w:color w:val="auto"/>
        </w:rPr>
        <w:t>. The certificates and other documents delivered to the Payment Agent by the holders of Drag-Along Securities pursuant to this Section 7 shall be transferred by the Payment Agent to the proposed purchaser(s) in consummation of the Drag-Along Sale, and the Payment Agent shall remit to the holders of Drag-Along Securities that portion of the sale proceeds to which such holders are entitled by reason of the participation in such Drug-Along Sale.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FIFTH</w:t>
      </w:r>
      <w:r>
        <w:rPr>
          <w:rFonts w:ascii="Arial" w:cs="Arial" w:eastAsia="Arial" w:hAnsi="Arial"/>
          <w:sz w:val="14"/>
          <w:szCs w:val="14"/>
          <w:color w:val="auto"/>
        </w:rPr>
        <w:t>. The Corporation is to have perpetual existence.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SIXTH</w:t>
      </w:r>
      <w:r>
        <w:rPr>
          <w:rFonts w:ascii="Arial" w:cs="Arial" w:eastAsia="Arial" w:hAnsi="Arial"/>
          <w:sz w:val="14"/>
          <w:szCs w:val="14"/>
          <w:color w:val="auto"/>
        </w:rPr>
        <w:t>. In furtherance and not in limitation of the powers conferred by the laws of the State of Delaware: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The Board of Directors of the Corporation is expressly authorized to adopt, amend or repeal the By-Laws of the Corporation.</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- 22 -</w:t>
      </w:r>
    </w:p>
    <w:p>
      <w:pPr>
        <w:sectPr>
          <w:pgSz w:w="11900" w:h="16838" w:orient="portrait"/>
          <w:cols w:equalWidth="0" w:num="1">
            <w:col w:w="11460"/>
          </w:cols>
          <w:pgMar w:left="220" w:top="247" w:right="219" w:bottom="1440" w:gutter="0" w:footer="0" w:header="0"/>
        </w:sectPr>
      </w:pPr>
    </w:p>
    <w:bookmarkStart w:id="229" w:name="page230"/>
    <w:bookmarkEnd w:id="229"/>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 Elections of directors need not be by written ballot unless the By-Laws of the Corporation shall so provide.</w:t>
      </w:r>
    </w:p>
    <w:p>
      <w:pPr>
        <w:spacing w:after="0" w:line="132" w:lineRule="exact"/>
        <w:rPr>
          <w:sz w:val="20"/>
          <w:szCs w:val="20"/>
          <w:color w:val="auto"/>
        </w:rPr>
      </w:pPr>
    </w:p>
    <w:p>
      <w:pPr>
        <w:ind w:right="280" w:firstLine="458"/>
        <w:spacing w:after="0" w:line="267" w:lineRule="auto"/>
        <w:rPr>
          <w:sz w:val="20"/>
          <w:szCs w:val="20"/>
          <w:color w:val="auto"/>
        </w:rPr>
      </w:pPr>
      <w:r>
        <w:rPr>
          <w:rFonts w:ascii="Arial" w:cs="Arial" w:eastAsia="Arial" w:hAnsi="Arial"/>
          <w:sz w:val="14"/>
          <w:szCs w:val="14"/>
          <w:color w:val="auto"/>
        </w:rPr>
        <w:t>C. The books of the Corporation may be kept at such place within or without the State of Delaware as the By-Laws of the Corporation may provide or as may be designated from time to time by the Board of Directors of the Corporation.</w:t>
      </w:r>
    </w:p>
    <w:p>
      <w:pPr>
        <w:spacing w:after="0" w:line="99" w:lineRule="exact"/>
        <w:rPr>
          <w:sz w:val="20"/>
          <w:szCs w:val="20"/>
          <w:color w:val="auto"/>
        </w:rPr>
      </w:pPr>
    </w:p>
    <w:p>
      <w:pPr>
        <w:ind w:right="100" w:firstLine="458"/>
        <w:spacing w:after="0" w:line="256" w:lineRule="auto"/>
        <w:rPr>
          <w:sz w:val="20"/>
          <w:szCs w:val="20"/>
          <w:color w:val="auto"/>
        </w:rPr>
      </w:pPr>
      <w:r>
        <w:rPr>
          <w:rFonts w:ascii="Arial" w:cs="Arial" w:eastAsia="Arial" w:hAnsi="Arial"/>
          <w:sz w:val="14"/>
          <w:szCs w:val="14"/>
          <w:b w:val="1"/>
          <w:bCs w:val="1"/>
          <w:color w:val="auto"/>
        </w:rPr>
        <w:t>SEVENTH</w:t>
      </w:r>
      <w:r>
        <w:rPr>
          <w:rFonts w:ascii="Arial" w:cs="Arial" w:eastAsia="Arial" w:hAnsi="Arial"/>
          <w:sz w:val="14"/>
          <w:szCs w:val="14"/>
          <w:color w:val="auto"/>
        </w:rPr>
        <w:t>. The Corporation eliminates the personal liability of each member of its Board of Directors to the Corporation or its stockholders for monetary damages for breach of fiduciary duty as 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director,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to the extent provided by applicable law, the foregoing shall not eliminate the liability of a director (i) for any breach of such director’s duty of loyalty to the Corporation or its stockholders, (ii) for acts or omissions not in good faith or which involve intentional misconduct or a knowing violation of law, (iii) under Section 174 of Title 8 of the Delaware Code or (iv) for any transaction from which such director derived an improper personal benefit.</w:t>
      </w:r>
    </w:p>
    <w:p>
      <w:pPr>
        <w:spacing w:after="0" w:line="109" w:lineRule="exact"/>
        <w:rPr>
          <w:sz w:val="20"/>
          <w:szCs w:val="20"/>
          <w:color w:val="auto"/>
        </w:rPr>
      </w:pPr>
    </w:p>
    <w:p>
      <w:pPr>
        <w:ind w:right="320" w:firstLine="458"/>
        <w:spacing w:after="0" w:line="351" w:lineRule="auto"/>
        <w:rPr>
          <w:sz w:val="20"/>
          <w:szCs w:val="20"/>
          <w:color w:val="auto"/>
        </w:rPr>
      </w:pPr>
      <w:r>
        <w:rPr>
          <w:rFonts w:ascii="Arial" w:cs="Arial" w:eastAsia="Arial" w:hAnsi="Arial"/>
          <w:sz w:val="12"/>
          <w:szCs w:val="12"/>
          <w:color w:val="auto"/>
        </w:rPr>
        <w:t>If the General Corporation Law of the State of Delaware is amended in the future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 from time to time.</w:t>
      </w:r>
    </w:p>
    <w:p>
      <w:pPr>
        <w:spacing w:after="0" w:line="56" w:lineRule="exact"/>
        <w:rPr>
          <w:sz w:val="20"/>
          <w:szCs w:val="20"/>
          <w:color w:val="auto"/>
        </w:rPr>
      </w:pPr>
    </w:p>
    <w:p>
      <w:pPr>
        <w:ind w:right="740" w:firstLine="458"/>
        <w:spacing w:after="0" w:line="267" w:lineRule="auto"/>
        <w:rPr>
          <w:sz w:val="20"/>
          <w:szCs w:val="20"/>
          <w:color w:val="auto"/>
        </w:rPr>
      </w:pPr>
      <w:r>
        <w:rPr>
          <w:rFonts w:ascii="Arial" w:cs="Arial" w:eastAsia="Arial" w:hAnsi="Arial"/>
          <w:sz w:val="14"/>
          <w:szCs w:val="14"/>
          <w:color w:val="auto"/>
        </w:rPr>
        <w:t>Any repeal or modification of this Article SEVENTH shall not increase the personal liability of any director of this Corporation for any act or occurrence taking place prior to such repeal or modification, or otherwise adversely affect any right or protection of a director of the Corporation existing at the time of such repeal or modification.</w:t>
      </w:r>
    </w:p>
    <w:p>
      <w:pPr>
        <w:spacing w:after="0" w:line="99" w:lineRule="exact"/>
        <w:rPr>
          <w:sz w:val="20"/>
          <w:szCs w:val="20"/>
          <w:color w:val="auto"/>
        </w:rPr>
      </w:pPr>
    </w:p>
    <w:p>
      <w:pPr>
        <w:ind w:firstLine="458"/>
        <w:spacing w:after="0" w:line="299" w:lineRule="auto"/>
        <w:rPr>
          <w:sz w:val="20"/>
          <w:szCs w:val="20"/>
          <w:color w:val="auto"/>
        </w:rPr>
      </w:pPr>
      <w:r>
        <w:rPr>
          <w:rFonts w:ascii="Arial" w:cs="Arial" w:eastAsia="Arial" w:hAnsi="Arial"/>
          <w:sz w:val="12"/>
          <w:szCs w:val="12"/>
          <w:b w:val="1"/>
          <w:bCs w:val="1"/>
          <w:color w:val="auto"/>
        </w:rPr>
        <w:t>EIGHTH</w:t>
      </w:r>
      <w:r>
        <w:rPr>
          <w:rFonts w:ascii="Arial" w:cs="Arial" w:eastAsia="Arial" w:hAnsi="Arial"/>
          <w:sz w:val="12"/>
          <w:szCs w:val="12"/>
          <w:color w:val="auto"/>
        </w:rPr>
        <w:t>. Whenever a compromise or arrangement is proposed between this Corporation and its creditors or any class of them and/or between this Corporation and its stockholders or any class of them,</w:t>
      </w:r>
      <w:r>
        <w:rPr>
          <w:rFonts w:ascii="Arial" w:cs="Arial" w:eastAsia="Arial" w:hAnsi="Arial"/>
          <w:sz w:val="12"/>
          <w:szCs w:val="12"/>
          <w:b w:val="1"/>
          <w:bCs w:val="1"/>
          <w:color w:val="auto"/>
        </w:rPr>
        <w:t xml:space="preserve"> </w:t>
      </w:r>
      <w:r>
        <w:rPr>
          <w:rFonts w:ascii="Arial" w:cs="Arial" w:eastAsia="Arial" w:hAnsi="Arial"/>
          <w:sz w:val="12"/>
          <w:szCs w:val="12"/>
          <w:color w:val="auto"/>
        </w:rPr>
        <w:t>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other creditors or class of creditors, and/or on all the stockholders or class of stockholders, of this Corporation, as the case may be, and also on this Corporation.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- 23 -</w:t>
      </w:r>
    </w:p>
    <w:p>
      <w:pPr>
        <w:sectPr>
          <w:pgSz w:w="11900" w:h="16838" w:orient="portrait"/>
          <w:cols w:equalWidth="0" w:num="1">
            <w:col w:w="11460"/>
          </w:cols>
          <w:pgMar w:left="220" w:top="247" w:right="219" w:bottom="1440" w:gutter="0" w:footer="0" w:header="0"/>
        </w:sectPr>
      </w:pPr>
    </w:p>
    <w:bookmarkStart w:id="230" w:name="page231"/>
    <w:bookmarkEnd w:id="230"/>
    <w:p>
      <w:pPr>
        <w:ind w:firstLine="458"/>
        <w:spacing w:after="0" w:line="270"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NINTH</w:t>
      </w:r>
      <w:r>
        <w:rPr>
          <w:rFonts w:ascii="Arial" w:cs="Arial" w:eastAsia="Arial" w:hAnsi="Arial"/>
          <w:sz w:val="14"/>
          <w:szCs w:val="14"/>
          <w:color w:val="auto"/>
        </w:rPr>
        <w:t>. The Corporation reserves the right, subject to Article FOURTH, B.5., to amend or repeal any provision contained in this Amended and Restated Certificate of Incorporation, in the manner now</w:t>
      </w:r>
      <w:r>
        <w:rPr>
          <w:rFonts w:ascii="Arial" w:cs="Arial" w:eastAsia="Arial" w:hAnsi="Arial"/>
          <w:sz w:val="14"/>
          <w:szCs w:val="14"/>
          <w:b w:val="1"/>
          <w:bCs w:val="1"/>
          <w:color w:val="auto"/>
        </w:rPr>
        <w:t xml:space="preserve"> </w:t>
      </w:r>
      <w:r>
        <w:rPr>
          <w:rFonts w:ascii="Arial" w:cs="Arial" w:eastAsia="Arial" w:hAnsi="Arial"/>
          <w:sz w:val="14"/>
          <w:szCs w:val="14"/>
          <w:color w:val="auto"/>
        </w:rPr>
        <w:t>or hereafter prescribed by statute, and all rights conferred upon a stockholder herein are granted subject to this reservation.</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- 24 -</w:t>
      </w:r>
    </w:p>
    <w:p>
      <w:pPr>
        <w:sectPr>
          <w:pgSz w:w="11900" w:h="16838" w:orient="portrait"/>
          <w:cols w:equalWidth="0" w:num="1">
            <w:col w:w="11400"/>
          </w:cols>
          <w:pgMar w:left="220" w:top="245" w:right="279" w:bottom="1440" w:gutter="0" w:footer="0" w:header="0"/>
        </w:sectPr>
      </w:pPr>
    </w:p>
    <w:bookmarkStart w:id="231" w:name="page232"/>
    <w:bookmarkEnd w:id="231"/>
    <w:p>
      <w:pPr>
        <w:ind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 the undersigned authorized officer of the Corporation has hereunto signed his name and affirms that the statements made in this Amended and Restated Certificate of Incorporation are true and under the penalties of perjury as of this 19</w:t>
      </w:r>
      <w:r>
        <w:rPr>
          <w:rFonts w:ascii="Arial" w:cs="Arial" w:eastAsia="Arial" w:hAnsi="Arial"/>
          <w:sz w:val="8"/>
          <w:szCs w:val="8"/>
          <w:color w:val="auto"/>
        </w:rPr>
        <w:t>th</w:t>
      </w:r>
      <w:r>
        <w:rPr>
          <w:rFonts w:ascii="Arial" w:cs="Arial" w:eastAsia="Arial" w:hAnsi="Arial"/>
          <w:sz w:val="14"/>
          <w:szCs w:val="14"/>
          <w:color w:val="auto"/>
        </w:rPr>
        <w:t xml:space="preserve"> day of September, 2008.</w:t>
      </w:r>
    </w:p>
    <w:p>
      <w:pPr>
        <w:spacing w:after="0" w:line="13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8890</wp:posOffset>
            </wp:positionV>
            <wp:extent cx="290576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Scott Koenig, M.D., PhD</w:t>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President &amp; Chief Executive Officer</w:t>
      </w:r>
    </w:p>
    <w:p>
      <w:pPr>
        <w:sectPr>
          <w:pgSz w:w="11900" w:h="16838" w:orient="portrait"/>
          <w:cols w:equalWidth="0" w:num="1">
            <w:col w:w="10960"/>
          </w:cols>
          <w:pgMar w:left="220" w:top="247" w:right="719" w:bottom="1440" w:gutter="0" w:footer="0" w:header="0"/>
        </w:sectPr>
      </w:pPr>
    </w:p>
    <w:bookmarkStart w:id="232" w:name="page233"/>
    <w:bookmarkEnd w:id="232"/>
    <w:tbl>
      <w:tblPr>
        <w:tblLayout w:type="fixed"/>
        <w:tblInd w:w="556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Delaware</w:t>
            </w:r>
          </w:p>
        </w:tc>
        <w:tc>
          <w:tcPr>
            <w:tcW w:w="900" w:type="dxa"/>
            <w:vAlign w:val="bottom"/>
          </w:tcPr>
          <w:p>
            <w:pPr>
              <w:spacing w:after="0"/>
              <w:rPr>
                <w:sz w:val="14"/>
                <w:szCs w:val="14"/>
                <w:color w:val="auto"/>
              </w:rPr>
            </w:pPr>
          </w:p>
        </w:tc>
        <w:tc>
          <w:tcPr>
            <w:tcW w:w="1200" w:type="dxa"/>
            <w:vAlign w:val="bottom"/>
          </w:tcPr>
          <w:p>
            <w:pPr>
              <w:ind w:left="780"/>
              <w:spacing w:after="0"/>
              <w:rPr>
                <w:sz w:val="20"/>
                <w:szCs w:val="20"/>
                <w:color w:val="auto"/>
              </w:rPr>
            </w:pPr>
            <w:r>
              <w:rPr>
                <w:rFonts w:ascii="Arial" w:cs="Arial" w:eastAsia="Arial" w:hAnsi="Arial"/>
                <w:sz w:val="14"/>
                <w:szCs w:val="14"/>
                <w:i w:val="1"/>
                <w:iCs w:val="1"/>
                <w:color w:val="auto"/>
                <w:w w:val="78"/>
              </w:rPr>
              <w:t>PAGE 1</w:t>
            </w:r>
          </w:p>
        </w:tc>
      </w:tr>
      <w:tr>
        <w:trPr>
          <w:trHeight w:val="177"/>
        </w:trPr>
        <w:tc>
          <w:tcPr>
            <w:tcW w:w="1580" w:type="dxa"/>
            <w:vAlign w:val="bottom"/>
            <w:gridSpan w:val="3"/>
          </w:tcPr>
          <w:p>
            <w:pPr>
              <w:jc w:val="center"/>
              <w:ind w:right="760"/>
              <w:spacing w:after="0"/>
              <w:rPr>
                <w:sz w:val="20"/>
                <w:szCs w:val="20"/>
                <w:color w:val="auto"/>
              </w:rPr>
            </w:pPr>
            <w:r>
              <w:rPr>
                <w:rFonts w:ascii="Arial" w:cs="Arial" w:eastAsia="Arial" w:hAnsi="Arial"/>
                <w:sz w:val="14"/>
                <w:szCs w:val="14"/>
                <w:i w:val="1"/>
                <w:iCs w:val="1"/>
                <w:color w:val="auto"/>
                <w:w w:val="89"/>
              </w:rPr>
              <w:t>The First State</w:t>
            </w:r>
          </w:p>
        </w:tc>
        <w:tc>
          <w:tcPr>
            <w:tcW w:w="1200" w:type="dxa"/>
            <w:vAlign w:val="bottom"/>
          </w:tcPr>
          <w:p>
            <w:pPr>
              <w:spacing w:after="0"/>
              <w:rPr>
                <w:sz w:val="15"/>
                <w:szCs w:val="15"/>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firstLine="458"/>
        <w:spacing w:after="0" w:line="267" w:lineRule="auto"/>
        <w:rPr>
          <w:sz w:val="20"/>
          <w:szCs w:val="20"/>
          <w:color w:val="auto"/>
        </w:rPr>
      </w:pPr>
      <w:r>
        <w:rPr>
          <w:rFonts w:ascii="Arial" w:cs="Arial" w:eastAsia="Arial" w:hAnsi="Arial"/>
          <w:sz w:val="14"/>
          <w:szCs w:val="14"/>
          <w:i w:val="1"/>
          <w:iCs w:val="1"/>
          <w:color w:val="auto"/>
        </w:rPr>
        <w:t>I, JEFFREY W. BULLOCK, SECRETARY OF STATE OF THE STATE OF DELAWARE, DO HEREBY CERTIFY THE ATTACHED IS A TRUE AND CORRECT COPY OF THE CERTIFICATE OF AMENDMENT OF “MACROGENICS, INC.”, FILED IN THIS OFFICE ON THE FOURTEENTH DAY OF JANUARY, A.D. 2011, AT 4:30 O’CLOCK P.M.</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 FILED COPY OF THIS CERTIFICATE HAS BEEN FORWARDED TO THE NEW CASTLE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107950</wp:posOffset>
            </wp:positionV>
            <wp:extent cx="835660" cy="8489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35660" cy="84899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107950</wp:posOffset>
            </wp:positionV>
            <wp:extent cx="1671955" cy="523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7195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6120" w:type="dxa"/>
            <w:vAlign w:val="bottom"/>
          </w:tcPr>
          <w:p>
            <w:pPr>
              <w:jc w:val="right"/>
              <w:ind w:right="352"/>
              <w:spacing w:after="0"/>
              <w:rPr>
                <w:sz w:val="20"/>
                <w:szCs w:val="20"/>
                <w:color w:val="auto"/>
              </w:rPr>
            </w:pPr>
            <w:r>
              <w:rPr>
                <w:rFonts w:ascii="Arial" w:cs="Arial" w:eastAsia="Arial" w:hAnsi="Arial"/>
                <w:sz w:val="14"/>
                <w:szCs w:val="14"/>
                <w:color w:val="auto"/>
              </w:rPr>
              <w:t>Jeffrey W. Bullock, Secretary of State</w:t>
            </w:r>
          </w:p>
        </w:tc>
      </w:tr>
      <w:tr>
        <w:trPr>
          <w:trHeight w:val="173"/>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3274005 8100</w:t>
            </w:r>
          </w:p>
        </w:tc>
        <w:tc>
          <w:tcPr>
            <w:tcW w:w="6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AUTHENTICATION: 8498564</w:t>
            </w:r>
          </w:p>
        </w:tc>
      </w:tr>
      <w:tr>
        <w:trPr>
          <w:trHeight w:val="324"/>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110047333</w:t>
            </w:r>
          </w:p>
        </w:tc>
        <w:tc>
          <w:tcPr>
            <w:tcW w:w="6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DATE: 01-18-11</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You may verify this certificate online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 corp.delaware.gov/authver.shtml</w:t>
      </w:r>
    </w:p>
    <w:p>
      <w:pPr>
        <w:sectPr>
          <w:pgSz w:w="11900" w:h="16838" w:orient="portrait"/>
          <w:cols w:equalWidth="0" w:num="1">
            <w:col w:w="11100"/>
          </w:cols>
          <w:pgMar w:left="220" w:top="229" w:right="579" w:bottom="1440" w:gutter="0" w:footer="0" w:header="0"/>
        </w:sectPr>
      </w:pPr>
    </w:p>
    <w:bookmarkStart w:id="233" w:name="page234"/>
    <w:bookmarkEnd w:id="233"/>
    <w:p>
      <w:pPr>
        <w:jc w:val="center"/>
        <w:ind w:left="792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State of Delaware</w:t>
      </w:r>
    </w:p>
    <w:p>
      <w:pPr>
        <w:spacing w:after="0" w:line="12" w:lineRule="exact"/>
        <w:rPr>
          <w:sz w:val="20"/>
          <w:szCs w:val="20"/>
          <w:color w:val="auto"/>
        </w:rPr>
      </w:pPr>
    </w:p>
    <w:p>
      <w:pPr>
        <w:jc w:val="center"/>
        <w:ind w:left="7920"/>
        <w:spacing w:after="0"/>
        <w:rPr>
          <w:sz w:val="20"/>
          <w:szCs w:val="20"/>
          <w:color w:val="auto"/>
        </w:rPr>
      </w:pPr>
      <w:r>
        <w:rPr>
          <w:rFonts w:ascii="Arial" w:cs="Arial" w:eastAsia="Arial" w:hAnsi="Arial"/>
          <w:sz w:val="14"/>
          <w:szCs w:val="14"/>
          <w:i w:val="1"/>
          <w:iCs w:val="1"/>
          <w:color w:val="auto"/>
        </w:rPr>
        <w:t>Secretary of State</w:t>
      </w:r>
    </w:p>
    <w:p>
      <w:pPr>
        <w:spacing w:after="0" w:line="6" w:lineRule="exact"/>
        <w:rPr>
          <w:sz w:val="20"/>
          <w:szCs w:val="20"/>
          <w:color w:val="auto"/>
        </w:rPr>
      </w:pPr>
    </w:p>
    <w:p>
      <w:pPr>
        <w:jc w:val="center"/>
        <w:ind w:left="7920"/>
        <w:spacing w:after="0"/>
        <w:rPr>
          <w:sz w:val="20"/>
          <w:szCs w:val="20"/>
          <w:color w:val="auto"/>
        </w:rPr>
      </w:pPr>
      <w:r>
        <w:rPr>
          <w:rFonts w:ascii="Arial" w:cs="Arial" w:eastAsia="Arial" w:hAnsi="Arial"/>
          <w:sz w:val="14"/>
          <w:szCs w:val="14"/>
          <w:i w:val="1"/>
          <w:iCs w:val="1"/>
          <w:color w:val="auto"/>
        </w:rPr>
        <w:t>Division of Corporations</w:t>
      </w:r>
    </w:p>
    <w:p>
      <w:pPr>
        <w:spacing w:after="0" w:line="6" w:lineRule="exact"/>
        <w:rPr>
          <w:sz w:val="20"/>
          <w:szCs w:val="20"/>
          <w:color w:val="auto"/>
        </w:rPr>
      </w:pPr>
    </w:p>
    <w:p>
      <w:pPr>
        <w:jc w:val="center"/>
        <w:ind w:left="7920"/>
        <w:spacing w:after="0"/>
        <w:rPr>
          <w:sz w:val="20"/>
          <w:szCs w:val="20"/>
          <w:color w:val="auto"/>
        </w:rPr>
      </w:pPr>
      <w:r>
        <w:rPr>
          <w:rFonts w:ascii="Arial" w:cs="Arial" w:eastAsia="Arial" w:hAnsi="Arial"/>
          <w:sz w:val="14"/>
          <w:szCs w:val="14"/>
          <w:i w:val="1"/>
          <w:iCs w:val="1"/>
          <w:color w:val="auto"/>
        </w:rPr>
        <w:t>Delivered 05:37 PM 01/14/2011</w:t>
      </w:r>
    </w:p>
    <w:p>
      <w:pPr>
        <w:spacing w:after="0" w:line="6" w:lineRule="exact"/>
        <w:rPr>
          <w:sz w:val="20"/>
          <w:szCs w:val="20"/>
          <w:color w:val="auto"/>
        </w:rPr>
      </w:pPr>
    </w:p>
    <w:p>
      <w:pPr>
        <w:jc w:val="center"/>
        <w:ind w:left="7920"/>
        <w:spacing w:after="0"/>
        <w:rPr>
          <w:sz w:val="20"/>
          <w:szCs w:val="20"/>
          <w:color w:val="auto"/>
        </w:rPr>
      </w:pPr>
      <w:r>
        <w:rPr>
          <w:rFonts w:ascii="Arial" w:cs="Arial" w:eastAsia="Arial" w:hAnsi="Arial"/>
          <w:sz w:val="14"/>
          <w:szCs w:val="14"/>
          <w:i w:val="1"/>
          <w:iCs w:val="1"/>
          <w:color w:val="auto"/>
        </w:rPr>
        <w:t>FILED 04:30 PM 01/14/2011</w:t>
      </w:r>
    </w:p>
    <w:p>
      <w:pPr>
        <w:spacing w:after="0" w:line="6" w:lineRule="exact"/>
        <w:rPr>
          <w:sz w:val="20"/>
          <w:szCs w:val="20"/>
          <w:color w:val="auto"/>
        </w:rPr>
      </w:pPr>
    </w:p>
    <w:p>
      <w:pPr>
        <w:jc w:val="center"/>
        <w:ind w:left="7920"/>
        <w:spacing w:after="0"/>
        <w:rPr>
          <w:sz w:val="20"/>
          <w:szCs w:val="20"/>
          <w:color w:val="auto"/>
        </w:rPr>
      </w:pPr>
      <w:r>
        <w:rPr>
          <w:rFonts w:ascii="Arial" w:cs="Arial" w:eastAsia="Arial" w:hAnsi="Arial"/>
          <w:sz w:val="14"/>
          <w:szCs w:val="14"/>
          <w:i w:val="1"/>
          <w:iCs w:val="1"/>
          <w:color w:val="auto"/>
        </w:rPr>
        <w:t>SRV 110047333 – 3274005 FILE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CERTIFICATE OF AMENDMENT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AMENDED AND RESTATED CERTIFICATE OF INCORPORATION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MACROGENICS, INC.</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MacroGenics, Inc. (the “</w:t>
      </w:r>
      <w:r>
        <w:rPr>
          <w:rFonts w:ascii="Arial" w:cs="Arial" w:eastAsia="Arial" w:hAnsi="Arial"/>
          <w:sz w:val="14"/>
          <w:szCs w:val="14"/>
          <w:u w:val="single" w:color="auto"/>
          <w:color w:val="auto"/>
        </w:rPr>
        <w:t>Corporation</w:t>
      </w:r>
      <w:r>
        <w:rPr>
          <w:rFonts w:ascii="Arial" w:cs="Arial" w:eastAsia="Arial" w:hAnsi="Arial"/>
          <w:sz w:val="14"/>
          <w:szCs w:val="14"/>
          <w:color w:val="auto"/>
        </w:rPr>
        <w:t>”), a corporation organized and existing under the General Corporation Law of the State of Delaware, does hereby certify:</w:t>
      </w:r>
    </w:p>
    <w:p>
      <w:pPr>
        <w:spacing w:after="0" w:line="132"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FIRST: The Corporation filed an Amended and Restated Certificate of Incorporation with the Secretary of State of the State of Delaware on September 19, 2008 (the “</w:t>
      </w:r>
      <w:r>
        <w:rPr>
          <w:rFonts w:ascii="Arial" w:cs="Arial" w:eastAsia="Arial" w:hAnsi="Arial"/>
          <w:sz w:val="14"/>
          <w:szCs w:val="14"/>
          <w:u w:val="single" w:color="auto"/>
          <w:color w:val="auto"/>
        </w:rPr>
        <w:t>Amended and Restated Certificate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of Incorporation</w:t>
      </w:r>
      <w:r>
        <w:rPr>
          <w:rFonts w:ascii="Arial" w:cs="Arial" w:eastAsia="Arial" w:hAnsi="Arial"/>
          <w:sz w:val="14"/>
          <w:szCs w:val="14"/>
          <w:color w:val="auto"/>
        </w:rPr>
        <w:t>”).</w:t>
      </w:r>
    </w:p>
    <w:p>
      <w:pPr>
        <w:spacing w:after="0" w:line="101" w:lineRule="exact"/>
        <w:rPr>
          <w:sz w:val="20"/>
          <w:szCs w:val="20"/>
          <w:color w:val="auto"/>
        </w:rPr>
      </w:pPr>
    </w:p>
    <w:p>
      <w:pPr>
        <w:jc w:val="both"/>
        <w:ind w:right="420" w:firstLine="458"/>
        <w:spacing w:after="0" w:line="321" w:lineRule="auto"/>
        <w:rPr>
          <w:sz w:val="20"/>
          <w:szCs w:val="20"/>
          <w:color w:val="auto"/>
        </w:rPr>
      </w:pPr>
      <w:r>
        <w:rPr>
          <w:rFonts w:ascii="Arial" w:cs="Arial" w:eastAsia="Arial" w:hAnsi="Arial"/>
          <w:sz w:val="12"/>
          <w:szCs w:val="12"/>
          <w:color w:val="auto"/>
        </w:rPr>
        <w:t>SECOND: That the Board of Directors of the Corporation has duly adopted resolutions: (i) authorizing the Corporation to execute and file with the Secretary of State of the State of Delaware this Certificate of Amendment of Amended and Restated Certificate of Incorporation (this “</w:t>
      </w:r>
      <w:r>
        <w:rPr>
          <w:rFonts w:ascii="Arial" w:cs="Arial" w:eastAsia="Arial" w:hAnsi="Arial"/>
          <w:sz w:val="12"/>
          <w:szCs w:val="12"/>
          <w:u w:val="single" w:color="auto"/>
          <w:color w:val="auto"/>
        </w:rPr>
        <w:t>Certificate of Amendment</w:t>
      </w:r>
      <w:r>
        <w:rPr>
          <w:rFonts w:ascii="Arial" w:cs="Arial" w:eastAsia="Arial" w:hAnsi="Arial"/>
          <w:sz w:val="12"/>
          <w:szCs w:val="12"/>
          <w:color w:val="auto"/>
        </w:rPr>
        <w:t>”); and (ii) declaring each of the amendments to the Amended and Restated Certificate of Incorporation set forth below in this Certificate of Amendment to be advisable and recommended for approval by the stockholders of the Corporation.</w:t>
      </w:r>
    </w:p>
    <w:p>
      <w:pPr>
        <w:spacing w:after="0" w:line="73"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THIRD: That this Certificate of Amendment was duly adopted by the Board of Directors in accordance with the provisions of Section 242 of the General Corporation Law of the State of Delaware, and by written consent of the stockholders of the Corporation in accordance with Section 228 of the General Corporation Law of the State of Delaware.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FOURTH: The first paragraph of Article FOURTH of the Amended and Restated Certificate of Incorporation is hereby amended and restated such that, as amended, said paragraph below shall read 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26" w:lineRule="exact"/>
        <w:rPr>
          <w:sz w:val="20"/>
          <w:szCs w:val="20"/>
          <w:color w:val="auto"/>
        </w:rPr>
      </w:pPr>
    </w:p>
    <w:p>
      <w:pPr>
        <w:jc w:val="both"/>
        <w:ind w:firstLine="458"/>
        <w:spacing w:after="0" w:line="321" w:lineRule="auto"/>
        <w:rPr>
          <w:sz w:val="20"/>
          <w:szCs w:val="20"/>
          <w:color w:val="auto"/>
        </w:rPr>
      </w:pPr>
      <w:r>
        <w:rPr>
          <w:rFonts w:ascii="Arial" w:cs="Arial" w:eastAsia="Arial" w:hAnsi="Arial"/>
          <w:sz w:val="12"/>
          <w:szCs w:val="12"/>
          <w:color w:val="auto"/>
        </w:rPr>
        <w:t>“The authorized capital stock of the Corporation shall consist of Seven Hundred Forty Six Million, Five Hundred Ninety Two Thousand, Eight Hundred Twenty Eight (746,592,828) shares, consisting of two classes: (i) Four Hundred Twenty Five Million (425,000,000) shares of Common Stock, $0.01 par value per share (the “</w:t>
      </w:r>
      <w:r>
        <w:rPr>
          <w:rFonts w:ascii="Arial" w:cs="Arial" w:eastAsia="Arial" w:hAnsi="Arial"/>
          <w:sz w:val="12"/>
          <w:szCs w:val="12"/>
          <w:u w:val="single" w:color="auto"/>
          <w:color w:val="auto"/>
        </w:rPr>
        <w:t>Common Stock</w:t>
      </w:r>
      <w:r>
        <w:rPr>
          <w:rFonts w:ascii="Arial" w:cs="Arial" w:eastAsia="Arial" w:hAnsi="Arial"/>
          <w:sz w:val="12"/>
          <w:szCs w:val="12"/>
          <w:color w:val="auto"/>
        </w:rPr>
        <w:t>”), and (ii) Three Hundred Twenty One Million, Five Hundred Ninety Two Thousand, Eight Hundred Twenty Eight (321,592,828) shares of Preferred Stock, $0.01 par value per share (the “</w:t>
      </w:r>
      <w:r>
        <w:rPr>
          <w:rFonts w:ascii="Arial" w:cs="Arial" w:eastAsia="Arial" w:hAnsi="Arial"/>
          <w:sz w:val="12"/>
          <w:szCs w:val="12"/>
          <w:u w:val="single" w:color="auto"/>
          <w:color w:val="auto"/>
        </w:rPr>
        <w:t>Preferred Stock</w:t>
      </w:r>
      <w:r>
        <w:rPr>
          <w:rFonts w:ascii="Arial" w:cs="Arial" w:eastAsia="Arial" w:hAnsi="Arial"/>
          <w:sz w:val="12"/>
          <w:szCs w:val="12"/>
          <w:color w:val="auto"/>
        </w:rPr>
        <w:t>”), issuable in one or more series as hereinafter provided.”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FIFTH: That Article FOURTH, Section B.1.4, is hereby amended and restated such that, as amended, such section shall read as follows:</w:t>
      </w:r>
    </w:p>
    <w:p>
      <w:pPr>
        <w:spacing w:after="0" w:line="132" w:lineRule="exact"/>
        <w:rPr>
          <w:sz w:val="20"/>
          <w:szCs w:val="20"/>
          <w:color w:val="auto"/>
        </w:rPr>
      </w:pPr>
    </w:p>
    <w:p>
      <w:pPr>
        <w:jc w:val="both"/>
        <w:ind w:right="80" w:firstLine="458"/>
        <w:spacing w:after="0" w:line="258"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Series D and Series D-2 Preferred Stock</w:t>
      </w:r>
      <w:r>
        <w:rPr>
          <w:rFonts w:ascii="Arial" w:cs="Arial" w:eastAsia="Arial" w:hAnsi="Arial"/>
          <w:sz w:val="14"/>
          <w:szCs w:val="14"/>
          <w:color w:val="auto"/>
        </w:rPr>
        <w:t>. Thirty million (30,000,000) shares of the authorized Preferred Stock of the Corporation are hereby designated “Series D Convertible Preferred Stock” (the “</w:t>
      </w:r>
      <w:r>
        <w:rPr>
          <w:rFonts w:ascii="Arial" w:cs="Arial" w:eastAsia="Arial" w:hAnsi="Arial"/>
          <w:sz w:val="14"/>
          <w:szCs w:val="14"/>
          <w:u w:val="single" w:color="auto"/>
          <w:color w:val="auto"/>
        </w:rPr>
        <w:t>Series D Preferred Stock</w:t>
      </w:r>
      <w:r>
        <w:rPr>
          <w:rFonts w:ascii="Arial" w:cs="Arial" w:eastAsia="Arial" w:hAnsi="Arial"/>
          <w:sz w:val="14"/>
          <w:szCs w:val="14"/>
          <w:color w:val="auto"/>
        </w:rPr>
        <w:t>”), and seventy five million (75,000,000) shares of the authorized Preferred Stock of the Corporation are hereby designated “Series D-2 Convertible Preferred Stock” (the “</w:t>
      </w:r>
      <w:r>
        <w:rPr>
          <w:rFonts w:ascii="Arial" w:cs="Arial" w:eastAsia="Arial" w:hAnsi="Arial"/>
          <w:sz w:val="14"/>
          <w:szCs w:val="14"/>
          <w:u w:val="single" w:color="auto"/>
          <w:color w:val="auto"/>
        </w:rPr>
        <w:t>Series D-2</w:t>
      </w:r>
      <w:r>
        <w:rPr>
          <w:rFonts w:ascii="Arial" w:cs="Arial" w:eastAsia="Arial" w:hAnsi="Arial"/>
          <w:sz w:val="14"/>
          <w:szCs w:val="14"/>
          <w:color w:val="auto"/>
        </w:rPr>
        <w:t xml:space="preserve"> </w:t>
      </w:r>
      <w:r>
        <w:rPr>
          <w:rFonts w:ascii="Arial" w:cs="Arial" w:eastAsia="Arial" w:hAnsi="Arial"/>
          <w:sz w:val="14"/>
          <w:szCs w:val="14"/>
          <w:u w:val="single" w:color="auto"/>
          <w:color w:val="auto"/>
        </w:rPr>
        <w:t>Preferred Stock</w:t>
      </w:r>
      <w:r>
        <w:rPr>
          <w:rFonts w:ascii="Arial" w:cs="Arial" w:eastAsia="Arial" w:hAnsi="Arial"/>
          <w:sz w:val="14"/>
          <w:szCs w:val="14"/>
          <w:color w:val="auto"/>
        </w:rPr>
        <w:t>”).”</w:t>
      </w:r>
    </w:p>
    <w:p>
      <w:pPr>
        <w:sectPr>
          <w:pgSz w:w="11900" w:h="16838" w:orient="portrait"/>
          <w:cols w:equalWidth="0" w:num="1">
            <w:col w:w="11460"/>
          </w:cols>
          <w:pgMar w:left="220" w:top="247" w:right="219" w:bottom="1440" w:gutter="0" w:footer="0" w:header="0"/>
        </w:sectPr>
      </w:pPr>
    </w:p>
    <w:bookmarkStart w:id="234" w:name="page235"/>
    <w:bookmarkEnd w:id="23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SIXTH: The first sentence of Article FOURTH, Section B.5 is hereby amended such that the number “30,400,000” is hereby deleted and replaced with the number “32,100,000.”</w:t>
      </w:r>
    </w:p>
    <w:p>
      <w:pPr>
        <w:spacing w:after="0" w:line="155" w:lineRule="exact"/>
        <w:rPr>
          <w:sz w:val="20"/>
          <w:szCs w:val="20"/>
          <w:color w:val="auto"/>
        </w:rPr>
      </w:pPr>
    </w:p>
    <w:p>
      <w:pPr>
        <w:ind w:left="4040" w:right="1919" w:hanging="4040"/>
        <w:spacing w:after="0" w:line="499" w:lineRule="auto"/>
        <w:rPr>
          <w:sz w:val="20"/>
          <w:szCs w:val="20"/>
          <w:color w:val="auto"/>
        </w:rPr>
      </w:pPr>
      <w:r>
        <w:rPr>
          <w:rFonts w:ascii="Arial" w:cs="Arial" w:eastAsia="Arial" w:hAnsi="Arial"/>
          <w:sz w:val="12"/>
          <w:szCs w:val="12"/>
          <w:color w:val="auto"/>
        </w:rPr>
        <w:t>SEVENTH: This Certificate of Amendment shall become effective immediately upon filing with the Secretary of State of the State of Delaware. [</w:t>
      </w:r>
      <w:r>
        <w:rPr>
          <w:rFonts w:ascii="Arial" w:cs="Arial" w:eastAsia="Arial" w:hAnsi="Arial"/>
          <w:sz w:val="12"/>
          <w:szCs w:val="12"/>
          <w:i w:val="1"/>
          <w:iCs w:val="1"/>
          <w:color w:val="auto"/>
        </w:rPr>
        <w:t>Remainder of Page Intentionally Left Blank</w:t>
      </w:r>
      <w:r>
        <w:rPr>
          <w:rFonts w:ascii="Arial" w:cs="Arial" w:eastAsia="Arial" w:hAnsi="Arial"/>
          <w:sz w:val="12"/>
          <w:szCs w:val="12"/>
          <w:color w:val="auto"/>
        </w:rPr>
        <w:t>]</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779"/>
          </w:cols>
          <w:pgMar w:left="680" w:top="247" w:right="1440" w:bottom="1440" w:gutter="0" w:footer="0" w:header="0"/>
        </w:sectPr>
      </w:pPr>
    </w:p>
    <w:bookmarkStart w:id="235" w:name="page236"/>
    <w:bookmarkEnd w:id="235"/>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 the Corporation has caused this Certificate of Amendment to be executed on its behalf by its President this 14</w:t>
      </w:r>
      <w:r>
        <w:rPr>
          <w:rFonts w:ascii="Arial" w:cs="Arial" w:eastAsia="Arial" w:hAnsi="Arial"/>
          <w:sz w:val="7"/>
          <w:szCs w:val="7"/>
          <w:color w:val="auto"/>
        </w:rPr>
        <w:t>th</w:t>
      </w:r>
      <w:r>
        <w:rPr>
          <w:rFonts w:ascii="Arial" w:cs="Arial" w:eastAsia="Arial" w:hAnsi="Arial"/>
          <w:sz w:val="12"/>
          <w:szCs w:val="12"/>
          <w:color w:val="auto"/>
        </w:rPr>
        <w:t xml:space="preserve"> day of January, 2011.</w:t>
      </w:r>
    </w:p>
    <w:p>
      <w:pPr>
        <w:spacing w:after="0" w:line="186"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8890</wp:posOffset>
            </wp:positionV>
            <wp:extent cx="290576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Scott Koenig, M.D., PhD</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President &amp; Chief Executive Officer</w:t>
      </w:r>
    </w:p>
    <w:p>
      <w:pPr>
        <w:spacing w:after="0" w:line="11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779"/>
          </w:cols>
          <w:pgMar w:left="680" w:top="247" w:right="1440" w:bottom="1440" w:gutter="0" w:footer="0" w:header="0"/>
        </w:sectPr>
      </w:pPr>
    </w:p>
    <w:bookmarkStart w:id="236" w:name="page237"/>
    <w:bookmarkEnd w:id="236"/>
    <w:p>
      <w:pPr>
        <w:ind w:left="9620"/>
        <w:spacing w:after="0"/>
        <w:rPr>
          <w:sz w:val="20"/>
          <w:szCs w:val="20"/>
          <w:color w:val="auto"/>
        </w:rPr>
      </w:pPr>
      <w:r>
        <w:rPr>
          <w:rFonts w:ascii="Arial" w:cs="Arial" w:eastAsia="Arial" w:hAnsi="Arial"/>
          <w:sz w:val="12"/>
          <w:szCs w:val="12"/>
          <w:b w:val="1"/>
          <w:bCs w:val="1"/>
          <w:color w:val="auto"/>
        </w:rPr>
        <w:t>Exhibit 3.3</w:t>
      </w:r>
    </w:p>
    <w:p>
      <w:pPr>
        <w:spacing w:after="0" w:line="155"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AMENDED AND RESTATED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BY-LAWS OF</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A DELAWARE CORPORATION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Dated: December 13, 2000</w:t>
      </w:r>
    </w:p>
    <w:p>
      <w:pPr>
        <w:sectPr>
          <w:pgSz w:w="11900" w:h="16838" w:orient="portrait"/>
          <w:cols w:equalWidth="0" w:num="1">
            <w:col w:w="10240"/>
          </w:cols>
          <w:pgMar w:left="1440" w:top="130" w:right="21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20"/>
                <w:szCs w:val="20"/>
                <w:color w:val="auto"/>
              </w:rPr>
            </w:pPr>
            <w:r>
              <w:rPr>
                <w:rFonts w:ascii="Arial" w:cs="Arial" w:eastAsia="Arial" w:hAnsi="Arial"/>
                <w:sz w:val="14"/>
                <w:szCs w:val="14"/>
                <w:b w:val="1"/>
                <w:bCs w:val="1"/>
                <w:color w:val="auto"/>
              </w:rPr>
              <w:t>ARTICLE I MEETINGS OF STOCKHOLDERS</w:t>
            </w: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45"/>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P</w:t>
            </w:r>
            <w:r>
              <w:rPr>
                <w:rFonts w:ascii="Arial" w:cs="Arial" w:eastAsia="Arial" w:hAnsi="Arial"/>
                <w:sz w:val="11"/>
                <w:szCs w:val="11"/>
                <w:color w:val="auto"/>
              </w:rPr>
              <w:t>LACE OF</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A</w:t>
            </w:r>
            <w:r>
              <w:rPr>
                <w:rFonts w:ascii="Arial" w:cs="Arial" w:eastAsia="Arial" w:hAnsi="Arial"/>
                <w:sz w:val="11"/>
                <w:szCs w:val="11"/>
                <w:color w:val="auto"/>
              </w:rPr>
              <w:t>NNUAL</w:t>
            </w:r>
            <w:r>
              <w:rPr>
                <w:rFonts w:ascii="Arial" w:cs="Arial" w:eastAsia="Arial" w:hAnsi="Arial"/>
                <w:sz w:val="14"/>
                <w:szCs w:val="14"/>
                <w:color w:val="auto"/>
              </w:rPr>
              <w:t xml:space="preserve"> M</w:t>
            </w:r>
            <w:r>
              <w:rPr>
                <w:rFonts w:ascii="Arial" w:cs="Arial" w:eastAsia="Arial" w:hAnsi="Arial"/>
                <w:sz w:val="11"/>
                <w:szCs w:val="11"/>
                <w:color w:val="auto"/>
              </w:rPr>
              <w:t>EETING</w:t>
            </w:r>
          </w:p>
        </w:tc>
        <w:tc>
          <w:tcPr>
            <w:tcW w:w="35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 S</w:t>
            </w:r>
            <w:r>
              <w:rPr>
                <w:rFonts w:ascii="Arial" w:cs="Arial" w:eastAsia="Arial" w:hAnsi="Arial"/>
                <w:sz w:val="11"/>
                <w:szCs w:val="11"/>
                <w:color w:val="auto"/>
              </w:rPr>
              <w:t>PECIAL</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 N</w:t>
            </w:r>
            <w:r>
              <w:rPr>
                <w:rFonts w:ascii="Arial" w:cs="Arial" w:eastAsia="Arial" w:hAnsi="Arial"/>
                <w:sz w:val="11"/>
                <w:szCs w:val="11"/>
                <w:color w:val="auto"/>
              </w:rPr>
              <w:t>OTICE OF</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 V</w:t>
            </w:r>
            <w:r>
              <w:rPr>
                <w:rFonts w:ascii="Arial" w:cs="Arial" w:eastAsia="Arial" w:hAnsi="Arial"/>
                <w:sz w:val="11"/>
                <w:szCs w:val="11"/>
                <w:color w:val="auto"/>
              </w:rPr>
              <w:t>OTING</w:t>
            </w:r>
            <w:r>
              <w:rPr>
                <w:rFonts w:ascii="Arial" w:cs="Arial" w:eastAsia="Arial" w:hAnsi="Arial"/>
                <w:sz w:val="14"/>
                <w:szCs w:val="14"/>
                <w:color w:val="auto"/>
              </w:rPr>
              <w:t xml:space="preserve"> L</w:t>
            </w:r>
            <w:r>
              <w:rPr>
                <w:rFonts w:ascii="Arial" w:cs="Arial" w:eastAsia="Arial" w:hAnsi="Arial"/>
                <w:sz w:val="11"/>
                <w:szCs w:val="11"/>
                <w:color w:val="auto"/>
              </w:rPr>
              <w:t>IST</w:t>
            </w:r>
          </w:p>
        </w:tc>
        <w:tc>
          <w:tcPr>
            <w:tcW w:w="35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6. Q</w:t>
            </w:r>
            <w:r>
              <w:rPr>
                <w:rFonts w:ascii="Arial" w:cs="Arial" w:eastAsia="Arial" w:hAnsi="Arial"/>
                <w:sz w:val="11"/>
                <w:szCs w:val="11"/>
                <w:color w:val="auto"/>
              </w:rPr>
              <w:t>UORUM</w:t>
            </w:r>
          </w:p>
        </w:tc>
        <w:tc>
          <w:tcPr>
            <w:tcW w:w="35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7. A</w:t>
            </w:r>
            <w:r>
              <w:rPr>
                <w:rFonts w:ascii="Arial" w:cs="Arial" w:eastAsia="Arial" w:hAnsi="Arial"/>
                <w:sz w:val="11"/>
                <w:szCs w:val="11"/>
                <w:color w:val="auto"/>
              </w:rPr>
              <w:t>DJOURNMENTS</w:t>
            </w:r>
          </w:p>
        </w:tc>
        <w:tc>
          <w:tcPr>
            <w:tcW w:w="35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8. A</w:t>
            </w:r>
            <w:r>
              <w:rPr>
                <w:rFonts w:ascii="Arial" w:cs="Arial" w:eastAsia="Arial" w:hAnsi="Arial"/>
                <w:sz w:val="11"/>
                <w:szCs w:val="11"/>
                <w:color w:val="auto"/>
              </w:rPr>
              <w:t>CTION AT</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9. V</w:t>
            </w:r>
            <w:r>
              <w:rPr>
                <w:rFonts w:ascii="Arial" w:cs="Arial" w:eastAsia="Arial" w:hAnsi="Arial"/>
                <w:sz w:val="11"/>
                <w:szCs w:val="11"/>
                <w:color w:val="auto"/>
              </w:rPr>
              <w:t>OTING AND</w:t>
            </w:r>
            <w:r>
              <w:rPr>
                <w:rFonts w:ascii="Arial" w:cs="Arial" w:eastAsia="Arial" w:hAnsi="Arial"/>
                <w:sz w:val="14"/>
                <w:szCs w:val="14"/>
                <w:color w:val="auto"/>
              </w:rPr>
              <w:t xml:space="preserve"> P</w:t>
            </w:r>
            <w:r>
              <w:rPr>
                <w:rFonts w:ascii="Arial" w:cs="Arial" w:eastAsia="Arial" w:hAnsi="Arial"/>
                <w:sz w:val="11"/>
                <w:szCs w:val="11"/>
                <w:color w:val="auto"/>
              </w:rPr>
              <w:t>ROXIES</w:t>
            </w:r>
          </w:p>
        </w:tc>
        <w:tc>
          <w:tcPr>
            <w:tcW w:w="35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3"/>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10. A</w:t>
            </w:r>
            <w:r>
              <w:rPr>
                <w:rFonts w:ascii="Arial" w:cs="Arial" w:eastAsia="Arial" w:hAnsi="Arial"/>
                <w:sz w:val="11"/>
                <w:szCs w:val="11"/>
                <w:color w:val="auto"/>
              </w:rPr>
              <w:t>CTION</w:t>
            </w:r>
            <w:r>
              <w:rPr>
                <w:rFonts w:ascii="Arial" w:cs="Arial" w:eastAsia="Arial" w:hAnsi="Arial"/>
                <w:sz w:val="14"/>
                <w:szCs w:val="14"/>
                <w:color w:val="auto"/>
              </w:rPr>
              <w:t xml:space="preserve"> W</w:t>
            </w:r>
            <w:r>
              <w:rPr>
                <w:rFonts w:ascii="Arial" w:cs="Arial" w:eastAsia="Arial" w:hAnsi="Arial"/>
                <w:sz w:val="11"/>
                <w:szCs w:val="11"/>
                <w:color w:val="auto"/>
              </w:rPr>
              <w:t>ITHOUT</w:t>
            </w:r>
            <w:r>
              <w:rPr>
                <w:rFonts w:ascii="Arial" w:cs="Arial" w:eastAsia="Arial" w:hAnsi="Arial"/>
                <w:sz w:val="14"/>
                <w:szCs w:val="14"/>
                <w:color w:val="auto"/>
              </w:rPr>
              <w:t xml:space="preserve"> M</w:t>
            </w:r>
            <w:r>
              <w:rPr>
                <w:rFonts w:ascii="Arial" w:cs="Arial" w:eastAsia="Arial" w:hAnsi="Arial"/>
                <w:sz w:val="11"/>
                <w:szCs w:val="11"/>
                <w:color w:val="auto"/>
              </w:rPr>
              <w:t>EETING</w:t>
            </w:r>
          </w:p>
        </w:tc>
        <w:tc>
          <w:tcPr>
            <w:tcW w:w="35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1"/>
        </w:trPr>
        <w:tc>
          <w:tcPr>
            <w:tcW w:w="7820" w:type="dxa"/>
            <w:vAlign w:val="bottom"/>
          </w:tcPr>
          <w:p>
            <w:pPr>
              <w:spacing w:after="0"/>
              <w:rPr>
                <w:sz w:val="20"/>
                <w:szCs w:val="20"/>
                <w:color w:val="auto"/>
              </w:rPr>
            </w:pPr>
            <w:r>
              <w:rPr>
                <w:rFonts w:ascii="Arial" w:cs="Arial" w:eastAsia="Arial" w:hAnsi="Arial"/>
                <w:sz w:val="14"/>
                <w:szCs w:val="14"/>
                <w:b w:val="1"/>
                <w:bCs w:val="1"/>
                <w:color w:val="auto"/>
              </w:rPr>
              <w:t>ARTICLE II DIRECTORS</w:t>
            </w: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45"/>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N</w:t>
            </w:r>
            <w:r>
              <w:rPr>
                <w:rFonts w:ascii="Arial" w:cs="Arial" w:eastAsia="Arial" w:hAnsi="Arial"/>
                <w:sz w:val="11"/>
                <w:szCs w:val="11"/>
                <w:color w:val="auto"/>
              </w:rPr>
              <w:t>UMBER</w:t>
            </w:r>
            <w:r>
              <w:rPr>
                <w:rFonts w:ascii="Arial" w:cs="Arial" w:eastAsia="Arial" w:hAnsi="Arial"/>
                <w:sz w:val="14"/>
                <w:szCs w:val="14"/>
                <w:color w:val="auto"/>
              </w:rPr>
              <w:t>, E</w:t>
            </w:r>
            <w:r>
              <w:rPr>
                <w:rFonts w:ascii="Arial" w:cs="Arial" w:eastAsia="Arial" w:hAnsi="Arial"/>
                <w:sz w:val="11"/>
                <w:szCs w:val="11"/>
                <w:color w:val="auto"/>
              </w:rPr>
              <w:t>LECTION</w:t>
            </w:r>
            <w:r>
              <w:rPr>
                <w:rFonts w:ascii="Arial" w:cs="Arial" w:eastAsia="Arial" w:hAnsi="Arial"/>
                <w:sz w:val="14"/>
                <w:szCs w:val="14"/>
                <w:color w:val="auto"/>
              </w:rPr>
              <w:t>, T</w:t>
            </w:r>
            <w:r>
              <w:rPr>
                <w:rFonts w:ascii="Arial" w:cs="Arial" w:eastAsia="Arial" w:hAnsi="Arial"/>
                <w:sz w:val="11"/>
                <w:szCs w:val="11"/>
                <w:color w:val="auto"/>
              </w:rPr>
              <w:t>ENURE AND</w:t>
            </w:r>
            <w:r>
              <w:rPr>
                <w:rFonts w:ascii="Arial" w:cs="Arial" w:eastAsia="Arial" w:hAnsi="Arial"/>
                <w:sz w:val="14"/>
                <w:szCs w:val="14"/>
                <w:color w:val="auto"/>
              </w:rPr>
              <w:t xml:space="preserve"> Q</w:t>
            </w:r>
            <w:r>
              <w:rPr>
                <w:rFonts w:ascii="Arial" w:cs="Arial" w:eastAsia="Arial" w:hAnsi="Arial"/>
                <w:sz w:val="11"/>
                <w:szCs w:val="11"/>
                <w:color w:val="auto"/>
              </w:rPr>
              <w:t>UALIFICATION</w:t>
            </w:r>
          </w:p>
        </w:tc>
        <w:tc>
          <w:tcPr>
            <w:tcW w:w="35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E</w:t>
            </w:r>
            <w:r>
              <w:rPr>
                <w:rFonts w:ascii="Arial" w:cs="Arial" w:eastAsia="Arial" w:hAnsi="Arial"/>
                <w:sz w:val="11"/>
                <w:szCs w:val="11"/>
                <w:color w:val="auto"/>
              </w:rPr>
              <w:t>NLARGEMENT</w:t>
            </w:r>
          </w:p>
        </w:tc>
        <w:tc>
          <w:tcPr>
            <w:tcW w:w="35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 V</w:t>
            </w:r>
            <w:r>
              <w:rPr>
                <w:rFonts w:ascii="Arial" w:cs="Arial" w:eastAsia="Arial" w:hAnsi="Arial"/>
                <w:sz w:val="11"/>
                <w:szCs w:val="11"/>
                <w:color w:val="auto"/>
              </w:rPr>
              <w:t>ACANCIES</w:t>
            </w:r>
          </w:p>
        </w:tc>
        <w:tc>
          <w:tcPr>
            <w:tcW w:w="35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 R</w:t>
            </w:r>
            <w:r>
              <w:rPr>
                <w:rFonts w:ascii="Arial" w:cs="Arial" w:eastAsia="Arial" w:hAnsi="Arial"/>
                <w:sz w:val="11"/>
                <w:szCs w:val="11"/>
                <w:color w:val="auto"/>
              </w:rPr>
              <w:t>ESIGNATION AND</w:t>
            </w:r>
            <w:r>
              <w:rPr>
                <w:rFonts w:ascii="Arial" w:cs="Arial" w:eastAsia="Arial" w:hAnsi="Arial"/>
                <w:sz w:val="14"/>
                <w:szCs w:val="14"/>
                <w:color w:val="auto"/>
              </w:rPr>
              <w:t xml:space="preserve"> R</w:t>
            </w:r>
            <w:r>
              <w:rPr>
                <w:rFonts w:ascii="Arial" w:cs="Arial" w:eastAsia="Arial" w:hAnsi="Arial"/>
                <w:sz w:val="11"/>
                <w:szCs w:val="11"/>
                <w:color w:val="auto"/>
              </w:rPr>
              <w:t>EMOVAL</w:t>
            </w:r>
          </w:p>
        </w:tc>
        <w:tc>
          <w:tcPr>
            <w:tcW w:w="35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 G</w:t>
            </w:r>
            <w:r>
              <w:rPr>
                <w:rFonts w:ascii="Arial" w:cs="Arial" w:eastAsia="Arial" w:hAnsi="Arial"/>
                <w:sz w:val="11"/>
                <w:szCs w:val="11"/>
                <w:color w:val="auto"/>
              </w:rPr>
              <w:t>ENERAL</w:t>
            </w:r>
            <w:r>
              <w:rPr>
                <w:rFonts w:ascii="Arial" w:cs="Arial" w:eastAsia="Arial" w:hAnsi="Arial"/>
                <w:sz w:val="14"/>
                <w:szCs w:val="14"/>
                <w:color w:val="auto"/>
              </w:rPr>
              <w:t xml:space="preserve"> P</w:t>
            </w:r>
            <w:r>
              <w:rPr>
                <w:rFonts w:ascii="Arial" w:cs="Arial" w:eastAsia="Arial" w:hAnsi="Arial"/>
                <w:sz w:val="11"/>
                <w:szCs w:val="11"/>
                <w:color w:val="auto"/>
              </w:rPr>
              <w:t>OWERS</w:t>
            </w:r>
          </w:p>
        </w:tc>
        <w:tc>
          <w:tcPr>
            <w:tcW w:w="3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6. C</w:t>
            </w:r>
            <w:r>
              <w:rPr>
                <w:rFonts w:ascii="Arial" w:cs="Arial" w:eastAsia="Arial" w:hAnsi="Arial"/>
                <w:sz w:val="11"/>
                <w:szCs w:val="11"/>
                <w:color w:val="auto"/>
              </w:rPr>
              <w:t>HAIRMAN OF THE</w:t>
            </w:r>
            <w:r>
              <w:rPr>
                <w:rFonts w:ascii="Arial" w:cs="Arial" w:eastAsia="Arial" w:hAnsi="Arial"/>
                <w:sz w:val="14"/>
                <w:szCs w:val="14"/>
                <w:color w:val="auto"/>
              </w:rPr>
              <w:t xml:space="preserve"> B</w:t>
            </w:r>
            <w:r>
              <w:rPr>
                <w:rFonts w:ascii="Arial" w:cs="Arial" w:eastAsia="Arial" w:hAnsi="Arial"/>
                <w:sz w:val="11"/>
                <w:szCs w:val="11"/>
                <w:color w:val="auto"/>
              </w:rPr>
              <w:t>OARD</w:t>
            </w:r>
          </w:p>
        </w:tc>
        <w:tc>
          <w:tcPr>
            <w:tcW w:w="3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7. P</w:t>
            </w:r>
            <w:r>
              <w:rPr>
                <w:rFonts w:ascii="Arial" w:cs="Arial" w:eastAsia="Arial" w:hAnsi="Arial"/>
                <w:sz w:val="11"/>
                <w:szCs w:val="11"/>
                <w:color w:val="auto"/>
              </w:rPr>
              <w:t>LACE OF</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8. R</w:t>
            </w:r>
            <w:r>
              <w:rPr>
                <w:rFonts w:ascii="Arial" w:cs="Arial" w:eastAsia="Arial" w:hAnsi="Arial"/>
                <w:sz w:val="11"/>
                <w:szCs w:val="11"/>
                <w:color w:val="auto"/>
              </w:rPr>
              <w:t>EGULAR</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9. S</w:t>
            </w:r>
            <w:r>
              <w:rPr>
                <w:rFonts w:ascii="Arial" w:cs="Arial" w:eastAsia="Arial" w:hAnsi="Arial"/>
                <w:sz w:val="11"/>
                <w:szCs w:val="11"/>
                <w:color w:val="auto"/>
              </w:rPr>
              <w:t>PECIAL</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10. Q</w:t>
            </w:r>
            <w:r>
              <w:rPr>
                <w:rFonts w:ascii="Arial" w:cs="Arial" w:eastAsia="Arial" w:hAnsi="Arial"/>
                <w:sz w:val="11"/>
                <w:szCs w:val="11"/>
                <w:color w:val="auto"/>
              </w:rPr>
              <w:t>UORUM</w:t>
            </w:r>
            <w:r>
              <w:rPr>
                <w:rFonts w:ascii="Arial" w:cs="Arial" w:eastAsia="Arial" w:hAnsi="Arial"/>
                <w:sz w:val="14"/>
                <w:szCs w:val="14"/>
                <w:color w:val="auto"/>
              </w:rPr>
              <w:t>, A</w:t>
            </w:r>
            <w:r>
              <w:rPr>
                <w:rFonts w:ascii="Arial" w:cs="Arial" w:eastAsia="Arial" w:hAnsi="Arial"/>
                <w:sz w:val="11"/>
                <w:szCs w:val="11"/>
                <w:color w:val="auto"/>
              </w:rPr>
              <w:t>CTION AT</w:t>
            </w:r>
            <w:r>
              <w:rPr>
                <w:rFonts w:ascii="Arial" w:cs="Arial" w:eastAsia="Arial" w:hAnsi="Arial"/>
                <w:sz w:val="14"/>
                <w:szCs w:val="14"/>
                <w:color w:val="auto"/>
              </w:rPr>
              <w:t xml:space="preserve"> M</w:t>
            </w:r>
            <w:r>
              <w:rPr>
                <w:rFonts w:ascii="Arial" w:cs="Arial" w:eastAsia="Arial" w:hAnsi="Arial"/>
                <w:sz w:val="11"/>
                <w:szCs w:val="11"/>
                <w:color w:val="auto"/>
              </w:rPr>
              <w:t>EETING</w:t>
            </w:r>
            <w:r>
              <w:rPr>
                <w:rFonts w:ascii="Arial" w:cs="Arial" w:eastAsia="Arial" w:hAnsi="Arial"/>
                <w:sz w:val="14"/>
                <w:szCs w:val="14"/>
                <w:color w:val="auto"/>
              </w:rPr>
              <w:t>, A</w:t>
            </w:r>
            <w:r>
              <w:rPr>
                <w:rFonts w:ascii="Arial" w:cs="Arial" w:eastAsia="Arial" w:hAnsi="Arial"/>
                <w:sz w:val="11"/>
                <w:szCs w:val="11"/>
                <w:color w:val="auto"/>
              </w:rPr>
              <w:t>DJOURNMENTS</w:t>
            </w:r>
          </w:p>
        </w:tc>
        <w:tc>
          <w:tcPr>
            <w:tcW w:w="3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11. A</w:t>
            </w:r>
            <w:r>
              <w:rPr>
                <w:rFonts w:ascii="Arial" w:cs="Arial" w:eastAsia="Arial" w:hAnsi="Arial"/>
                <w:sz w:val="11"/>
                <w:szCs w:val="11"/>
                <w:color w:val="auto"/>
              </w:rPr>
              <w:t>CTION BY</w:t>
            </w:r>
            <w:r>
              <w:rPr>
                <w:rFonts w:ascii="Arial" w:cs="Arial" w:eastAsia="Arial" w:hAnsi="Arial"/>
                <w:sz w:val="14"/>
                <w:szCs w:val="14"/>
                <w:color w:val="auto"/>
              </w:rPr>
              <w:t xml:space="preserve"> C</w:t>
            </w:r>
            <w:r>
              <w:rPr>
                <w:rFonts w:ascii="Arial" w:cs="Arial" w:eastAsia="Arial" w:hAnsi="Arial"/>
                <w:sz w:val="11"/>
                <w:szCs w:val="11"/>
                <w:color w:val="auto"/>
              </w:rPr>
              <w:t>ONSENT</w:t>
            </w:r>
          </w:p>
        </w:tc>
        <w:tc>
          <w:tcPr>
            <w:tcW w:w="35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12. T</w:t>
            </w:r>
            <w:r>
              <w:rPr>
                <w:rFonts w:ascii="Arial" w:cs="Arial" w:eastAsia="Arial" w:hAnsi="Arial"/>
                <w:sz w:val="11"/>
                <w:szCs w:val="11"/>
                <w:color w:val="auto"/>
              </w:rPr>
              <w:t>ELEPHONIC</w:t>
            </w:r>
            <w:r>
              <w:rPr>
                <w:rFonts w:ascii="Arial" w:cs="Arial" w:eastAsia="Arial" w:hAnsi="Arial"/>
                <w:sz w:val="14"/>
                <w:szCs w:val="14"/>
                <w:color w:val="auto"/>
              </w:rPr>
              <w:t xml:space="preserve"> M</w:t>
            </w:r>
            <w:r>
              <w:rPr>
                <w:rFonts w:ascii="Arial" w:cs="Arial" w:eastAsia="Arial" w:hAnsi="Arial"/>
                <w:sz w:val="11"/>
                <w:szCs w:val="11"/>
                <w:color w:val="auto"/>
              </w:rPr>
              <w:t>EETINGS</w:t>
            </w:r>
          </w:p>
        </w:tc>
        <w:tc>
          <w:tcPr>
            <w:tcW w:w="35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13. C</w:t>
            </w:r>
            <w:r>
              <w:rPr>
                <w:rFonts w:ascii="Arial" w:cs="Arial" w:eastAsia="Arial" w:hAnsi="Arial"/>
                <w:sz w:val="11"/>
                <w:szCs w:val="11"/>
                <w:color w:val="auto"/>
              </w:rPr>
              <w:t>OMMITTEES</w:t>
            </w:r>
          </w:p>
        </w:tc>
        <w:tc>
          <w:tcPr>
            <w:tcW w:w="35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3"/>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14. C</w:t>
            </w:r>
            <w:r>
              <w:rPr>
                <w:rFonts w:ascii="Arial" w:cs="Arial" w:eastAsia="Arial" w:hAnsi="Arial"/>
                <w:sz w:val="11"/>
                <w:szCs w:val="11"/>
                <w:color w:val="auto"/>
              </w:rPr>
              <w:t>OMPENSATION</w:t>
            </w:r>
          </w:p>
        </w:tc>
        <w:tc>
          <w:tcPr>
            <w:tcW w:w="35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1"/>
        </w:trPr>
        <w:tc>
          <w:tcPr>
            <w:tcW w:w="7820" w:type="dxa"/>
            <w:vAlign w:val="bottom"/>
          </w:tcPr>
          <w:p>
            <w:pPr>
              <w:spacing w:after="0"/>
              <w:rPr>
                <w:sz w:val="20"/>
                <w:szCs w:val="20"/>
                <w:color w:val="auto"/>
              </w:rPr>
            </w:pPr>
            <w:r>
              <w:rPr>
                <w:rFonts w:ascii="Arial" w:cs="Arial" w:eastAsia="Arial" w:hAnsi="Arial"/>
                <w:sz w:val="14"/>
                <w:szCs w:val="14"/>
                <w:b w:val="1"/>
                <w:bCs w:val="1"/>
                <w:color w:val="auto"/>
              </w:rPr>
              <w:t>ARTICLE III OFFICERS</w:t>
            </w: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45"/>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E</w:t>
            </w:r>
            <w:r>
              <w:rPr>
                <w:rFonts w:ascii="Arial" w:cs="Arial" w:eastAsia="Arial" w:hAnsi="Arial"/>
                <w:sz w:val="11"/>
                <w:szCs w:val="11"/>
                <w:color w:val="auto"/>
              </w:rPr>
              <w:t>NUMERATION</w:t>
            </w:r>
          </w:p>
        </w:tc>
        <w:tc>
          <w:tcPr>
            <w:tcW w:w="35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E</w:t>
            </w:r>
            <w:r>
              <w:rPr>
                <w:rFonts w:ascii="Arial" w:cs="Arial" w:eastAsia="Arial" w:hAnsi="Arial"/>
                <w:sz w:val="11"/>
                <w:szCs w:val="11"/>
                <w:color w:val="auto"/>
              </w:rPr>
              <w:t>LECTION</w:t>
            </w:r>
          </w:p>
        </w:tc>
        <w:tc>
          <w:tcPr>
            <w:tcW w:w="35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 T</w:t>
            </w:r>
            <w:r>
              <w:rPr>
                <w:rFonts w:ascii="Arial" w:cs="Arial" w:eastAsia="Arial" w:hAnsi="Arial"/>
                <w:sz w:val="11"/>
                <w:szCs w:val="11"/>
                <w:color w:val="auto"/>
              </w:rPr>
              <w:t>ENURE</w:t>
            </w:r>
          </w:p>
        </w:tc>
        <w:tc>
          <w:tcPr>
            <w:tcW w:w="35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 P</w:t>
            </w:r>
            <w:r>
              <w:rPr>
                <w:rFonts w:ascii="Arial" w:cs="Arial" w:eastAsia="Arial" w:hAnsi="Arial"/>
                <w:sz w:val="11"/>
                <w:szCs w:val="11"/>
                <w:color w:val="auto"/>
              </w:rPr>
              <w:t>RESIDENT</w:t>
            </w:r>
          </w:p>
        </w:tc>
        <w:tc>
          <w:tcPr>
            <w:tcW w:w="35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 V</w:t>
            </w:r>
            <w:r>
              <w:rPr>
                <w:rFonts w:ascii="Arial" w:cs="Arial" w:eastAsia="Arial" w:hAnsi="Arial"/>
                <w:sz w:val="11"/>
                <w:szCs w:val="11"/>
                <w:color w:val="auto"/>
              </w:rPr>
              <w:t>ICE</w:t>
            </w:r>
            <w:r>
              <w:rPr>
                <w:rFonts w:ascii="Arial" w:cs="Arial" w:eastAsia="Arial" w:hAnsi="Arial"/>
                <w:sz w:val="14"/>
                <w:szCs w:val="14"/>
                <w:color w:val="auto"/>
              </w:rPr>
              <w:t>-P</w:t>
            </w:r>
            <w:r>
              <w:rPr>
                <w:rFonts w:ascii="Arial" w:cs="Arial" w:eastAsia="Arial" w:hAnsi="Arial"/>
                <w:sz w:val="11"/>
                <w:szCs w:val="11"/>
                <w:color w:val="auto"/>
              </w:rPr>
              <w:t>RESIDENTS</w:t>
            </w:r>
          </w:p>
        </w:tc>
        <w:tc>
          <w:tcPr>
            <w:tcW w:w="35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6. S</w:t>
            </w:r>
            <w:r>
              <w:rPr>
                <w:rFonts w:ascii="Arial" w:cs="Arial" w:eastAsia="Arial" w:hAnsi="Arial"/>
                <w:sz w:val="11"/>
                <w:szCs w:val="11"/>
                <w:color w:val="auto"/>
              </w:rPr>
              <w:t>ECRETARY</w:t>
            </w:r>
          </w:p>
        </w:tc>
        <w:tc>
          <w:tcPr>
            <w:tcW w:w="35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7. A</w:t>
            </w:r>
            <w:r>
              <w:rPr>
                <w:rFonts w:ascii="Arial" w:cs="Arial" w:eastAsia="Arial" w:hAnsi="Arial"/>
                <w:sz w:val="11"/>
                <w:szCs w:val="11"/>
                <w:color w:val="auto"/>
              </w:rPr>
              <w:t>SSISTANT</w:t>
            </w:r>
            <w:r>
              <w:rPr>
                <w:rFonts w:ascii="Arial" w:cs="Arial" w:eastAsia="Arial" w:hAnsi="Arial"/>
                <w:sz w:val="14"/>
                <w:szCs w:val="14"/>
                <w:color w:val="auto"/>
              </w:rPr>
              <w:t xml:space="preserve"> S</w:t>
            </w:r>
            <w:r>
              <w:rPr>
                <w:rFonts w:ascii="Arial" w:cs="Arial" w:eastAsia="Arial" w:hAnsi="Arial"/>
                <w:sz w:val="11"/>
                <w:szCs w:val="11"/>
                <w:color w:val="auto"/>
              </w:rPr>
              <w:t>ECRETARIES</w:t>
            </w:r>
          </w:p>
        </w:tc>
        <w:tc>
          <w:tcPr>
            <w:tcW w:w="35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8. T</w:t>
            </w:r>
            <w:r>
              <w:rPr>
                <w:rFonts w:ascii="Arial" w:cs="Arial" w:eastAsia="Arial" w:hAnsi="Arial"/>
                <w:sz w:val="11"/>
                <w:szCs w:val="11"/>
                <w:color w:val="auto"/>
              </w:rPr>
              <w:t>REASURER</w:t>
            </w:r>
          </w:p>
        </w:tc>
        <w:tc>
          <w:tcPr>
            <w:tcW w:w="35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9. A</w:t>
            </w:r>
            <w:r>
              <w:rPr>
                <w:rFonts w:ascii="Arial" w:cs="Arial" w:eastAsia="Arial" w:hAnsi="Arial"/>
                <w:sz w:val="11"/>
                <w:szCs w:val="11"/>
                <w:color w:val="auto"/>
              </w:rPr>
              <w:t>SSISTANT</w:t>
            </w:r>
            <w:r>
              <w:rPr>
                <w:rFonts w:ascii="Arial" w:cs="Arial" w:eastAsia="Arial" w:hAnsi="Arial"/>
                <w:sz w:val="14"/>
                <w:szCs w:val="14"/>
                <w:color w:val="auto"/>
              </w:rPr>
              <w:t xml:space="preserve"> T</w:t>
            </w:r>
            <w:r>
              <w:rPr>
                <w:rFonts w:ascii="Arial" w:cs="Arial" w:eastAsia="Arial" w:hAnsi="Arial"/>
                <w:sz w:val="11"/>
                <w:szCs w:val="11"/>
                <w:color w:val="auto"/>
              </w:rPr>
              <w:t>REASURERS</w:t>
            </w:r>
          </w:p>
        </w:tc>
        <w:tc>
          <w:tcPr>
            <w:tcW w:w="35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73"/>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10. B</w:t>
            </w:r>
            <w:r>
              <w:rPr>
                <w:rFonts w:ascii="Arial" w:cs="Arial" w:eastAsia="Arial" w:hAnsi="Arial"/>
                <w:sz w:val="11"/>
                <w:szCs w:val="11"/>
                <w:color w:val="auto"/>
              </w:rPr>
              <w:t>OND</w:t>
            </w:r>
          </w:p>
        </w:tc>
        <w:tc>
          <w:tcPr>
            <w:tcW w:w="35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1"/>
        </w:trPr>
        <w:tc>
          <w:tcPr>
            <w:tcW w:w="7820" w:type="dxa"/>
            <w:vAlign w:val="bottom"/>
          </w:tcPr>
          <w:p>
            <w:pPr>
              <w:spacing w:after="0"/>
              <w:rPr>
                <w:sz w:val="20"/>
                <w:szCs w:val="20"/>
                <w:color w:val="auto"/>
              </w:rPr>
            </w:pPr>
            <w:r>
              <w:rPr>
                <w:rFonts w:ascii="Arial" w:cs="Arial" w:eastAsia="Arial" w:hAnsi="Arial"/>
                <w:sz w:val="14"/>
                <w:szCs w:val="14"/>
                <w:b w:val="1"/>
                <w:bCs w:val="1"/>
                <w:color w:val="auto"/>
              </w:rPr>
              <w:t>ARTICLE IV NOTICES</w:t>
            </w: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45"/>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D</w:t>
            </w:r>
            <w:r>
              <w:rPr>
                <w:rFonts w:ascii="Arial" w:cs="Arial" w:eastAsia="Arial" w:hAnsi="Arial"/>
                <w:sz w:val="11"/>
                <w:szCs w:val="11"/>
                <w:color w:val="auto"/>
              </w:rPr>
              <w:t>ELIVERY</w:t>
            </w:r>
          </w:p>
        </w:tc>
        <w:tc>
          <w:tcPr>
            <w:tcW w:w="35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73"/>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W</w:t>
            </w:r>
            <w:r>
              <w:rPr>
                <w:rFonts w:ascii="Arial" w:cs="Arial" w:eastAsia="Arial" w:hAnsi="Arial"/>
                <w:sz w:val="11"/>
                <w:szCs w:val="11"/>
                <w:color w:val="auto"/>
              </w:rPr>
              <w:t>AIVER OF</w:t>
            </w:r>
            <w:r>
              <w:rPr>
                <w:rFonts w:ascii="Arial" w:cs="Arial" w:eastAsia="Arial" w:hAnsi="Arial"/>
                <w:sz w:val="14"/>
                <w:szCs w:val="14"/>
                <w:color w:val="auto"/>
              </w:rPr>
              <w:t xml:space="preserve"> N</w:t>
            </w:r>
            <w:r>
              <w:rPr>
                <w:rFonts w:ascii="Arial" w:cs="Arial" w:eastAsia="Arial" w:hAnsi="Arial"/>
                <w:sz w:val="11"/>
                <w:szCs w:val="11"/>
                <w:color w:val="auto"/>
              </w:rPr>
              <w:t>OTICE</w:t>
            </w:r>
          </w:p>
        </w:tc>
        <w:tc>
          <w:tcPr>
            <w:tcW w:w="35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1"/>
        </w:trPr>
        <w:tc>
          <w:tcPr>
            <w:tcW w:w="7820" w:type="dxa"/>
            <w:vAlign w:val="bottom"/>
          </w:tcPr>
          <w:p>
            <w:pPr>
              <w:spacing w:after="0"/>
              <w:rPr>
                <w:sz w:val="20"/>
                <w:szCs w:val="20"/>
                <w:color w:val="auto"/>
              </w:rPr>
            </w:pPr>
            <w:r>
              <w:rPr>
                <w:rFonts w:ascii="Arial" w:cs="Arial" w:eastAsia="Arial" w:hAnsi="Arial"/>
                <w:sz w:val="14"/>
                <w:szCs w:val="14"/>
                <w:b w:val="1"/>
                <w:bCs w:val="1"/>
                <w:color w:val="auto"/>
              </w:rPr>
              <w:t>ARTICLE V INDEMNIFICATION</w:t>
            </w: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45"/>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A</w:t>
            </w:r>
            <w:r>
              <w:rPr>
                <w:rFonts w:ascii="Arial" w:cs="Arial" w:eastAsia="Arial" w:hAnsi="Arial"/>
                <w:sz w:val="11"/>
                <w:szCs w:val="11"/>
                <w:color w:val="auto"/>
              </w:rPr>
              <w:t>CTIONS OTHER THAN BY OR IN THE</w:t>
            </w:r>
            <w:r>
              <w:rPr>
                <w:rFonts w:ascii="Arial" w:cs="Arial" w:eastAsia="Arial" w:hAnsi="Arial"/>
                <w:sz w:val="14"/>
                <w:szCs w:val="14"/>
                <w:color w:val="auto"/>
              </w:rPr>
              <w:t xml:space="preserve"> R</w:t>
            </w:r>
            <w:r>
              <w:rPr>
                <w:rFonts w:ascii="Arial" w:cs="Arial" w:eastAsia="Arial" w:hAnsi="Arial"/>
                <w:sz w:val="11"/>
                <w:szCs w:val="11"/>
                <w:color w:val="auto"/>
              </w:rPr>
              <w:t>IGHT OF THE</w:t>
            </w:r>
            <w:r>
              <w:rPr>
                <w:rFonts w:ascii="Arial" w:cs="Arial" w:eastAsia="Arial" w:hAnsi="Arial"/>
                <w:sz w:val="14"/>
                <w:szCs w:val="14"/>
                <w:color w:val="auto"/>
              </w:rPr>
              <w:t xml:space="preserve"> C</w:t>
            </w:r>
            <w:r>
              <w:rPr>
                <w:rFonts w:ascii="Arial" w:cs="Arial" w:eastAsia="Arial" w:hAnsi="Arial"/>
                <w:sz w:val="11"/>
                <w:szCs w:val="11"/>
                <w:color w:val="auto"/>
              </w:rPr>
              <w:t>ORPORATION</w:t>
            </w:r>
          </w:p>
        </w:tc>
        <w:tc>
          <w:tcPr>
            <w:tcW w:w="35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A</w:t>
            </w:r>
            <w:r>
              <w:rPr>
                <w:rFonts w:ascii="Arial" w:cs="Arial" w:eastAsia="Arial" w:hAnsi="Arial"/>
                <w:sz w:val="11"/>
                <w:szCs w:val="11"/>
                <w:color w:val="auto"/>
              </w:rPr>
              <w:t>CTIONS BY OR IN THE</w:t>
            </w:r>
            <w:r>
              <w:rPr>
                <w:rFonts w:ascii="Arial" w:cs="Arial" w:eastAsia="Arial" w:hAnsi="Arial"/>
                <w:sz w:val="14"/>
                <w:szCs w:val="14"/>
                <w:color w:val="auto"/>
              </w:rPr>
              <w:t xml:space="preserve"> R</w:t>
            </w:r>
            <w:r>
              <w:rPr>
                <w:rFonts w:ascii="Arial" w:cs="Arial" w:eastAsia="Arial" w:hAnsi="Arial"/>
                <w:sz w:val="11"/>
                <w:szCs w:val="11"/>
                <w:color w:val="auto"/>
              </w:rPr>
              <w:t>IGHT OF THE</w:t>
            </w:r>
            <w:r>
              <w:rPr>
                <w:rFonts w:ascii="Arial" w:cs="Arial" w:eastAsia="Arial" w:hAnsi="Arial"/>
                <w:sz w:val="14"/>
                <w:szCs w:val="14"/>
                <w:color w:val="auto"/>
              </w:rPr>
              <w:t xml:space="preserve"> C</w:t>
            </w:r>
            <w:r>
              <w:rPr>
                <w:rFonts w:ascii="Arial" w:cs="Arial" w:eastAsia="Arial" w:hAnsi="Arial"/>
                <w:sz w:val="11"/>
                <w:szCs w:val="11"/>
                <w:color w:val="auto"/>
              </w:rPr>
              <w:t>ORPORATION</w:t>
            </w:r>
          </w:p>
        </w:tc>
        <w:tc>
          <w:tcPr>
            <w:tcW w:w="35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 S</w:t>
            </w:r>
            <w:r>
              <w:rPr>
                <w:rFonts w:ascii="Arial" w:cs="Arial" w:eastAsia="Arial" w:hAnsi="Arial"/>
                <w:sz w:val="11"/>
                <w:szCs w:val="11"/>
                <w:color w:val="auto"/>
              </w:rPr>
              <w:t>UCCESS ON THE</w:t>
            </w:r>
            <w:r>
              <w:rPr>
                <w:rFonts w:ascii="Arial" w:cs="Arial" w:eastAsia="Arial" w:hAnsi="Arial"/>
                <w:sz w:val="14"/>
                <w:szCs w:val="14"/>
                <w:color w:val="auto"/>
              </w:rPr>
              <w:t xml:space="preserve"> M</w:t>
            </w:r>
            <w:r>
              <w:rPr>
                <w:rFonts w:ascii="Arial" w:cs="Arial" w:eastAsia="Arial" w:hAnsi="Arial"/>
                <w:sz w:val="11"/>
                <w:szCs w:val="11"/>
                <w:color w:val="auto"/>
              </w:rPr>
              <w:t>ERITS</w:t>
            </w:r>
          </w:p>
        </w:tc>
        <w:tc>
          <w:tcPr>
            <w:tcW w:w="3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 S</w:t>
            </w:r>
            <w:r>
              <w:rPr>
                <w:rFonts w:ascii="Arial" w:cs="Arial" w:eastAsia="Arial" w:hAnsi="Arial"/>
                <w:sz w:val="11"/>
                <w:szCs w:val="11"/>
                <w:color w:val="auto"/>
              </w:rPr>
              <w:t>PECIFIC</w:t>
            </w:r>
            <w:r>
              <w:rPr>
                <w:rFonts w:ascii="Arial" w:cs="Arial" w:eastAsia="Arial" w:hAnsi="Arial"/>
                <w:sz w:val="14"/>
                <w:szCs w:val="14"/>
                <w:color w:val="auto"/>
              </w:rPr>
              <w:t xml:space="preserve"> A</w:t>
            </w:r>
            <w:r>
              <w:rPr>
                <w:rFonts w:ascii="Arial" w:cs="Arial" w:eastAsia="Arial" w:hAnsi="Arial"/>
                <w:sz w:val="11"/>
                <w:szCs w:val="11"/>
                <w:color w:val="auto"/>
              </w:rPr>
              <w:t>UTHORIZATION</w:t>
            </w:r>
          </w:p>
        </w:tc>
        <w:tc>
          <w:tcPr>
            <w:tcW w:w="3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 A</w:t>
            </w:r>
            <w:r>
              <w:rPr>
                <w:rFonts w:ascii="Arial" w:cs="Arial" w:eastAsia="Arial" w:hAnsi="Arial"/>
                <w:sz w:val="11"/>
                <w:szCs w:val="11"/>
                <w:color w:val="auto"/>
              </w:rPr>
              <w:t>DVANCE</w:t>
            </w:r>
            <w:r>
              <w:rPr>
                <w:rFonts w:ascii="Arial" w:cs="Arial" w:eastAsia="Arial" w:hAnsi="Arial"/>
                <w:sz w:val="14"/>
                <w:szCs w:val="14"/>
                <w:color w:val="auto"/>
              </w:rPr>
              <w:t xml:space="preserve"> P</w:t>
            </w:r>
            <w:r>
              <w:rPr>
                <w:rFonts w:ascii="Arial" w:cs="Arial" w:eastAsia="Arial" w:hAnsi="Arial"/>
                <w:sz w:val="11"/>
                <w:szCs w:val="11"/>
                <w:color w:val="auto"/>
              </w:rPr>
              <w:t>AYMENT</w:t>
            </w:r>
          </w:p>
        </w:tc>
        <w:tc>
          <w:tcPr>
            <w:tcW w:w="3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7"/>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6. N</w:t>
            </w:r>
            <w:r>
              <w:rPr>
                <w:rFonts w:ascii="Arial" w:cs="Arial" w:eastAsia="Arial" w:hAnsi="Arial"/>
                <w:sz w:val="11"/>
                <w:szCs w:val="11"/>
                <w:color w:val="auto"/>
              </w:rPr>
              <w:t>ON</w:t>
            </w:r>
            <w:r>
              <w:rPr>
                <w:rFonts w:ascii="Arial" w:cs="Arial" w:eastAsia="Arial" w:hAnsi="Arial"/>
                <w:sz w:val="14"/>
                <w:szCs w:val="14"/>
                <w:color w:val="auto"/>
              </w:rPr>
              <w:t>-E</w:t>
            </w:r>
            <w:r>
              <w:rPr>
                <w:rFonts w:ascii="Arial" w:cs="Arial" w:eastAsia="Arial" w:hAnsi="Arial"/>
                <w:sz w:val="11"/>
                <w:szCs w:val="11"/>
                <w:color w:val="auto"/>
              </w:rPr>
              <w:t>XCLUSIVITY</w:t>
            </w:r>
          </w:p>
        </w:tc>
        <w:tc>
          <w:tcPr>
            <w:tcW w:w="3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73"/>
        </w:trPr>
        <w:tc>
          <w:tcPr>
            <w:tcW w:w="78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7. I</w:t>
            </w:r>
            <w:r>
              <w:rPr>
                <w:rFonts w:ascii="Arial" w:cs="Arial" w:eastAsia="Arial" w:hAnsi="Arial"/>
                <w:sz w:val="11"/>
                <w:szCs w:val="11"/>
                <w:color w:val="auto"/>
              </w:rPr>
              <w:t>NSURANCE</w:t>
            </w:r>
          </w:p>
        </w:tc>
        <w:tc>
          <w:tcPr>
            <w:tcW w:w="3580" w:type="dxa"/>
            <w:vAlign w:val="bottom"/>
          </w:tcPr>
          <w:p>
            <w:pPr>
              <w:jc w:val="right"/>
              <w:spacing w:after="0"/>
              <w:rPr>
                <w:sz w:val="20"/>
                <w:szCs w:val="20"/>
                <w:color w:val="auto"/>
              </w:rPr>
            </w:pPr>
            <w:r>
              <w:rPr>
                <w:rFonts w:ascii="Arial" w:cs="Arial" w:eastAsia="Arial" w:hAnsi="Arial"/>
                <w:sz w:val="14"/>
                <w:szCs w:val="14"/>
                <w:color w:val="auto"/>
              </w:rPr>
              <w:t>11</w:t>
            </w:r>
          </w:p>
        </w:tc>
      </w:tr>
    </w:tbl>
    <w:p>
      <w:pPr>
        <w:jc w:val="right"/>
        <w:spacing w:after="0"/>
        <w:rPr>
          <w:sz w:val="20"/>
          <w:szCs w:val="20"/>
          <w:color w:val="auto"/>
        </w:rPr>
        <w:sectPr>
          <w:pgSz w:w="11900" w:h="16838" w:orient="portrait"/>
          <w:cols w:equalWidth="0" w:num="1">
            <w:col w:w="11400"/>
          </w:cols>
          <w:pgMar w:left="220" w:top="245" w:right="279" w:bottom="1440" w:gutter="0" w:footer="0" w:header="0"/>
        </w:sect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bookmarkStart w:id="238" w:name="page239"/>
    <w:bookmarkEnd w:id="238"/>
    <w:tbl>
      <w:tblPr>
        <w:tblLayout w:type="fixed"/>
        <w:tblInd w:w="0" w:type="dxa"/>
        <w:tblCellMar>
          <w:top w:w="0" w:type="dxa"/>
          <w:left w:w="0" w:type="dxa"/>
          <w:bottom w:w="0" w:type="dxa"/>
          <w:right w:w="0" w:type="dxa"/>
        </w:tblCellMar>
      </w:tblP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8. C</w:t>
            </w:r>
            <w:r>
              <w:rPr>
                <w:rFonts w:ascii="Arial" w:cs="Arial" w:eastAsia="Arial" w:hAnsi="Arial"/>
                <w:sz w:val="11"/>
                <w:szCs w:val="11"/>
                <w:color w:val="auto"/>
              </w:rPr>
              <w:t>ONTINUATION OF</w:t>
            </w:r>
            <w:r>
              <w:rPr>
                <w:rFonts w:ascii="Arial" w:cs="Arial" w:eastAsia="Arial" w:hAnsi="Arial"/>
                <w:sz w:val="14"/>
                <w:szCs w:val="14"/>
                <w:color w:val="auto"/>
              </w:rPr>
              <w:t xml:space="preserve"> I</w:t>
            </w:r>
            <w:r>
              <w:rPr>
                <w:rFonts w:ascii="Arial" w:cs="Arial" w:eastAsia="Arial" w:hAnsi="Arial"/>
                <w:sz w:val="11"/>
                <w:szCs w:val="11"/>
                <w:color w:val="auto"/>
              </w:rPr>
              <w:t>NDEMNIFICATION AND</w:t>
            </w:r>
            <w:r>
              <w:rPr>
                <w:rFonts w:ascii="Arial" w:cs="Arial" w:eastAsia="Arial" w:hAnsi="Arial"/>
                <w:sz w:val="14"/>
                <w:szCs w:val="14"/>
                <w:color w:val="auto"/>
              </w:rPr>
              <w:t xml:space="preserve"> A</w:t>
            </w:r>
            <w:r>
              <w:rPr>
                <w:rFonts w:ascii="Arial" w:cs="Arial" w:eastAsia="Arial" w:hAnsi="Arial"/>
                <w:sz w:val="11"/>
                <w:szCs w:val="11"/>
                <w:color w:val="auto"/>
              </w:rPr>
              <w:t>DVANCEMENT OF</w:t>
            </w:r>
            <w:r>
              <w:rPr>
                <w:rFonts w:ascii="Arial" w:cs="Arial" w:eastAsia="Arial" w:hAnsi="Arial"/>
                <w:sz w:val="14"/>
                <w:szCs w:val="14"/>
                <w:color w:val="auto"/>
              </w:rPr>
              <w:t xml:space="preserve"> E</w:t>
            </w:r>
            <w:r>
              <w:rPr>
                <w:rFonts w:ascii="Arial" w:cs="Arial" w:eastAsia="Arial" w:hAnsi="Arial"/>
                <w:sz w:val="11"/>
                <w:szCs w:val="11"/>
                <w:color w:val="auto"/>
              </w:rPr>
              <w:t>XPENSES</w:t>
            </w:r>
          </w:p>
        </w:tc>
        <w:tc>
          <w:tcPr>
            <w:tcW w:w="34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9. S</w:t>
            </w:r>
            <w:r>
              <w:rPr>
                <w:rFonts w:ascii="Arial" w:cs="Arial" w:eastAsia="Arial" w:hAnsi="Arial"/>
                <w:sz w:val="11"/>
                <w:szCs w:val="11"/>
                <w:color w:val="auto"/>
              </w:rPr>
              <w:t>EVERABILITY</w:t>
            </w:r>
          </w:p>
        </w:tc>
        <w:tc>
          <w:tcPr>
            <w:tcW w:w="34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73"/>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10. I</w:t>
            </w:r>
            <w:r>
              <w:rPr>
                <w:rFonts w:ascii="Arial" w:cs="Arial" w:eastAsia="Arial" w:hAnsi="Arial"/>
                <w:sz w:val="11"/>
                <w:szCs w:val="11"/>
                <w:color w:val="auto"/>
              </w:rPr>
              <w:t>NTENT OF</w:t>
            </w:r>
            <w:r>
              <w:rPr>
                <w:rFonts w:ascii="Arial" w:cs="Arial" w:eastAsia="Arial" w:hAnsi="Arial"/>
                <w:sz w:val="14"/>
                <w:szCs w:val="14"/>
                <w:color w:val="auto"/>
              </w:rPr>
              <w:t xml:space="preserve"> A</w:t>
            </w:r>
            <w:r>
              <w:rPr>
                <w:rFonts w:ascii="Arial" w:cs="Arial" w:eastAsia="Arial" w:hAnsi="Arial"/>
                <w:sz w:val="11"/>
                <w:szCs w:val="11"/>
                <w:color w:val="auto"/>
              </w:rPr>
              <w:t>RTICLE</w:t>
            </w:r>
          </w:p>
        </w:tc>
        <w:tc>
          <w:tcPr>
            <w:tcW w:w="34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ARTICLE VI CAPITAL STOCK</w:t>
            </w:r>
          </w:p>
        </w:tc>
        <w:tc>
          <w:tcPr>
            <w:tcW w:w="340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45"/>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C</w:t>
            </w:r>
            <w:r>
              <w:rPr>
                <w:rFonts w:ascii="Arial" w:cs="Arial" w:eastAsia="Arial" w:hAnsi="Arial"/>
                <w:sz w:val="11"/>
                <w:szCs w:val="11"/>
                <w:color w:val="auto"/>
              </w:rPr>
              <w:t>ERTIFICATES OF</w:t>
            </w:r>
            <w:r>
              <w:rPr>
                <w:rFonts w:ascii="Arial" w:cs="Arial" w:eastAsia="Arial" w:hAnsi="Arial"/>
                <w:sz w:val="14"/>
                <w:szCs w:val="14"/>
                <w:color w:val="auto"/>
              </w:rPr>
              <w:t xml:space="preserve"> S</w:t>
            </w:r>
            <w:r>
              <w:rPr>
                <w:rFonts w:ascii="Arial" w:cs="Arial" w:eastAsia="Arial" w:hAnsi="Arial"/>
                <w:sz w:val="11"/>
                <w:szCs w:val="11"/>
                <w:color w:val="auto"/>
              </w:rPr>
              <w:t>TOCK</w:t>
            </w:r>
          </w:p>
        </w:tc>
        <w:tc>
          <w:tcPr>
            <w:tcW w:w="34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L</w:t>
            </w:r>
            <w:r>
              <w:rPr>
                <w:rFonts w:ascii="Arial" w:cs="Arial" w:eastAsia="Arial" w:hAnsi="Arial"/>
                <w:sz w:val="11"/>
                <w:szCs w:val="11"/>
                <w:color w:val="auto"/>
              </w:rPr>
              <w:t>OST</w:t>
            </w:r>
            <w:r>
              <w:rPr>
                <w:rFonts w:ascii="Arial" w:cs="Arial" w:eastAsia="Arial" w:hAnsi="Arial"/>
                <w:sz w:val="14"/>
                <w:szCs w:val="14"/>
                <w:color w:val="auto"/>
              </w:rPr>
              <w:t xml:space="preserve"> C</w:t>
            </w:r>
            <w:r>
              <w:rPr>
                <w:rFonts w:ascii="Arial" w:cs="Arial" w:eastAsia="Arial" w:hAnsi="Arial"/>
                <w:sz w:val="11"/>
                <w:szCs w:val="11"/>
                <w:color w:val="auto"/>
              </w:rPr>
              <w:t>ERTIFICATES</w:t>
            </w:r>
          </w:p>
        </w:tc>
        <w:tc>
          <w:tcPr>
            <w:tcW w:w="34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 T</w:t>
            </w:r>
            <w:r>
              <w:rPr>
                <w:rFonts w:ascii="Arial" w:cs="Arial" w:eastAsia="Arial" w:hAnsi="Arial"/>
                <w:sz w:val="11"/>
                <w:szCs w:val="11"/>
                <w:color w:val="auto"/>
              </w:rPr>
              <w:t>RANSFER OF</w:t>
            </w:r>
            <w:r>
              <w:rPr>
                <w:rFonts w:ascii="Arial" w:cs="Arial" w:eastAsia="Arial" w:hAnsi="Arial"/>
                <w:sz w:val="14"/>
                <w:szCs w:val="14"/>
                <w:color w:val="auto"/>
              </w:rPr>
              <w:t xml:space="preserve"> S</w:t>
            </w:r>
            <w:r>
              <w:rPr>
                <w:rFonts w:ascii="Arial" w:cs="Arial" w:eastAsia="Arial" w:hAnsi="Arial"/>
                <w:sz w:val="11"/>
                <w:szCs w:val="11"/>
                <w:color w:val="auto"/>
              </w:rPr>
              <w:t>TOCK</w:t>
            </w:r>
          </w:p>
        </w:tc>
        <w:tc>
          <w:tcPr>
            <w:tcW w:w="34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 R</w:t>
            </w:r>
            <w:r>
              <w:rPr>
                <w:rFonts w:ascii="Arial" w:cs="Arial" w:eastAsia="Arial" w:hAnsi="Arial"/>
                <w:sz w:val="11"/>
                <w:szCs w:val="11"/>
                <w:color w:val="auto"/>
              </w:rPr>
              <w:t>ECORD</w:t>
            </w:r>
            <w:r>
              <w:rPr>
                <w:rFonts w:ascii="Arial" w:cs="Arial" w:eastAsia="Arial" w:hAnsi="Arial"/>
                <w:sz w:val="14"/>
                <w:szCs w:val="14"/>
                <w:color w:val="auto"/>
              </w:rPr>
              <w:t xml:space="preserve"> D</w:t>
            </w:r>
            <w:r>
              <w:rPr>
                <w:rFonts w:ascii="Arial" w:cs="Arial" w:eastAsia="Arial" w:hAnsi="Arial"/>
                <w:sz w:val="11"/>
                <w:szCs w:val="11"/>
                <w:color w:val="auto"/>
              </w:rPr>
              <w:t>ATE</w:t>
            </w:r>
          </w:p>
        </w:tc>
        <w:tc>
          <w:tcPr>
            <w:tcW w:w="34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73"/>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 R</w:t>
            </w:r>
            <w:r>
              <w:rPr>
                <w:rFonts w:ascii="Arial" w:cs="Arial" w:eastAsia="Arial" w:hAnsi="Arial"/>
                <w:sz w:val="11"/>
                <w:szCs w:val="11"/>
                <w:color w:val="auto"/>
              </w:rPr>
              <w:t>EGISTERED</w:t>
            </w:r>
            <w:r>
              <w:rPr>
                <w:rFonts w:ascii="Arial" w:cs="Arial" w:eastAsia="Arial" w:hAnsi="Arial"/>
                <w:sz w:val="14"/>
                <w:szCs w:val="14"/>
                <w:color w:val="auto"/>
              </w:rPr>
              <w:t xml:space="preserve"> S</w:t>
            </w:r>
            <w:r>
              <w:rPr>
                <w:rFonts w:ascii="Arial" w:cs="Arial" w:eastAsia="Arial" w:hAnsi="Arial"/>
                <w:sz w:val="11"/>
                <w:szCs w:val="11"/>
                <w:color w:val="auto"/>
              </w:rPr>
              <w:t>TOCKHOLDERS</w:t>
            </w:r>
          </w:p>
        </w:tc>
        <w:tc>
          <w:tcPr>
            <w:tcW w:w="34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ARTICLE VII CERTAIN TRANSACTIONS</w:t>
            </w:r>
          </w:p>
        </w:tc>
        <w:tc>
          <w:tcPr>
            <w:tcW w:w="3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45"/>
        </w:trPr>
        <w:tc>
          <w:tcPr>
            <w:tcW w:w="640" w:type="dxa"/>
            <w:vAlign w:val="bottom"/>
          </w:tcPr>
          <w:p>
            <w:pPr>
              <w:spacing w:after="0"/>
              <w:rPr>
                <w:sz w:val="20"/>
                <w:szCs w:val="20"/>
                <w:color w:val="auto"/>
              </w:rPr>
            </w:pPr>
            <w:r>
              <w:rPr>
                <w:rFonts w:ascii="Arial" w:cs="Arial" w:eastAsia="Arial" w:hAnsi="Arial"/>
                <w:sz w:val="14"/>
                <w:szCs w:val="14"/>
                <w:color w:val="auto"/>
                <w:w w:val="93"/>
              </w:rPr>
              <w:t>S</w:t>
            </w:r>
            <w:r>
              <w:rPr>
                <w:rFonts w:ascii="Arial" w:cs="Arial" w:eastAsia="Arial" w:hAnsi="Arial"/>
                <w:sz w:val="11"/>
                <w:szCs w:val="11"/>
                <w:color w:val="auto"/>
                <w:w w:val="93"/>
              </w:rPr>
              <w:t>ECTION</w:t>
            </w:r>
            <w:r>
              <w:rPr>
                <w:rFonts w:ascii="Arial" w:cs="Arial" w:eastAsia="Arial" w:hAnsi="Arial"/>
                <w:sz w:val="14"/>
                <w:szCs w:val="14"/>
                <w:color w:val="auto"/>
                <w:w w:val="93"/>
              </w:rPr>
              <w:t xml:space="preserve"> 1.</w:t>
            </w:r>
          </w:p>
        </w:tc>
        <w:tc>
          <w:tcPr>
            <w:tcW w:w="7360" w:type="dxa"/>
            <w:vAlign w:val="bottom"/>
          </w:tcPr>
          <w:p>
            <w:pPr>
              <w:ind w:left="2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RANSACTIONS WITH</w:t>
            </w:r>
            <w:r>
              <w:rPr>
                <w:rFonts w:ascii="Arial" w:cs="Arial" w:eastAsia="Arial" w:hAnsi="Arial"/>
                <w:sz w:val="14"/>
                <w:szCs w:val="14"/>
                <w:color w:val="auto"/>
              </w:rPr>
              <w:t xml:space="preserve"> I</w:t>
            </w:r>
            <w:r>
              <w:rPr>
                <w:rFonts w:ascii="Arial" w:cs="Arial" w:eastAsia="Arial" w:hAnsi="Arial"/>
                <w:sz w:val="11"/>
                <w:szCs w:val="11"/>
                <w:color w:val="auto"/>
              </w:rPr>
              <w:t>NTERESTED</w:t>
            </w:r>
            <w:r>
              <w:rPr>
                <w:rFonts w:ascii="Arial" w:cs="Arial" w:eastAsia="Arial" w:hAnsi="Arial"/>
                <w:sz w:val="14"/>
                <w:szCs w:val="14"/>
                <w:color w:val="auto"/>
              </w:rPr>
              <w:t xml:space="preserve"> P</w:t>
            </w:r>
            <w:r>
              <w:rPr>
                <w:rFonts w:ascii="Arial" w:cs="Arial" w:eastAsia="Arial" w:hAnsi="Arial"/>
                <w:sz w:val="11"/>
                <w:szCs w:val="11"/>
                <w:color w:val="auto"/>
              </w:rPr>
              <w:t>ARTIES</w:t>
            </w:r>
          </w:p>
        </w:tc>
        <w:tc>
          <w:tcPr>
            <w:tcW w:w="34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73"/>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 Q</w:t>
            </w:r>
            <w:r>
              <w:rPr>
                <w:rFonts w:ascii="Arial" w:cs="Arial" w:eastAsia="Arial" w:hAnsi="Arial"/>
                <w:sz w:val="11"/>
                <w:szCs w:val="11"/>
                <w:color w:val="auto"/>
              </w:rPr>
              <w:t>UORUM</w:t>
            </w:r>
          </w:p>
        </w:tc>
        <w:tc>
          <w:tcPr>
            <w:tcW w:w="34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ARTICLE VIII GENERAL PROVISIONS</w:t>
            </w:r>
          </w:p>
        </w:tc>
        <w:tc>
          <w:tcPr>
            <w:tcW w:w="3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45"/>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 D</w:t>
            </w:r>
            <w:r>
              <w:rPr>
                <w:rFonts w:ascii="Arial" w:cs="Arial" w:eastAsia="Arial" w:hAnsi="Arial"/>
                <w:sz w:val="11"/>
                <w:szCs w:val="11"/>
                <w:color w:val="auto"/>
              </w:rPr>
              <w:t>IVIDENDS</w:t>
            </w:r>
          </w:p>
        </w:tc>
        <w:tc>
          <w:tcPr>
            <w:tcW w:w="34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640" w:type="dxa"/>
            <w:vAlign w:val="bottom"/>
          </w:tcPr>
          <w:p>
            <w:pPr>
              <w:spacing w:after="0"/>
              <w:rPr>
                <w:sz w:val="20"/>
                <w:szCs w:val="20"/>
                <w:color w:val="auto"/>
              </w:rPr>
            </w:pPr>
            <w:r>
              <w:rPr>
                <w:rFonts w:ascii="Arial" w:cs="Arial" w:eastAsia="Arial" w:hAnsi="Arial"/>
                <w:sz w:val="14"/>
                <w:szCs w:val="14"/>
                <w:color w:val="auto"/>
                <w:w w:val="93"/>
              </w:rPr>
              <w:t>S</w:t>
            </w:r>
            <w:r>
              <w:rPr>
                <w:rFonts w:ascii="Arial" w:cs="Arial" w:eastAsia="Arial" w:hAnsi="Arial"/>
                <w:sz w:val="11"/>
                <w:szCs w:val="11"/>
                <w:color w:val="auto"/>
                <w:w w:val="93"/>
              </w:rPr>
              <w:t>ECTION</w:t>
            </w:r>
            <w:r>
              <w:rPr>
                <w:rFonts w:ascii="Arial" w:cs="Arial" w:eastAsia="Arial" w:hAnsi="Arial"/>
                <w:sz w:val="14"/>
                <w:szCs w:val="14"/>
                <w:color w:val="auto"/>
                <w:w w:val="93"/>
              </w:rPr>
              <w:t xml:space="preserve"> 2.</w:t>
            </w:r>
          </w:p>
        </w:tc>
        <w:tc>
          <w:tcPr>
            <w:tcW w:w="7360" w:type="dxa"/>
            <w:vAlign w:val="bottom"/>
          </w:tcPr>
          <w:p>
            <w:pPr>
              <w:ind w:left="20"/>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ESERVES</w:t>
            </w:r>
          </w:p>
        </w:tc>
        <w:tc>
          <w:tcPr>
            <w:tcW w:w="34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640" w:type="dxa"/>
            <w:vAlign w:val="bottom"/>
          </w:tcPr>
          <w:p>
            <w:pPr>
              <w:spacing w:after="0"/>
              <w:rPr>
                <w:sz w:val="20"/>
                <w:szCs w:val="20"/>
                <w:color w:val="auto"/>
              </w:rPr>
            </w:pPr>
            <w:r>
              <w:rPr>
                <w:rFonts w:ascii="Arial" w:cs="Arial" w:eastAsia="Arial" w:hAnsi="Arial"/>
                <w:sz w:val="14"/>
                <w:szCs w:val="14"/>
                <w:color w:val="auto"/>
                <w:w w:val="93"/>
              </w:rPr>
              <w:t>S</w:t>
            </w:r>
            <w:r>
              <w:rPr>
                <w:rFonts w:ascii="Arial" w:cs="Arial" w:eastAsia="Arial" w:hAnsi="Arial"/>
                <w:sz w:val="11"/>
                <w:szCs w:val="11"/>
                <w:color w:val="auto"/>
                <w:w w:val="93"/>
              </w:rPr>
              <w:t>ECTION</w:t>
            </w:r>
            <w:r>
              <w:rPr>
                <w:rFonts w:ascii="Arial" w:cs="Arial" w:eastAsia="Arial" w:hAnsi="Arial"/>
                <w:sz w:val="14"/>
                <w:szCs w:val="14"/>
                <w:color w:val="auto"/>
                <w:w w:val="93"/>
              </w:rPr>
              <w:t xml:space="preserve"> 3.</w:t>
            </w:r>
          </w:p>
        </w:tc>
        <w:tc>
          <w:tcPr>
            <w:tcW w:w="7360" w:type="dxa"/>
            <w:vAlign w:val="bottom"/>
          </w:tcPr>
          <w:p>
            <w:pPr>
              <w:ind w:left="2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HECKS</w:t>
            </w:r>
          </w:p>
        </w:tc>
        <w:tc>
          <w:tcPr>
            <w:tcW w:w="3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8000" w:type="dxa"/>
            <w:vAlign w:val="bottom"/>
            <w:gridSpan w:val="2"/>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 F</w:t>
            </w:r>
            <w:r>
              <w:rPr>
                <w:rFonts w:ascii="Arial" w:cs="Arial" w:eastAsia="Arial" w:hAnsi="Arial"/>
                <w:sz w:val="11"/>
                <w:szCs w:val="11"/>
                <w:color w:val="auto"/>
              </w:rPr>
              <w:t>ISCAL</w:t>
            </w:r>
            <w:r>
              <w:rPr>
                <w:rFonts w:ascii="Arial" w:cs="Arial" w:eastAsia="Arial" w:hAnsi="Arial"/>
                <w:sz w:val="14"/>
                <w:szCs w:val="14"/>
                <w:color w:val="auto"/>
              </w:rPr>
              <w:t xml:space="preserve"> Y</w:t>
            </w:r>
            <w:r>
              <w:rPr>
                <w:rFonts w:ascii="Arial" w:cs="Arial" w:eastAsia="Arial" w:hAnsi="Arial"/>
                <w:sz w:val="11"/>
                <w:szCs w:val="11"/>
                <w:color w:val="auto"/>
              </w:rPr>
              <w:t>EAR</w:t>
            </w:r>
          </w:p>
        </w:tc>
        <w:tc>
          <w:tcPr>
            <w:tcW w:w="3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3"/>
        </w:trPr>
        <w:tc>
          <w:tcPr>
            <w:tcW w:w="640" w:type="dxa"/>
            <w:vAlign w:val="bottom"/>
          </w:tcPr>
          <w:p>
            <w:pPr>
              <w:spacing w:after="0"/>
              <w:rPr>
                <w:sz w:val="20"/>
                <w:szCs w:val="20"/>
                <w:color w:val="auto"/>
              </w:rPr>
            </w:pPr>
            <w:r>
              <w:rPr>
                <w:rFonts w:ascii="Arial" w:cs="Arial" w:eastAsia="Arial" w:hAnsi="Arial"/>
                <w:sz w:val="14"/>
                <w:szCs w:val="14"/>
                <w:color w:val="auto"/>
                <w:w w:val="93"/>
              </w:rPr>
              <w:t>S</w:t>
            </w:r>
            <w:r>
              <w:rPr>
                <w:rFonts w:ascii="Arial" w:cs="Arial" w:eastAsia="Arial" w:hAnsi="Arial"/>
                <w:sz w:val="11"/>
                <w:szCs w:val="11"/>
                <w:color w:val="auto"/>
                <w:w w:val="93"/>
              </w:rPr>
              <w:t>ECTION</w:t>
            </w:r>
            <w:r>
              <w:rPr>
                <w:rFonts w:ascii="Arial" w:cs="Arial" w:eastAsia="Arial" w:hAnsi="Arial"/>
                <w:sz w:val="14"/>
                <w:szCs w:val="14"/>
                <w:color w:val="auto"/>
                <w:w w:val="93"/>
              </w:rPr>
              <w:t xml:space="preserve"> 5.</w:t>
            </w:r>
          </w:p>
        </w:tc>
        <w:tc>
          <w:tcPr>
            <w:tcW w:w="7360" w:type="dxa"/>
            <w:vAlign w:val="bottom"/>
          </w:tcPr>
          <w:p>
            <w:pPr>
              <w:ind w:left="2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EAL</w:t>
            </w:r>
          </w:p>
        </w:tc>
        <w:tc>
          <w:tcPr>
            <w:tcW w:w="3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ARTICLE IX AMENDMENTS</w:t>
            </w:r>
          </w:p>
        </w:tc>
        <w:tc>
          <w:tcPr>
            <w:tcW w:w="340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Addendum</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Register of Amendments to the By-Laws</w:t>
      </w:r>
    </w:p>
    <w:p>
      <w:pPr>
        <w:sectPr>
          <w:pgSz w:w="11900" w:h="16838" w:orient="portrait"/>
          <w:cols w:equalWidth="0" w:num="1">
            <w:col w:w="11400"/>
          </w:cols>
          <w:pgMar w:left="220" w:top="247" w:right="279" w:bottom="1440" w:gutter="0" w:footer="0" w:header="0"/>
        </w:sectPr>
      </w:pPr>
    </w:p>
    <w:bookmarkStart w:id="239" w:name="page240"/>
    <w:bookmarkEnd w:id="239"/>
    <w:p>
      <w:pPr>
        <w:jc w:val="center"/>
        <w:ind w:right="-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 * * *</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BY-LAWS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OF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MACROGENICS, INC.</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 * * *</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ARTICLE I</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MEETINGS OF STOCKHOLDERS</w:t>
      </w:r>
    </w:p>
    <w:p>
      <w:pPr>
        <w:spacing w:after="0" w:line="132" w:lineRule="exact"/>
        <w:rPr>
          <w:sz w:val="20"/>
          <w:szCs w:val="20"/>
          <w:color w:val="auto"/>
        </w:rPr>
      </w:pPr>
    </w:p>
    <w:p>
      <w:pPr>
        <w:ind w:firstLine="917"/>
        <w:spacing w:after="0" w:line="298"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Place of Meetings</w:t>
      </w:r>
      <w:r>
        <w:rPr>
          <w:rFonts w:ascii="Arial" w:cs="Arial" w:eastAsia="Arial" w:hAnsi="Arial"/>
          <w:sz w:val="12"/>
          <w:szCs w:val="12"/>
          <w:color w:val="auto"/>
        </w:rPr>
        <w:t>. All meetings of the stockholders may be held at such place within or without the State of Delaware as may be fixed from time to time by the Board of Directors or the Chief Executive Officer, or if not so designated, at the registered office of the Corporation. Notwithstanding the foregoing, the Board of Directors may, in its sole discretion, determine that the meeting shall not be held at any place, but may instead be held solely by means of remote communication as authorized by Section 211(a)(2) of the General Corporation Law of Delaware. If so authorized, and subject to such guidelines and procedures as the Board of Directors may adopt, stockholders and proxyholders not physically present at a meeting of stockholders may, by means of remote communication, participate in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88" w:lineRule="exact"/>
        <w:rPr>
          <w:sz w:val="20"/>
          <w:szCs w:val="20"/>
          <w:color w:val="auto"/>
        </w:rPr>
      </w:pPr>
    </w:p>
    <w:p>
      <w:pPr>
        <w:jc w:val="both"/>
        <w:ind w:right="60" w:firstLine="917"/>
        <w:spacing w:after="0" w:line="311"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Annual Meeting</w:t>
      </w:r>
      <w:r>
        <w:rPr>
          <w:rFonts w:ascii="Arial" w:cs="Arial" w:eastAsia="Arial" w:hAnsi="Arial"/>
          <w:sz w:val="12"/>
          <w:szCs w:val="12"/>
          <w:color w:val="auto"/>
        </w:rPr>
        <w:t>. Unless directors are elected by written consent in lieu of an annual meeting as permitted by law and these By-Laws, an annual meeting of stockholders may be held at such date and time, and by such means of remote communication, if any, as shall be designated from time to time by the Board of Directors or the Chief Executive Officer, at which meeting the stockholders shall elect by a plurality vote a board of directors and shall transact such other business as may be properly brought before the meeting. If no annual meeting is held in accordance with the foregoing provisions, the Board of Directors shall cause the meeting to be held as soon thereafter as convenient, which meeting shall be designated a special meeting in lieu of annual meeting.</w:t>
      </w:r>
    </w:p>
    <w:p>
      <w:pPr>
        <w:sectPr>
          <w:pgSz w:w="11900" w:h="16838" w:orient="portrait"/>
          <w:cols w:equalWidth="0" w:num="1">
            <w:col w:w="11420"/>
          </w:cols>
          <w:pgMar w:left="220" w:top="247" w:right="259" w:bottom="1440" w:gutter="0" w:footer="0" w:header="0"/>
        </w:sectPr>
      </w:pPr>
    </w:p>
    <w:bookmarkStart w:id="240" w:name="page241"/>
    <w:bookmarkEnd w:id="240"/>
    <w:p>
      <w:pPr>
        <w:ind w:right="20" w:firstLine="917"/>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Section 3. </w:t>
      </w:r>
      <w:r>
        <w:rPr>
          <w:rFonts w:ascii="Arial" w:cs="Arial" w:eastAsia="Arial" w:hAnsi="Arial"/>
          <w:sz w:val="12"/>
          <w:szCs w:val="12"/>
          <w:u w:val="single" w:color="auto"/>
          <w:color w:val="auto"/>
        </w:rPr>
        <w:t>Special Meetings</w:t>
      </w:r>
      <w:r>
        <w:rPr>
          <w:rFonts w:ascii="Arial" w:cs="Arial" w:eastAsia="Arial" w:hAnsi="Arial"/>
          <w:sz w:val="12"/>
          <w:szCs w:val="12"/>
          <w:color w:val="auto"/>
        </w:rPr>
        <w:t>. Special meetings of the stockholders, for any purpose or purposes, may, unless otherwise prescribed by statute or by the certificate of incorporation, be called by the Board of Directors or the Chief Executive Officer and shall be called by the Chief Executive Officer or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 Business transacted at any special meeting shall be limited to matters relating to the purpose or purposes stated in the notice of meeting.</w:t>
      </w:r>
    </w:p>
    <w:p>
      <w:pPr>
        <w:spacing w:after="0" w:line="79" w:lineRule="exact"/>
        <w:rPr>
          <w:sz w:val="20"/>
          <w:szCs w:val="20"/>
          <w:color w:val="auto"/>
        </w:rPr>
      </w:pPr>
    </w:p>
    <w:p>
      <w:pPr>
        <w:ind w:right="80" w:firstLine="917"/>
        <w:spacing w:after="0" w:line="321"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Notice of Meetings</w:t>
      </w:r>
      <w:r>
        <w:rPr>
          <w:rFonts w:ascii="Arial" w:cs="Arial" w:eastAsia="Arial" w:hAnsi="Arial"/>
          <w:sz w:val="12"/>
          <w:szCs w:val="12"/>
          <w:color w:val="auto"/>
        </w:rPr>
        <w:t>. Except as otherwise provided by law, written notice of each meeting of stockholders, annual or special, stating the place, date and hour of the meeting, the means of remote communications, if any, by which stockholders and proxyholders may be deemed to be present in person and vote at such meeting and, in the case of a special meeting, the purpose or purposes for which the meeting is called, shall be given not less than ten (10) nor more than sixty (60) days before the date of the meeting, to each stockholder entitled to vote at such meeting.</w:t>
      </w:r>
    </w:p>
    <w:p>
      <w:pPr>
        <w:spacing w:after="0" w:line="73" w:lineRule="exact"/>
        <w:rPr>
          <w:sz w:val="20"/>
          <w:szCs w:val="20"/>
          <w:color w:val="auto"/>
        </w:rPr>
      </w:pPr>
    </w:p>
    <w:p>
      <w:pPr>
        <w:ind w:firstLine="917"/>
        <w:spacing w:after="0" w:line="299"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Voting List</w:t>
      </w:r>
      <w:r>
        <w:rPr>
          <w:rFonts w:ascii="Arial" w:cs="Arial" w:eastAsia="Arial" w:hAnsi="Arial"/>
          <w:sz w:val="12"/>
          <w:szCs w:val="12"/>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(i) on a reasonably accessible electronic network, provided that the information required to gain access to such list is provided with the notice of the meeting, or (ii)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87" w:lineRule="exact"/>
        <w:rPr>
          <w:sz w:val="20"/>
          <w:szCs w:val="20"/>
          <w:color w:val="auto"/>
        </w:rPr>
      </w:pPr>
    </w:p>
    <w:p>
      <w:pPr>
        <w:ind w:right="40" w:firstLine="917"/>
        <w:spacing w:after="0" w:line="253"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Quorum</w:t>
      </w:r>
      <w:r>
        <w:rPr>
          <w:rFonts w:ascii="Arial" w:cs="Arial" w:eastAsia="Arial" w:hAnsi="Arial"/>
          <w:sz w:val="14"/>
          <w:szCs w:val="14"/>
          <w:color w:val="auto"/>
        </w:rPr>
        <w:t>. The holders of a majority of the stock issued and outstanding and entitled to vote thereat, present in person or by remote communication, or represented by proxy, shall constitute a quorum at all meetings of the stockholders for the transaction of business, except as otherwise provided by statute, the certificate of incorporation or these By- Laws. Where a separate vote by a class or classes is required, one-third of the outstanding shares of such class or classes, present in person or by remote communication, or represented by proxy, shall constitute a quorum entitled to take action with respect to that vote on that matter. If no quorum shall be present or represented at any meeting of stockholders, such meeting may be adjourned in accordance with Section 7 hereof, until a quorum shall be present or represented.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460"/>
          </w:cols>
          <w:pgMar w:left="220" w:top="247" w:right="219" w:bottom="1440" w:gutter="0" w:footer="0" w:header="0"/>
        </w:sectPr>
      </w:pPr>
    </w:p>
    <w:bookmarkStart w:id="241" w:name="page242"/>
    <w:bookmarkEnd w:id="241"/>
    <w:p>
      <w:pPr>
        <w:ind w:right="20" w:firstLine="917"/>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Section 7. </w:t>
      </w:r>
      <w:r>
        <w:rPr>
          <w:rFonts w:ascii="Arial" w:cs="Arial" w:eastAsia="Arial" w:hAnsi="Arial"/>
          <w:sz w:val="12"/>
          <w:szCs w:val="12"/>
          <w:u w:val="single" w:color="auto"/>
          <w:color w:val="auto"/>
        </w:rPr>
        <w:t>Adjournments</w:t>
      </w:r>
      <w:r>
        <w:rPr>
          <w:rFonts w:ascii="Arial" w:cs="Arial" w:eastAsia="Arial" w:hAnsi="Arial"/>
          <w:sz w:val="12"/>
          <w:szCs w:val="12"/>
          <w:color w:val="auto"/>
        </w:rPr>
        <w:t>. Any meeting of stockholders may be adjourned from time to time to any other time and to any other place at which a meeting of stockholders may be held under these By-Laws, which time and place shall be announced at the meeting, by a majority of the stockholders present in person or by remote communication, or represented by proxy at the meeting and entitled to vote (whether or not a quorum is present), or, if no stockholder is present or represented by proxy, by any officer entitled to preside at or to act as Secretary of such meeting, without notice other than announcement at the meeting. At such adjourned meeting, any business may be transacted which might have been transacted at the original meeting, provided that a quorum either was present at the original meeting or is present at the adjourned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86" w:lineRule="exact"/>
        <w:rPr>
          <w:sz w:val="20"/>
          <w:szCs w:val="20"/>
          <w:color w:val="auto"/>
        </w:rPr>
      </w:pPr>
    </w:p>
    <w:p>
      <w:pPr>
        <w:ind w:right="60" w:firstLine="917"/>
        <w:spacing w:after="0" w:line="302"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Action at Meetings</w:t>
      </w:r>
      <w:r>
        <w:rPr>
          <w:rFonts w:ascii="Arial" w:cs="Arial" w:eastAsia="Arial" w:hAnsi="Arial"/>
          <w:sz w:val="12"/>
          <w:szCs w:val="12"/>
          <w:color w:val="auto"/>
        </w:rPr>
        <w:t>. When a quorum is present at any meeting, the affirmative vote of the holders of a majority of the stock present in person or by remote communication, or represented by proxy, entitled to vote and voting on the matter (or where a separate vote by a class or classes is required, the affirmative vote of the majority of shares of such class or classes present in person or represented by proxy at the meeting) shall decide any matter (other than the election of Directors) brought before such meeting, unless the matter is one upon which by express provision of law, the certificate of incorporation or these By-Laws, a different vote is required, in which case such express provision shall govern and control the decision of such matter. The stock of holders who abstain from voting on any matter shall be deemed not to have been voted on such matter. Directors shall be elected by a plurality of the votes of the shares present in person or by remote communication, or represented by proxy at the meeting, entitled to vote and voting on the election of Directors.</w:t>
      </w:r>
    </w:p>
    <w:p>
      <w:pPr>
        <w:spacing w:after="0" w:line="86" w:lineRule="exact"/>
        <w:rPr>
          <w:sz w:val="20"/>
          <w:szCs w:val="20"/>
          <w:color w:val="auto"/>
        </w:rPr>
      </w:pPr>
    </w:p>
    <w:p>
      <w:pPr>
        <w:ind w:right="120" w:firstLine="917"/>
        <w:spacing w:after="0" w:line="321" w:lineRule="auto"/>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Voting and Proxies</w:t>
      </w:r>
      <w:r>
        <w:rPr>
          <w:rFonts w:ascii="Arial" w:cs="Arial" w:eastAsia="Arial" w:hAnsi="Arial"/>
          <w:sz w:val="12"/>
          <w:szCs w:val="12"/>
          <w:color w:val="auto"/>
        </w:rPr>
        <w:t>. Unless otherwise provided in the certificate of incorporation, each stockholder shall at every meeting of the stockholders be entitled to one vote for each share of capital stock having voting power held of record by such stockholder. 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spacing w:after="0" w:line="73"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Action Without Meeting</w:t>
      </w:r>
      <w:r>
        <w:rPr>
          <w:rFonts w:ascii="Arial" w:cs="Arial" w:eastAsia="Arial" w:hAnsi="Arial"/>
          <w:sz w:val="14"/>
          <w:szCs w:val="14"/>
          <w:color w:val="auto"/>
        </w:rPr>
        <w:t>. 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signed and dated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A telegram, cablegram or other electronic transmission consenting to an action to be taken and transmitted by a stockholder or proxyholder, or by a person or persons authorized to act for a stockholder or proxyholder, shall be deemed to be written, signed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1460"/>
          </w:cols>
          <w:pgMar w:left="220" w:top="247" w:right="219" w:bottom="1440" w:gutter="0" w:footer="0" w:header="0"/>
        </w:sectPr>
      </w:pPr>
    </w:p>
    <w:bookmarkStart w:id="242" w:name="page243"/>
    <w:bookmarkEnd w:id="242"/>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dated for the purposes herein, provided that any such telegram, cablegram or other electronic transmission sets forth or is delivered with information from which the Corporation can determine (A) that the telegram, cablegram or other electronic transmission was transmitted by the stockholder or proxyholder or by a person or persons authorized to act for the stockholder or proxyholder and (B) the date on which such stockholder or proxyholder or authorized person or persons transmitted such telegram, cablegram or other electronic transmission. The date on which such telegram, cablegram or electronic transmission is transmitted shall be deemed to be the date on which such consent was signed. No consent given by telegram, cablegram or electronic transmission shall be deemed to have been delivered until such consent is reproduced in paper form and until such paper form shall be delivered in accordance with Section 228 of the General Corporation Law of Delaware, to the Corporation by delivery to its registered office in Delaware, its principal place of business or an officer or agent of the corporation having custody of the book in which proceedings of meetings of stockholders are recorded. Any copy, facsimile or other reliable reproduction of a consent in writing may be substituted or used in lieu of the original writing for any and all such purposes for which the original writing could be used, provided that such copy, facsimile or other reproduction shall be a complete reproduction of the entire original writing.</w:t>
      </w:r>
    </w:p>
    <w:p>
      <w:pPr>
        <w:spacing w:after="0" w:line="213"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ARTICLE II</w:t>
      </w:r>
    </w:p>
    <w:p>
      <w:pPr>
        <w:spacing w:after="0" w:line="13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DIRECTORS</w:t>
      </w:r>
    </w:p>
    <w:p>
      <w:pPr>
        <w:spacing w:after="0" w:line="132" w:lineRule="exact"/>
        <w:rPr>
          <w:sz w:val="20"/>
          <w:szCs w:val="20"/>
          <w:color w:val="auto"/>
        </w:rPr>
      </w:pPr>
    </w:p>
    <w:p>
      <w:pPr>
        <w:ind w:right="80" w:firstLine="917"/>
        <w:spacing w:after="0" w:line="305"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Number, Election, Tenure and Qualification</w:t>
      </w:r>
      <w:r>
        <w:rPr>
          <w:rFonts w:ascii="Arial" w:cs="Arial" w:eastAsia="Arial" w:hAnsi="Arial"/>
          <w:sz w:val="12"/>
          <w:szCs w:val="12"/>
          <w:color w:val="auto"/>
        </w:rPr>
        <w:t>. The number of Directors which shall constitute the whole board shall be not less than one. Within such limit, the number of Directors shall be determined by resolution of the Board of Directors or by the stockholders at the annual meeting or at any special meeting of stockholders. The directors shall be elected at the annual meeting or at any special meeting of stockholders, or by written consent in lieu of an annual or special meeting of the stockholders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 except as provided in section 3 of this Article, and each director elected shall hold office until his successor is elected and qualified, unless sooner displaced. Directors need not be stockholders.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Enlargement</w:t>
      </w:r>
      <w:r>
        <w:rPr>
          <w:rFonts w:ascii="Arial" w:cs="Arial" w:eastAsia="Arial" w:hAnsi="Arial"/>
          <w:sz w:val="14"/>
          <w:szCs w:val="14"/>
          <w:color w:val="auto"/>
        </w:rPr>
        <w:t>. The number of the Board of Directors may be increased at any time by vote of a majority of the Directors then in office.</w:t>
      </w:r>
    </w:p>
    <w:p>
      <w:pPr>
        <w:spacing w:after="0" w:line="132" w:lineRule="exact"/>
        <w:rPr>
          <w:sz w:val="20"/>
          <w:szCs w:val="20"/>
          <w:color w:val="auto"/>
        </w:rPr>
      </w:pPr>
    </w:p>
    <w:p>
      <w:pPr>
        <w:ind w:right="100" w:firstLine="917"/>
        <w:spacing w:after="0" w:line="311"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Vacancies</w:t>
      </w:r>
      <w:r>
        <w:rPr>
          <w:rFonts w:ascii="Arial" w:cs="Arial" w:eastAsia="Arial" w:hAnsi="Arial"/>
          <w:sz w:val="12"/>
          <w:szCs w:val="12"/>
          <w:color w:val="auto"/>
        </w:rPr>
        <w:t>.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In the event of a vacancy in the Board of Directors, the remaining Directors, except as otherwise provided by law or these By-Laws, may exercise the powers of the full board until the vacancy is filled.</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00"/>
          </w:cols>
          <w:pgMar w:left="220" w:top="247" w:right="279" w:bottom="1440" w:gutter="0" w:footer="0" w:header="0"/>
        </w:sectPr>
      </w:pPr>
    </w:p>
    <w:bookmarkStart w:id="243" w:name="page244"/>
    <w:bookmarkEnd w:id="243"/>
    <w:p>
      <w:pPr>
        <w:ind w:right="40" w:firstLine="917"/>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Section 4. </w:t>
      </w:r>
      <w:r>
        <w:rPr>
          <w:rFonts w:ascii="Arial" w:cs="Arial" w:eastAsia="Arial" w:hAnsi="Arial"/>
          <w:sz w:val="14"/>
          <w:szCs w:val="14"/>
          <w:u w:val="single" w:color="auto"/>
          <w:color w:val="auto"/>
        </w:rPr>
        <w:t>Resignation and Removal</w:t>
      </w:r>
      <w:r>
        <w:rPr>
          <w:rFonts w:ascii="Arial" w:cs="Arial" w:eastAsia="Arial" w:hAnsi="Arial"/>
          <w:sz w:val="14"/>
          <w:szCs w:val="14"/>
          <w:color w:val="auto"/>
        </w:rPr>
        <w:t>. Any director may resign at any time upon notice given in writing or by electronic transmission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110" w:lineRule="exact"/>
        <w:rPr>
          <w:sz w:val="20"/>
          <w:szCs w:val="20"/>
          <w:color w:val="auto"/>
        </w:rPr>
      </w:pPr>
    </w:p>
    <w:p>
      <w:pPr>
        <w:ind w:right="60" w:firstLine="917"/>
        <w:spacing w:after="0" w:line="267"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General Powers</w:t>
      </w:r>
      <w:r>
        <w:rPr>
          <w:rFonts w:ascii="Arial" w:cs="Arial" w:eastAsia="Arial" w:hAnsi="Arial"/>
          <w:sz w:val="14"/>
          <w:szCs w:val="14"/>
          <w:color w:val="auto"/>
        </w:rPr>
        <w:t>. The business and affairs of the Corporation shall be managed by its Board of Directors, which may exercise all powers of the Corporation and do all such lawful acts and things as are not by statute or by the certificate of incorporation or by these By-Laws directed or required to be exercised or done by the stockholders.</w:t>
      </w:r>
    </w:p>
    <w:p>
      <w:pPr>
        <w:spacing w:after="0" w:line="101" w:lineRule="exact"/>
        <w:rPr>
          <w:sz w:val="20"/>
          <w:szCs w:val="20"/>
          <w:color w:val="auto"/>
        </w:rPr>
      </w:pPr>
    </w:p>
    <w:p>
      <w:pPr>
        <w:ind w:right="140" w:firstLine="917"/>
        <w:spacing w:after="0" w:line="351"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Chairman of the Board</w:t>
      </w:r>
      <w:r>
        <w:rPr>
          <w:rFonts w:ascii="Arial" w:cs="Arial" w:eastAsia="Arial" w:hAnsi="Arial"/>
          <w:sz w:val="12"/>
          <w:szCs w:val="12"/>
          <w:color w:val="auto"/>
        </w:rPr>
        <w:t>. If the Board of Directors appoints a chairman of the board, he shall, when present, preside at all meetings of the stockholders and the Board of Directors. He shall perform such duties and possess such powers as are customarily vested in the office of the chairman of the board or as may be vested in him by the Board of Directors.</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Place of Meetings</w:t>
      </w:r>
      <w:r>
        <w:rPr>
          <w:rFonts w:ascii="Arial" w:cs="Arial" w:eastAsia="Arial" w:hAnsi="Arial"/>
          <w:sz w:val="14"/>
          <w:szCs w:val="14"/>
          <w:color w:val="auto"/>
        </w:rPr>
        <w:t>. The Board of Directors may hold meetings, both regular and special, either within or without the State of Delaware.</w:t>
      </w:r>
    </w:p>
    <w:p>
      <w:pPr>
        <w:spacing w:after="0" w:line="132" w:lineRule="exact"/>
        <w:rPr>
          <w:sz w:val="20"/>
          <w:szCs w:val="20"/>
          <w:color w:val="auto"/>
        </w:rPr>
      </w:pPr>
    </w:p>
    <w:p>
      <w:pPr>
        <w:ind w:right="420" w:firstLine="917"/>
        <w:spacing w:after="0" w:line="258"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Regular Meetings</w:t>
      </w:r>
      <w:r>
        <w:rPr>
          <w:rFonts w:ascii="Arial" w:cs="Arial" w:eastAsia="Arial" w:hAnsi="Arial"/>
          <w:sz w:val="14"/>
          <w:szCs w:val="14"/>
          <w:color w:val="auto"/>
        </w:rPr>
        <w:t>. Regular meetings of the Board of Directors may be held without notice at such time and at such place as shall from time to time be determined by the board; provided that any director who is absent when such a determination is made shall be given prompt notice of such determination. A regular meeting of the Board of Directors may be held without notice immediately after and at the same place as the annual meeting of stockholders.</w:t>
      </w:r>
    </w:p>
    <w:p>
      <w:pPr>
        <w:spacing w:after="0" w:line="108" w:lineRule="exact"/>
        <w:rPr>
          <w:sz w:val="20"/>
          <w:szCs w:val="20"/>
          <w:color w:val="auto"/>
        </w:rPr>
      </w:pPr>
    </w:p>
    <w:p>
      <w:pPr>
        <w:ind w:right="100" w:firstLine="917"/>
        <w:spacing w:after="0" w:line="311" w:lineRule="auto"/>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Special Meetings</w:t>
      </w:r>
      <w:r>
        <w:rPr>
          <w:rFonts w:ascii="Arial" w:cs="Arial" w:eastAsia="Arial" w:hAnsi="Arial"/>
          <w:sz w:val="12"/>
          <w:szCs w:val="12"/>
          <w:color w:val="auto"/>
        </w:rPr>
        <w:t>. Special meetings of the board may be called by the Chief Executive Officer, Secretary, or on the written request of two (2) or more Directors, or by one director in the event that there is only one director in office. Two (2) days’ notice to each director, either personally or by telegram, cable, telecopy, electronic mail, commercial delivery service, telex or similar means sent to his business or home address, or three (3) days’ notice by written notice deposited in the mail, shall be given to each director by the Secretary or by the officer or one of the Directors calling the meeting. A notice or waiver of notice of a meeting of the Board of Directors need not specify the purposes of the meeting.</w:t>
      </w:r>
    </w:p>
    <w:p>
      <w:pPr>
        <w:spacing w:after="0" w:line="79"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Quorum, Action at Meeting, Adjournments</w:t>
      </w:r>
      <w:r>
        <w:rPr>
          <w:rFonts w:ascii="Arial" w:cs="Arial" w:eastAsia="Arial" w:hAnsi="Arial"/>
          <w:sz w:val="14"/>
          <w:szCs w:val="14"/>
          <w:color w:val="auto"/>
        </w:rPr>
        <w:t>. At all meetings of the board a majority of Directors then in office, but in no event less than one third of the entire board,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460"/>
          </w:cols>
          <w:pgMar w:left="220" w:top="247" w:right="219" w:bottom="1440" w:gutter="0" w:footer="0" w:header="0"/>
        </w:sectPr>
      </w:pPr>
    </w:p>
    <w:bookmarkStart w:id="244" w:name="page245"/>
    <w:bookmarkEnd w:id="244"/>
    <w:p>
      <w:pPr>
        <w:ind w:right="4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For purposes of this section, the term “entire board” shall mean the number of Directors last fixed by the stockholders or Directors, as the case may be, in accordance with law and these By-Laws; provided, however, that if less than all the number so fixed of Directors were elected, the “entire board” shall mean the greatest number of Directors so elected to hold office at any one time pursuant to such authorization.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110" w:lineRule="exact"/>
        <w:rPr>
          <w:sz w:val="20"/>
          <w:szCs w:val="20"/>
          <w:color w:val="auto"/>
        </w:rPr>
      </w:pPr>
    </w:p>
    <w:p>
      <w:pPr>
        <w:ind w:right="140" w:firstLine="917"/>
        <w:spacing w:after="0" w:line="255"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Action by Consent</w:t>
      </w:r>
      <w:r>
        <w:rPr>
          <w:rFonts w:ascii="Arial" w:cs="Arial" w:eastAsia="Arial" w:hAnsi="Arial"/>
          <w:sz w:val="14"/>
          <w:szCs w:val="14"/>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10"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Telephonic Meetings</w:t>
      </w:r>
      <w:r>
        <w:rPr>
          <w:rFonts w:ascii="Arial" w:cs="Arial" w:eastAsia="Arial" w:hAnsi="Arial"/>
          <w:sz w:val="14"/>
          <w:szCs w:val="14"/>
          <w:color w:val="auto"/>
        </w:rPr>
        <w:t>. Unless otherwise restricted by the certificate of incorporation or these By-Laws, members of the Board of Directors or of any committee thereof may participate in a meeting of the Board of Directors or of any committee, as the case may be, by means of conference telephone or similar communications equipment by means of which all persons participating in the meeting can hear each other, and such participation in a meeting shall constitute presence in person at the meeting.</w:t>
      </w:r>
    </w:p>
    <w:p>
      <w:pPr>
        <w:spacing w:after="0" w:line="108" w:lineRule="exact"/>
        <w:rPr>
          <w:sz w:val="20"/>
          <w:szCs w:val="20"/>
          <w:color w:val="auto"/>
        </w:rPr>
      </w:pPr>
    </w:p>
    <w:p>
      <w:pPr>
        <w:ind w:firstLine="917"/>
        <w:spacing w:after="0" w:line="299" w:lineRule="auto"/>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Committees</w:t>
      </w:r>
      <w:r>
        <w:rPr>
          <w:rFonts w:ascii="Arial" w:cs="Arial" w:eastAsia="Arial" w:hAnsi="Arial"/>
          <w:sz w:val="12"/>
          <w:szCs w:val="12"/>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 adopting, amending or repealing the By-Laws of the Corporation or any of them or (b) approving or adopting, or recommending to the stockholders any action or matter expressly required by law to be submitted to stockholders for approval. Such committee or committees shall have such name or names as may be determined from time to time by resolution adopted by the Board of Directors. Each committee shall keep regular minutes of its meetings and make such reports to the Board of Directors as the Board of Directors may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 of Directors.</w:t>
      </w:r>
    </w:p>
    <w:p>
      <w:pPr>
        <w:spacing w:after="0" w:line="87" w:lineRule="exact"/>
        <w:rPr>
          <w:sz w:val="20"/>
          <w:szCs w:val="20"/>
          <w:color w:val="auto"/>
        </w:rPr>
      </w:pPr>
    </w:p>
    <w:p>
      <w:pPr>
        <w:jc w:val="center"/>
        <w:ind w:right="320"/>
        <w:spacing w:after="0" w:line="438"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Compensation</w:t>
      </w:r>
      <w:r>
        <w:rPr>
          <w:rFonts w:ascii="Arial" w:cs="Arial" w:eastAsia="Arial" w:hAnsi="Arial"/>
          <w:sz w:val="14"/>
          <w:szCs w:val="14"/>
          <w:color w:val="auto"/>
        </w:rPr>
        <w:t>. Unless otherwise restricted by the certificate of incorporation or these By-Laws, the Board of Directors shall have the authority to fix from time - 6 -</w:t>
      </w:r>
    </w:p>
    <w:p>
      <w:pPr>
        <w:sectPr>
          <w:pgSz w:w="11900" w:h="16838" w:orient="portrait"/>
          <w:cols w:equalWidth="0" w:num="1">
            <w:col w:w="11460"/>
          </w:cols>
          <w:pgMar w:left="220" w:top="247" w:right="219" w:bottom="1440" w:gutter="0" w:footer="0" w:header="0"/>
        </w:sectPr>
      </w:pPr>
    </w:p>
    <w:bookmarkStart w:id="245" w:name="page246"/>
    <w:bookmarkEnd w:id="245"/>
    <w:p>
      <w:pPr>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III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OFFICERS</w:t>
      </w:r>
    </w:p>
    <w:p>
      <w:pPr>
        <w:spacing w:after="0" w:line="132" w:lineRule="exact"/>
        <w:rPr>
          <w:sz w:val="20"/>
          <w:szCs w:val="20"/>
          <w:color w:val="auto"/>
        </w:rPr>
      </w:pPr>
    </w:p>
    <w:p>
      <w:pPr>
        <w:ind w:right="180" w:firstLine="917"/>
        <w:spacing w:after="0" w:line="311"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Enumeration</w:t>
      </w:r>
      <w:r>
        <w:rPr>
          <w:rFonts w:ascii="Arial" w:cs="Arial" w:eastAsia="Arial" w:hAnsi="Arial"/>
          <w:sz w:val="12"/>
          <w:szCs w:val="12"/>
          <w:color w:val="auto"/>
        </w:rPr>
        <w:t>. The officers of the Corporation shall be chosen by the Board of Directors and shall be a President, a Secretary and a Treasurer and such other officers with such titles, terms of office and duties as the Board of Directors may from time to time determine, including a Chairman of the Board, one or more Vice-Presidents, and one or more Assistant Secretaries and Assistant Treasurers. If authorized by resolution of the Board of Directors, the Chief Executive Officer may be empowered to appoint from time to time Assistant Secretaries and Assistant Treasurers. Any number of offices may be held by the same person, unless the Certificate of Incorporation or these By-Laws otherwise provide.</w:t>
      </w:r>
    </w:p>
    <w:p>
      <w:pPr>
        <w:spacing w:after="0" w:line="79"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Election</w:t>
      </w:r>
      <w:r>
        <w:rPr>
          <w:rFonts w:ascii="Arial" w:cs="Arial" w:eastAsia="Arial" w:hAnsi="Arial"/>
          <w:sz w:val="14"/>
          <w:szCs w:val="14"/>
          <w:color w:val="auto"/>
        </w:rPr>
        <w:t>. The Board of Directors at its first meeting after each annual meeting of stockholders shall choose a President, a Secretary and a Treasurer. Other officers may be appointed by the Board of Directors at such meeting, at any other meeting, or by written consent.</w:t>
      </w:r>
    </w:p>
    <w:p>
      <w:pPr>
        <w:spacing w:after="0" w:line="101" w:lineRule="exact"/>
        <w:rPr>
          <w:sz w:val="20"/>
          <w:szCs w:val="20"/>
          <w:color w:val="auto"/>
        </w:rPr>
      </w:pPr>
    </w:p>
    <w:p>
      <w:pPr>
        <w:ind w:right="40" w:firstLine="917"/>
        <w:spacing w:after="0" w:line="252"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Tenure</w:t>
      </w:r>
      <w:r>
        <w:rPr>
          <w:rFonts w:ascii="Arial" w:cs="Arial" w:eastAsia="Arial" w:hAnsi="Arial"/>
          <w:sz w:val="14"/>
          <w:szCs w:val="14"/>
          <w:color w:val="auto"/>
        </w:rPr>
        <w:t>. The officers of the Corporation shall hold office until their successors are chosen and qualify, unless a different term is specified in the vote choosing or appointing him, or until his earlier death, resignation or removal. Any officer elected or appointed by the Board of Directors or by the Chief Executive Officer may be removed at any time, with or without cause, by the affirmative vote of a majority of the Board of Directors or a committee duly authorized to do so, except that any officer appointed by the Chief Executive Officer may also be removed at any time, with or without cause, by the Chief Executive Officer. Any vacancy occurring in any office of the Corporation may be filled by the Board of Directors, at its discretion. Any officer may resign by delivering his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14" w:lineRule="exact"/>
        <w:rPr>
          <w:sz w:val="20"/>
          <w:szCs w:val="20"/>
          <w:color w:val="auto"/>
        </w:rPr>
      </w:pPr>
    </w:p>
    <w:p>
      <w:pPr>
        <w:ind w:right="120" w:firstLine="917"/>
        <w:spacing w:after="0" w:line="258"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President</w:t>
      </w:r>
      <w:r>
        <w:rPr>
          <w:rFonts w:ascii="Arial" w:cs="Arial" w:eastAsia="Arial" w:hAnsi="Arial"/>
          <w:sz w:val="14"/>
          <w:szCs w:val="14"/>
          <w:color w:val="auto"/>
        </w:rPr>
        <w:t>. The President shall be the Chief Operating Officer of the Corporation, He shall also be the Chief Executive Officer unless the Board of Directors otherwise provides. If no Chief Executive Officer shall have been appointed by the Board of Directors, all references herein to the “Chief Executive Officer” shall be to the President. The President shall, unless the Board of Directors provides otherwise in a specific instance 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11460"/>
          </w:cols>
          <w:pgMar w:left="220" w:top="247" w:right="219" w:bottom="1440" w:gutter="0" w:footer="0" w:header="0"/>
        </w:sectPr>
      </w:pPr>
    </w:p>
    <w:bookmarkStart w:id="246" w:name="page247"/>
    <w:bookmarkEnd w:id="246"/>
    <w:p>
      <w:pPr>
        <w:ind w:right="14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generally, preside at all meetings of the stockholders and the Board of Directors, have genera] and active management of the business of the Corporation and see that all orders and resolutions of the Board of Directors are carried into effect.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73" w:lineRule="exact"/>
        <w:rPr>
          <w:sz w:val="20"/>
          <w:szCs w:val="20"/>
          <w:color w:val="auto"/>
        </w:rPr>
      </w:pPr>
    </w:p>
    <w:p>
      <w:pPr>
        <w:ind w:right="60" w:firstLine="917"/>
        <w:spacing w:after="0" w:line="255"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Vice-Presidents</w:t>
      </w:r>
      <w:r>
        <w:rPr>
          <w:rFonts w:ascii="Arial" w:cs="Arial" w:eastAsia="Arial" w:hAnsi="Arial"/>
          <w:sz w:val="14"/>
          <w:szCs w:val="14"/>
          <w:color w:val="auto"/>
        </w:rPr>
        <w:t>. In the absence of the President or in the event of his or her inability or refusal to act, the Vice-President, or if there be more than one Vice-President, the Vice-Presidents in the order designated by the Board of Directors or the Chief Executive Officer (or in the absence of any designation, then in the order determined by their tenure in office) shall perform the duties of the President, and when so acting, shall have all the powers of and be subject to all the restrictions upon the President. The Vice-Presidents shall perform such other duties and have such other powers as the Board of Directors or the Chief Executive Officer may from time to time prescribe.</w:t>
      </w:r>
    </w:p>
    <w:p>
      <w:pPr>
        <w:spacing w:after="0" w:line="110" w:lineRule="exact"/>
        <w:rPr>
          <w:sz w:val="20"/>
          <w:szCs w:val="20"/>
          <w:color w:val="auto"/>
        </w:rPr>
      </w:pPr>
    </w:p>
    <w:p>
      <w:pPr>
        <w:ind w:firstLine="917"/>
        <w:spacing w:after="0" w:line="300"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Secretary</w:t>
      </w:r>
      <w:r>
        <w:rPr>
          <w:rFonts w:ascii="Arial" w:cs="Arial" w:eastAsia="Arial" w:hAnsi="Arial"/>
          <w:sz w:val="12"/>
          <w:szCs w:val="12"/>
          <w:color w:val="auto"/>
        </w:rPr>
        <w:t>. The Secretary shall have such powers and perform such duties as are incident to the office of Secretary. The Secretary shall maintain a stock ledger and prepare lists of stockholders and their addresses as required and shall be the custodian of corporate records.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from time to time prescribed by the Board of Directors or Chief Executive Officer, under whose supervision the Secretary shall be. The Secretary shall have custody of the corporate seal of the Corporation and the Secretary,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88" w:lineRule="exact"/>
        <w:rPr>
          <w:sz w:val="20"/>
          <w:szCs w:val="20"/>
          <w:color w:val="auto"/>
        </w:rPr>
      </w:pPr>
    </w:p>
    <w:p>
      <w:pPr>
        <w:ind w:right="120" w:firstLine="917"/>
        <w:spacing w:after="0" w:line="253"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Assistant Secretaries</w:t>
      </w:r>
      <w:r>
        <w:rPr>
          <w:rFonts w:ascii="Arial" w:cs="Arial" w:eastAsia="Arial" w:hAnsi="Arial"/>
          <w:sz w:val="14"/>
          <w:szCs w:val="14"/>
          <w:color w:val="auto"/>
        </w:rPr>
        <w:t>. The assistant Secretary, or if there be more than one, the assistant secretaries in the order determined by the Board of Directors, the Chief Executive Officer or the Secretary (or if there be no such determination, then in the order determined by their tenure in office), shall, in the absence of the Secretary or in the event of his or her inability or refusal to act, perform the duties and exercise the powers of the Secretary and shall perform such other duties and have such other powers as the Board of Directors, the Chief Executive Officer or the Secretary may from time to time prescribe. In the absence of the Secretary or any assistant Secretary at any meeting of stockholders or Directors, the person presiding at the meeting shall designate a temporary or acting Secretary to keep a record of the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1460"/>
          </w:cols>
          <w:pgMar w:left="220" w:top="247" w:right="219" w:bottom="1440" w:gutter="0" w:footer="0" w:header="0"/>
        </w:sectPr>
      </w:pPr>
    </w:p>
    <w:bookmarkStart w:id="247" w:name="page248"/>
    <w:bookmarkEnd w:id="247"/>
    <w:p>
      <w:pPr>
        <w:ind w:right="20" w:firstLine="917"/>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Section 8. </w:t>
      </w:r>
      <w:r>
        <w:rPr>
          <w:rFonts w:ascii="Arial" w:cs="Arial" w:eastAsia="Arial" w:hAnsi="Arial"/>
          <w:sz w:val="14"/>
          <w:szCs w:val="14"/>
          <w:u w:val="single" w:color="auto"/>
          <w:color w:val="auto"/>
        </w:rPr>
        <w:t>Treasurer</w:t>
      </w:r>
      <w:r>
        <w:rPr>
          <w:rFonts w:ascii="Arial" w:cs="Arial" w:eastAsia="Arial" w:hAnsi="Arial"/>
          <w:sz w:val="14"/>
          <w:szCs w:val="14"/>
          <w:color w:val="auto"/>
        </w:rPr>
        <w:t>. The Treasurer shall perform such duties and shall have such powers as may be assigned to him or her by the Board of Directors or the Chief Executive Officer. In addition, the Treasurer shall perform such duties and have such powers as are incident to the office of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Chief Executive Officer and the Board of Directors, when the Chief Executive Officer or Board of Directors so requires, an account of all his or her transactions as Treasurer and of the financial condition of the Corporation.</w:t>
      </w:r>
    </w:p>
    <w:p>
      <w:pPr>
        <w:spacing w:after="0" w:line="114" w:lineRule="exact"/>
        <w:rPr>
          <w:sz w:val="20"/>
          <w:szCs w:val="20"/>
          <w:color w:val="auto"/>
        </w:rPr>
      </w:pPr>
    </w:p>
    <w:p>
      <w:pPr>
        <w:ind w:right="40" w:firstLine="917"/>
        <w:spacing w:after="0" w:line="255"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Assistant Treasurers</w:t>
      </w:r>
      <w:r>
        <w:rPr>
          <w:rFonts w:ascii="Arial" w:cs="Arial" w:eastAsia="Arial" w:hAnsi="Arial"/>
          <w:sz w:val="14"/>
          <w:szCs w:val="14"/>
          <w:color w:val="auto"/>
        </w:rPr>
        <w:t>. The assistant Treasurer, or if there shall be more than one, the assistant Treasurers in the order determined by the Board of Directors, the Chief Executive Officer or the Treasurer (or if there be no such determination, then in the order determined by their tenure in office), shall, in the absence of the Treasurer or in the event of his or her inability or refusal to act, perform the duties and exercise the powers of the Treasurer and shall perform such other duties and have such other powers as the Board of Directors, the Chief Executive Officer or the Treasurer may from time to time prescribe.</w:t>
      </w:r>
    </w:p>
    <w:p>
      <w:pPr>
        <w:spacing w:after="0" w:line="110"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Bond</w:t>
      </w:r>
      <w:r>
        <w:rPr>
          <w:rFonts w:ascii="Arial" w:cs="Arial" w:eastAsia="Arial" w:hAnsi="Arial"/>
          <w:sz w:val="14"/>
          <w:szCs w:val="14"/>
          <w:color w:val="auto"/>
        </w:rPr>
        <w:t>. 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possession or under his control and belonging to the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IV</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NOTICES</w:t>
      </w:r>
    </w:p>
    <w:p>
      <w:pPr>
        <w:spacing w:after="0" w:line="132"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Delivery</w:t>
      </w:r>
      <w:r>
        <w:rPr>
          <w:rFonts w:ascii="Arial" w:cs="Arial" w:eastAsia="Arial" w:hAnsi="Arial"/>
          <w:sz w:val="14"/>
          <w:szCs w:val="14"/>
          <w:color w:val="auto"/>
        </w:rPr>
        <w:t>. Whenever, under the provisions of law, or of the Certificate of Incorporation or these By-Laws, notice is required to be given to any person, such notice may be given by mail, addressed to such person, at his address as it appears on the records of the Corporation, with postage thereon prepaid, and such notice shall be deemed to be given at the time when the same shall be deposited in the United States mail. Unless written notice by mail is required by law, notice may also be given by telegram, cable, telecopy, commercial delivery service, telex or similar means, addressed to such person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Notice may also be given to stockholders by a form of electronic transmission in accordance with and subject to the provisions of Section 232 of the General Corporation Law of Delaware. Oral notice or other in-hand delivery (in person or by telephone) shall be deemed given at the time it is actually given.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- 9 -</w:t>
      </w:r>
    </w:p>
    <w:p>
      <w:pPr>
        <w:sectPr>
          <w:pgSz w:w="11900" w:h="16838" w:orient="portrait"/>
          <w:cols w:equalWidth="0" w:num="1">
            <w:col w:w="11440"/>
          </w:cols>
          <w:pgMar w:left="220" w:top="247" w:right="239" w:bottom="1440" w:gutter="0" w:footer="0" w:header="0"/>
        </w:sectPr>
      </w:pPr>
    </w:p>
    <w:bookmarkStart w:id="248" w:name="page249"/>
    <w:bookmarkEnd w:id="248"/>
    <w:p>
      <w:pPr>
        <w:ind w:right="160" w:firstLine="917"/>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Section 2. </w:t>
      </w:r>
      <w:r>
        <w:rPr>
          <w:rFonts w:ascii="Arial" w:cs="Arial" w:eastAsia="Arial" w:hAnsi="Arial"/>
          <w:sz w:val="12"/>
          <w:szCs w:val="12"/>
          <w:u w:val="single" w:color="auto"/>
          <w:color w:val="auto"/>
        </w:rPr>
        <w:t>Waiver of Notice</w:t>
      </w:r>
      <w:r>
        <w:rPr>
          <w:rFonts w:ascii="Arial" w:cs="Arial" w:eastAsia="Arial" w:hAnsi="Arial"/>
          <w:sz w:val="12"/>
          <w:szCs w:val="12"/>
          <w:color w:val="auto"/>
        </w:rPr>
        <w:t>. Whenever any notice is required to be given under the provisions of law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ARTICLE V</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INDEMNIFICATION</w:t>
      </w:r>
    </w:p>
    <w:p>
      <w:pPr>
        <w:spacing w:after="0" w:line="69" w:lineRule="exact"/>
        <w:rPr>
          <w:sz w:val="20"/>
          <w:szCs w:val="20"/>
          <w:color w:val="auto"/>
        </w:rPr>
      </w:pPr>
    </w:p>
    <w:p>
      <w:pPr>
        <w:ind w:right="60" w:firstLine="917"/>
        <w:spacing w:after="0" w:line="299"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Actions other than by or in the Right of the Corporation</w:t>
      </w:r>
      <w:r>
        <w:rPr>
          <w:rFonts w:ascii="Arial" w:cs="Arial" w:eastAsia="Arial" w:hAnsi="Arial"/>
          <w:sz w:val="12"/>
          <w:szCs w:val="12"/>
          <w:color w:val="auto"/>
        </w:rPr>
        <w:t xml:space="preserve">.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proceedings, had no reasonable cause to believe such person’s conduct was unlawful. The termination of any action, suit or proceeding by judgment, order, settlement, conviction, or upon a plea of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87" w:lineRule="exact"/>
        <w:rPr>
          <w:sz w:val="20"/>
          <w:szCs w:val="20"/>
          <w:color w:val="auto"/>
        </w:rPr>
      </w:pPr>
    </w:p>
    <w:p>
      <w:pPr>
        <w:ind w:firstLine="917"/>
        <w:spacing w:after="0" w:line="302"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Actions by or in the Right of the Corporation</w:t>
      </w:r>
      <w:r>
        <w:rPr>
          <w:rFonts w:ascii="Arial" w:cs="Arial" w:eastAsia="Arial" w:hAnsi="Arial"/>
          <w:sz w:val="12"/>
          <w:szCs w:val="12"/>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unless and only to the extent that the Court of Chancery of the State of Delaware or the court in which such action or suit was brought shall determine upon application that, despite the adjudication of liability but in view of</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- 10 -</w:t>
      </w:r>
    </w:p>
    <w:p>
      <w:pPr>
        <w:sectPr>
          <w:pgSz w:w="11900" w:h="16838" w:orient="portrait"/>
          <w:cols w:equalWidth="0" w:num="1">
            <w:col w:w="11440"/>
          </w:cols>
          <w:pgMar w:left="220" w:top="247" w:right="239" w:bottom="1440" w:gutter="0" w:footer="0" w:header="0"/>
        </w:sectPr>
      </w:pPr>
    </w:p>
    <w:bookmarkStart w:id="249" w:name="page250"/>
    <w:bookmarkEnd w:id="249"/>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all the circumstances of the case, such person is fairly and reasonably entitled to indemnity for such expenses which the Court of Chancery of the State of Delaware or such other court shall deem proper.</w:t>
      </w:r>
    </w:p>
    <w:p>
      <w:pPr>
        <w:spacing w:after="0" w:line="155" w:lineRule="exact"/>
        <w:rPr>
          <w:sz w:val="20"/>
          <w:szCs w:val="20"/>
          <w:color w:val="auto"/>
        </w:rPr>
      </w:pPr>
    </w:p>
    <w:p>
      <w:pPr>
        <w:jc w:val="both"/>
        <w:ind w:right="440" w:firstLine="917"/>
        <w:spacing w:after="0" w:line="258"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Success on the Merits</w:t>
      </w:r>
      <w:r>
        <w:rPr>
          <w:rFonts w:ascii="Arial" w:cs="Arial" w:eastAsia="Arial" w:hAnsi="Arial"/>
          <w:sz w:val="14"/>
          <w:szCs w:val="14"/>
          <w:color w:val="auto"/>
        </w:rPr>
        <w:t>. To the extent that any person described in Section 1 or 2 of this Article V has been successful on the merits or otherwise in defense of any action, suit or proceeding referred to in said Sections, or in defense of any claim, issue or matter therein, he shall be indemnified against expenses (including attorneys’ fees) actually and reasonably incurred by him in connection therewith.</w:t>
      </w:r>
    </w:p>
    <w:p>
      <w:pPr>
        <w:spacing w:after="0" w:line="108" w:lineRule="exact"/>
        <w:rPr>
          <w:sz w:val="20"/>
          <w:szCs w:val="20"/>
          <w:color w:val="auto"/>
        </w:rPr>
      </w:pPr>
    </w:p>
    <w:p>
      <w:pPr>
        <w:ind w:right="60" w:firstLine="917"/>
        <w:spacing w:after="0" w:line="253"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Specific Authorization</w:t>
      </w:r>
      <w:r>
        <w:rPr>
          <w:rFonts w:ascii="Arial" w:cs="Arial" w:eastAsia="Arial" w:hAnsi="Arial"/>
          <w:sz w:val="14"/>
          <w:szCs w:val="14"/>
          <w:color w:val="auto"/>
        </w:rPr>
        <w:t>. Any indemnification under Section 1 or 2 of this Article V (unless ordered by a court) shall be made by the Corporation only as authorized in the specific case upon a determination that indemnification of any person described in said Sections is proper in the circumstances because he has met the applicable standard of conduct set forth in said Sections. Such determination shall be made (1) by the Board of Directors by a majority vote of Directors who were not parties to such action, suit or proceeding (even though less than a quorum), or (2) if there are no disinterested Directors or if a majority of disinterested Directors so directs, by independent legal counsel (who may be regular legal counsel to the Corporation) in a written opinion, or (3) by the stockholders of the Corporation.</w:t>
      </w:r>
    </w:p>
    <w:p>
      <w:pPr>
        <w:spacing w:after="0" w:line="113" w:lineRule="exact"/>
        <w:rPr>
          <w:sz w:val="20"/>
          <w:szCs w:val="20"/>
          <w:color w:val="auto"/>
        </w:rPr>
      </w:pPr>
    </w:p>
    <w:p>
      <w:pPr>
        <w:ind w:right="100" w:firstLine="917"/>
        <w:spacing w:after="0" w:line="258"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Advance Payment</w:t>
      </w:r>
      <w:r>
        <w:rPr>
          <w:rFonts w:ascii="Arial" w:cs="Arial" w:eastAsia="Arial" w:hAnsi="Arial"/>
          <w:sz w:val="14"/>
          <w:szCs w:val="14"/>
          <w:color w:val="auto"/>
        </w:rPr>
        <w:t>. Expenses incurred in defending a pending or threatened civil or criminal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 V.</w:t>
      </w:r>
    </w:p>
    <w:p>
      <w:pPr>
        <w:spacing w:after="0" w:line="108" w:lineRule="exact"/>
        <w:rPr>
          <w:sz w:val="20"/>
          <w:szCs w:val="20"/>
          <w:color w:val="auto"/>
        </w:rPr>
      </w:pPr>
    </w:p>
    <w:p>
      <w:pPr>
        <w:ind w:right="100" w:firstLine="917"/>
        <w:spacing w:after="0" w:line="258"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Non-Exclusivity</w:t>
      </w:r>
      <w:r>
        <w:rPr>
          <w:rFonts w:ascii="Arial" w:cs="Arial" w:eastAsia="Arial" w:hAnsi="Arial"/>
          <w:sz w:val="14"/>
          <w:szCs w:val="14"/>
          <w:color w:val="auto"/>
        </w:rPr>
        <w:t>. The indemnification and advancement of expenses provided by, or granted pursuant to, the other Sections of this Article V shall not be deemed exclusive of any other rights to which those provided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08" w:lineRule="exact"/>
        <w:rPr>
          <w:sz w:val="20"/>
          <w:szCs w:val="20"/>
          <w:color w:val="auto"/>
        </w:rPr>
      </w:pPr>
    </w:p>
    <w:p>
      <w:pPr>
        <w:ind w:firstLine="917"/>
        <w:spacing w:after="0" w:line="255"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Insurance</w:t>
      </w:r>
      <w:r>
        <w:rPr>
          <w:rFonts w:ascii="Arial" w:cs="Arial" w:eastAsia="Arial" w:hAnsi="Arial"/>
          <w:sz w:val="14"/>
          <w:szCs w:val="14"/>
          <w:color w:val="auto"/>
        </w:rPr>
        <w:t>. 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w:t>
      </w:r>
    </w:p>
    <w:p>
      <w:pPr>
        <w:spacing w:after="0" w:line="110" w:lineRule="exact"/>
        <w:rPr>
          <w:sz w:val="20"/>
          <w:szCs w:val="20"/>
          <w:color w:val="auto"/>
        </w:rPr>
      </w:pPr>
    </w:p>
    <w:p>
      <w:pPr>
        <w:ind w:right="140" w:firstLine="917"/>
        <w:spacing w:after="0" w:line="351"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Continuation of Indemnification and Advancement of Expenses</w:t>
      </w:r>
      <w:r>
        <w:rPr>
          <w:rFonts w:ascii="Arial" w:cs="Arial" w:eastAsia="Arial" w:hAnsi="Arial"/>
          <w:sz w:val="12"/>
          <w:szCs w:val="12"/>
          <w:color w:val="auto"/>
        </w:rPr>
        <w:t>. The indemnification and advancement of expenses provided by, or granted pursuant to, this Article V shall continue as to a person who has ceased to be a director, officer, employee or agent and shall inure to the benefit of the heirs, executors and administrators of such a person.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ectPr>
          <w:pgSz w:w="11900" w:h="16838" w:orient="portrait"/>
          <w:cols w:equalWidth="0" w:num="1">
            <w:col w:w="11460"/>
          </w:cols>
          <w:pgMar w:left="220" w:top="247" w:right="219" w:bottom="1440" w:gutter="0" w:footer="0" w:header="0"/>
        </w:sectPr>
      </w:pPr>
    </w:p>
    <w:bookmarkStart w:id="250" w:name="page251"/>
    <w:bookmarkEnd w:id="250"/>
    <w:p>
      <w:pPr>
        <w:ind w:right="2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Section 9.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word, clause or provision of this Article V or any award made hereunder shall for any reason be determined to be invalid, the provisions hereof shall not otherwise be affected thereby but shall remain in full force and effect.</w:t>
      </w:r>
    </w:p>
    <w:p>
      <w:pPr>
        <w:spacing w:after="0" w:line="101" w:lineRule="exact"/>
        <w:rPr>
          <w:sz w:val="20"/>
          <w:szCs w:val="20"/>
          <w:color w:val="auto"/>
        </w:rPr>
      </w:pPr>
    </w:p>
    <w:p>
      <w:pPr>
        <w:ind w:right="20" w:firstLine="917"/>
        <w:spacing w:after="0" w:line="258"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Intent of Article</w:t>
      </w:r>
      <w:r>
        <w:rPr>
          <w:rFonts w:ascii="Arial" w:cs="Arial" w:eastAsia="Arial" w:hAnsi="Arial"/>
          <w:sz w:val="14"/>
          <w:szCs w:val="14"/>
          <w:color w:val="auto"/>
        </w:rPr>
        <w:t>. The intent of this Article V is to provide for indemnification and advancement of expenses to the fullest extent permitted by Section 145 of the General Corporation Law of Delaware. To the extent that such Section or any successor section may be amended or supplemented from time to time, this Article V shall be amended automatically and construed so as to permit indemnification and advancement of expenses to the fullest extent from time to time permitted by law.</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VI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CAPITAL STOCK</w:t>
      </w:r>
    </w:p>
    <w:p>
      <w:pPr>
        <w:spacing w:after="0" w:line="132" w:lineRule="exact"/>
        <w:rPr>
          <w:sz w:val="20"/>
          <w:szCs w:val="20"/>
          <w:color w:val="auto"/>
        </w:rPr>
      </w:pPr>
    </w:p>
    <w:p>
      <w:pPr>
        <w:ind w:right="40" w:firstLine="917"/>
        <w:spacing w:after="0" w:line="302"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Certificates of Stock</w:t>
      </w:r>
      <w:r>
        <w:rPr>
          <w:rFonts w:ascii="Arial" w:cs="Arial" w:eastAsia="Arial" w:hAnsi="Arial"/>
          <w:sz w:val="12"/>
          <w:szCs w:val="12"/>
          <w:color w:val="auto"/>
        </w:rPr>
        <w:t>.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such 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86"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Lost Certificates</w:t>
      </w:r>
      <w:r>
        <w:rPr>
          <w:rFonts w:ascii="Arial" w:cs="Arial" w:eastAsia="Arial" w:hAnsi="Arial"/>
          <w:sz w:val="14"/>
          <w:szCs w:val="14"/>
          <w:color w:val="auto"/>
        </w:rPr>
        <w:t>. The Board of Directors may direct a new certificate or certificates to be issued in place of any certificate or certificates 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reasonable evidence of such loss, theft or destruction, to advertise the same in such manner as it shall require and/or to give the Corporation a bond in such sum as it may direct as indemnity against any claim that may be made against the Corporation with respect to the certificate alleged to have been lost, stolen or destroyed or the issuance of such new certificate.</w:t>
      </w:r>
    </w:p>
    <w:p>
      <w:pPr>
        <w:spacing w:after="0" w:line="113" w:lineRule="exact"/>
        <w:rPr>
          <w:sz w:val="20"/>
          <w:szCs w:val="20"/>
          <w:color w:val="auto"/>
        </w:rPr>
      </w:pPr>
    </w:p>
    <w:p>
      <w:pPr>
        <w:jc w:val="center"/>
        <w:ind w:left="440" w:right="700"/>
        <w:spacing w:after="0" w:line="438"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Transfer of Stock</w:t>
      </w:r>
      <w:r>
        <w:rPr>
          <w:rFonts w:ascii="Arial" w:cs="Arial" w:eastAsia="Arial" w:hAnsi="Arial"/>
          <w:sz w:val="14"/>
          <w:szCs w:val="14"/>
          <w:color w:val="auto"/>
        </w:rPr>
        <w:t>. Upon surrender to the Corporation or the transfer agent of the Corporation of a certificate for shares, duly endorsed or accompanied by proper evidence - 12 -</w:t>
      </w:r>
    </w:p>
    <w:p>
      <w:pPr>
        <w:sectPr>
          <w:pgSz w:w="11900" w:h="16838" w:orient="portrait"/>
          <w:cols w:equalWidth="0" w:num="1">
            <w:col w:w="11440"/>
          </w:cols>
          <w:pgMar w:left="220" w:top="247" w:right="239" w:bottom="1440" w:gutter="0" w:footer="0" w:header="0"/>
        </w:sectPr>
      </w:pPr>
    </w:p>
    <w:bookmarkStart w:id="251" w:name="page252"/>
    <w:bookmarkEnd w:id="251"/>
    <w:p>
      <w:pPr>
        <w:ind w:right="3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of succession, assignment or authority to transfer, and proper evidence of compliance with other conditions to rightful transfer, it shall be the duty of the Corporation to issue a new certificate to the person entitled thereto, cancel the old certificate and record the transaction upon its books.</w:t>
      </w:r>
    </w:p>
    <w:p>
      <w:pPr>
        <w:spacing w:after="0" w:line="101" w:lineRule="exact"/>
        <w:rPr>
          <w:sz w:val="20"/>
          <w:szCs w:val="20"/>
          <w:color w:val="auto"/>
        </w:rPr>
      </w:pPr>
    </w:p>
    <w:p>
      <w:pPr>
        <w:ind w:firstLine="917"/>
        <w:spacing w:after="0" w:line="295"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Record Date</w:t>
      </w:r>
      <w:r>
        <w:rPr>
          <w:rFonts w:ascii="Arial" w:cs="Arial" w:eastAsia="Arial" w:hAnsi="Arial"/>
          <w:sz w:val="12"/>
          <w:szCs w:val="12"/>
          <w:color w:val="auto"/>
        </w:rPr>
        <w:t>. In order that the Corporation may determine the stockholders entitled to notice of or to vote at any meeting of stockholders or any adjournment thereof, the Board of Directors may fix a record date, which shall not precede the date upon which the resolution fixing the record date is adopted by the Board of Directors, and which shall not be more than sixty days nor less then ten days before the date of such meeting. A determination of stockholders of record entitled to notice of or to vote at a meeting of stockholders shall apply to any adjournment of the meeting; provided, however, that the Board of Directors may fix a new record date for the adjourned meeting. 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In order that the Corporation may determine the stockholders entitled to consent to corporate action in writing without a meeting, the Board of Directors may fix a record date, which shall not precede the date upon which the resolution fixing the record date is adopted by the Board of Directors, and which shall not be more than ten days after the date upon which the resolution fixing the record date is adopted by the Board of Directors. If no record date is fixed,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as provided in Section 10 of Article I. If no record date is fixed and prior action by the Board of Directors is required, the record date for determining stockholders entitled to consent to corporate action in writing without a meeting shall be at the close of business on the date on which the Board of Directors adopts the resolution taking such prior action.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shall not precede the date upon which the resolution fixing the record date is adopted, and which shall be not more than sixty days prior to such action. If no record date is fixed, the record date for determining stockholders for any such purpose shall be at the close of business on the day on which the Board of Directors adopts the resolution relating to such purpose.</w:t>
      </w:r>
    </w:p>
    <w:p>
      <w:pPr>
        <w:spacing w:after="0" w:line="91" w:lineRule="exact"/>
        <w:rPr>
          <w:sz w:val="20"/>
          <w:szCs w:val="20"/>
          <w:color w:val="auto"/>
        </w:rPr>
      </w:pPr>
    </w:p>
    <w:p>
      <w:pPr>
        <w:jc w:val="both"/>
        <w:ind w:right="100" w:firstLine="917"/>
        <w:spacing w:after="0" w:line="321"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Registered Stockholders</w:t>
      </w:r>
      <w:r>
        <w:rPr>
          <w:rFonts w:ascii="Arial" w:cs="Arial" w:eastAsia="Arial" w:hAnsi="Arial"/>
          <w:sz w:val="12"/>
          <w:szCs w:val="12"/>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- 13 -</w:t>
      </w:r>
    </w:p>
    <w:p>
      <w:pPr>
        <w:sectPr>
          <w:pgSz w:w="11900" w:h="16838" w:orient="portrait"/>
          <w:cols w:equalWidth="0" w:num="1">
            <w:col w:w="11460"/>
          </w:cols>
          <w:pgMar w:left="220" w:top="247" w:right="21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ARTICLE VII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CERTAIN TRANSACTIONS</w:t>
      </w:r>
    </w:p>
    <w:p>
      <w:pPr>
        <w:spacing w:after="0" w:line="132" w:lineRule="exact"/>
        <w:rPr>
          <w:sz w:val="20"/>
          <w:szCs w:val="20"/>
          <w:color w:val="auto"/>
        </w:rPr>
      </w:pPr>
    </w:p>
    <w:p>
      <w:pPr>
        <w:ind w:firstLine="917"/>
        <w:spacing w:after="0" w:line="255"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Transactions with Interested Parties</w:t>
      </w:r>
      <w:r>
        <w:rPr>
          <w:rFonts w:ascii="Arial" w:cs="Arial" w:eastAsia="Arial" w:hAnsi="Arial"/>
          <w:sz w:val="14"/>
          <w:szCs w:val="14"/>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47" w:lineRule="exact"/>
        <w:rPr>
          <w:sz w:val="20"/>
          <w:szCs w:val="20"/>
          <w:color w:val="auto"/>
        </w:rPr>
      </w:pPr>
    </w:p>
    <w:p>
      <w:pPr>
        <w:ind w:left="460" w:right="160" w:firstLine="442"/>
        <w:spacing w:after="0" w:line="345" w:lineRule="auto"/>
        <w:tabs>
          <w:tab w:leader="none" w:pos="1085"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ind w:left="460" w:firstLine="442"/>
        <w:spacing w:after="0" w:line="267" w:lineRule="auto"/>
        <w:tabs>
          <w:tab w:leader="none" w:pos="1092"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38" w:lineRule="exact"/>
        <w:rPr>
          <w:rFonts w:ascii="Arial" w:cs="Arial" w:eastAsia="Arial" w:hAnsi="Arial"/>
          <w:sz w:val="14"/>
          <w:szCs w:val="14"/>
          <w:color w:val="auto"/>
        </w:rPr>
      </w:pPr>
    </w:p>
    <w:p>
      <w:pPr>
        <w:ind w:left="1080" w:hanging="178"/>
        <w:spacing w:after="0"/>
        <w:tabs>
          <w:tab w:leader="none" w:pos="10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contract or transaction is fair as to the Corporation as of the time it is authorized, approved or ratified, by the Board of Directors, a committee thereof, or the stockholders.</w:t>
      </w:r>
    </w:p>
    <w:p>
      <w:pPr>
        <w:spacing w:after="0" w:line="155" w:lineRule="exact"/>
        <w:rPr>
          <w:sz w:val="20"/>
          <w:szCs w:val="20"/>
          <w:color w:val="auto"/>
        </w:rPr>
      </w:pPr>
    </w:p>
    <w:p>
      <w:pPr>
        <w:ind w:right="300" w:firstLine="917"/>
        <w:spacing w:after="0" w:line="267"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Quorum</w:t>
      </w:r>
      <w:r>
        <w:rPr>
          <w:rFonts w:ascii="Arial" w:cs="Arial" w:eastAsia="Arial" w:hAnsi="Arial"/>
          <w:sz w:val="14"/>
          <w:szCs w:val="14"/>
          <w:color w:val="auto"/>
        </w:rPr>
        <w:t>. Common or interested Directors may be counted in determining the presence of a quorum at a meeting of the Board of Directors or of a committee which authorizes the contract or transaction.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VIII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GENERAL PROVISIONS</w:t>
      </w:r>
    </w:p>
    <w:p>
      <w:pPr>
        <w:spacing w:after="0" w:line="132" w:lineRule="exact"/>
        <w:rPr>
          <w:sz w:val="20"/>
          <w:szCs w:val="20"/>
          <w:color w:val="auto"/>
        </w:rPr>
      </w:pPr>
    </w:p>
    <w:p>
      <w:pPr>
        <w:ind w:right="100" w:firstLine="917"/>
        <w:spacing w:after="0" w:line="267"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Dividends</w:t>
      </w:r>
      <w:r>
        <w:rPr>
          <w:rFonts w:ascii="Arial" w:cs="Arial" w:eastAsia="Arial" w:hAnsi="Arial"/>
          <w:sz w:val="14"/>
          <w:szCs w:val="14"/>
          <w:color w:val="auto"/>
        </w:rPr>
        <w:t>. Dividends upon the capital stock of the Corporation, if any,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Reserves</w:t>
      </w:r>
      <w:r>
        <w:rPr>
          <w:rFonts w:ascii="Arial" w:cs="Arial" w:eastAsia="Arial" w:hAnsi="Arial"/>
          <w:sz w:val="12"/>
          <w:szCs w:val="12"/>
          <w:color w:val="auto"/>
        </w:rPr>
        <w:t>. The Directors may set apart out of any funds of the Corporation available for dividends a reserve or reserves for any proper purpose and may abolish any such reserve.</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- 14 -</w:t>
      </w:r>
    </w:p>
    <w:p>
      <w:pPr>
        <w:sectPr>
          <w:pgSz w:w="11900" w:h="16838" w:orient="portrait"/>
          <w:cols w:equalWidth="0" w:num="1">
            <w:col w:w="11460"/>
          </w:cols>
          <w:pgMar w:left="220" w:top="247" w:right="219" w:bottom="1440" w:gutter="0" w:footer="0" w:header="0"/>
        </w:sectPr>
      </w:pPr>
    </w:p>
    <w:bookmarkStart w:id="253" w:name="page254"/>
    <w:bookmarkEnd w:id="253"/>
    <w:p>
      <w:pPr>
        <w:ind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Section 3. </w:t>
      </w:r>
      <w:r>
        <w:rPr>
          <w:rFonts w:ascii="Arial" w:cs="Arial" w:eastAsia="Arial" w:hAnsi="Arial"/>
          <w:sz w:val="14"/>
          <w:szCs w:val="14"/>
          <w:u w:val="single" w:color="auto"/>
          <w:color w:val="auto"/>
        </w:rPr>
        <w:t>Checks</w:t>
      </w:r>
      <w:r>
        <w:rPr>
          <w:rFonts w:ascii="Arial" w:cs="Arial" w:eastAsia="Arial" w:hAnsi="Arial"/>
          <w:sz w:val="14"/>
          <w:szCs w:val="14"/>
          <w:color w:val="auto"/>
        </w:rPr>
        <w:t>. All checks or demands for money and notes of the Corporation shall be signed by such officer or officers or such other person or persons as the Board of Directors may from time to time designate.</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Fiscal Year</w:t>
      </w:r>
      <w:r>
        <w:rPr>
          <w:rFonts w:ascii="Arial" w:cs="Arial" w:eastAsia="Arial" w:hAnsi="Arial"/>
          <w:sz w:val="14"/>
          <w:szCs w:val="14"/>
          <w:color w:val="auto"/>
        </w:rPr>
        <w:t>. The fiscal year of the Corporation shall be fixed by resolution of the Board of Directors.</w:t>
      </w:r>
    </w:p>
    <w:p>
      <w:pPr>
        <w:spacing w:after="0" w:line="132" w:lineRule="exact"/>
        <w:rPr>
          <w:sz w:val="20"/>
          <w:szCs w:val="20"/>
          <w:color w:val="auto"/>
        </w:rPr>
      </w:pPr>
    </w:p>
    <w:p>
      <w:pPr>
        <w:ind w:right="80" w:firstLine="917"/>
        <w:spacing w:after="0" w:line="351"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Seal</w:t>
      </w:r>
      <w:r>
        <w:rPr>
          <w:rFonts w:ascii="Arial" w:cs="Arial" w:eastAsia="Arial" w:hAnsi="Arial"/>
          <w:sz w:val="12"/>
          <w:szCs w:val="12"/>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ARTICLE IX</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AMENDMENTS</w:t>
      </w:r>
    </w:p>
    <w:p>
      <w:pPr>
        <w:spacing w:after="0" w:line="132" w:lineRule="exact"/>
        <w:rPr>
          <w:sz w:val="20"/>
          <w:szCs w:val="20"/>
          <w:color w:val="auto"/>
        </w:rPr>
      </w:pPr>
    </w:p>
    <w:p>
      <w:pPr>
        <w:ind w:right="20" w:firstLine="917"/>
        <w:spacing w:after="0" w:line="321" w:lineRule="auto"/>
        <w:rPr>
          <w:sz w:val="20"/>
          <w:szCs w:val="20"/>
          <w:color w:val="auto"/>
        </w:rPr>
      </w:pPr>
      <w:r>
        <w:rPr>
          <w:rFonts w:ascii="Arial" w:cs="Arial" w:eastAsia="Arial" w:hAnsi="Arial"/>
          <w:sz w:val="12"/>
          <w:szCs w:val="12"/>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provided, however, that in the case of a regular or special meeting of stockholders, notice of such alteration, amendment, repeal or adoption of new By-Laws be contained in the notice of such meeting.</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- 15 -</w:t>
      </w:r>
    </w:p>
    <w:p>
      <w:pPr>
        <w:sectPr>
          <w:pgSz w:w="11900" w:h="16838" w:orient="portrait"/>
          <w:cols w:equalWidth="0" w:num="1">
            <w:col w:w="11380"/>
          </w:cols>
          <w:pgMar w:left="220" w:top="247" w:right="299" w:bottom="1440" w:gutter="0" w:footer="0" w:header="0"/>
        </w:sectPr>
      </w:pPr>
    </w:p>
    <w:bookmarkStart w:id="254" w:name="page255"/>
    <w:bookmarkEnd w:id="254"/>
    <w:p>
      <w:pPr>
        <w:ind w:left="46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Register of Amendments to the By-Laws</w:t>
      </w:r>
    </w:p>
    <w:p>
      <w:pPr>
        <w:spacing w:after="0" w:line="163" w:lineRule="exact"/>
        <w:rPr>
          <w:sz w:val="20"/>
          <w:szCs w:val="20"/>
          <w:color w:val="auto"/>
        </w:rPr>
      </w:pPr>
    </w:p>
    <w:p>
      <w:pPr>
        <w:spacing w:after="0"/>
        <w:tabs>
          <w:tab w:leader="none" w:pos="4120" w:val="left"/>
          <w:tab w:leader="none" w:pos="9500" w:val="left"/>
        </w:tabs>
        <w:rPr>
          <w:sz w:val="20"/>
          <w:szCs w:val="20"/>
          <w:color w:val="auto"/>
        </w:rPr>
      </w:pPr>
      <w:r>
        <w:rPr>
          <w:rFonts w:ascii="Arial" w:cs="Arial" w:eastAsia="Arial" w:hAnsi="Arial"/>
          <w:sz w:val="10"/>
          <w:szCs w:val="10"/>
          <w:u w:val="single" w:color="auto"/>
          <w:color w:val="auto"/>
        </w:rPr>
        <w:t>Date</w:t>
      </w:r>
      <w:r>
        <w:rPr>
          <w:sz w:val="20"/>
          <w:szCs w:val="20"/>
          <w:color w:val="auto"/>
        </w:rPr>
        <w:tab/>
      </w:r>
      <w:r>
        <w:rPr>
          <w:rFonts w:ascii="Arial" w:cs="Arial" w:eastAsia="Arial" w:hAnsi="Arial"/>
          <w:sz w:val="10"/>
          <w:szCs w:val="10"/>
          <w:u w:val="single" w:color="auto"/>
          <w:color w:val="auto"/>
        </w:rPr>
        <w:t>Section Affected</w:t>
      </w:r>
      <w:r>
        <w:rPr>
          <w:sz w:val="20"/>
          <w:szCs w:val="20"/>
          <w:color w:val="auto"/>
        </w:rPr>
        <w:tab/>
      </w:r>
      <w:r>
        <w:rPr>
          <w:rFonts w:ascii="Arial" w:cs="Arial" w:eastAsia="Arial" w:hAnsi="Arial"/>
          <w:sz w:val="9"/>
          <w:szCs w:val="9"/>
          <w:u w:val="single" w:color="auto"/>
          <w:color w:val="auto"/>
        </w:rPr>
        <w:t>Change</w:t>
      </w:r>
    </w:p>
    <w:p>
      <w:pPr>
        <w:sectPr>
          <w:pgSz w:w="11900" w:h="16838" w:orient="portrait"/>
          <w:cols w:equalWidth="0" w:num="1">
            <w:col w:w="10239"/>
          </w:cols>
          <w:pgMar w:left="220" w:top="247" w:right="1440" w:bottom="1440" w:gutter="0" w:footer="0" w:header="0"/>
        </w:sectPr>
      </w:pPr>
    </w:p>
    <w:bookmarkStart w:id="255" w:name="page256"/>
    <w:bookmarkEnd w:id="255"/>
    <w:p>
      <w:pPr>
        <w:jc w:val="right"/>
        <w:spacing w:after="0"/>
        <w:rPr>
          <w:sz w:val="20"/>
          <w:szCs w:val="20"/>
          <w:color w:val="auto"/>
        </w:rPr>
      </w:pPr>
      <w:r>
        <w:rPr>
          <w:rFonts w:ascii="Arial" w:cs="Arial" w:eastAsia="Arial" w:hAnsi="Arial"/>
          <w:sz w:val="14"/>
          <w:szCs w:val="14"/>
          <w:b w:val="1"/>
          <w:bCs w:val="1"/>
          <w:color w:val="auto"/>
        </w:rPr>
        <w:t>Exhibit 4.1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EXECUTION COPY</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FOURTH AMENDED AND RESTATED</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REGISTRATION RIGHTS AGREEMENT</w:t>
      </w:r>
    </w:p>
    <w:p>
      <w:pPr>
        <w:spacing w:after="0" w:line="149"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by and among</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MACROGENICS, INC.,</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THE FOUNDERS,</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and</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THE INVESTORS</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September 19, 2008</w:t>
      </w:r>
    </w:p>
    <w:p>
      <w:pPr>
        <w:sectPr>
          <w:pgSz w:w="11900" w:h="16838" w:orient="portrait"/>
          <w:cols w:equalWidth="0" w:num="1">
            <w:col w:w="10240"/>
          </w:cols>
          <w:pgMar w:left="1440" w:top="130" w:right="21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0" w:type="dxa"/>
            <w:vAlign w:val="bottom"/>
            <w:gridSpan w:val="2"/>
          </w:tcPr>
          <w:p>
            <w:pPr>
              <w:jc w:val="right"/>
              <w:ind w:right="4928"/>
              <w:spacing w:after="0"/>
              <w:rPr>
                <w:sz w:val="20"/>
                <w:szCs w:val="20"/>
                <w:color w:val="auto"/>
              </w:rPr>
            </w:pPr>
            <w:r>
              <w:rPr>
                <w:rFonts w:ascii="Arial" w:cs="Arial" w:eastAsia="Arial" w:hAnsi="Arial"/>
                <w:sz w:val="14"/>
                <w:szCs w:val="14"/>
                <w:color w:val="auto"/>
              </w:rPr>
              <w:t>TABLE OF CONTENTS</w:t>
            </w:r>
          </w:p>
        </w:tc>
      </w:tr>
      <w:tr>
        <w:trPr>
          <w:trHeight w:val="273"/>
        </w:trPr>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5"/>
              </w:rPr>
              <w:t>Page</w:t>
            </w:r>
          </w:p>
        </w:tc>
      </w:tr>
      <w:tr>
        <w:trPr>
          <w:trHeight w:val="199"/>
        </w:trPr>
        <w:tc>
          <w:tcPr>
            <w:tcW w:w="300" w:type="dxa"/>
            <w:vAlign w:val="bottom"/>
          </w:tcPr>
          <w:p>
            <w:pPr>
              <w:spacing w:after="0"/>
              <w:rPr>
                <w:sz w:val="20"/>
                <w:szCs w:val="20"/>
                <w:color w:val="auto"/>
              </w:rPr>
            </w:pPr>
            <w:r>
              <w:rPr>
                <w:rFonts w:ascii="Arial" w:cs="Arial" w:eastAsia="Arial" w:hAnsi="Arial"/>
                <w:sz w:val="14"/>
                <w:szCs w:val="14"/>
                <w:color w:val="auto"/>
              </w:rPr>
              <w:t>1.</w:t>
            </w:r>
          </w:p>
        </w:tc>
        <w:tc>
          <w:tcPr>
            <w:tcW w:w="10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0"/>
              </w:rPr>
              <w:t>Certain Definitions</w:t>
            </w:r>
          </w:p>
        </w:tc>
        <w:tc>
          <w:tcPr>
            <w:tcW w:w="2640" w:type="dxa"/>
            <w:vAlign w:val="bottom"/>
            <w:gridSpan w:val="10"/>
          </w:tcPr>
          <w:p>
            <w:pPr>
              <w:spacing w:after="0"/>
              <w:rPr>
                <w:sz w:val="17"/>
                <w:szCs w:val="17"/>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2.</w:t>
            </w: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87"/>
              </w:rPr>
              <w:t>Restrictive Legend</w:t>
            </w:r>
          </w:p>
        </w:tc>
        <w:tc>
          <w:tcPr>
            <w:tcW w:w="2660" w:type="dxa"/>
            <w:vAlign w:val="bottom"/>
            <w:gridSpan w:val="11"/>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3.</w:t>
            </w:r>
          </w:p>
        </w:tc>
        <w:tc>
          <w:tcPr>
            <w:tcW w:w="3700" w:type="dxa"/>
            <w:vAlign w:val="bottom"/>
            <w:gridSpan w:val="14"/>
          </w:tcPr>
          <w:p>
            <w:pPr>
              <w:spacing w:after="0"/>
              <w:rPr>
                <w:sz w:val="20"/>
                <w:szCs w:val="20"/>
                <w:color w:val="auto"/>
              </w:rPr>
            </w:pPr>
            <w:r>
              <w:rPr>
                <w:rFonts w:ascii="Arial" w:cs="Arial" w:eastAsia="Arial" w:hAnsi="Arial"/>
                <w:sz w:val="14"/>
                <w:szCs w:val="14"/>
                <w:color w:val="auto"/>
              </w:rPr>
              <w:t>Notice of Proposed Transfer</w:t>
            </w: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4.</w:t>
            </w:r>
          </w:p>
        </w:tc>
        <w:tc>
          <w:tcPr>
            <w:tcW w:w="1540" w:type="dxa"/>
            <w:vAlign w:val="bottom"/>
            <w:tcBorders>
              <w:top w:val="single" w:sz="8" w:color="auto"/>
            </w:tcBorders>
            <w:gridSpan w:val="10"/>
          </w:tcPr>
          <w:p>
            <w:pPr>
              <w:spacing w:after="0"/>
              <w:rPr>
                <w:sz w:val="20"/>
                <w:szCs w:val="20"/>
                <w:color w:val="auto"/>
              </w:rPr>
            </w:pPr>
            <w:r>
              <w:rPr>
                <w:rFonts w:ascii="Arial" w:cs="Arial" w:eastAsia="Arial" w:hAnsi="Arial"/>
                <w:sz w:val="14"/>
                <w:szCs w:val="14"/>
                <w:color w:val="auto"/>
              </w:rPr>
              <w:t>Required Registration</w:t>
            </w:r>
          </w:p>
        </w:tc>
        <w:tc>
          <w:tcPr>
            <w:tcW w:w="2160" w:type="dxa"/>
            <w:vAlign w:val="bottom"/>
            <w:gridSpan w:val="4"/>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5.</w:t>
            </w:r>
          </w:p>
        </w:tc>
        <w:tc>
          <w:tcPr>
            <w:tcW w:w="126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89"/>
              </w:rPr>
              <w:t>Incidental Registration</w:t>
            </w:r>
          </w:p>
        </w:tc>
        <w:tc>
          <w:tcPr>
            <w:tcW w:w="2440" w:type="dxa"/>
            <w:vAlign w:val="bottom"/>
            <w:gridSpan w:val="7"/>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6.</w:t>
            </w:r>
          </w:p>
        </w:tc>
        <w:tc>
          <w:tcPr>
            <w:tcW w:w="140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w w:val="88"/>
              </w:rPr>
              <w:t>Registration on Form S-3</w:t>
            </w:r>
          </w:p>
        </w:tc>
        <w:tc>
          <w:tcPr>
            <w:tcW w:w="2300" w:type="dxa"/>
            <w:vAlign w:val="bottom"/>
            <w:gridSpan w:val="5"/>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5</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7.</w:t>
            </w:r>
          </w:p>
        </w:tc>
        <w:tc>
          <w:tcPr>
            <w:tcW w:w="132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86"/>
              </w:rPr>
              <w:t>Registration Procedures</w:t>
            </w:r>
          </w:p>
        </w:tc>
        <w:tc>
          <w:tcPr>
            <w:tcW w:w="2380" w:type="dxa"/>
            <w:vAlign w:val="bottom"/>
            <w:gridSpan w:val="6"/>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8.</w:t>
            </w:r>
          </w:p>
        </w:tc>
        <w:tc>
          <w:tcPr>
            <w:tcW w:w="3700" w:type="dxa"/>
            <w:vAlign w:val="bottom"/>
            <w:gridSpan w:val="14"/>
          </w:tcPr>
          <w:p>
            <w:pPr>
              <w:spacing w:after="0"/>
              <w:rPr>
                <w:sz w:val="20"/>
                <w:szCs w:val="20"/>
                <w:color w:val="auto"/>
              </w:rPr>
            </w:pPr>
            <w:r>
              <w:rPr>
                <w:rFonts w:ascii="Arial" w:cs="Arial" w:eastAsia="Arial" w:hAnsi="Arial"/>
                <w:sz w:val="14"/>
                <w:szCs w:val="14"/>
                <w:color w:val="auto"/>
              </w:rPr>
              <w:t>Expenses</w:t>
            </w: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9.</w:t>
            </w:r>
          </w:p>
        </w:tc>
        <w:tc>
          <w:tcPr>
            <w:tcW w:w="1840" w:type="dxa"/>
            <w:vAlign w:val="bottom"/>
            <w:tcBorders>
              <w:bottom w:val="single" w:sz="8" w:color="auto"/>
            </w:tcBorders>
            <w:gridSpan w:val="11"/>
          </w:tcPr>
          <w:p>
            <w:pPr>
              <w:spacing w:after="0"/>
              <w:rPr>
                <w:sz w:val="20"/>
                <w:szCs w:val="20"/>
                <w:color w:val="auto"/>
              </w:rPr>
            </w:pPr>
            <w:r>
              <w:rPr>
                <w:rFonts w:ascii="Arial" w:cs="Arial" w:eastAsia="Arial" w:hAnsi="Arial"/>
                <w:sz w:val="14"/>
                <w:szCs w:val="14"/>
                <w:color w:val="auto"/>
                <w:w w:val="90"/>
              </w:rPr>
              <w:t>Indemnification and Contribution</w:t>
            </w:r>
          </w:p>
        </w:tc>
        <w:tc>
          <w:tcPr>
            <w:tcW w:w="1860" w:type="dxa"/>
            <w:vAlign w:val="bottom"/>
            <w:gridSpan w:val="3"/>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10.</w:t>
            </w:r>
          </w:p>
        </w:tc>
        <w:tc>
          <w:tcPr>
            <w:tcW w:w="3700" w:type="dxa"/>
            <w:vAlign w:val="bottom"/>
            <w:gridSpan w:val="14"/>
          </w:tcPr>
          <w:p>
            <w:pPr>
              <w:spacing w:after="0"/>
              <w:rPr>
                <w:sz w:val="20"/>
                <w:szCs w:val="20"/>
                <w:color w:val="auto"/>
              </w:rPr>
            </w:pPr>
            <w:r>
              <w:rPr>
                <w:rFonts w:ascii="Arial" w:cs="Arial" w:eastAsia="Arial" w:hAnsi="Arial"/>
                <w:sz w:val="14"/>
                <w:szCs w:val="14"/>
                <w:color w:val="auto"/>
              </w:rPr>
              <w:t>Changes in Common Stock or Preferred Stock</w:t>
            </w: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11.</w:t>
            </w:r>
          </w:p>
        </w:tc>
        <w:tc>
          <w:tcPr>
            <w:tcW w:w="10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4"/>
                <w:szCs w:val="14"/>
                <w:color w:val="auto"/>
                <w:w w:val="87"/>
              </w:rPr>
              <w:t>Rule 144 Reporting</w:t>
            </w:r>
          </w:p>
        </w:tc>
        <w:tc>
          <w:tcPr>
            <w:tcW w:w="1440" w:type="dxa"/>
            <w:vAlign w:val="bottom"/>
            <w:tcBorders>
              <w:top w:val="single" w:sz="8" w:color="auto"/>
            </w:tcBorders>
            <w:gridSpan w:val="7"/>
          </w:tcPr>
          <w:p>
            <w:pPr>
              <w:spacing w:after="0"/>
              <w:rPr>
                <w:sz w:val="20"/>
                <w:szCs w:val="20"/>
                <w:color w:val="auto"/>
              </w:rPr>
            </w:pPr>
          </w:p>
        </w:tc>
        <w:tc>
          <w:tcPr>
            <w:tcW w:w="1180" w:type="dxa"/>
            <w:vAlign w:val="bottom"/>
            <w:gridSpan w:val="2"/>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12.</w:t>
            </w:r>
          </w:p>
        </w:tc>
        <w:tc>
          <w:tcPr>
            <w:tcW w:w="2640" w:type="dxa"/>
            <w:vAlign w:val="bottom"/>
            <w:tcBorders>
              <w:bottom w:val="single" w:sz="8" w:color="auto"/>
            </w:tcBorders>
            <w:gridSpan w:val="13"/>
          </w:tcPr>
          <w:p>
            <w:pPr>
              <w:spacing w:after="0"/>
              <w:rPr>
                <w:sz w:val="20"/>
                <w:szCs w:val="20"/>
                <w:color w:val="auto"/>
              </w:rPr>
            </w:pPr>
            <w:r>
              <w:rPr>
                <w:rFonts w:ascii="Arial" w:cs="Arial" w:eastAsia="Arial" w:hAnsi="Arial"/>
                <w:sz w:val="14"/>
                <w:szCs w:val="14"/>
                <w:color w:val="auto"/>
                <w:w w:val="86"/>
              </w:rPr>
              <w:t>Representations and Warranties of the Company</w:t>
            </w:r>
          </w:p>
        </w:tc>
        <w:tc>
          <w:tcPr>
            <w:tcW w:w="1060" w:type="dxa"/>
            <w:vAlign w:val="bottom"/>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13.</w:t>
            </w:r>
          </w:p>
        </w:tc>
        <w:tc>
          <w:tcPr>
            <w:tcW w:w="3700" w:type="dxa"/>
            <w:vAlign w:val="bottom"/>
            <w:gridSpan w:val="14"/>
          </w:tcPr>
          <w:p>
            <w:pPr>
              <w:spacing w:after="0"/>
              <w:rPr>
                <w:sz w:val="20"/>
                <w:szCs w:val="20"/>
                <w:color w:val="auto"/>
              </w:rPr>
            </w:pPr>
            <w:r>
              <w:rPr>
                <w:rFonts w:ascii="Arial" w:cs="Arial" w:eastAsia="Arial" w:hAnsi="Arial"/>
                <w:sz w:val="14"/>
                <w:szCs w:val="14"/>
                <w:color w:val="auto"/>
              </w:rPr>
              <w:t>Binding Arbitration</w:t>
            </w: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231"/>
        </w:trPr>
        <w:tc>
          <w:tcPr>
            <w:tcW w:w="300" w:type="dxa"/>
            <w:vAlign w:val="bottom"/>
          </w:tcPr>
          <w:p>
            <w:pPr>
              <w:spacing w:after="0"/>
              <w:rPr>
                <w:sz w:val="20"/>
                <w:szCs w:val="20"/>
                <w:color w:val="auto"/>
              </w:rPr>
            </w:pPr>
            <w:r>
              <w:rPr>
                <w:rFonts w:ascii="Arial" w:cs="Arial" w:eastAsia="Arial" w:hAnsi="Arial"/>
                <w:sz w:val="14"/>
                <w:szCs w:val="14"/>
                <w:color w:val="auto"/>
              </w:rPr>
              <w:t>14.</w:t>
            </w:r>
          </w:p>
        </w:tc>
        <w:tc>
          <w:tcPr>
            <w:tcW w:w="10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Miscellaneous</w:t>
            </w:r>
          </w:p>
        </w:tc>
        <w:tc>
          <w:tcPr>
            <w:tcW w:w="2620" w:type="dxa"/>
            <w:vAlign w:val="bottom"/>
            <w:gridSpan w:val="9"/>
          </w:tcPr>
          <w:p>
            <w:pPr>
              <w:spacing w:after="0"/>
              <w:rPr>
                <w:sz w:val="20"/>
                <w:szCs w:val="20"/>
                <w:color w:val="auto"/>
              </w:rPr>
            </w:pPr>
          </w:p>
        </w:tc>
        <w:tc>
          <w:tcPr>
            <w:tcW w:w="740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92"/>
        </w:trPr>
        <w:tc>
          <w:tcPr>
            <w:tcW w:w="3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0" w:type="dxa"/>
            <w:vAlign w:val="bottom"/>
            <w:gridSpan w:val="2"/>
          </w:tcPr>
          <w:p>
            <w:pPr>
              <w:jc w:val="right"/>
              <w:ind w:right="5588"/>
              <w:spacing w:after="0"/>
              <w:rPr>
                <w:sz w:val="20"/>
                <w:szCs w:val="20"/>
                <w:color w:val="auto"/>
              </w:rPr>
            </w:pPr>
            <w:r>
              <w:rPr>
                <w:rFonts w:ascii="Arial" w:cs="Arial" w:eastAsia="Arial" w:hAnsi="Arial"/>
                <w:sz w:val="14"/>
                <w:szCs w:val="14"/>
                <w:color w:val="auto"/>
              </w:rPr>
              <w:t>i</w:t>
            </w:r>
          </w:p>
        </w:tc>
      </w:tr>
    </w:tbl>
    <w:p>
      <w:pPr>
        <w:jc w:val="right"/>
        <w:ind w:right="5588"/>
        <w:spacing w:after="0"/>
        <w:rPr>
          <w:sz w:val="20"/>
          <w:szCs w:val="20"/>
          <w:color w:val="auto"/>
        </w:rPr>
        <w:sectPr>
          <w:pgSz w:w="11900" w:h="16838" w:orient="portrait"/>
          <w:cols w:equalWidth="0" w:num="1">
            <w:col w:w="11400"/>
          </w:cols>
          <w:pgMar w:left="220" w:top="247" w:right="279" w:bottom="1440" w:gutter="0" w:footer="0" w:header="0"/>
        </w:sect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bookmarkStart w:id="257" w:name="page258"/>
    <w:bookmarkEnd w:id="257"/>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INC.</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FOURTH AMENDED AND RESTATED REGISTRATION RIGHTS AGREEMENT</w:t>
      </w:r>
    </w:p>
    <w:p>
      <w:pPr>
        <w:spacing w:after="0" w:line="134" w:lineRule="exact"/>
        <w:rPr>
          <w:sz w:val="20"/>
          <w:szCs w:val="20"/>
          <w:color w:val="auto"/>
        </w:rPr>
      </w:pPr>
    </w:p>
    <w:p>
      <w:pPr>
        <w:ind w:right="120" w:firstLine="458"/>
        <w:spacing w:after="0" w:line="321" w:lineRule="auto"/>
        <w:rPr>
          <w:sz w:val="20"/>
          <w:szCs w:val="20"/>
          <w:color w:val="auto"/>
        </w:rPr>
      </w:pPr>
      <w:r>
        <w:rPr>
          <w:rFonts w:ascii="Arial" w:cs="Arial" w:eastAsia="Arial" w:hAnsi="Arial"/>
          <w:sz w:val="12"/>
          <w:szCs w:val="12"/>
          <w:color w:val="auto"/>
        </w:rPr>
        <w:t>THIS FOURTH AMENDED AND RESTATED REGISTRATION RIGHTS AGREEMENT, dated September 19, 2008 (this “</w:t>
      </w:r>
      <w:r>
        <w:rPr>
          <w:rFonts w:ascii="Arial" w:cs="Arial" w:eastAsia="Arial" w:hAnsi="Arial"/>
          <w:sz w:val="12"/>
          <w:szCs w:val="12"/>
          <w:u w:val="single" w:color="auto"/>
          <w:color w:val="auto"/>
        </w:rPr>
        <w:t>Agreement</w:t>
      </w:r>
      <w:r>
        <w:rPr>
          <w:rFonts w:ascii="Arial" w:cs="Arial" w:eastAsia="Arial" w:hAnsi="Arial"/>
          <w:sz w:val="12"/>
          <w:szCs w:val="12"/>
          <w:color w:val="auto"/>
        </w:rPr>
        <w:t>”), is made by and among MacroGenics,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those parties identified as Founders on the signature page hereto (the “</w:t>
      </w:r>
      <w:r>
        <w:rPr>
          <w:rFonts w:ascii="Arial" w:cs="Arial" w:eastAsia="Arial" w:hAnsi="Arial"/>
          <w:sz w:val="12"/>
          <w:szCs w:val="12"/>
          <w:u w:val="single" w:color="auto"/>
          <w:color w:val="auto"/>
        </w:rPr>
        <w:t>Founders</w:t>
      </w:r>
      <w:r>
        <w:rPr>
          <w:rFonts w:ascii="Arial" w:cs="Arial" w:eastAsia="Arial" w:hAnsi="Arial"/>
          <w:sz w:val="12"/>
          <w:szCs w:val="12"/>
          <w:color w:val="auto"/>
        </w:rPr>
        <w:t xml:space="preserve">”), the parties listed on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(the “</w:t>
      </w:r>
      <w:r>
        <w:rPr>
          <w:rFonts w:ascii="Arial" w:cs="Arial" w:eastAsia="Arial" w:hAnsi="Arial"/>
          <w:sz w:val="12"/>
          <w:szCs w:val="12"/>
          <w:u w:val="single" w:color="auto"/>
          <w:color w:val="auto"/>
        </w:rPr>
        <w:t>Existing Investors</w:t>
      </w:r>
      <w:r>
        <w:rPr>
          <w:rFonts w:ascii="Arial" w:cs="Arial" w:eastAsia="Arial" w:hAnsi="Arial"/>
          <w:sz w:val="12"/>
          <w:szCs w:val="12"/>
          <w:color w:val="auto"/>
        </w:rPr>
        <w:t xml:space="preserve">”), the parties listed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(the “</w:t>
      </w:r>
      <w:r>
        <w:rPr>
          <w:rFonts w:ascii="Arial" w:cs="Arial" w:eastAsia="Arial" w:hAnsi="Arial"/>
          <w:sz w:val="12"/>
          <w:szCs w:val="12"/>
          <w:u w:val="single" w:color="auto"/>
          <w:color w:val="auto"/>
        </w:rPr>
        <w:t>Series D Investors</w:t>
      </w:r>
      <w:r>
        <w:rPr>
          <w:rFonts w:ascii="Arial" w:cs="Arial" w:eastAsia="Arial" w:hAnsi="Arial"/>
          <w:sz w:val="12"/>
          <w:szCs w:val="12"/>
          <w:color w:val="auto"/>
        </w:rPr>
        <w:t>”), and the parties executing the signature pages hereto (the “</w:t>
      </w:r>
      <w:r>
        <w:rPr>
          <w:rFonts w:ascii="Arial" w:cs="Arial" w:eastAsia="Arial" w:hAnsi="Arial"/>
          <w:sz w:val="12"/>
          <w:szCs w:val="12"/>
          <w:u w:val="single" w:color="auto"/>
          <w:color w:val="auto"/>
        </w:rPr>
        <w:t>New Investors</w:t>
      </w:r>
      <w:r>
        <w:rPr>
          <w:rFonts w:ascii="Arial" w:cs="Arial" w:eastAsia="Arial" w:hAnsi="Arial"/>
          <w:sz w:val="12"/>
          <w:szCs w:val="12"/>
          <w:color w:val="auto"/>
        </w:rPr>
        <w:t>,” and collectively with the Existing Investors and the Series D Investors, the “</w:t>
      </w:r>
      <w:r>
        <w:rPr>
          <w:rFonts w:ascii="Arial" w:cs="Arial" w:eastAsia="Arial" w:hAnsi="Arial"/>
          <w:sz w:val="12"/>
          <w:szCs w:val="12"/>
          <w:u w:val="single" w:color="auto"/>
          <w:color w:val="auto"/>
        </w:rPr>
        <w:t>Investors</w:t>
      </w:r>
      <w:r>
        <w:rPr>
          <w:rFonts w:ascii="Arial" w:cs="Arial" w:eastAsia="Arial" w:hAnsi="Arial"/>
          <w:sz w:val="12"/>
          <w:szCs w:val="12"/>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consideration of the mutual promises and obligations contained herein, the parties hereto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u w:val="single" w:color="auto"/>
          <w:color w:val="auto"/>
        </w:rPr>
        <w:t>Certain Definitions</w:t>
      </w:r>
      <w:r>
        <w:rPr>
          <w:rFonts w:ascii="Arial" w:cs="Arial" w:eastAsia="Arial" w:hAnsi="Arial"/>
          <w:sz w:val="14"/>
          <w:szCs w:val="14"/>
          <w:color w:val="auto"/>
        </w:rPr>
        <w:t>. As used in this Agreement, the following terms shall have the following respective meanings:</w:t>
      </w:r>
    </w:p>
    <w:p>
      <w:pPr>
        <w:spacing w:after="0" w:line="132"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Restricted Stock</w:t>
      </w:r>
      <w:r>
        <w:rPr>
          <w:rFonts w:ascii="Arial" w:cs="Arial" w:eastAsia="Arial" w:hAnsi="Arial"/>
          <w:sz w:val="14"/>
          <w:szCs w:val="14"/>
          <w:color w:val="auto"/>
        </w:rPr>
        <w:t>” shall mean the shares of Common Stock (the “</w:t>
      </w:r>
      <w:r>
        <w:rPr>
          <w:rFonts w:ascii="Arial" w:cs="Arial" w:eastAsia="Arial" w:hAnsi="Arial"/>
          <w:sz w:val="14"/>
          <w:szCs w:val="14"/>
          <w:u w:val="single" w:color="auto"/>
          <w:color w:val="auto"/>
        </w:rPr>
        <w:t>Additional Conversion Shares</w:t>
      </w:r>
      <w:r>
        <w:rPr>
          <w:rFonts w:ascii="Arial" w:cs="Arial" w:eastAsia="Arial" w:hAnsi="Arial"/>
          <w:sz w:val="14"/>
          <w:szCs w:val="14"/>
          <w:color w:val="auto"/>
        </w:rPr>
        <w:t>”) issued upon conversion of the 5,000,000 Preferred Shares (the “</w:t>
      </w:r>
      <w:r>
        <w:rPr>
          <w:rFonts w:ascii="Arial" w:cs="Arial" w:eastAsia="Arial" w:hAnsi="Arial"/>
          <w:sz w:val="14"/>
          <w:szCs w:val="14"/>
          <w:u w:val="single" w:color="auto"/>
          <w:color w:val="auto"/>
        </w:rPr>
        <w:t>Additional Preferred</w:t>
      </w:r>
      <w:r>
        <w:rPr>
          <w:rFonts w:ascii="Arial" w:cs="Arial" w:eastAsia="Arial" w:hAnsi="Arial"/>
          <w:sz w:val="14"/>
          <w:szCs w:val="14"/>
          <w:color w:val="auto"/>
        </w:rPr>
        <w:t xml:space="preserve"> </w:t>
      </w:r>
      <w:r>
        <w:rPr>
          <w:rFonts w:ascii="Arial" w:cs="Arial" w:eastAsia="Arial" w:hAnsi="Arial"/>
          <w:sz w:val="14"/>
          <w:szCs w:val="14"/>
          <w:u w:val="single" w:color="auto"/>
          <w:color w:val="auto"/>
        </w:rPr>
        <w:t>Stock</w:t>
      </w:r>
      <w:r>
        <w:rPr>
          <w:rFonts w:ascii="Arial" w:cs="Arial" w:eastAsia="Arial" w:hAnsi="Arial"/>
          <w:sz w:val="14"/>
          <w:szCs w:val="14"/>
          <w:color w:val="auto"/>
        </w:rPr>
        <w:t>”) issued and sold pursuant to that certain Stock Purchase Agreement dated as of October 27, 2003, by and between the Company and Genzyme Corporation, excluding Additional Conversion Shares which have been (a) registered under the Securities Act pursuant to an effective registration statement filed thereunder and disposed of in accordance with the registration statement covering them or (b) publicly sold pursuant to Rule 144 under the Securities Act.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Commission</w:t>
      </w:r>
      <w:r>
        <w:rPr>
          <w:rFonts w:ascii="Arial" w:cs="Arial" w:eastAsia="Arial" w:hAnsi="Arial"/>
          <w:sz w:val="14"/>
          <w:szCs w:val="14"/>
          <w:color w:val="auto"/>
        </w:rPr>
        <w:t>” shall mean the Securities and Exchange Commission, or any other federal agency at the time administering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shall mean the Common Stock, $0.01 par value per share, of the Company, as constituted as of the date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Conversion Shares</w:t>
      </w:r>
      <w:r>
        <w:rPr>
          <w:rFonts w:ascii="Arial" w:cs="Arial" w:eastAsia="Arial" w:hAnsi="Arial"/>
          <w:sz w:val="14"/>
          <w:szCs w:val="14"/>
          <w:color w:val="auto"/>
        </w:rPr>
        <w:t>” shall mean shares of Common Stock issued upon conversion of the Preferred Shares.</w:t>
      </w:r>
    </w:p>
    <w:p>
      <w:pPr>
        <w:spacing w:after="0" w:line="13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shall mean the Securities Exchange Act of 1934, as amended, or any similar federal statute, and the rules and regulations of the Commission thereunder, all as the same shall be in effect at the time.</w:t>
      </w:r>
    </w:p>
    <w:p>
      <w:pPr>
        <w:spacing w:after="0" w:line="101" w:lineRule="exact"/>
        <w:rPr>
          <w:sz w:val="20"/>
          <w:szCs w:val="20"/>
          <w:color w:val="auto"/>
        </w:rPr>
      </w:pPr>
    </w:p>
    <w:p>
      <w:pPr>
        <w:jc w:val="both"/>
        <w:ind w:right="20" w:firstLine="45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Preferred Shares</w:t>
      </w:r>
      <w:r>
        <w:rPr>
          <w:rFonts w:ascii="Arial" w:cs="Arial" w:eastAsia="Arial" w:hAnsi="Arial"/>
          <w:sz w:val="14"/>
          <w:szCs w:val="14"/>
          <w:color w:val="auto"/>
        </w:rPr>
        <w:t>” shall mean the shares of Series A-1 Convertible Preferred Stock, $0.01 par value per share, the shares of Series A-2 Convertible Preferred Stock, $0.01 par value per share, the shares of Series B-1 Convertible Preferred Stock, par value $0.01 per share, the shares of Series C Convertible Preferred Stock, $0.01 par value per share, the shares of Series D Convertible Preferred Stock, $0.01 par value per share, and the shares of Series D-2 Convertible Preferred Stock, $0.01 par value per share.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- 1 -</w:t>
      </w:r>
    </w:p>
    <w:p>
      <w:pPr>
        <w:sectPr>
          <w:pgSz w:w="11900" w:h="16838" w:orient="portrait"/>
          <w:cols w:equalWidth="0" w:num="1">
            <w:col w:w="11420"/>
          </w:cols>
          <w:pgMar w:left="220" w:top="245" w:right="259" w:bottom="1440" w:gutter="0" w:footer="0" w:header="0"/>
        </w:sectPr>
      </w:pPr>
    </w:p>
    <w:bookmarkStart w:id="258" w:name="page259"/>
    <w:bookmarkEnd w:id="258"/>
    <w:p>
      <w:pPr>
        <w:ind w:right="200"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t>
      </w:r>
      <w:r>
        <w:rPr>
          <w:rFonts w:ascii="Arial" w:cs="Arial" w:eastAsia="Arial" w:hAnsi="Arial"/>
          <w:sz w:val="14"/>
          <w:szCs w:val="14"/>
          <w:u w:val="single" w:color="auto"/>
          <w:color w:val="auto"/>
        </w:rPr>
        <w:t>Preferred Stock</w:t>
      </w:r>
      <w:r>
        <w:rPr>
          <w:rFonts w:ascii="Arial" w:cs="Arial" w:eastAsia="Arial" w:hAnsi="Arial"/>
          <w:sz w:val="14"/>
          <w:szCs w:val="14"/>
          <w:color w:val="auto"/>
        </w:rPr>
        <w:t>” shall mean the Series A-1 Convertible Preferred Stock, $0.01 par value per share, the Series A-2 Convertible Preferred Stock, $0.01 par value per share, the Series B-1 Convertible Preferred Stock, par value $0.01 per share, the Series C Convertible Preferred Stock, $0.01 par value per share, the Series D Convertible Preferred Stock, $0.01 par value per share, and the Series D-2 Convertible Preferred Stock, $0.01 par value per share.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Expenses</w:t>
      </w:r>
      <w:r>
        <w:rPr>
          <w:rFonts w:ascii="Arial" w:cs="Arial" w:eastAsia="Arial" w:hAnsi="Arial"/>
          <w:sz w:val="14"/>
          <w:szCs w:val="14"/>
          <w:color w:val="auto"/>
        </w:rPr>
        <w:t>” shall mean the expenses so described in Section 8.</w:t>
      </w:r>
    </w:p>
    <w:p>
      <w:pPr>
        <w:spacing w:after="0" w:line="132" w:lineRule="exact"/>
        <w:rPr>
          <w:sz w:val="20"/>
          <w:szCs w:val="20"/>
          <w:color w:val="auto"/>
        </w:rPr>
      </w:pPr>
    </w:p>
    <w:p>
      <w:pPr>
        <w:ind w:right="20" w:firstLine="458"/>
        <w:spacing w:after="0" w:line="32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Stock</w:t>
      </w:r>
      <w:r>
        <w:rPr>
          <w:rFonts w:ascii="Arial" w:cs="Arial" w:eastAsia="Arial" w:hAnsi="Arial"/>
          <w:sz w:val="12"/>
          <w:szCs w:val="12"/>
          <w:color w:val="auto"/>
        </w:rPr>
        <w:t>” shall mean the Conversion Shares, excluding (i) Additional Conversion Shares and (ii) Conversion Shares which have been (a) registered under the Securities Act pursuant to an effective registration statement filed thereunder and disposed of in accordance with the registration statement covering them or (b) sold pursuant to Rule 144 under the Securities Act. For purposes of Section 5 hereof, and all other provisions of this Agreement applicable to any registration covered by Section 5 hereof, Restricted Stock shall also include all Common Stock then held by the Founders and the University.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shall mean the Securities Act of 1933, as amended, or any similar federal statute, and the rules and regulations of the Commission thereunder, all as the same shall be in effect at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time.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Selling Expenses</w:t>
      </w:r>
      <w:r>
        <w:rPr>
          <w:rFonts w:ascii="Arial" w:cs="Arial" w:eastAsia="Arial" w:hAnsi="Arial"/>
          <w:sz w:val="14"/>
          <w:szCs w:val="14"/>
          <w:color w:val="auto"/>
        </w:rPr>
        <w:t>” shall mean the expenses so described in Section 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University</w:t>
      </w:r>
      <w:r>
        <w:rPr>
          <w:rFonts w:ascii="Arial" w:cs="Arial" w:eastAsia="Arial" w:hAnsi="Arial"/>
          <w:sz w:val="14"/>
          <w:szCs w:val="14"/>
          <w:color w:val="auto"/>
        </w:rPr>
        <w:t>” shall mean the Board of Regents of the University of Texas System.</w:t>
      </w:r>
    </w:p>
    <w:p>
      <w:pPr>
        <w:spacing w:after="0" w:line="132" w:lineRule="exact"/>
        <w:rPr>
          <w:sz w:val="20"/>
          <w:szCs w:val="20"/>
          <w:color w:val="auto"/>
        </w:rPr>
      </w:pPr>
    </w:p>
    <w:p>
      <w:pPr>
        <w:ind w:firstLine="462"/>
        <w:spacing w:after="0" w:line="267" w:lineRule="auto"/>
        <w:tabs>
          <w:tab w:leader="none" w:pos="594" w:val="left"/>
        </w:tabs>
        <w:numPr>
          <w:ilvl w:val="0"/>
          <w:numId w:val="153"/>
        </w:numPr>
        <w:rPr>
          <w:rFonts w:ascii="Arial" w:cs="Arial" w:eastAsia="Arial" w:hAnsi="Arial"/>
          <w:sz w:val="14"/>
          <w:szCs w:val="14"/>
          <w:color w:val="auto"/>
        </w:rPr>
      </w:pPr>
      <w:r>
        <w:rPr>
          <w:rFonts w:ascii="Arial" w:cs="Arial" w:eastAsia="Arial" w:hAnsi="Arial"/>
          <w:sz w:val="14"/>
          <w:szCs w:val="14"/>
          <w:u w:val="single" w:color="auto"/>
          <w:color w:val="auto"/>
        </w:rPr>
        <w:t>Restrictive Legend</w:t>
      </w:r>
      <w:r>
        <w:rPr>
          <w:rFonts w:ascii="Arial" w:cs="Arial" w:eastAsia="Arial" w:hAnsi="Arial"/>
          <w:sz w:val="14"/>
          <w:szCs w:val="14"/>
          <w:color w:val="auto"/>
        </w:rPr>
        <w:t>. Each certificate representing Preferred Shares or Conversion Shares shall, except as otherwise provided in this Section 2 or in Section 3, be stamped or otherwise imprinted with a legend substantially in the following form:</w:t>
      </w:r>
    </w:p>
    <w:p>
      <w:pPr>
        <w:spacing w:after="0" w:line="101" w:lineRule="exact"/>
        <w:rPr>
          <w:sz w:val="20"/>
          <w:szCs w:val="20"/>
          <w:color w:val="auto"/>
        </w:rPr>
      </w:pPr>
    </w:p>
    <w:p>
      <w:pPr>
        <w:jc w:val="both"/>
        <w:ind w:right="200" w:firstLine="458"/>
        <w:spacing w:after="0" w:line="311" w:lineRule="auto"/>
        <w:rPr>
          <w:sz w:val="20"/>
          <w:szCs w:val="20"/>
          <w:color w:val="auto"/>
        </w:rPr>
      </w:pPr>
      <w:r>
        <w:rPr>
          <w:rFonts w:ascii="Arial" w:cs="Arial" w:eastAsia="Arial" w:hAnsi="Arial"/>
          <w:sz w:val="12"/>
          <w:szCs w:val="12"/>
          <w:color w:val="auto"/>
        </w:rPr>
        <w:t>“THE SECURITIES REPRESENTED HEREBY HAVE NOT BEEN REGISTERED UNDER THE SECURITIES ACT OF 1933, AS AMENDED (THE “ACT”), OR ANY APPLICABLE STATE SECURITIES LAWS AND MAY NOT BE OFFERED, SOLD OR OTHERWISE TRANSFERRED, ASSIGNED, PLEDGED OR HYPOTHECATED UNLESS AND UNTIL REGISTERED UNDER THE ACT AND IN COMPLIANCE WITH SUCH STATE SECURITIES LAWS OR UNLESS THE ISSUER HAS RECEIVED OR WAIVED AN OPINION OF LEGAL COUNSEL SATISFACTORY TO THE ISSUER AND ITS COUNSEL THAT SUCH REGISTRATION IS NOT REQUIRED AND SUCH COMPLIANCE IS AVAILABLE.”</w:t>
      </w:r>
    </w:p>
    <w:p>
      <w:pPr>
        <w:spacing w:after="0" w:line="79"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A certificate shall not bear such legend if in the opinion of counsel reasonably satisfactory to the Company the securities represented thereby may be publicly sold without registration under the Securities Act and any applicable state securities laws.</w:t>
      </w:r>
    </w:p>
    <w:p>
      <w:pPr>
        <w:spacing w:after="0" w:line="101" w:lineRule="exact"/>
        <w:rPr>
          <w:sz w:val="20"/>
          <w:szCs w:val="20"/>
          <w:color w:val="auto"/>
        </w:rPr>
      </w:pPr>
    </w:p>
    <w:p>
      <w:pPr>
        <w:ind w:right="40" w:firstLine="462"/>
        <w:spacing w:after="0" w:line="321" w:lineRule="auto"/>
        <w:tabs>
          <w:tab w:leader="none" w:pos="594"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Notice of Proposed Transfer</w:t>
      </w:r>
      <w:r>
        <w:rPr>
          <w:rFonts w:ascii="Arial" w:cs="Arial" w:eastAsia="Arial" w:hAnsi="Arial"/>
          <w:sz w:val="12"/>
          <w:szCs w:val="12"/>
          <w:color w:val="auto"/>
        </w:rPr>
        <w:t>. Prior to any proposed transfer of any Preferred Shares or Conversion Shares (other than under the circumstances described in Sections 4, 5 or 6), the holder thereof shall give written notice to the Company of its intention to effect such transfer. Each such notice shall describe the manner of the proposed transfer and, if requested by the Company, shall be accompanied by an opinion of counsel reasonably satisfactory to the Company to the effect that the proposed transfer may be effected without registration under the</w:t>
      </w:r>
    </w:p>
    <w:p>
      <w:pPr>
        <w:spacing w:after="0" w:line="62" w:lineRule="exact"/>
        <w:rPr>
          <w:rFonts w:ascii="Arial" w:cs="Arial" w:eastAsia="Arial" w:hAnsi="Arial"/>
          <w:sz w:val="12"/>
          <w:szCs w:val="12"/>
          <w:color w:val="auto"/>
        </w:rPr>
      </w:pPr>
    </w:p>
    <w:p>
      <w:pPr>
        <w:ind w:left="5700" w:hanging="79"/>
        <w:spacing w:after="0"/>
        <w:tabs>
          <w:tab w:leader="none" w:pos="570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1400"/>
          </w:cols>
          <w:pgMar w:left="220" w:top="247" w:right="279" w:bottom="1440" w:gutter="0" w:footer="0" w:header="0"/>
        </w:sectPr>
      </w:pPr>
    </w:p>
    <w:bookmarkStart w:id="259" w:name="page260"/>
    <w:bookmarkEnd w:id="259"/>
    <w:p>
      <w:pPr>
        <w:ind w:right="140"/>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Securities Act and any applicable state securities laws, whereupon the holder of such stock shall be entitled to transfer such stock in accordance with the terms of its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such opinion of counsel shall be required for (i) a transfer to one or more partners or members of the transferor (in the case of a transferor that is a partnership or a limited liability company, respectively) or to an affiliated corporation (in the case of a transferor that is a corporation) or (ii) a transfer by any Investor to an affiliate or an entity controlled by, controlling or under common control with such Investor. Each certificate for Preferred Shares or Conversion Shares transferred as above provided shall bear the legend set forth in Section 2, except that such certificate shall not bear such legend if (A) such transfer is in accordance with the provisions of Rule 144 (or any other rule permitting public sale without registration under the Securities Act) or (B) the opinion of counsel referred to above is to the further effect that the transferee and any subsequent transferee (other than an affiliate of the Company) would be entitled to transfer such securities in a public sale without registration under the Securities Act. The restrictions provided for in this Section 3 shall not apply to securities which are not required to bear the legend prescribed by Section 2 in accordance with the provisions of that Section.</w:t>
      </w:r>
    </w:p>
    <w:p>
      <w:pPr>
        <w:spacing w:after="0" w:line="88" w:lineRule="exact"/>
        <w:rPr>
          <w:sz w:val="20"/>
          <w:szCs w:val="20"/>
          <w:color w:val="auto"/>
        </w:rPr>
      </w:pPr>
    </w:p>
    <w:p>
      <w:pPr>
        <w:ind w:left="600" w:hanging="138"/>
        <w:spacing w:after="0"/>
        <w:tabs>
          <w:tab w:leader="none" w:pos="600" w:val="left"/>
        </w:tabs>
        <w:numPr>
          <w:ilvl w:val="1"/>
          <w:numId w:val="155"/>
        </w:numPr>
        <w:rPr>
          <w:rFonts w:ascii="Arial" w:cs="Arial" w:eastAsia="Arial" w:hAnsi="Arial"/>
          <w:sz w:val="14"/>
          <w:szCs w:val="14"/>
          <w:color w:val="auto"/>
        </w:rPr>
      </w:pPr>
      <w:r>
        <w:rPr>
          <w:rFonts w:ascii="Arial" w:cs="Arial" w:eastAsia="Arial" w:hAnsi="Arial"/>
          <w:sz w:val="14"/>
          <w:szCs w:val="14"/>
          <w:u w:val="single" w:color="auto"/>
          <w:color w:val="auto"/>
        </w:rPr>
        <w:t>Required Registration</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2"/>
          <w:numId w:val="155"/>
        </w:numPr>
        <w:rPr>
          <w:rFonts w:ascii="Arial" w:cs="Arial" w:eastAsia="Arial" w:hAnsi="Arial"/>
          <w:sz w:val="12"/>
          <w:szCs w:val="12"/>
          <w:color w:val="auto"/>
        </w:rPr>
      </w:pPr>
      <w:r>
        <w:rPr>
          <w:rFonts w:ascii="Arial" w:cs="Arial" w:eastAsia="Arial" w:hAnsi="Arial"/>
          <w:sz w:val="12"/>
          <w:szCs w:val="12"/>
          <w:color w:val="auto"/>
        </w:rPr>
        <w:t>At any time after the earliest of (i) 180 days after any registration statement covering a public offering of securities of the Company under the Securities Act shall have become effective,</w:t>
      </w:r>
    </w:p>
    <w:p>
      <w:pPr>
        <w:spacing w:after="0" w:line="35" w:lineRule="exact"/>
        <w:rPr>
          <w:rFonts w:ascii="Arial" w:cs="Arial" w:eastAsia="Arial" w:hAnsi="Arial"/>
          <w:sz w:val="12"/>
          <w:szCs w:val="12"/>
          <w:color w:val="auto"/>
        </w:rPr>
      </w:pPr>
    </w:p>
    <w:p>
      <w:pPr>
        <w:jc w:val="both"/>
        <w:ind w:firstLine="4"/>
        <w:spacing w:after="0" w:line="307" w:lineRule="auto"/>
        <w:tabs>
          <w:tab w:leader="none" w:pos="20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180 days after the Company shall have become a reporting company under Section 12 of the Exchange Act, and (iii) the second (2</w:t>
      </w:r>
      <w:r>
        <w:rPr>
          <w:rFonts w:ascii="Arial" w:cs="Arial" w:eastAsia="Arial" w:hAnsi="Arial"/>
          <w:sz w:val="7"/>
          <w:szCs w:val="7"/>
          <w:color w:val="auto"/>
        </w:rPr>
        <w:t>nd</w:t>
      </w:r>
      <w:r>
        <w:rPr>
          <w:rFonts w:ascii="Arial" w:cs="Arial" w:eastAsia="Arial" w:hAnsi="Arial"/>
          <w:sz w:val="12"/>
          <w:szCs w:val="12"/>
          <w:color w:val="auto"/>
        </w:rPr>
        <w:t xml:space="preserve">) anniversary of May 16, 2006, the holders of Restricted Stock (other than the New Investors and the Series D Investors) constituting at least 40% of the total shares of Restricted Stock then outstanding (other than the shares of Restricted Stock held by the New Investors and the Series D Investors) may request the Company to register under the Securities Act all or any portion of the shares of Restricted Stock held by such requesting holder or holders for sale in the manner specified in such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reasonably anticipated aggregate price to the public of such public offering would exceed $5,000,000.</w:t>
      </w:r>
    </w:p>
    <w:p>
      <w:pPr>
        <w:spacing w:after="0" w:line="82" w:lineRule="exact"/>
        <w:rPr>
          <w:rFonts w:ascii="Arial" w:cs="Arial" w:eastAsia="Arial" w:hAnsi="Arial"/>
          <w:sz w:val="12"/>
          <w:szCs w:val="12"/>
          <w:color w:val="auto"/>
        </w:rPr>
      </w:pPr>
    </w:p>
    <w:p>
      <w:pPr>
        <w:ind w:left="1120" w:hanging="200"/>
        <w:spacing w:after="0"/>
        <w:tabs>
          <w:tab w:leader="none" w:pos="1120" w:val="left"/>
        </w:tabs>
        <w:numPr>
          <w:ilvl w:val="2"/>
          <w:numId w:val="156"/>
        </w:numPr>
        <w:rPr>
          <w:rFonts w:ascii="Arial" w:cs="Arial" w:eastAsia="Arial" w:hAnsi="Arial"/>
          <w:sz w:val="12"/>
          <w:szCs w:val="12"/>
          <w:color w:val="auto"/>
        </w:rPr>
      </w:pPr>
      <w:r>
        <w:rPr>
          <w:rFonts w:ascii="Arial" w:cs="Arial" w:eastAsia="Arial" w:hAnsi="Arial"/>
          <w:sz w:val="12"/>
          <w:szCs w:val="12"/>
          <w:color w:val="auto"/>
        </w:rPr>
        <w:t>At any time after the earliest of (i) 180 days after any registration statement covering a public offering of securities of the Company under the Securities Act shall have become effective,</w:t>
      </w:r>
    </w:p>
    <w:p>
      <w:pPr>
        <w:spacing w:after="0" w:line="35" w:lineRule="exact"/>
        <w:rPr>
          <w:sz w:val="20"/>
          <w:szCs w:val="20"/>
          <w:color w:val="auto"/>
        </w:rPr>
      </w:pPr>
    </w:p>
    <w:p>
      <w:pPr>
        <w:ind w:right="140" w:firstLine="4"/>
        <w:spacing w:after="0" w:line="252" w:lineRule="auto"/>
        <w:tabs>
          <w:tab w:leader="none" w:pos="2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180 days after the Company shall have become a reporting company under Section 12 of the Exchange Act, and (iii) the second (2</w:t>
      </w:r>
      <w:r>
        <w:rPr>
          <w:rFonts w:ascii="Arial" w:cs="Arial" w:eastAsia="Arial" w:hAnsi="Arial"/>
          <w:sz w:val="8"/>
          <w:szCs w:val="8"/>
          <w:color w:val="auto"/>
        </w:rPr>
        <w:t>nd</w:t>
      </w:r>
      <w:r>
        <w:rPr>
          <w:rFonts w:ascii="Arial" w:cs="Arial" w:eastAsia="Arial" w:hAnsi="Arial"/>
          <w:sz w:val="14"/>
          <w:szCs w:val="14"/>
          <w:color w:val="auto"/>
        </w:rPr>
        <w:t xml:space="preserve">) anniversary of July 15, 2008, New Investors and Series D Investors constituting at least 40% of the total shares of Restricted Stock then collectively held by the New Investors and the Series D Investors, may request the Company to register under the Securities Act all or any portion of the shares of Restricted Stock held by such requesting holder or holders for sale in the manner specified in such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reasonably anticipated aggregate price to the public of such public offering would exceed $25,000,000.</w:t>
      </w:r>
    </w:p>
    <w:p>
      <w:pPr>
        <w:spacing w:after="0" w:line="111" w:lineRule="exact"/>
        <w:rPr>
          <w:rFonts w:ascii="Arial" w:cs="Arial" w:eastAsia="Arial" w:hAnsi="Arial"/>
          <w:sz w:val="14"/>
          <w:szCs w:val="14"/>
          <w:color w:val="auto"/>
        </w:rPr>
      </w:pPr>
    </w:p>
    <w:p>
      <w:pPr>
        <w:ind w:right="20" w:firstLine="920"/>
        <w:spacing w:after="0" w:line="321" w:lineRule="auto"/>
        <w:tabs>
          <w:tab w:leader="none" w:pos="1101" w:val="left"/>
        </w:tabs>
        <w:numPr>
          <w:ilvl w:val="1"/>
          <w:numId w:val="157"/>
        </w:numPr>
        <w:rPr>
          <w:rFonts w:ascii="Arial" w:cs="Arial" w:eastAsia="Arial" w:hAnsi="Arial"/>
          <w:sz w:val="12"/>
          <w:szCs w:val="12"/>
          <w:color w:val="auto"/>
        </w:rPr>
      </w:pPr>
      <w:r>
        <w:rPr>
          <w:rFonts w:ascii="Arial" w:cs="Arial" w:eastAsia="Arial" w:hAnsi="Arial"/>
          <w:sz w:val="12"/>
          <w:szCs w:val="12"/>
          <w:color w:val="auto"/>
        </w:rPr>
        <w:t xml:space="preserve">For purposes of this Section 4 and Sections 5, 6, 13(a) and 13(d), the term “Restricted Stock” shall be deemed to include the number of shares of Restricted Stock that would be issuable to a holder of Preferred Shares upon conversion of all Preferred Shares held by such holder at such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only securities which the Company shall be required to register pursuant hereto shall be shares of Common Stock,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any underwritten public offering contemplated by this Section 4 or Sections 5</w:t>
      </w:r>
    </w:p>
    <w:p>
      <w:pPr>
        <w:spacing w:after="0" w:line="62" w:lineRule="exact"/>
        <w:rPr>
          <w:rFonts w:ascii="Arial" w:cs="Arial" w:eastAsia="Arial" w:hAnsi="Arial"/>
          <w:sz w:val="12"/>
          <w:szCs w:val="12"/>
          <w:color w:val="auto"/>
        </w:rPr>
      </w:pPr>
    </w:p>
    <w:p>
      <w:pPr>
        <w:ind w:left="5700" w:hanging="79"/>
        <w:spacing w:after="0"/>
        <w:tabs>
          <w:tab w:leader="none" w:pos="5700" w:val="left"/>
        </w:tabs>
        <w:numPr>
          <w:ilvl w:val="2"/>
          <w:numId w:val="157"/>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00"/>
          </w:cols>
          <w:pgMar w:left="220" w:top="247" w:right="279" w:bottom="1440" w:gutter="0" w:footer="0" w:header="0"/>
        </w:sectPr>
      </w:pPr>
    </w:p>
    <w:bookmarkStart w:id="260" w:name="page261"/>
    <w:bookmarkEnd w:id="260"/>
    <w:p>
      <w:pPr>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and 6, the holders of Preferred Shares shall be entitled to sell such Preferred Shares to the underwriters for conversion and sale of the shares of Common Stock issued upon conversion thereof. Notwithstanding anything to the contrary contained herein, the Company shall not be obligated under this Section 4: (i) within 180 days after the effective date of a registration statement filed by the Company in connection with the Company’s initial public offering, or (ii) within 180 days after the effective date of a registration statement filed by the Company covering a firm commitment underwritten public offering in which the holders of Restricted Stock shall have been entitled to join pursuant to Section 5 or 6 and in which there shall have been effectively registered all shares of Restricted Stock as to which registration shall have been requested.</w:t>
      </w:r>
    </w:p>
    <w:p>
      <w:pPr>
        <w:spacing w:after="0" w:line="113" w:lineRule="exact"/>
        <w:rPr>
          <w:sz w:val="20"/>
          <w:szCs w:val="20"/>
          <w:color w:val="auto"/>
        </w:rPr>
      </w:pPr>
    </w:p>
    <w:p>
      <w:pPr>
        <w:ind w:right="20" w:firstLine="920"/>
        <w:spacing w:after="0" w:line="296" w:lineRule="auto"/>
        <w:tabs>
          <w:tab w:leader="none" w:pos="1109" w:val="left"/>
        </w:tabs>
        <w:numPr>
          <w:ilvl w:val="1"/>
          <w:numId w:val="158"/>
        </w:numPr>
        <w:rPr>
          <w:rFonts w:ascii="Arial" w:cs="Arial" w:eastAsia="Arial" w:hAnsi="Arial"/>
          <w:sz w:val="12"/>
          <w:szCs w:val="12"/>
          <w:color w:val="auto"/>
        </w:rPr>
      </w:pPr>
      <w:r>
        <w:rPr>
          <w:rFonts w:ascii="Arial" w:cs="Arial" w:eastAsia="Arial" w:hAnsi="Arial"/>
          <w:sz w:val="12"/>
          <w:szCs w:val="12"/>
          <w:color w:val="auto"/>
        </w:rPr>
        <w:t xml:space="preserve">Following receipt of any notice under this Section 4, the Company shall immediately notify all holders of Restricted Stock and Additional Restricted Stock from whom notice has not been received and shall use its best efforts to register under the Securities Act, for public sale in accordance with the method of disposition specified in such notice from requesting holders, the number of shares of Restricted Stock and Additional Restricted Stock specified in such notice (and in all notices received by the Company from other holders within 30 days after the giving of such notice by the Company). If such method of disposition shall be an underwritten public offering, the Company may designate the managing underwriter of such offering, subject to the approval of the holders of a majority of the shares of Restricted Stock to be sold in such offering, which approval shall not be unreasonably withheld or delayed. The Company shall be obligated to register Restricted Stock and Additional Restricted Stock pursuant to this Section 4 on one (1) occasion only;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such obligation shall be deemed satisfied only when a registration statement covering all shares of Restricted Stock and Additional Restricted Stock specified in notices received as aforesaid, for sale in accordance with the method of disposition specified by the requesting holders, shall have become effective and, if such method of disposition is a firm commitment underwritten public offering, all such shares shall have been sold pursuant thereto. Notwithstanding the foregoing, the Company may delay a request for registration pursuant to this Section 4 if, within 30 days following the receipt of any notice requesting registration in accordance with this Section 4, the Company notifies the holders of Restricted Stock and Additional Restricted Stock that the Company intends to file a registration statement with the Commission relating to an initial public offering within 90 days of such notice by the Company to the holders of Restricted Stock and Additional Restricted Stock and provided the Company shall, in good faith, use reasonable efforts to cause such registration statement to become effective;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may exercise such right to delay a request for registration under such circumstances not more than once in any 12-month period.</w:t>
      </w:r>
    </w:p>
    <w:p>
      <w:pPr>
        <w:spacing w:after="0" w:line="89" w:lineRule="exact"/>
        <w:rPr>
          <w:rFonts w:ascii="Arial" w:cs="Arial" w:eastAsia="Arial" w:hAnsi="Arial"/>
          <w:sz w:val="12"/>
          <w:szCs w:val="12"/>
          <w:color w:val="auto"/>
        </w:rPr>
      </w:pPr>
    </w:p>
    <w:p>
      <w:pPr>
        <w:ind w:right="60" w:firstLine="920"/>
        <w:spacing w:after="0" w:line="258" w:lineRule="auto"/>
        <w:tabs>
          <w:tab w:leader="none" w:pos="1101" w:val="left"/>
        </w:tabs>
        <w:numPr>
          <w:ilvl w:val="1"/>
          <w:numId w:val="158"/>
        </w:numPr>
        <w:rPr>
          <w:rFonts w:ascii="Arial" w:cs="Arial" w:eastAsia="Arial" w:hAnsi="Arial"/>
          <w:sz w:val="14"/>
          <w:szCs w:val="14"/>
          <w:color w:val="auto"/>
        </w:rPr>
      </w:pPr>
      <w:r>
        <w:rPr>
          <w:rFonts w:ascii="Arial" w:cs="Arial" w:eastAsia="Arial" w:hAnsi="Arial"/>
          <w:sz w:val="14"/>
          <w:szCs w:val="14"/>
          <w:color w:val="auto"/>
        </w:rPr>
        <w:t>The Company shall be entitled to include in any registration statement referred to in this Section 4, for sale in accordance with the method of disposition specified by the requesting holders, shares of Common Stock to be sold by the Company for its own account, except as and to the extent that, in the opinion of the managing underwriter (if such method of disposition shall be an underwritten public offering), such inclusion would adversely affect the marketing of the Restricted Stock and Additional Restricted Stock to be sold.</w:t>
      </w:r>
    </w:p>
    <w:p>
      <w:pPr>
        <w:spacing w:after="0" w:line="107" w:lineRule="exact"/>
        <w:rPr>
          <w:rFonts w:ascii="Arial" w:cs="Arial" w:eastAsia="Arial" w:hAnsi="Arial"/>
          <w:sz w:val="14"/>
          <w:szCs w:val="14"/>
          <w:color w:val="auto"/>
        </w:rPr>
      </w:pPr>
    </w:p>
    <w:p>
      <w:pPr>
        <w:ind w:left="600" w:hanging="138"/>
        <w:spacing w:after="0"/>
        <w:tabs>
          <w:tab w:leader="none" w:pos="600" w:val="left"/>
        </w:tabs>
        <w:numPr>
          <w:ilvl w:val="0"/>
          <w:numId w:val="159"/>
        </w:numPr>
        <w:rPr>
          <w:rFonts w:ascii="Arial" w:cs="Arial" w:eastAsia="Arial" w:hAnsi="Arial"/>
          <w:sz w:val="12"/>
          <w:szCs w:val="12"/>
          <w:color w:val="auto"/>
        </w:rPr>
      </w:pPr>
      <w:r>
        <w:rPr>
          <w:rFonts w:ascii="Arial" w:cs="Arial" w:eastAsia="Arial" w:hAnsi="Arial"/>
          <w:sz w:val="12"/>
          <w:szCs w:val="12"/>
          <w:u w:val="single" w:color="auto"/>
          <w:color w:val="auto"/>
        </w:rPr>
        <w:t>Incidental Registration</w:t>
      </w:r>
      <w:r>
        <w:rPr>
          <w:rFonts w:ascii="Arial" w:cs="Arial" w:eastAsia="Arial" w:hAnsi="Arial"/>
          <w:sz w:val="12"/>
          <w:szCs w:val="12"/>
          <w:color w:val="auto"/>
        </w:rPr>
        <w:t>. If the Company at any time proposes to register any of its securities under the Securities Act for sale to the public, whether for its own account or for the</w:t>
      </w:r>
    </w:p>
    <w:p>
      <w:pPr>
        <w:spacing w:after="0" w:line="144" w:lineRule="exact"/>
        <w:rPr>
          <w:rFonts w:ascii="Arial" w:cs="Arial" w:eastAsia="Arial" w:hAnsi="Arial"/>
          <w:sz w:val="12"/>
          <w:szCs w:val="12"/>
          <w:color w:val="auto"/>
        </w:rPr>
      </w:pPr>
    </w:p>
    <w:p>
      <w:pPr>
        <w:ind w:left="5700" w:hanging="79"/>
        <w:spacing w:after="0"/>
        <w:tabs>
          <w:tab w:leader="none" w:pos="5700" w:val="left"/>
        </w:tabs>
        <w:numPr>
          <w:ilvl w:val="2"/>
          <w:numId w:val="159"/>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11420"/>
          </w:cols>
          <w:pgMar w:left="220" w:top="247" w:right="259" w:bottom="1440" w:gutter="0" w:footer="0" w:header="0"/>
        </w:sectPr>
      </w:pPr>
    </w:p>
    <w:bookmarkStart w:id="261" w:name="page262"/>
    <w:bookmarkEnd w:id="261"/>
    <w:p>
      <w:pPr>
        <w:ind w:right="20"/>
        <w:spacing w:after="0" w:line="29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account of other security holders or both (except with respect to registration statements on Forms S-4, S-8 or another form not available for registering the Restricted Stock or Additional Restricted Stock for sale to the public), each such time it will give written notice to all holders of outstanding Restricted Stock and Additional Restricted Stock of its intention so to do. Upon the written request of any such holder, received by the Company within 30 days after the giving of any such notice by the Company, to register any of its Restricted Stock or Additional Restricted Stock, the Company shall cause the Restricted Stock and Additional Restricted Stock as to which registration shall have been so requested to be included in the securities to be covered by the registration statement proposed to be filed by the Company, all to the extent requisite to permit the sale or other disposition by the holder of such Restricted Stock or Additional Restricted Stock so registered. In the event that any registration pursuant to this Section 5 shall be, in whole or in part, an underwritten public offering of Common Stock, the number of shares of Restricted Stock and Additional Restricted Stock to be included in such an underwriting may be reduced if and to the extent that the managing underwriter shall be of the opinion that such inclusion would adversely affect the marketing of the securities to be sold by the Company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such number of shares of Restricted Stock and Additional Restricted Stock shall not be reduced if any shares are to be included in such underwriting for the account of any person other than the Company or holders of Restricted Stock or holders of Additional Restricted Stock,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however, that, except in the case of the Company’s initial public offering, in no event may less than twenty-five percent</w:t>
      </w:r>
    </w:p>
    <w:p>
      <w:pPr>
        <w:spacing w:after="0" w:line="4"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 xml:space="preserve">(25%) of the total number of shares of Common Stock to be included in such underwriting be made available for shares of Restricted Stock. In the event of such reduction, the Company shall so advise all holders of Restricted Stock and Additional Restricted Stock requesting registration, and the number of shares that are entitled to be included in the registration and underwriting shall be allocated in the following manner. First, the number of shares that may be included in such registration and underwriting shall be allocated among all Investors who have requested registration in proportion, as nearly as practicable, to the respective number of shares of Restricted Stock and Additional Restricted Stock held by such Investors at the time of the Company’s notice under this Section 5. No shareholder of the Company shall be granted registration rights which would reduce the number of shares includable by the holders of the Restricted Stock and Additional Restricted Stock in such registration without the consent of the holders of at least two-thirds of the Restricted Stock and Additional Restricted Stock. If any Investor would thus be entitled to include more securities than such Investor requested to be registered, the excess shall be allocated among the other requesting Investors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in the manner described in the preceding sentence. Second, once all shares of Restricted Stock and Additional Restricted Stock requested by the Investors to be registered have been included in such registration and underwriting, the Founders and the University shall participate in the offering,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based upon their total ownership of shares of Restricted Stock. Notwithstanding the foregoing provisions, the Company may withdraw any registration statement referred to in this Section 5 without thereby incurring any liability to the holders of Restricted Stock or Additional Restricted Stock.</w:t>
      </w:r>
    </w:p>
    <w:p>
      <w:pPr>
        <w:spacing w:after="0" w:line="254" w:lineRule="exact"/>
        <w:rPr>
          <w:sz w:val="20"/>
          <w:szCs w:val="20"/>
          <w:color w:val="auto"/>
        </w:rPr>
      </w:pPr>
    </w:p>
    <w:p>
      <w:pPr>
        <w:ind w:right="240" w:firstLine="462"/>
        <w:spacing w:after="0" w:line="258" w:lineRule="auto"/>
        <w:tabs>
          <w:tab w:leader="none" w:pos="594"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Registration on Form S-3</w:t>
      </w:r>
      <w:r>
        <w:rPr>
          <w:rFonts w:ascii="Arial" w:cs="Arial" w:eastAsia="Arial" w:hAnsi="Arial"/>
          <w:sz w:val="14"/>
          <w:szCs w:val="14"/>
          <w:color w:val="auto"/>
        </w:rPr>
        <w:t>. If at any time (a)(i) a holder or holders of Restricted Stock (other than the Series D Investors) request that the Company file a registration statement on Form S-3 or any successor thereto for a public offering of all or any portion of the shares of Restricted Stock held by such requesting holder or holders, the reasonably anticipated aggregate price to the public of which would exceed $1,000,000; or (ii) one or more of the Series D</w:t>
      </w:r>
    </w:p>
    <w:p>
      <w:pPr>
        <w:spacing w:after="0" w:line="97" w:lineRule="exact"/>
        <w:rPr>
          <w:rFonts w:ascii="Arial" w:cs="Arial" w:eastAsia="Arial" w:hAnsi="Arial"/>
          <w:sz w:val="14"/>
          <w:szCs w:val="14"/>
          <w:color w:val="auto"/>
        </w:rPr>
      </w:pPr>
    </w:p>
    <w:p>
      <w:pPr>
        <w:ind w:left="5700" w:hanging="79"/>
        <w:spacing w:after="0"/>
        <w:tabs>
          <w:tab w:leader="none" w:pos="5700" w:val="left"/>
        </w:tabs>
        <w:numPr>
          <w:ilvl w:val="1"/>
          <w:numId w:val="160"/>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11460"/>
          </w:cols>
          <w:pgMar w:left="220" w:top="247" w:right="219" w:bottom="1440" w:gutter="0" w:footer="0" w:header="0"/>
        </w:sectPr>
      </w:pPr>
    </w:p>
    <w:bookmarkStart w:id="262" w:name="page263"/>
    <w:bookmarkEnd w:id="262"/>
    <w:p>
      <w:pPr>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Investors request that the Company file a registration statement on Form S-3 or any successor thereto for a public offering of all or any portion of the shares of Restricted Stock held by such requesting holder or holders, the reasonably anticipated aggregate price to the public of which would exceed $5,000,000; </w:t>
      </w:r>
      <w:r>
        <w:rPr>
          <w:rFonts w:ascii="Arial" w:cs="Arial" w:eastAsia="Arial" w:hAnsi="Arial"/>
          <w:sz w:val="12"/>
          <w:szCs w:val="12"/>
          <w:u w:val="single" w:color="auto"/>
          <w:color w:val="auto"/>
        </w:rPr>
        <w:t>and</w:t>
      </w:r>
      <w:r>
        <w:rPr>
          <w:rFonts w:ascii="Arial" w:cs="Arial" w:eastAsia="Arial" w:hAnsi="Arial"/>
          <w:sz w:val="12"/>
          <w:szCs w:val="12"/>
          <w:color w:val="auto"/>
        </w:rPr>
        <w:t xml:space="preserve"> (b) the Company is a registrant entitled to use Form S-3 or any successor thereto to register such shares, then the Company shall use its best efforts to register under the Securities Act on Form S-3 or any successor thereto, for public sale in accordance with the method of disposition specified in such notice, the number of shares of Restricted Stock specified in such notice. Whenever the Company is required by this Section 6 to use its best efforts to effect the registration of Restricted Stock, each of the procedures and requirements of Section 4 (including, but not limited to, the requirement that the Company notify all holders of Restricted Stock and Additional Restricted Stock from whom notice has not been received and provide them with the opportunity to participate in the offering) shall apply to such registration;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requirements contained in Section 4(a) and Section 4(b) shall not apply to any registration on Form S-3 which may be requested and obtained under this Section 6.</w:t>
      </w:r>
    </w:p>
    <w:p>
      <w:pPr>
        <w:spacing w:after="0" w:line="88" w:lineRule="exact"/>
        <w:rPr>
          <w:sz w:val="20"/>
          <w:szCs w:val="20"/>
          <w:color w:val="auto"/>
        </w:rPr>
      </w:pPr>
    </w:p>
    <w:p>
      <w:pPr>
        <w:ind w:right="380" w:firstLine="462"/>
        <w:spacing w:after="0" w:line="267" w:lineRule="auto"/>
        <w:tabs>
          <w:tab w:leader="none" w:pos="594"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Registration Procedures</w:t>
      </w:r>
      <w:r>
        <w:rPr>
          <w:rFonts w:ascii="Arial" w:cs="Arial" w:eastAsia="Arial" w:hAnsi="Arial"/>
          <w:sz w:val="14"/>
          <w:szCs w:val="14"/>
          <w:color w:val="auto"/>
        </w:rPr>
        <w:t>. If and whenever the Company is required by the provisions of Sections 4, 5 or 6 to use its best efforts to effect the registration of any shares of Restricted Stock and/or Additional Restricted Stock under the Securities Act, the Company will, as expeditiously as possible:</w:t>
      </w:r>
    </w:p>
    <w:p>
      <w:pPr>
        <w:spacing w:after="0" w:line="101" w:lineRule="exact"/>
        <w:rPr>
          <w:rFonts w:ascii="Arial" w:cs="Arial" w:eastAsia="Arial" w:hAnsi="Arial"/>
          <w:sz w:val="14"/>
          <w:szCs w:val="14"/>
          <w:color w:val="auto"/>
        </w:rPr>
      </w:pPr>
    </w:p>
    <w:p>
      <w:pPr>
        <w:ind w:firstLine="920"/>
        <w:spacing w:after="0" w:line="255" w:lineRule="auto"/>
        <w:tabs>
          <w:tab w:leader="none" w:pos="1101" w:val="left"/>
        </w:tabs>
        <w:numPr>
          <w:ilvl w:val="1"/>
          <w:numId w:val="161"/>
        </w:numPr>
        <w:rPr>
          <w:rFonts w:ascii="Arial" w:cs="Arial" w:eastAsia="Arial" w:hAnsi="Arial"/>
          <w:sz w:val="14"/>
          <w:szCs w:val="14"/>
          <w:color w:val="auto"/>
        </w:rPr>
      </w:pPr>
      <w:r>
        <w:rPr>
          <w:rFonts w:ascii="Arial" w:cs="Arial" w:eastAsia="Arial" w:hAnsi="Arial"/>
          <w:sz w:val="14"/>
          <w:szCs w:val="14"/>
          <w:color w:val="auto"/>
        </w:rPr>
        <w:t>prepare and file (in the case of a registration pursuant to Section 4 or Section 6, within 60 days of receipt by the Company of the applicable request for registration) with the Commission a registration statement (which, in the case of an underwritten public offering pursuant to Section 4, shall be on Form S-1 or other form of general applicability satisfactory to the managing underwriter selected as therein provided) with respect to such securities and use its best efforts to cause such registration statement to become and remain effective for the period of the distribution contemplated thereby (determined as hereinafter provided);</w:t>
      </w:r>
    </w:p>
    <w:p>
      <w:pPr>
        <w:spacing w:after="0" w:line="109" w:lineRule="exact"/>
        <w:rPr>
          <w:rFonts w:ascii="Arial" w:cs="Arial" w:eastAsia="Arial" w:hAnsi="Arial"/>
          <w:sz w:val="14"/>
          <w:szCs w:val="14"/>
          <w:color w:val="auto"/>
        </w:rPr>
      </w:pPr>
    </w:p>
    <w:p>
      <w:pPr>
        <w:ind w:right="40" w:firstLine="920"/>
        <w:spacing w:after="0" w:line="255" w:lineRule="auto"/>
        <w:tabs>
          <w:tab w:leader="none" w:pos="1109" w:val="left"/>
        </w:tabs>
        <w:numPr>
          <w:ilvl w:val="1"/>
          <w:numId w:val="161"/>
        </w:numPr>
        <w:rPr>
          <w:rFonts w:ascii="Arial" w:cs="Arial" w:eastAsia="Arial" w:hAnsi="Arial"/>
          <w:sz w:val="14"/>
          <w:szCs w:val="14"/>
          <w:color w:val="auto"/>
        </w:rPr>
      </w:pPr>
      <w:r>
        <w:rPr>
          <w:rFonts w:ascii="Arial" w:cs="Arial" w:eastAsia="Arial" w:hAnsi="Arial"/>
          <w:sz w:val="14"/>
          <w:szCs w:val="14"/>
          <w:color w:val="auto"/>
        </w:rPr>
        <w:t>prepare and file with the Commission such amendments and supplements to such registration statement and the prospectus used in connection therewith as may be necessary to keep such registration statement effective for the period specified in subparagraph (a) above and comply with the provisions of the Securities Act (including the antifraud provisions thereof) with respect to the disposition of all Restricted Stock and Additional Restricted Stock covered by such registration statement in accordance with the sellers’ intended method of disposition set forth in such registration statement for such period;</w:t>
      </w:r>
    </w:p>
    <w:p>
      <w:pPr>
        <w:spacing w:after="0" w:line="109" w:lineRule="exact"/>
        <w:rPr>
          <w:rFonts w:ascii="Arial" w:cs="Arial" w:eastAsia="Arial" w:hAnsi="Arial"/>
          <w:sz w:val="14"/>
          <w:szCs w:val="14"/>
          <w:color w:val="auto"/>
        </w:rPr>
      </w:pPr>
    </w:p>
    <w:p>
      <w:pPr>
        <w:ind w:right="40" w:firstLine="920"/>
        <w:spacing w:after="0" w:line="258" w:lineRule="auto"/>
        <w:tabs>
          <w:tab w:leader="none" w:pos="1101" w:val="left"/>
        </w:tabs>
        <w:numPr>
          <w:ilvl w:val="1"/>
          <w:numId w:val="161"/>
        </w:numPr>
        <w:rPr>
          <w:rFonts w:ascii="Arial" w:cs="Arial" w:eastAsia="Arial" w:hAnsi="Arial"/>
          <w:sz w:val="14"/>
          <w:szCs w:val="14"/>
          <w:color w:val="auto"/>
        </w:rPr>
      </w:pPr>
      <w:r>
        <w:rPr>
          <w:rFonts w:ascii="Arial" w:cs="Arial" w:eastAsia="Arial" w:hAnsi="Arial"/>
          <w:sz w:val="14"/>
          <w:szCs w:val="14"/>
          <w:color w:val="auto"/>
        </w:rPr>
        <w:t>furnish to each seller of Restricted Stock and Additional Restricted Stock and to each underwriter such number of copies of the registration statement and the prospectus included therein (including each preliminary prospectus) as such persons reasonably may request in order to facilitate the public sale or other disposition of the Restricted Stock and Additional Restricted Stock covered by such registration statement;</w:t>
      </w:r>
    </w:p>
    <w:p>
      <w:pPr>
        <w:spacing w:after="0" w:line="107" w:lineRule="exact"/>
        <w:rPr>
          <w:rFonts w:ascii="Arial" w:cs="Arial" w:eastAsia="Arial" w:hAnsi="Arial"/>
          <w:sz w:val="14"/>
          <w:szCs w:val="14"/>
          <w:color w:val="auto"/>
        </w:rPr>
      </w:pPr>
    </w:p>
    <w:p>
      <w:pPr>
        <w:ind w:right="580" w:firstLine="920"/>
        <w:spacing w:after="0" w:line="351" w:lineRule="auto"/>
        <w:tabs>
          <w:tab w:leader="none" w:pos="1109" w:val="left"/>
        </w:tabs>
        <w:numPr>
          <w:ilvl w:val="1"/>
          <w:numId w:val="161"/>
        </w:numPr>
        <w:rPr>
          <w:rFonts w:ascii="Arial" w:cs="Arial" w:eastAsia="Arial" w:hAnsi="Arial"/>
          <w:sz w:val="12"/>
          <w:szCs w:val="12"/>
          <w:color w:val="auto"/>
        </w:rPr>
      </w:pPr>
      <w:r>
        <w:rPr>
          <w:rFonts w:ascii="Arial" w:cs="Arial" w:eastAsia="Arial" w:hAnsi="Arial"/>
          <w:sz w:val="12"/>
          <w:szCs w:val="12"/>
          <w:color w:val="auto"/>
        </w:rPr>
        <w:t>use its best efforts to register or qualify the Restricted Stock and Additional Restricted Stock covered by such registration statement under the securities or “blue sky” laws of such jurisdictions as the sellers of Restricted Stock and Additional Restricted Stock or, in the case of an underwritten public offering, the managing underwriter reasonably shall</w:t>
      </w:r>
    </w:p>
    <w:p>
      <w:pPr>
        <w:spacing w:after="0" w:line="45" w:lineRule="exact"/>
        <w:rPr>
          <w:rFonts w:ascii="Arial" w:cs="Arial" w:eastAsia="Arial" w:hAnsi="Arial"/>
          <w:sz w:val="12"/>
          <w:szCs w:val="12"/>
          <w:color w:val="auto"/>
        </w:rPr>
      </w:pPr>
    </w:p>
    <w:p>
      <w:pPr>
        <w:ind w:left="5700" w:hanging="79"/>
        <w:spacing w:after="0"/>
        <w:tabs>
          <w:tab w:leader="none" w:pos="5700" w:val="left"/>
        </w:tabs>
        <w:numPr>
          <w:ilvl w:val="2"/>
          <w:numId w:val="161"/>
        </w:numPr>
        <w:rPr>
          <w:rFonts w:ascii="Arial" w:cs="Arial" w:eastAsia="Arial" w:hAnsi="Arial"/>
          <w:sz w:val="14"/>
          <w:szCs w:val="14"/>
          <w:color w:val="auto"/>
        </w:rPr>
      </w:pPr>
      <w:r>
        <w:rPr>
          <w:rFonts w:ascii="Arial" w:cs="Arial" w:eastAsia="Arial" w:hAnsi="Arial"/>
          <w:sz w:val="14"/>
          <w:szCs w:val="14"/>
          <w:color w:val="auto"/>
        </w:rPr>
        <w:t>6 -</w:t>
      </w:r>
    </w:p>
    <w:p>
      <w:pPr>
        <w:sectPr>
          <w:pgSz w:w="11900" w:h="16838" w:orient="portrait"/>
          <w:cols w:equalWidth="0" w:num="1">
            <w:col w:w="11400"/>
          </w:cols>
          <w:pgMar w:left="220" w:top="247" w:right="279" w:bottom="1440" w:gutter="0" w:footer="0" w:header="0"/>
        </w:sectPr>
      </w:pPr>
    </w:p>
    <w:bookmarkStart w:id="263" w:name="page264"/>
    <w:bookmarkEnd w:id="263"/>
    <w:p>
      <w:pPr>
        <w:ind w:right="3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for any such purpose be required to qualify generally to transact business as a foreign corporation in any jurisdiction where it is not so qualified or to consent to general service of process in any such jurisdiction;</w:t>
      </w:r>
    </w:p>
    <w:p>
      <w:pPr>
        <w:spacing w:after="0" w:line="101" w:lineRule="exact"/>
        <w:rPr>
          <w:sz w:val="20"/>
          <w:szCs w:val="20"/>
          <w:color w:val="auto"/>
        </w:rPr>
      </w:pPr>
    </w:p>
    <w:p>
      <w:pPr>
        <w:ind w:right="140" w:firstLine="920"/>
        <w:spacing w:after="0" w:line="267" w:lineRule="auto"/>
        <w:tabs>
          <w:tab w:leader="none" w:pos="1101" w:val="left"/>
        </w:tabs>
        <w:numPr>
          <w:ilvl w:val="0"/>
          <w:numId w:val="162"/>
        </w:numPr>
        <w:rPr>
          <w:rFonts w:ascii="Arial" w:cs="Arial" w:eastAsia="Arial" w:hAnsi="Arial"/>
          <w:sz w:val="14"/>
          <w:szCs w:val="14"/>
          <w:color w:val="auto"/>
        </w:rPr>
      </w:pPr>
      <w:r>
        <w:rPr>
          <w:rFonts w:ascii="Arial" w:cs="Arial" w:eastAsia="Arial" w:hAnsi="Arial"/>
          <w:sz w:val="14"/>
          <w:szCs w:val="14"/>
          <w:color w:val="auto"/>
        </w:rPr>
        <w:t>use its best efforts to list the Restricted Stock and Additional Restricted Stock covered by such registration statement with any securities exchange or automated quotation system on which the Common Stock of the Company is then listed;</w:t>
      </w:r>
    </w:p>
    <w:p>
      <w:pPr>
        <w:spacing w:after="0" w:line="101" w:lineRule="exact"/>
        <w:rPr>
          <w:rFonts w:ascii="Arial" w:cs="Arial" w:eastAsia="Arial" w:hAnsi="Arial"/>
          <w:sz w:val="14"/>
          <w:szCs w:val="14"/>
          <w:color w:val="auto"/>
        </w:rPr>
      </w:pPr>
    </w:p>
    <w:p>
      <w:pPr>
        <w:ind w:right="140" w:firstLine="920"/>
        <w:spacing w:after="0" w:line="255" w:lineRule="auto"/>
        <w:tabs>
          <w:tab w:leader="none" w:pos="1086" w:val="left"/>
        </w:tabs>
        <w:numPr>
          <w:ilvl w:val="0"/>
          <w:numId w:val="162"/>
        </w:numPr>
        <w:rPr>
          <w:rFonts w:ascii="Arial" w:cs="Arial" w:eastAsia="Arial" w:hAnsi="Arial"/>
          <w:sz w:val="14"/>
          <w:szCs w:val="14"/>
          <w:color w:val="auto"/>
        </w:rPr>
      </w:pPr>
      <w:r>
        <w:rPr>
          <w:rFonts w:ascii="Arial" w:cs="Arial" w:eastAsia="Arial" w:hAnsi="Arial"/>
          <w:sz w:val="14"/>
          <w:szCs w:val="14"/>
          <w:color w:val="auto"/>
        </w:rPr>
        <w:t>immediately notify each seller of Restricted Stock and Additional Restricted Stock and each underwriter under such registration statement, at any time when a prospectus relating thereto is required to be delivered under the Securities Act, of the happening of any event of which the Company has knowledge as a result of which the prospectus contained in such registration statement, as then in effect, includes an untrue statement of a material fact or omits to state a material fact required to be stated therein or necessary to make the statements therein not misleading in light of the circumstances then existing; and</w:t>
      </w:r>
    </w:p>
    <w:p>
      <w:pPr>
        <w:spacing w:after="0" w:line="109" w:lineRule="exact"/>
        <w:rPr>
          <w:rFonts w:ascii="Arial" w:cs="Arial" w:eastAsia="Arial" w:hAnsi="Arial"/>
          <w:sz w:val="14"/>
          <w:szCs w:val="14"/>
          <w:color w:val="auto"/>
        </w:rPr>
      </w:pPr>
    </w:p>
    <w:p>
      <w:pPr>
        <w:ind w:right="20" w:firstLine="920"/>
        <w:spacing w:after="0" w:line="321" w:lineRule="auto"/>
        <w:tabs>
          <w:tab w:leader="none" w:pos="1109" w:val="left"/>
        </w:tabs>
        <w:numPr>
          <w:ilvl w:val="0"/>
          <w:numId w:val="162"/>
        </w:numPr>
        <w:rPr>
          <w:rFonts w:ascii="Arial" w:cs="Arial" w:eastAsia="Arial" w:hAnsi="Arial"/>
          <w:sz w:val="12"/>
          <w:szCs w:val="12"/>
          <w:color w:val="auto"/>
        </w:rPr>
      </w:pPr>
      <w:r>
        <w:rPr>
          <w:rFonts w:ascii="Arial" w:cs="Arial" w:eastAsia="Arial" w:hAnsi="Arial"/>
          <w:sz w:val="12"/>
          <w:szCs w:val="12"/>
          <w:color w:val="auto"/>
        </w:rPr>
        <w:t>make available for inspection by each seller of Restricted Stock and Additional Restricted Stock, any underwriter participating in any distribution pursuant to such registration statement, and any attorney, accountant or other agent retained by such seller or underwriter, all financial and other records, pertinent corporate documents and properties of the Company, and cause the Company’s officers, directors and employees to supply all information reasonably requested by any such seller, underwriter, attorney, accountant or agent in connection with such registration statement.</w:t>
      </w:r>
    </w:p>
    <w:p>
      <w:pPr>
        <w:spacing w:after="0" w:line="73"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For purposes of Section 7(a) and 7(b) and of Section 4(c), the period of distribution of Restricted Stock and Additional Restricted Stock in a firm commitment underwritten public offering shall be deemed to extend until each underwriter has completed the distribution of all securities purchased by it, and the period of distribution of Restricted Stock and Additional Restricted Stock in any other registration shall be deemed to extend until the earlier of the sale of all Restricted Stock and Additional Restricted Stock covered thereby and 180 days after the effective date thereof.</w:t>
      </w:r>
    </w:p>
    <w:p>
      <w:pPr>
        <w:spacing w:after="0" w:line="7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In connection with each registration hereunder, the sellers of Restricted Stock and Additional Restricted Stock will furnish to the Company in writing such information with respect to themselves and the proposed distribution by them as reasonably shall be necessary in order to assure compliance with federal and applicable state securities laws.</w:t>
      </w:r>
    </w:p>
    <w:p>
      <w:pPr>
        <w:spacing w:after="0" w:line="101" w:lineRule="exact"/>
        <w:rPr>
          <w:sz w:val="20"/>
          <w:szCs w:val="20"/>
          <w:color w:val="auto"/>
        </w:rPr>
      </w:pPr>
    </w:p>
    <w:p>
      <w:pPr>
        <w:ind w:right="80" w:firstLine="458"/>
        <w:spacing w:after="0" w:line="258" w:lineRule="auto"/>
        <w:rPr>
          <w:sz w:val="20"/>
          <w:szCs w:val="20"/>
          <w:color w:val="auto"/>
        </w:rPr>
      </w:pPr>
      <w:r>
        <w:rPr>
          <w:rFonts w:ascii="Arial" w:cs="Arial" w:eastAsia="Arial" w:hAnsi="Arial"/>
          <w:sz w:val="14"/>
          <w:szCs w:val="14"/>
          <w:color w:val="auto"/>
        </w:rPr>
        <w:t>In connection with each registration pursuant to Sections 4, 5 or 6 covering an underwritten public offering, the Company and each selling holder of Restricted Stock and Additional Restricted Stock agree to enter into a written agreement with the managing underwriter selected in the manner herein provided in such form and containing such provisions as are customary in the securities business for such an arrangement between such underwriter and companies of the Company’s size and investment stature.</w:t>
      </w:r>
    </w:p>
    <w:p>
      <w:pPr>
        <w:spacing w:after="0" w:line="108" w:lineRule="exact"/>
        <w:rPr>
          <w:sz w:val="20"/>
          <w:szCs w:val="20"/>
          <w:color w:val="auto"/>
        </w:rPr>
      </w:pPr>
    </w:p>
    <w:p>
      <w:pPr>
        <w:ind w:right="120" w:firstLine="920"/>
        <w:spacing w:after="0" w:line="267" w:lineRule="auto"/>
        <w:tabs>
          <w:tab w:leader="none" w:pos="1109" w:val="left"/>
        </w:tabs>
        <w:numPr>
          <w:ilvl w:val="0"/>
          <w:numId w:val="163"/>
        </w:numPr>
        <w:rPr>
          <w:rFonts w:ascii="Arial" w:cs="Arial" w:eastAsia="Arial" w:hAnsi="Arial"/>
          <w:sz w:val="14"/>
          <w:szCs w:val="14"/>
          <w:color w:val="auto"/>
        </w:rPr>
      </w:pPr>
      <w:r>
        <w:rPr>
          <w:rFonts w:ascii="Arial" w:cs="Arial" w:eastAsia="Arial" w:hAnsi="Arial"/>
          <w:sz w:val="14"/>
          <w:szCs w:val="14"/>
          <w:color w:val="auto"/>
        </w:rPr>
        <w:t>Notwithstanding the other provisions of this Agreement, the Company’s obligation to file a registration statement, or cause such registration statement to become and remain effective, may be suspended on one (1) occasion in any 12-month period for a period not</w:t>
      </w:r>
    </w:p>
    <w:p>
      <w:pPr>
        <w:spacing w:after="0" w:line="91" w:lineRule="exact"/>
        <w:rPr>
          <w:rFonts w:ascii="Arial" w:cs="Arial" w:eastAsia="Arial" w:hAnsi="Arial"/>
          <w:sz w:val="14"/>
          <w:szCs w:val="14"/>
          <w:color w:val="auto"/>
        </w:rPr>
      </w:pPr>
    </w:p>
    <w:p>
      <w:pPr>
        <w:ind w:left="5700" w:hanging="79"/>
        <w:spacing w:after="0"/>
        <w:tabs>
          <w:tab w:leader="none" w:pos="570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11440"/>
          </w:cols>
          <w:pgMar w:left="220" w:top="247" w:right="239" w:bottom="1440" w:gutter="0" w:footer="0" w:header="0"/>
        </w:sectPr>
      </w:pPr>
    </w:p>
    <w:bookmarkStart w:id="264" w:name="page265"/>
    <w:bookmarkEnd w:id="264"/>
    <w:p>
      <w:pPr>
        <w:jc w:val="both"/>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to exceed 90 days if there exists at the time material non-public information relating to the Company and in the good faith opinion of the Board of Directors of the Company it would be seriously detrimental to the Company for such registration statement to become effective. In addition, the parties hereto acknowledge the Company may notify holders and suspend use of an effective registration statement for a similar period.</w:t>
      </w:r>
    </w:p>
    <w:p>
      <w:pPr>
        <w:spacing w:after="0" w:line="108" w:lineRule="exact"/>
        <w:rPr>
          <w:sz w:val="20"/>
          <w:szCs w:val="20"/>
          <w:color w:val="auto"/>
        </w:rPr>
      </w:pPr>
    </w:p>
    <w:p>
      <w:pPr>
        <w:jc w:val="both"/>
        <w:ind w:right="280" w:firstLine="462"/>
        <w:spacing w:after="0" w:line="305" w:lineRule="auto"/>
        <w:tabs>
          <w:tab w:leader="none" w:pos="594" w:val="left"/>
        </w:tabs>
        <w:numPr>
          <w:ilvl w:val="0"/>
          <w:numId w:val="164"/>
        </w:numPr>
        <w:rPr>
          <w:rFonts w:ascii="Arial" w:cs="Arial" w:eastAsia="Arial" w:hAnsi="Arial"/>
          <w:sz w:val="12"/>
          <w:szCs w:val="12"/>
          <w:color w:val="auto"/>
        </w:rPr>
      </w:pPr>
      <w:r>
        <w:rPr>
          <w:rFonts w:ascii="Arial" w:cs="Arial" w:eastAsia="Arial" w:hAnsi="Arial"/>
          <w:sz w:val="12"/>
          <w:szCs w:val="12"/>
          <w:u w:val="single" w:color="auto"/>
          <w:color w:val="auto"/>
        </w:rPr>
        <w:t>Expenses</w:t>
      </w:r>
      <w:r>
        <w:rPr>
          <w:rFonts w:ascii="Arial" w:cs="Arial" w:eastAsia="Arial" w:hAnsi="Arial"/>
          <w:sz w:val="12"/>
          <w:szCs w:val="12"/>
          <w:color w:val="auto"/>
        </w:rPr>
        <w:t>. All expenses incurred by the Company in complying with Sections 4, 5 and 6, including, without limitation, all registration and filing fees, printing expenses, fees and disbursements of counsel and independent public accountants for the Company, fees and expenses (including counsel fees) incurred in connection with complying with state securities or “blue sky” laws, fees of the Financial Industry Regulatory Authority, transfer taxes, fees of transfer agents and registrars, costs of insurance and fees and disbursements of one special counsel for the sellers of Restricted Stock and Additional Restricted Stock (such special counsel’s fees not to exceed $40,000 in the aggregate for each such registration), but excluding any Selling Expenses, are called “Registration Expenses.” All underwriting discounts and selling commissions applicable to the sale of Restricted Stock and Additional Restricted Stock are called “Selling Expenses.”</w:t>
      </w:r>
    </w:p>
    <w:p>
      <w:pPr>
        <w:spacing w:after="0" w:line="84" w:lineRule="exact"/>
        <w:rPr>
          <w:sz w:val="20"/>
          <w:szCs w:val="20"/>
          <w:color w:val="auto"/>
        </w:rPr>
      </w:pPr>
    </w:p>
    <w:p>
      <w:pPr>
        <w:ind w:right="40" w:firstLine="458"/>
        <w:spacing w:after="0" w:line="258" w:lineRule="auto"/>
        <w:rPr>
          <w:sz w:val="20"/>
          <w:szCs w:val="20"/>
          <w:color w:val="auto"/>
        </w:rPr>
      </w:pPr>
      <w:r>
        <w:rPr>
          <w:rFonts w:ascii="Arial" w:cs="Arial" w:eastAsia="Arial" w:hAnsi="Arial"/>
          <w:sz w:val="14"/>
          <w:szCs w:val="14"/>
          <w:color w:val="auto"/>
        </w:rPr>
        <w:t>The Company will pay all Registration Expenses in connection with each registration statement under Sections 4, 5 or 6. All Selling Expenses in connection with each registration statement under Sections 4, 5 or 6 shall be borne by the participating sellers in proportion to the number of shares sold by each, or by such participating sellers other than the Company (except to the extent the Company shall be a seller) as they may agree.</w:t>
      </w:r>
    </w:p>
    <w:p>
      <w:pPr>
        <w:spacing w:after="0" w:line="108" w:lineRule="exact"/>
        <w:rPr>
          <w:sz w:val="20"/>
          <w:szCs w:val="20"/>
          <w:color w:val="auto"/>
        </w:rPr>
      </w:pPr>
    </w:p>
    <w:p>
      <w:pPr>
        <w:ind w:left="600" w:hanging="138"/>
        <w:spacing w:after="0"/>
        <w:tabs>
          <w:tab w:leader="none" w:pos="600"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Indemnification and Contribution</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firstLine="920"/>
        <w:spacing w:after="0" w:line="297" w:lineRule="auto"/>
        <w:tabs>
          <w:tab w:leader="none" w:pos="1101" w:val="left"/>
        </w:tabs>
        <w:numPr>
          <w:ilvl w:val="1"/>
          <w:numId w:val="165"/>
        </w:numPr>
        <w:rPr>
          <w:rFonts w:ascii="Arial" w:cs="Arial" w:eastAsia="Arial" w:hAnsi="Arial"/>
          <w:sz w:val="12"/>
          <w:szCs w:val="12"/>
          <w:color w:val="auto"/>
        </w:rPr>
      </w:pPr>
      <w:r>
        <w:rPr>
          <w:rFonts w:ascii="Arial" w:cs="Arial" w:eastAsia="Arial" w:hAnsi="Arial"/>
          <w:sz w:val="12"/>
          <w:szCs w:val="12"/>
          <w:color w:val="auto"/>
        </w:rPr>
        <w:t xml:space="preserve">In the event of a registration of any of the Restricted Stock or Additional Restricted Stock under the Securities Act pursuant to Sections 4, 5 or 6, the Company will indemnify and hold harmless each seller of such Restricted Stock and Additional Restricted Stock thereunder, each underwriter of such Restricted Stock and Additional Restricted Stock thereunder and each other person, if any, who controls such seller or underwriter within the meaning of the Securities Act, against any losses, claims, damages or liabilities, joint or several, to which such seller, underwriter or controlling person may become subject under the Securities Act or otherwise, insofar as such losses, claims, damages or liabilities (or actions in respect thereof) arise out of or are based upon any untrue statement or alleged untrue statement of any material fact contained in any registration statement under which such Restricted Stock or Additional Restricted Stock was registered under the Securities Act pursuant to Sections 4, 5 or 6, any preliminary prospectus or final prospectus contained therein, or any amendment or supplement thereof, or arise out of or are based upon the omission or alleged omission to state therein a material fact required to be stated therein or necessary to make the statements therein not misleading, and will reimburse each such seller, each such underwriter and each such controlling person for any legal or other expenses reasonably incurred by them in connection with investigating or defending any such loss, claim, damage, liability or action as the same are incurred,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any such seller, any such underwriter or any such controlling</w:t>
      </w:r>
    </w:p>
    <w:p>
      <w:pPr>
        <w:spacing w:after="0" w:line="78" w:lineRule="exact"/>
        <w:rPr>
          <w:rFonts w:ascii="Arial" w:cs="Arial" w:eastAsia="Arial" w:hAnsi="Arial"/>
          <w:sz w:val="12"/>
          <w:szCs w:val="12"/>
          <w:color w:val="auto"/>
        </w:rPr>
      </w:pPr>
    </w:p>
    <w:p>
      <w:pPr>
        <w:ind w:left="5700" w:hanging="79"/>
        <w:spacing w:after="0"/>
        <w:tabs>
          <w:tab w:leader="none" w:pos="570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8 -</w:t>
      </w:r>
    </w:p>
    <w:p>
      <w:pPr>
        <w:sectPr>
          <w:pgSz w:w="11900" w:h="16838" w:orient="portrait"/>
          <w:cols w:equalWidth="0" w:num="1">
            <w:col w:w="11460"/>
          </w:cols>
          <w:pgMar w:left="220" w:top="247" w:right="219" w:bottom="1440" w:gutter="0" w:footer="0" w:header="0"/>
        </w:sectPr>
      </w:pPr>
    </w:p>
    <w:bookmarkStart w:id="265" w:name="page266"/>
    <w:bookmarkEnd w:id="265"/>
    <w:p>
      <w:pPr>
        <w:ind w:right="2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person in writing specifically for use in such registration statement or prospectus or from a failure of such seller to comply with the prospectus delivery requirements of the Securities Act if the Company has delivered to such seller any reasonable number of correct or corrected prospectuses requested by such seller.</w:t>
      </w:r>
    </w:p>
    <w:p>
      <w:pPr>
        <w:spacing w:after="0" w:line="101" w:lineRule="exact"/>
        <w:rPr>
          <w:sz w:val="20"/>
          <w:szCs w:val="20"/>
          <w:color w:val="auto"/>
        </w:rPr>
      </w:pPr>
    </w:p>
    <w:p>
      <w:pPr>
        <w:ind w:firstLine="920"/>
        <w:spacing w:after="0" w:line="295" w:lineRule="auto"/>
        <w:tabs>
          <w:tab w:leader="none" w:pos="1109" w:val="left"/>
        </w:tabs>
        <w:numPr>
          <w:ilvl w:val="0"/>
          <w:numId w:val="166"/>
        </w:numPr>
        <w:rPr>
          <w:rFonts w:ascii="Arial" w:cs="Arial" w:eastAsia="Arial" w:hAnsi="Arial"/>
          <w:sz w:val="12"/>
          <w:szCs w:val="12"/>
          <w:color w:val="auto"/>
        </w:rPr>
      </w:pPr>
      <w:r>
        <w:rPr>
          <w:rFonts w:ascii="Arial" w:cs="Arial" w:eastAsia="Arial" w:hAnsi="Arial"/>
          <w:sz w:val="12"/>
          <w:szCs w:val="12"/>
          <w:color w:val="auto"/>
        </w:rPr>
        <w:t xml:space="preserve">In the event of a registration of any of the Restricted Stock or Additional Restricted Stock under the Securities Act pursuant to Sections 4, 5 or 6, each seller of such Restricted Stock or Additional Restricted Stock thereunder, severally and not jointly, will indemnify and hold harmless the Company, each person, if any, who controls the Company within the meaning of the Securities Act, each officer of the Company who signs the registration statement, each director of the Company, each underwriter and each person who controls any underwriter within the meaning of the Securities Act, against all losses, claims, damages or liabilities, joint or several, to which the Company or such officer, director, underwriter or controlling person may become subject under the Securities Act or otherwise, insofar as such losses, claims, damages or liabilities (or actions in respect thereof) arise out of or are based upon any untrue statement or alleged untrue statement of any material fact contained in the registration statement under which such Restricted Stock or Additional Restricted Stock was registered under the Securities Act pursuant to Sections 4, 5 or 6, any preliminary prospectus or final prospectus contained therein or any amendment or supplement thereof or arise out of or are based upon the omission or alleged omission to state therein a material fact required to be stated therein or necessary to make the statements therein not misleading and will reimburse the Company and each such officer, director, underwriter and controlling person for any legal or other expenses reasonably incurred by them in connection with investigating or defending any such loss, claim, damage, liability or 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such seller will be liable hereunder in any such case if and only to the extent that any such loss, claim, damage or liability arises out of or is based upon an untrue statement or alleged untrue statement or omission or alleged omission made in reliance upon and in conformity with information pertaining to such seller, as such, furnished in writing to the Company by such seller specifically for use in such registration statement or prospectus,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however, that the liability of each seller hereunder shall be limited to the proportion of any such loss, claim, damage, liability or expense which is equal to the proportion that the public offering price of the shares sold by such seller under such registration statement bears to the total public offering price of all securities sold thereunder, but not in any event to exceed the proceeds received by such seller from the sale of Restricted Stock or Additional Restricted Stock covered by such registration statement.</w:t>
      </w:r>
    </w:p>
    <w:p>
      <w:pPr>
        <w:spacing w:after="0" w:line="260" w:lineRule="exact"/>
        <w:rPr>
          <w:rFonts w:ascii="Arial" w:cs="Arial" w:eastAsia="Arial" w:hAnsi="Arial"/>
          <w:sz w:val="12"/>
          <w:szCs w:val="12"/>
          <w:color w:val="auto"/>
        </w:rPr>
      </w:pPr>
    </w:p>
    <w:p>
      <w:pPr>
        <w:ind w:right="40" w:firstLine="920"/>
        <w:spacing w:after="0" w:line="302" w:lineRule="auto"/>
        <w:tabs>
          <w:tab w:leader="none" w:pos="1101" w:val="left"/>
        </w:tabs>
        <w:numPr>
          <w:ilvl w:val="0"/>
          <w:numId w:val="166"/>
        </w:numPr>
        <w:rPr>
          <w:rFonts w:ascii="Arial" w:cs="Arial" w:eastAsia="Arial" w:hAnsi="Arial"/>
          <w:sz w:val="12"/>
          <w:szCs w:val="12"/>
          <w:color w:val="auto"/>
        </w:rPr>
      </w:pPr>
      <w:r>
        <w:rPr>
          <w:rFonts w:ascii="Arial" w:cs="Arial" w:eastAsia="Arial" w:hAnsi="Arial"/>
          <w:sz w:val="12"/>
          <w:szCs w:val="12"/>
          <w:color w:val="auto"/>
        </w:rPr>
        <w:t>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so to notify the indemnifying party shall not relieve it from any liability which it may have to such indemnified party other than under this Section 9 and shall only relieve it from any liability which it may have to such indemnified party under this Section 9 if and to the extent the indemnifying party is prejudiced by such omission. In case any such action shall be brought against any indemnified party and it shall notify the indemnifying party of the commencement thereof, the indemnifying party shall be entitled to participate in and, to the extent it shall wish, to assume and undertake the defense thereof with counsel satisfactory to such indemnified party, and, after notice from the indemnifying party to such indemnified party of its election so to assume and undertake the defense thereof, the indemnifying party shall not</w:t>
      </w:r>
    </w:p>
    <w:p>
      <w:pPr>
        <w:spacing w:after="0" w:line="76" w:lineRule="exact"/>
        <w:rPr>
          <w:rFonts w:ascii="Arial" w:cs="Arial" w:eastAsia="Arial" w:hAnsi="Arial"/>
          <w:sz w:val="12"/>
          <w:szCs w:val="12"/>
          <w:color w:val="auto"/>
        </w:rPr>
      </w:pPr>
    </w:p>
    <w:p>
      <w:pPr>
        <w:ind w:left="5700" w:hanging="79"/>
        <w:spacing w:after="0"/>
        <w:tabs>
          <w:tab w:leader="none" w:pos="570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9 -</w:t>
      </w:r>
    </w:p>
    <w:p>
      <w:pPr>
        <w:sectPr>
          <w:pgSz w:w="11900" w:h="16838" w:orient="portrait"/>
          <w:cols w:equalWidth="0" w:num="1">
            <w:col w:w="11440"/>
          </w:cols>
          <w:pgMar w:left="220" w:top="247" w:right="239" w:bottom="1440" w:gutter="0" w:footer="0" w:header="0"/>
        </w:sectPr>
      </w:pPr>
    </w:p>
    <w:bookmarkStart w:id="266" w:name="page267"/>
    <w:bookmarkEnd w:id="266"/>
    <w:p>
      <w:pPr>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be liable to such indemnified party under this Section 9 for any legal expenses subsequently incurred by such indemnified party in connection with the defense thereof other than reasonable costs of investigation and of liaison with counsel so selected,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defendants in any such action include both the indemnified party and the indemnifying party and the indemnified party shall have reasonably concluded that there may be reasonable defenses available to it which are different from or additional to those available to the indemnifying party or if the interests of the indemnified party reasonably may be deemed to conflict with the interests of the indemnifying party, the indemnified party shall have the right to select a separate counsel and to assume such legal defenses and otherwise to participate in the defense of such action, with the expenses and fees of such separate counsel and other expenses related to such participation to be reimbursed by the indemnifying party as incurred.</w:t>
      </w:r>
    </w:p>
    <w:p>
      <w:pPr>
        <w:spacing w:after="0" w:line="84" w:lineRule="exact"/>
        <w:rPr>
          <w:sz w:val="20"/>
          <w:szCs w:val="20"/>
          <w:color w:val="auto"/>
        </w:rPr>
      </w:pPr>
    </w:p>
    <w:p>
      <w:pPr>
        <w:ind w:right="20" w:firstLine="920"/>
        <w:spacing w:after="0" w:line="298" w:lineRule="auto"/>
        <w:tabs>
          <w:tab w:leader="none" w:pos="1109" w:val="left"/>
        </w:tabs>
        <w:numPr>
          <w:ilvl w:val="1"/>
          <w:numId w:val="167"/>
        </w:numPr>
        <w:rPr>
          <w:rFonts w:ascii="Arial" w:cs="Arial" w:eastAsia="Arial" w:hAnsi="Arial"/>
          <w:sz w:val="12"/>
          <w:szCs w:val="12"/>
          <w:color w:val="auto"/>
        </w:rPr>
      </w:pPr>
      <w:r>
        <w:rPr>
          <w:rFonts w:ascii="Arial" w:cs="Arial" w:eastAsia="Arial" w:hAnsi="Arial"/>
          <w:sz w:val="12"/>
          <w:szCs w:val="12"/>
          <w:color w:val="auto"/>
        </w:rPr>
        <w:t>If for any reason the indemnification provided for in this Section 9 is held by a court of competent jurisdiction to be unavailable to an indemnified person in respect of any losses, claims, damages, expenses or liabilities referred to therein, then each indemnifying party under this Section 9, in lieu of indemnifying such indemnified party thereunder, shall contribute to the amount paid or payable by such indemnified party as a result of such losses, claims, damages, expenses or liabilities in such proportion as is appropriate to reflect the relative fault of the Company, the selling holders of Restricted Stock and Additional Restricted Stock and the underwriters in connection with the statements or omissions which resulted in such losses, claims, damages, expenses or liabilities, as well as any other relevant equitable considerations. The relative fault of the Company, the selling holders of Restricted Stock and Additional Restricted Stock and the underwriters shall be determined by reference to, among other things, whether the untrue or alleged untrue statement of a material fact or the omission or alleged omission to state a material fact relates to information supplied by the Company, the selling holders of Restricted Stock and Additional Restricted Stock or the underwriters, and the parties’ relative intent, knowledge, access to information and opportunity to correct or prevent such statement or omission. Notwithstanding the foregoing, (A) no holder will be required to contribute any amount in excess of the public offering price of all such Restricted Stock or Additional Restricted Stock offered by it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spacing w:after="0" w:line="254" w:lineRule="exact"/>
        <w:rPr>
          <w:rFonts w:ascii="Arial" w:cs="Arial" w:eastAsia="Arial" w:hAnsi="Arial"/>
          <w:sz w:val="12"/>
          <w:szCs w:val="12"/>
          <w:color w:val="auto"/>
        </w:rPr>
      </w:pPr>
    </w:p>
    <w:p>
      <w:pPr>
        <w:ind w:right="400" w:firstLine="462"/>
        <w:spacing w:after="0" w:line="258" w:lineRule="auto"/>
        <w:tabs>
          <w:tab w:leader="none" w:pos="662"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Changes in Common Stock or Preferred Stock</w:t>
      </w:r>
      <w:r>
        <w:rPr>
          <w:rFonts w:ascii="Arial" w:cs="Arial" w:eastAsia="Arial" w:hAnsi="Arial"/>
          <w:sz w:val="14"/>
          <w:szCs w:val="14"/>
          <w:color w:val="auto"/>
        </w:rPr>
        <w:t>. If, and as often as, there is any change in the Common Stock or the Preferred Stock by way of a stock split, stock dividend, combination or reclassification, or through a merger, consolidation, reorganization or recapitalization, or by any other means, appropriate adjustment shall be made in the provisions hereof so that the rights and privileges granted hereby shall continue with respect to the Common Stock or the Preferred Stock as so changed.</w:t>
      </w:r>
    </w:p>
    <w:p>
      <w:pPr>
        <w:spacing w:after="0" w:line="107" w:lineRule="exact"/>
        <w:rPr>
          <w:rFonts w:ascii="Arial" w:cs="Arial" w:eastAsia="Arial" w:hAnsi="Arial"/>
          <w:sz w:val="14"/>
          <w:szCs w:val="14"/>
          <w:color w:val="auto"/>
        </w:rPr>
      </w:pPr>
    </w:p>
    <w:p>
      <w:pPr>
        <w:ind w:right="200" w:firstLine="462"/>
        <w:spacing w:after="0" w:line="258" w:lineRule="auto"/>
        <w:tabs>
          <w:tab w:leader="none" w:pos="657"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Rule 144 Reporting</w:t>
      </w:r>
      <w:r>
        <w:rPr>
          <w:rFonts w:ascii="Arial" w:cs="Arial" w:eastAsia="Arial" w:hAnsi="Arial"/>
          <w:sz w:val="14"/>
          <w:szCs w:val="14"/>
          <w:color w:val="auto"/>
        </w:rPr>
        <w:t>. With a view to making available the benefits of certain rules and regulations of the Commission which may at any time permit the sale of the Restricted Stock or Additional Restricted Stock to the public without registration, at all times after 90 days after any registration statement covering a public offering of securities of the Company under the Securities Act shall have become effective, the Company agrees to:</w:t>
      </w:r>
    </w:p>
    <w:p>
      <w:pPr>
        <w:spacing w:after="0" w:line="107" w:lineRule="exact"/>
        <w:rPr>
          <w:rFonts w:ascii="Arial" w:cs="Arial" w:eastAsia="Arial" w:hAnsi="Arial"/>
          <w:sz w:val="14"/>
          <w:szCs w:val="14"/>
          <w:color w:val="auto"/>
        </w:rPr>
      </w:pPr>
    </w:p>
    <w:p>
      <w:pPr>
        <w:ind w:left="1100" w:hanging="180"/>
        <w:spacing w:after="0"/>
        <w:tabs>
          <w:tab w:leader="none" w:pos="110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make and keep public information available, as those terms are understood and defined in Rule 144 under the Securities Act;</w:t>
      </w:r>
    </w:p>
    <w:p>
      <w:pPr>
        <w:spacing w:after="0" w:line="121" w:lineRule="exact"/>
        <w:rPr>
          <w:rFonts w:ascii="Arial" w:cs="Arial" w:eastAsia="Arial" w:hAnsi="Arial"/>
          <w:sz w:val="14"/>
          <w:szCs w:val="14"/>
          <w:color w:val="auto"/>
        </w:rPr>
      </w:pPr>
    </w:p>
    <w:p>
      <w:pPr>
        <w:ind w:left="5660" w:hanging="73"/>
        <w:spacing w:after="0"/>
        <w:tabs>
          <w:tab w:leader="none" w:pos="5660" w:val="left"/>
        </w:tabs>
        <w:numPr>
          <w:ilvl w:val="2"/>
          <w:numId w:val="168"/>
        </w:numPr>
        <w:rPr>
          <w:rFonts w:ascii="Arial" w:cs="Arial" w:eastAsia="Arial" w:hAnsi="Arial"/>
          <w:sz w:val="14"/>
          <w:szCs w:val="14"/>
          <w:color w:val="auto"/>
        </w:rPr>
      </w:pPr>
      <w:r>
        <w:rPr>
          <w:rFonts w:ascii="Arial" w:cs="Arial" w:eastAsia="Arial" w:hAnsi="Arial"/>
          <w:sz w:val="14"/>
          <w:szCs w:val="14"/>
          <w:color w:val="auto"/>
        </w:rPr>
        <w:t>10 -</w:t>
      </w:r>
    </w:p>
    <w:p>
      <w:pPr>
        <w:sectPr>
          <w:pgSz w:w="11900" w:h="16838" w:orient="portrait"/>
          <w:cols w:equalWidth="0" w:num="1">
            <w:col w:w="11460"/>
          </w:cols>
          <w:pgMar w:left="220" w:top="247" w:right="219" w:bottom="1440" w:gutter="0" w:footer="0" w:header="0"/>
        </w:sectPr>
      </w:pPr>
    </w:p>
    <w:bookmarkStart w:id="267" w:name="page268"/>
    <w:bookmarkEnd w:id="267"/>
    <w:p>
      <w:pPr>
        <w:ind w:left="667" w:hanging="200"/>
        <w:spacing w:after="0"/>
        <w:tabs>
          <w:tab w:leader="none" w:pos="667" w:val="left"/>
        </w:tabs>
        <w:numPr>
          <w:ilvl w:val="1"/>
          <w:numId w:val="16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use its best efforts to file with the Commission in a timely manner all reports and other documents required of the Company under the Securities Act and the Exchange Act; and</w:t>
      </w:r>
    </w:p>
    <w:p>
      <w:pPr>
        <w:spacing w:after="0" w:line="154" w:lineRule="exact"/>
        <w:rPr>
          <w:rFonts w:ascii="Arial" w:cs="Arial" w:eastAsia="Arial" w:hAnsi="Arial"/>
          <w:sz w:val="12"/>
          <w:szCs w:val="12"/>
          <w:color w:val="auto"/>
        </w:rPr>
      </w:pPr>
    </w:p>
    <w:p>
      <w:pPr>
        <w:ind w:left="-453" w:firstLine="920"/>
        <w:spacing w:after="0" w:line="321" w:lineRule="auto"/>
        <w:tabs>
          <w:tab w:leader="none" w:pos="649" w:val="left"/>
        </w:tabs>
        <w:numPr>
          <w:ilvl w:val="1"/>
          <w:numId w:val="169"/>
        </w:numPr>
        <w:rPr>
          <w:rFonts w:ascii="Arial" w:cs="Arial" w:eastAsia="Arial" w:hAnsi="Arial"/>
          <w:sz w:val="12"/>
          <w:szCs w:val="12"/>
          <w:color w:val="auto"/>
        </w:rPr>
      </w:pPr>
      <w:r>
        <w:rPr>
          <w:rFonts w:ascii="Arial" w:cs="Arial" w:eastAsia="Arial" w:hAnsi="Arial"/>
          <w:sz w:val="12"/>
          <w:szCs w:val="12"/>
          <w:color w:val="auto"/>
        </w:rPr>
        <w:t>furnish to each holder of Restricted Stock or Additional Restricted Stock forthwith upon request a written statement by the Company as to its compliance with the reporting requirements of such Rule 144 and of the Securities Act and the Exchange Act, a copy of the most recent annual or quarterly report of the Company, and such other reports and documents so filed by the Company as such holder may reasonably request in availing itself of any rule or regulation of the Commission allowing such holder to sell any Restricted Stock or Additional Restricted Stock without registration.</w:t>
      </w:r>
    </w:p>
    <w:p>
      <w:pPr>
        <w:spacing w:after="0" w:line="73" w:lineRule="exact"/>
        <w:rPr>
          <w:rFonts w:ascii="Arial" w:cs="Arial" w:eastAsia="Arial" w:hAnsi="Arial"/>
          <w:sz w:val="12"/>
          <w:szCs w:val="12"/>
          <w:color w:val="auto"/>
        </w:rPr>
      </w:pPr>
    </w:p>
    <w:p>
      <w:pPr>
        <w:ind w:left="207" w:hanging="198"/>
        <w:spacing w:after="0"/>
        <w:tabs>
          <w:tab w:leader="none" w:pos="207"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the Company</w:t>
      </w:r>
      <w:r>
        <w:rPr>
          <w:rFonts w:ascii="Arial" w:cs="Arial" w:eastAsia="Arial" w:hAnsi="Arial"/>
          <w:sz w:val="14"/>
          <w:szCs w:val="14"/>
          <w:color w:val="auto"/>
        </w:rPr>
        <w:t>. The Company represents and warrants to the Investors as follows:</w:t>
      </w:r>
    </w:p>
    <w:p>
      <w:pPr>
        <w:spacing w:after="0" w:line="131" w:lineRule="exact"/>
        <w:rPr>
          <w:rFonts w:ascii="Arial" w:cs="Arial" w:eastAsia="Arial" w:hAnsi="Arial"/>
          <w:sz w:val="14"/>
          <w:szCs w:val="14"/>
          <w:color w:val="auto"/>
        </w:rPr>
      </w:pPr>
    </w:p>
    <w:p>
      <w:pPr>
        <w:ind w:left="-453" w:right="80" w:firstLine="920"/>
        <w:spacing w:after="0" w:line="311" w:lineRule="auto"/>
        <w:tabs>
          <w:tab w:leader="none" w:pos="649" w:val="left"/>
        </w:tabs>
        <w:numPr>
          <w:ilvl w:val="1"/>
          <w:numId w:val="170"/>
        </w:numPr>
        <w:rPr>
          <w:rFonts w:ascii="Arial" w:cs="Arial" w:eastAsia="Arial" w:hAnsi="Arial"/>
          <w:sz w:val="12"/>
          <w:szCs w:val="12"/>
          <w:color w:val="auto"/>
        </w:rPr>
      </w:pPr>
      <w:r>
        <w:rPr>
          <w:rFonts w:ascii="Arial" w:cs="Arial" w:eastAsia="Arial" w:hAnsi="Arial"/>
          <w:sz w:val="12"/>
          <w:szCs w:val="12"/>
          <w:color w:val="auto"/>
        </w:rPr>
        <w:t>The execution, delivery and performance of this Agreement by the Company have been duly authorized by all requisite corporate action and will not violate any provision of law, any order of any court or other agency of government, the Certificate of Incorporation or By-laws of the Company or any provision of any indenture, agreement or other instrument to which it or any or its properties or assets is bound, conflict with, result in a breach of or constitute (with due notice or lapse of time or both) a default under any such indenture, agreement or other instrument or result in the creation or imposition of any lien, charge or encumbrance of any nature whatsoever upon any of the properties or assets of the Company.</w:t>
      </w:r>
    </w:p>
    <w:p>
      <w:pPr>
        <w:spacing w:after="0" w:line="78" w:lineRule="exact"/>
        <w:rPr>
          <w:rFonts w:ascii="Arial" w:cs="Arial" w:eastAsia="Arial" w:hAnsi="Arial"/>
          <w:sz w:val="12"/>
          <w:szCs w:val="12"/>
          <w:color w:val="auto"/>
        </w:rPr>
      </w:pPr>
    </w:p>
    <w:p>
      <w:pPr>
        <w:ind w:left="667" w:hanging="200"/>
        <w:spacing w:after="0"/>
        <w:tabs>
          <w:tab w:leader="none" w:pos="667" w:val="left"/>
        </w:tabs>
        <w:numPr>
          <w:ilvl w:val="1"/>
          <w:numId w:val="170"/>
        </w:numPr>
        <w:rPr>
          <w:rFonts w:ascii="Arial" w:cs="Arial" w:eastAsia="Arial" w:hAnsi="Arial"/>
          <w:sz w:val="12"/>
          <w:szCs w:val="12"/>
          <w:color w:val="auto"/>
        </w:rPr>
      </w:pPr>
      <w:r>
        <w:rPr>
          <w:rFonts w:ascii="Arial" w:cs="Arial" w:eastAsia="Arial" w:hAnsi="Arial"/>
          <w:sz w:val="12"/>
          <w:szCs w:val="12"/>
          <w:color w:val="auto"/>
        </w:rPr>
        <w:t>This Agreement has been duly executed and delivered by the Company and constitutes the legal, valid and binding obligation of the Company, enforceable in accordance with its terms.</w:t>
      </w:r>
    </w:p>
    <w:p>
      <w:pPr>
        <w:spacing w:after="0" w:line="185" w:lineRule="exact"/>
        <w:rPr>
          <w:rFonts w:ascii="Arial" w:cs="Arial" w:eastAsia="Arial" w:hAnsi="Arial"/>
          <w:sz w:val="12"/>
          <w:szCs w:val="12"/>
          <w:color w:val="auto"/>
        </w:rPr>
      </w:pPr>
    </w:p>
    <w:p>
      <w:pPr>
        <w:ind w:left="227" w:hanging="227"/>
        <w:spacing w:after="0"/>
        <w:tabs>
          <w:tab w:leader="none" w:pos="227"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Binding Arbitration</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453" w:firstLine="920"/>
        <w:spacing w:after="0" w:line="300" w:lineRule="auto"/>
        <w:tabs>
          <w:tab w:leader="none" w:pos="649" w:val="left"/>
        </w:tabs>
        <w:numPr>
          <w:ilvl w:val="1"/>
          <w:numId w:val="170"/>
        </w:numPr>
        <w:rPr>
          <w:rFonts w:ascii="Arial" w:cs="Arial" w:eastAsia="Arial" w:hAnsi="Arial"/>
          <w:sz w:val="12"/>
          <w:szCs w:val="12"/>
          <w:color w:val="auto"/>
        </w:rPr>
      </w:pPr>
      <w:r>
        <w:rPr>
          <w:rFonts w:ascii="Arial" w:cs="Arial" w:eastAsia="Arial" w:hAnsi="Arial"/>
          <w:sz w:val="12"/>
          <w:szCs w:val="12"/>
          <w:color w:val="auto"/>
        </w:rPr>
        <w:t>Any controversies, disputes, actions, causes of action or other claims between the parties arising out of or relating to this Agreement, or the breach, termination or validity hereof, or any other matters related thereto (a “</w:t>
      </w:r>
      <w:r>
        <w:rPr>
          <w:rFonts w:ascii="Arial" w:cs="Arial" w:eastAsia="Arial" w:hAnsi="Arial"/>
          <w:sz w:val="12"/>
          <w:szCs w:val="12"/>
          <w:u w:val="single" w:color="auto"/>
          <w:color w:val="auto"/>
        </w:rPr>
        <w:t>Controversy</w:t>
      </w:r>
      <w:r>
        <w:rPr>
          <w:rFonts w:ascii="Arial" w:cs="Arial" w:eastAsia="Arial" w:hAnsi="Arial"/>
          <w:sz w:val="12"/>
          <w:szCs w:val="12"/>
          <w:color w:val="auto"/>
        </w:rPr>
        <w:t>”), whether during the term of this Agreement or otherwise, which are not resolved by mutual agreement within forty-five (45) days of first written notification by one party to the other parties of the existence of the Controversy (which notification must set forth in reasonable detail the specific points in dispute) shall be finally settled by arbitration before a neutral arbitrator in accordance with the Commercial Arbitration Rules of the American Arbitration Association (“</w:t>
      </w:r>
      <w:r>
        <w:rPr>
          <w:rFonts w:ascii="Arial" w:cs="Arial" w:eastAsia="Arial" w:hAnsi="Arial"/>
          <w:sz w:val="12"/>
          <w:szCs w:val="12"/>
          <w:u w:val="single" w:color="auto"/>
          <w:color w:val="auto"/>
        </w:rPr>
        <w:t>AAA</w:t>
      </w:r>
      <w:r>
        <w:rPr>
          <w:rFonts w:ascii="Arial" w:cs="Arial" w:eastAsia="Arial" w:hAnsi="Arial"/>
          <w:sz w:val="12"/>
          <w:szCs w:val="12"/>
          <w:color w:val="auto"/>
        </w:rPr>
        <w:t>”) then in effect (modified only as herein expressly provided). The arbitrator shall be experienced with regard to commercial disputes of the type for which arbitration is being sought. The arbitration shall be before one arbitrator mutually agreed upon by the parties. In the event the parties cannot reach agreement upon an arbitrator, an arbitrator shall be appointed by the Director of the Washington, D.C., office of AAA. Each party must continue to perform their respective obligations under this Agreement despite the existence of the Controversy. The parties agree that the arbitration will be</w:t>
      </w:r>
    </w:p>
    <w:p>
      <w:pPr>
        <w:spacing w:after="0" w:line="77" w:lineRule="exact"/>
        <w:rPr>
          <w:rFonts w:ascii="Arial" w:cs="Arial" w:eastAsia="Arial" w:hAnsi="Arial"/>
          <w:sz w:val="12"/>
          <w:szCs w:val="12"/>
          <w:color w:val="auto"/>
        </w:rPr>
      </w:pPr>
    </w:p>
    <w:p>
      <w:pPr>
        <w:ind w:left="5207" w:hanging="71"/>
        <w:spacing w:after="0"/>
        <w:tabs>
          <w:tab w:leader="none" w:pos="5207" w:val="left"/>
        </w:tabs>
        <w:numPr>
          <w:ilvl w:val="2"/>
          <w:numId w:val="170"/>
        </w:numPr>
        <w:rPr>
          <w:rFonts w:ascii="Arial" w:cs="Arial" w:eastAsia="Arial" w:hAnsi="Arial"/>
          <w:sz w:val="14"/>
          <w:szCs w:val="14"/>
          <w:color w:val="auto"/>
        </w:rPr>
      </w:pPr>
      <w:r>
        <w:rPr>
          <w:rFonts w:ascii="Arial" w:cs="Arial" w:eastAsia="Arial" w:hAnsi="Arial"/>
          <w:sz w:val="14"/>
          <w:szCs w:val="14"/>
          <w:color w:val="auto"/>
        </w:rPr>
        <w:t>11 -</w:t>
      </w:r>
    </w:p>
    <w:p>
      <w:pPr>
        <w:sectPr>
          <w:pgSz w:w="11900" w:h="16838" w:orient="portrait"/>
          <w:cols w:equalWidth="0" w:num="1">
            <w:col w:w="11007"/>
          </w:cols>
          <w:pgMar w:left="673" w:top="247" w:right="219" w:bottom="1440" w:gutter="0" w:footer="0" w:header="0"/>
        </w:sectPr>
      </w:pPr>
    </w:p>
    <w:bookmarkStart w:id="268" w:name="page269"/>
    <w:bookmarkEnd w:id="268"/>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held in Washington, D.C., or in such other place as the parties may mutually agree upon. The arbitration will be held in accordance with and subject to the procedural rules and applicable requirements and procedures of the District of Columbia. The arbitrator may enter a default decision against any party who fails to participate in the arbitration proceedings. The decision of the arbitrator on the points in dispute with respect to such Controversy will be final, non-appealable and binding and judgment on the award may be entered in any court having jurisdiction thereof. The parties agree that this clause has been included to rapidly and inexpensively resolve any Controversy, and that this clause shall be grounds for dismissal of any court action commenced by any party arising out of or relating to this Agreement or the breach, termination or validity hereof or any other matters relating thereto; provided that nothing in this Section 13 shall limit any party’s right to bring (i) post-arbitration actions seeking to enforce an arbitration award or (ii) actions seeking injunctive or other similar relief in the event of the breach or threatened breach of any of the provisions of this Agreement. The parties shall keep confidential, and shall not disclose to any person (except (A) to the extent required by law, and (B) for disclosure to those employees and agents of any such party who have a need to know and who have been advised of their obligations of confidentiality and non-disclosure hereunder), the existence of any Controversy hereunder, the referral of any such Controversy to arbitration or the status or resolution thereof.</w:t>
      </w:r>
    </w:p>
    <w:p>
      <w:pPr>
        <w:spacing w:after="0" w:line="87" w:lineRule="exact"/>
        <w:rPr>
          <w:sz w:val="20"/>
          <w:szCs w:val="20"/>
          <w:color w:val="auto"/>
        </w:rPr>
      </w:pPr>
    </w:p>
    <w:p>
      <w:pPr>
        <w:ind w:right="160" w:firstLine="920"/>
        <w:spacing w:after="0" w:line="305" w:lineRule="auto"/>
        <w:tabs>
          <w:tab w:leader="none" w:pos="1109"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parties hereto agree that the party or parties which are principally prevailing in any such Controversy shall be entitled to full reimbursement of all out-of-pocket costs incurred by such prevailing party and its affiliates in connection with such Controversy (including reimbursement of all reasonable attorneys’ fees and expenses) and the arbitrator is hereby empowered to include such reimbursement in any award or determination. In the event that there is no party which is principally prevailing in any such Controversy, the arbitrator will be authorized to apportion its fees and expenses and the reasonable attorneys’ fees and expenses of the parties as the arbitrator deems appropriate, and in the absence of any such apportionment, the fees and expenses of the arbitrator will be borne equally by all parties involved in such arbitration, and each party will bear the fees and expenses of its own attorney.</w:t>
      </w:r>
    </w:p>
    <w:p>
      <w:pPr>
        <w:spacing w:after="0" w:line="84" w:lineRule="exact"/>
        <w:rPr>
          <w:rFonts w:ascii="Arial" w:cs="Arial" w:eastAsia="Arial" w:hAnsi="Arial"/>
          <w:sz w:val="12"/>
          <w:szCs w:val="12"/>
          <w:color w:val="auto"/>
        </w:rPr>
      </w:pPr>
    </w:p>
    <w:p>
      <w:pPr>
        <w:ind w:right="60" w:firstLine="920"/>
        <w:spacing w:after="0" w:line="267" w:lineRule="auto"/>
        <w:tabs>
          <w:tab w:leader="none" w:pos="1101" w:val="left"/>
        </w:tabs>
        <w:numPr>
          <w:ilvl w:val="0"/>
          <w:numId w:val="171"/>
        </w:numPr>
        <w:rPr>
          <w:rFonts w:ascii="Arial" w:cs="Arial" w:eastAsia="Arial" w:hAnsi="Arial"/>
          <w:sz w:val="14"/>
          <w:szCs w:val="14"/>
          <w:color w:val="auto"/>
        </w:rPr>
      </w:pPr>
      <w:r>
        <w:rPr>
          <w:rFonts w:ascii="Arial" w:cs="Arial" w:eastAsia="Arial" w:hAnsi="Arial"/>
          <w:sz w:val="14"/>
          <w:szCs w:val="14"/>
          <w:color w:val="auto"/>
        </w:rPr>
        <w:t>With respect to any action or proceeding which a successful party to the arbitration may wish to bring to enforce any arbitral award or to seek injunctive or other similar relief in the event of the breach or threatened breach of this Agreement, each party irrevocably and unconditionally (and without limitation):</w:t>
      </w:r>
    </w:p>
    <w:p>
      <w:pPr>
        <w:spacing w:after="0" w:line="101" w:lineRule="exact"/>
        <w:rPr>
          <w:rFonts w:ascii="Arial" w:cs="Arial" w:eastAsia="Arial" w:hAnsi="Arial"/>
          <w:sz w:val="14"/>
          <w:szCs w:val="14"/>
          <w:color w:val="auto"/>
        </w:rPr>
      </w:pPr>
    </w:p>
    <w:p>
      <w:pPr>
        <w:ind w:left="1660" w:hanging="167"/>
        <w:spacing w:after="0"/>
        <w:tabs>
          <w:tab w:leader="none" w:pos="166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submits to and accepts, for itself and in respect of its assets, generally and unconditionally the non-exclusive jurisdiction of the courts of the United States and of the State of</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Delaware;</w:t>
      </w:r>
    </w:p>
    <w:p>
      <w:pPr>
        <w:spacing w:after="0" w:line="125" w:lineRule="exact"/>
        <w:rPr>
          <w:rFonts w:ascii="Arial" w:cs="Arial" w:eastAsia="Arial" w:hAnsi="Arial"/>
          <w:sz w:val="12"/>
          <w:szCs w:val="12"/>
          <w:color w:val="auto"/>
        </w:rPr>
      </w:pPr>
    </w:p>
    <w:p>
      <w:pPr>
        <w:ind w:left="1700" w:hanging="207"/>
        <w:spacing w:after="0"/>
        <w:tabs>
          <w:tab w:leader="none" w:pos="170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waives any objection it may have now or in the future that such action or proceeding has been brought in an inconvenient forum;</w:t>
      </w:r>
    </w:p>
    <w:p>
      <w:pPr>
        <w:spacing w:after="0" w:line="131" w:lineRule="exact"/>
        <w:rPr>
          <w:rFonts w:ascii="Arial" w:cs="Arial" w:eastAsia="Arial" w:hAnsi="Arial"/>
          <w:sz w:val="14"/>
          <w:szCs w:val="14"/>
          <w:color w:val="auto"/>
        </w:rPr>
      </w:pPr>
    </w:p>
    <w:p>
      <w:pPr>
        <w:ind w:right="220" w:firstLine="1493"/>
        <w:spacing w:after="0" w:line="267" w:lineRule="auto"/>
        <w:tabs>
          <w:tab w:leader="none" w:pos="1728" w:val="left"/>
        </w:tabs>
        <w:numPr>
          <w:ilvl w:val="1"/>
          <w:numId w:val="171"/>
        </w:numPr>
        <w:rPr>
          <w:rFonts w:ascii="Arial" w:cs="Arial" w:eastAsia="Arial" w:hAnsi="Arial"/>
          <w:sz w:val="14"/>
          <w:szCs w:val="14"/>
          <w:color w:val="auto"/>
        </w:rPr>
      </w:pPr>
      <w:r>
        <w:rPr>
          <w:rFonts w:ascii="Arial" w:cs="Arial" w:eastAsia="Arial" w:hAnsi="Arial"/>
          <w:sz w:val="14"/>
          <w:szCs w:val="14"/>
          <w:color w:val="auto"/>
        </w:rPr>
        <w:t>agrees that in any such action or proceeding it will not raise, rely on or claim any immunity (including, without limitation, from suit, judgment, attachment before judgment or otherwise, execution or other enforcement);</w:t>
      </w:r>
    </w:p>
    <w:p>
      <w:pPr>
        <w:spacing w:after="0" w:line="91" w:lineRule="exact"/>
        <w:rPr>
          <w:rFonts w:ascii="Arial" w:cs="Arial" w:eastAsia="Arial" w:hAnsi="Arial"/>
          <w:sz w:val="14"/>
          <w:szCs w:val="14"/>
          <w:color w:val="auto"/>
        </w:rPr>
      </w:pPr>
    </w:p>
    <w:p>
      <w:pPr>
        <w:ind w:left="5660" w:hanging="73"/>
        <w:spacing w:after="0"/>
        <w:tabs>
          <w:tab w:leader="none" w:pos="5660" w:val="left"/>
        </w:tabs>
        <w:numPr>
          <w:ilvl w:val="2"/>
          <w:numId w:val="171"/>
        </w:numPr>
        <w:rPr>
          <w:rFonts w:ascii="Arial" w:cs="Arial" w:eastAsia="Arial" w:hAnsi="Arial"/>
          <w:sz w:val="14"/>
          <w:szCs w:val="14"/>
          <w:color w:val="auto"/>
        </w:rPr>
      </w:pPr>
      <w:r>
        <w:rPr>
          <w:rFonts w:ascii="Arial" w:cs="Arial" w:eastAsia="Arial" w:hAnsi="Arial"/>
          <w:sz w:val="14"/>
          <w:szCs w:val="14"/>
          <w:color w:val="auto"/>
        </w:rPr>
        <w:t>12 -</w:t>
      </w:r>
    </w:p>
    <w:p>
      <w:pPr>
        <w:sectPr>
          <w:pgSz w:w="11900" w:h="16838" w:orient="portrait"/>
          <w:cols w:equalWidth="0" w:num="1">
            <w:col w:w="11440"/>
          </w:cols>
          <w:pgMar w:left="220" w:top="247" w:right="239" w:bottom="1440" w:gutter="0" w:footer="0" w:header="0"/>
        </w:sectPr>
      </w:pPr>
    </w:p>
    <w:bookmarkStart w:id="269" w:name="page270"/>
    <w:bookmarkEnd w:id="269"/>
    <w:p>
      <w:pPr>
        <w:ind w:left="1720" w:hanging="227"/>
        <w:spacing w:after="0"/>
        <w:tabs>
          <w:tab w:leader="none" w:pos="1720" w:val="left"/>
        </w:tabs>
        <w:numPr>
          <w:ilvl w:val="2"/>
          <w:numId w:val="17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waives any right of immunity which it has or its assets may have at any time; and</w:t>
      </w:r>
    </w:p>
    <w:p>
      <w:pPr>
        <w:spacing w:after="0" w:line="131" w:lineRule="exact"/>
        <w:rPr>
          <w:rFonts w:ascii="Arial" w:cs="Arial" w:eastAsia="Arial" w:hAnsi="Arial"/>
          <w:sz w:val="14"/>
          <w:szCs w:val="14"/>
          <w:color w:val="auto"/>
        </w:rPr>
      </w:pPr>
    </w:p>
    <w:p>
      <w:pPr>
        <w:ind w:firstLine="1493"/>
        <w:spacing w:after="0" w:line="267" w:lineRule="auto"/>
        <w:tabs>
          <w:tab w:leader="none" w:pos="1682" w:val="left"/>
        </w:tabs>
        <w:numPr>
          <w:ilvl w:val="2"/>
          <w:numId w:val="172"/>
        </w:numPr>
        <w:rPr>
          <w:rFonts w:ascii="Arial" w:cs="Arial" w:eastAsia="Arial" w:hAnsi="Arial"/>
          <w:sz w:val="14"/>
          <w:szCs w:val="14"/>
          <w:color w:val="auto"/>
        </w:rPr>
      </w:pPr>
      <w:r>
        <w:rPr>
          <w:rFonts w:ascii="Arial" w:cs="Arial" w:eastAsia="Arial" w:hAnsi="Arial"/>
          <w:sz w:val="14"/>
          <w:szCs w:val="14"/>
          <w:color w:val="auto"/>
        </w:rPr>
        <w:t>consents generally to the giving of any relief or the issue of any process in connection with any such action or proceeding including, without limitation, the making, enforcement or execution of any order or judgment against any of its property.</w:t>
      </w:r>
    </w:p>
    <w:p>
      <w:pPr>
        <w:spacing w:after="0" w:line="101" w:lineRule="exact"/>
        <w:rPr>
          <w:rFonts w:ascii="Arial" w:cs="Arial" w:eastAsia="Arial" w:hAnsi="Arial"/>
          <w:sz w:val="14"/>
          <w:szCs w:val="14"/>
          <w:color w:val="auto"/>
        </w:rPr>
      </w:pPr>
    </w:p>
    <w:p>
      <w:pPr>
        <w:ind w:left="660" w:hanging="198"/>
        <w:spacing w:after="0"/>
        <w:tabs>
          <w:tab w:leader="none" w:pos="660"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firstLine="920"/>
        <w:spacing w:after="0" w:line="299" w:lineRule="auto"/>
        <w:tabs>
          <w:tab w:leader="none" w:pos="1101" w:val="left"/>
        </w:tabs>
        <w:numPr>
          <w:ilvl w:val="1"/>
          <w:numId w:val="173"/>
        </w:numPr>
        <w:rPr>
          <w:rFonts w:ascii="Arial" w:cs="Arial" w:eastAsia="Arial" w:hAnsi="Arial"/>
          <w:sz w:val="12"/>
          <w:szCs w:val="12"/>
          <w:color w:val="auto"/>
        </w:rPr>
      </w:pPr>
      <w:r>
        <w:rPr>
          <w:rFonts w:ascii="Arial" w:cs="Arial" w:eastAsia="Arial" w:hAnsi="Arial"/>
          <w:sz w:val="12"/>
          <w:szCs w:val="12"/>
          <w:color w:val="auto"/>
        </w:rPr>
        <w:t xml:space="preserve">All covenants and agreements contained in this Agreement by or on behalf of any of the parties hereto shall bind and inure to the benefit of the respective successors and assigns of the parties hereto (including without limitation transferees of any Preferred Shares, Restricted Stock or Additional Restricted Stock), whether so expressed or not,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registration rights conferred herein on the holders of Preferred Shares, Restricted Stock or Additional Restricted Stock shall only inure to the benefit of a transferee of Preferred Shares, Restricted Stock or Additional Restricted Stock if the Company is provided with notice of the transfer and either (i) the transferee acquires 5,500,000 shares (subject to equitable adjustment in the event of any stock dividend, stock split, combination, reorganization, recapitalization, reclassification or other similar event affecting such shares) or (ii) such transferee is (A) in the case of a party hereto who is a natural person, an immediate family member or trust for the benefit of such holder or (B) a partner, retired partner, member, retired member, shareholder or affiliate of a party hereto;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upon written notice and with the written consent of the Company (such consent not to be unreasonably withheld or unduly delayed), the Company shall grant the registration rights conferred herein to any transferee of Preferred Shares, Restricted Stock or Additional Restricted Stock of at least 3,000,000 shares (subject to equitable adjustment in the event of any stock dividend, stock split, combination, reorganization, recapitalization, reclassification or other similar event affecting such shares).</w:t>
      </w:r>
    </w:p>
    <w:p>
      <w:pPr>
        <w:spacing w:after="0" w:line="254" w:lineRule="exact"/>
        <w:rPr>
          <w:rFonts w:ascii="Arial" w:cs="Arial" w:eastAsia="Arial" w:hAnsi="Arial"/>
          <w:sz w:val="12"/>
          <w:szCs w:val="12"/>
          <w:color w:val="auto"/>
        </w:rPr>
      </w:pPr>
    </w:p>
    <w:p>
      <w:pPr>
        <w:ind w:firstLine="920"/>
        <w:spacing w:after="0" w:line="267" w:lineRule="auto"/>
        <w:tabs>
          <w:tab w:leader="none" w:pos="1109" w:val="left"/>
        </w:tabs>
        <w:numPr>
          <w:ilvl w:val="1"/>
          <w:numId w:val="173"/>
        </w:numPr>
        <w:rPr>
          <w:rFonts w:ascii="Arial" w:cs="Arial" w:eastAsia="Arial" w:hAnsi="Arial"/>
          <w:sz w:val="14"/>
          <w:szCs w:val="14"/>
          <w:color w:val="auto"/>
        </w:rPr>
      </w:pPr>
      <w:r>
        <w:rPr>
          <w:rFonts w:ascii="Arial" w:cs="Arial" w:eastAsia="Arial" w:hAnsi="Arial"/>
          <w:sz w:val="14"/>
          <w:szCs w:val="14"/>
          <w:color w:val="auto"/>
        </w:rPr>
        <w:t>All notices, requests, consents and other communications hereunder shall be in writing and shall be delivered in person, mailed by certified or registered mail, return receipt requested, or sent by telecopier or telex, addressed as follows:</w:t>
      </w:r>
    </w:p>
    <w:p>
      <w:pPr>
        <w:spacing w:after="0" w:line="101" w:lineRule="exact"/>
        <w:rPr>
          <w:rFonts w:ascii="Arial" w:cs="Arial" w:eastAsia="Arial" w:hAnsi="Arial"/>
          <w:sz w:val="14"/>
          <w:szCs w:val="14"/>
          <w:color w:val="auto"/>
        </w:rPr>
      </w:pPr>
    </w:p>
    <w:p>
      <w:pPr>
        <w:ind w:left="1660" w:hanging="167"/>
        <w:spacing w:after="0"/>
        <w:tabs>
          <w:tab w:leader="none" w:pos="1660" w:val="left"/>
        </w:tabs>
        <w:numPr>
          <w:ilvl w:val="2"/>
          <w:numId w:val="173"/>
        </w:numPr>
        <w:rPr>
          <w:rFonts w:ascii="Arial" w:cs="Arial" w:eastAsia="Arial" w:hAnsi="Arial"/>
          <w:sz w:val="14"/>
          <w:szCs w:val="14"/>
          <w:color w:val="auto"/>
        </w:rPr>
      </w:pPr>
      <w:r>
        <w:rPr>
          <w:rFonts w:ascii="Arial" w:cs="Arial" w:eastAsia="Arial" w:hAnsi="Arial"/>
          <w:sz w:val="14"/>
          <w:szCs w:val="14"/>
          <w:color w:val="auto"/>
        </w:rPr>
        <w:t>if to the Company, at the address of its principal office;</w:t>
      </w:r>
    </w:p>
    <w:p>
      <w:pPr>
        <w:spacing w:after="0" w:line="131" w:lineRule="exact"/>
        <w:rPr>
          <w:rFonts w:ascii="Arial" w:cs="Arial" w:eastAsia="Arial" w:hAnsi="Arial"/>
          <w:sz w:val="14"/>
          <w:szCs w:val="14"/>
          <w:color w:val="auto"/>
        </w:rPr>
      </w:pPr>
    </w:p>
    <w:p>
      <w:pPr>
        <w:ind w:left="1700" w:hanging="207"/>
        <w:spacing w:after="0"/>
        <w:tabs>
          <w:tab w:leader="none" w:pos="1700" w:val="left"/>
        </w:tabs>
        <w:numPr>
          <w:ilvl w:val="2"/>
          <w:numId w:val="173"/>
        </w:numPr>
        <w:rPr>
          <w:rFonts w:ascii="Arial" w:cs="Arial" w:eastAsia="Arial" w:hAnsi="Arial"/>
          <w:sz w:val="14"/>
          <w:szCs w:val="14"/>
          <w:color w:val="auto"/>
        </w:rPr>
      </w:pPr>
      <w:r>
        <w:rPr>
          <w:rFonts w:ascii="Arial" w:cs="Arial" w:eastAsia="Arial" w:hAnsi="Arial"/>
          <w:sz w:val="14"/>
          <w:szCs w:val="14"/>
          <w:color w:val="auto"/>
        </w:rPr>
        <w:t>if to any other party to this Agreement, at its address on the records maintained by the Company;</w:t>
      </w:r>
    </w:p>
    <w:p>
      <w:pPr>
        <w:spacing w:after="0" w:line="131" w:lineRule="exact"/>
        <w:rPr>
          <w:rFonts w:ascii="Arial" w:cs="Arial" w:eastAsia="Arial" w:hAnsi="Arial"/>
          <w:sz w:val="14"/>
          <w:szCs w:val="14"/>
          <w:color w:val="auto"/>
        </w:rPr>
      </w:pPr>
    </w:p>
    <w:p>
      <w:pPr>
        <w:ind w:left="1740" w:hanging="247"/>
        <w:spacing w:after="0"/>
        <w:tabs>
          <w:tab w:leader="none" w:pos="1740" w:val="left"/>
        </w:tabs>
        <w:numPr>
          <w:ilvl w:val="2"/>
          <w:numId w:val="173"/>
        </w:numPr>
        <w:rPr>
          <w:rFonts w:ascii="Arial" w:cs="Arial" w:eastAsia="Arial" w:hAnsi="Arial"/>
          <w:sz w:val="12"/>
          <w:szCs w:val="12"/>
          <w:color w:val="auto"/>
        </w:rPr>
      </w:pPr>
      <w:r>
        <w:rPr>
          <w:rFonts w:ascii="Arial" w:cs="Arial" w:eastAsia="Arial" w:hAnsi="Arial"/>
          <w:sz w:val="12"/>
          <w:szCs w:val="12"/>
          <w:color w:val="auto"/>
        </w:rPr>
        <w:t>if to any subsequent holder of Preferred Shares, Restricted Stock or Additional Restricted Stock, to it at such address as may have been furnished to the Company in writing by</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such holder;</w:t>
      </w:r>
    </w:p>
    <w:p>
      <w:pPr>
        <w:spacing w:after="0" w:line="126" w:lineRule="exact"/>
        <w:rPr>
          <w:sz w:val="20"/>
          <w:szCs w:val="20"/>
          <w:color w:val="auto"/>
        </w:rPr>
      </w:pPr>
    </w:p>
    <w:p>
      <w:pPr>
        <w:ind w:right="200"/>
        <w:spacing w:after="0" w:line="351" w:lineRule="auto"/>
        <w:rPr>
          <w:sz w:val="20"/>
          <w:szCs w:val="20"/>
          <w:color w:val="auto"/>
        </w:rPr>
      </w:pPr>
      <w:r>
        <w:rPr>
          <w:rFonts w:ascii="Arial" w:cs="Arial" w:eastAsia="Arial" w:hAnsi="Arial"/>
          <w:sz w:val="12"/>
          <w:szCs w:val="12"/>
          <w:color w:val="auto"/>
        </w:rPr>
        <w:t>or, in any case, at such other address or addresses as shall have been furnished in writing to the Company (in the case of a holder of Preferred Shares, Restricted Stock or Additional Restricted Stock) or to the holders of Preferred Shares, Restricted Stock or Additional Restricted Stock (in the case of the Company) in accordance with the provisions of this paragraph.</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- 13 -</w:t>
      </w:r>
    </w:p>
    <w:p>
      <w:pPr>
        <w:sectPr>
          <w:pgSz w:w="11900" w:h="16838" w:orient="portrait"/>
          <w:cols w:equalWidth="0" w:num="1">
            <w:col w:w="11460"/>
          </w:cols>
          <w:pgMar w:left="220" w:top="247" w:right="219" w:bottom="1440" w:gutter="0" w:footer="0" w:header="0"/>
        </w:sectPr>
      </w:pPr>
    </w:p>
    <w:bookmarkStart w:id="270" w:name="page271"/>
    <w:bookmarkEnd w:id="270"/>
    <w:p>
      <w:pPr>
        <w:ind w:right="180" w:firstLine="920"/>
        <w:spacing w:after="0" w:line="267" w:lineRule="auto"/>
        <w:tabs>
          <w:tab w:leader="none" w:pos="1101" w:val="left"/>
        </w:tabs>
        <w:numPr>
          <w:ilvl w:val="0"/>
          <w:numId w:val="17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This Agreement shall be governed by and construed in accordance with the laws of the State of Delaware without giving effect to any choice or conflict of law provision or rule that would cause the application of the laws of any other state.</w:t>
      </w:r>
    </w:p>
    <w:p>
      <w:pPr>
        <w:spacing w:after="0" w:line="101" w:lineRule="exact"/>
        <w:rPr>
          <w:rFonts w:ascii="Arial" w:cs="Arial" w:eastAsia="Arial" w:hAnsi="Arial"/>
          <w:sz w:val="14"/>
          <w:szCs w:val="14"/>
          <w:color w:val="auto"/>
        </w:rPr>
      </w:pPr>
    </w:p>
    <w:p>
      <w:pPr>
        <w:ind w:firstLine="920"/>
        <w:spacing w:after="0" w:line="311" w:lineRule="auto"/>
        <w:tabs>
          <w:tab w:leader="none" w:pos="1109"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This Agreement may not be amended or modified, and no provision hereof may be waived, without the written consent of the Company and the Investors holding at least sixty-six and two-thirds percent (66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combined outstanding shares of Restricted Stock and Additional Restricted Stock, voting together as a single class. Notwithstanding the foregoing, no provision of this Agreement shall be amended, modified or terminated, nor shall the observance of any term of this Agreement be waived, unless such amendment, modification, termination or waiver, as the case may be, applies in the same material respects to all Investors, unless such affected Investor consents to such amendment, modification, termination or waiver.</w:t>
      </w:r>
    </w:p>
    <w:p>
      <w:pPr>
        <w:spacing w:after="0" w:line="78" w:lineRule="exact"/>
        <w:rPr>
          <w:rFonts w:ascii="Arial" w:cs="Arial" w:eastAsia="Arial" w:hAnsi="Arial"/>
          <w:sz w:val="12"/>
          <w:szCs w:val="12"/>
          <w:color w:val="auto"/>
        </w:rPr>
      </w:pPr>
    </w:p>
    <w:p>
      <w:pPr>
        <w:ind w:left="1100" w:hanging="180"/>
        <w:spacing w:after="0"/>
        <w:tabs>
          <w:tab w:leader="none" w:pos="110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This Agreement may be executed in two or more counterparts, each of which shall be deemed an original, but all of which together shall constitute one and the same instrument.</w:t>
      </w:r>
    </w:p>
    <w:p>
      <w:pPr>
        <w:spacing w:after="0" w:line="154" w:lineRule="exact"/>
        <w:rPr>
          <w:rFonts w:ascii="Arial" w:cs="Arial" w:eastAsia="Arial" w:hAnsi="Arial"/>
          <w:sz w:val="12"/>
          <w:szCs w:val="12"/>
          <w:color w:val="auto"/>
        </w:rPr>
      </w:pPr>
    </w:p>
    <w:p>
      <w:pPr>
        <w:ind w:left="1100" w:hanging="180"/>
        <w:spacing w:after="0"/>
        <w:tabs>
          <w:tab w:leader="none" w:pos="110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The obligations of the Company to register shares of Restricted Stock and Additional Restricted Stock under Sections 4, 5 or 6 shall terminate on the twentieth (20</w:t>
      </w:r>
      <w:r>
        <w:rPr>
          <w:rFonts w:ascii="Arial" w:cs="Arial" w:eastAsia="Arial" w:hAnsi="Arial"/>
          <w:sz w:val="7"/>
          <w:szCs w:val="7"/>
          <w:color w:val="auto"/>
        </w:rPr>
        <w:t>th</w:t>
      </w:r>
      <w:r>
        <w:rPr>
          <w:rFonts w:ascii="Arial" w:cs="Arial" w:eastAsia="Arial" w:hAnsi="Arial"/>
          <w:sz w:val="12"/>
          <w:szCs w:val="12"/>
          <w:color w:val="auto"/>
        </w:rPr>
        <w:t>) anniversary of the date</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of this Agreement.</w:t>
      </w:r>
    </w:p>
    <w:p>
      <w:pPr>
        <w:spacing w:after="0" w:line="125" w:lineRule="exact"/>
        <w:rPr>
          <w:rFonts w:ascii="Arial" w:cs="Arial" w:eastAsia="Arial" w:hAnsi="Arial"/>
          <w:sz w:val="12"/>
          <w:szCs w:val="12"/>
          <w:color w:val="auto"/>
        </w:rPr>
      </w:pPr>
    </w:p>
    <w:p>
      <w:pPr>
        <w:ind w:right="80" w:firstLine="920"/>
        <w:spacing w:after="0" w:line="305" w:lineRule="auto"/>
        <w:tabs>
          <w:tab w:leader="none" w:pos="1109"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 connection with the initial underwritten public offering of securities of the Company, each holder (including the Founders and the University) of Restricted Stock or Additional Restricted Stock who is a party to this Agreement agrees not to sell, assign, transfer, pledge, hypothecate, mortgage, encumber or otherwise dispose any shares of Restricted Stock, Additional Restricted Stock or any other shares of Common Stock then held by such holder (other than shares of Restricted Stock, Additional Restricted Stock or other shares of Common Stock being registered in such offering), without the consent of the underwriters managing such offering, for a period of not more than 180 days following the effective date of the registration statement relating to such offering, if all persons holding in excess of 1% of the capital stock of the Company on a fully diluted basis and all executive officers and directors of the Company shall be similarly restricted.</w:t>
      </w:r>
    </w:p>
    <w:p>
      <w:pPr>
        <w:spacing w:after="0" w:line="84" w:lineRule="exact"/>
        <w:rPr>
          <w:rFonts w:ascii="Arial" w:cs="Arial" w:eastAsia="Arial" w:hAnsi="Arial"/>
          <w:sz w:val="12"/>
          <w:szCs w:val="12"/>
          <w:color w:val="auto"/>
        </w:rPr>
      </w:pPr>
    </w:p>
    <w:p>
      <w:pPr>
        <w:ind w:right="160" w:firstLine="920"/>
        <w:spacing w:after="0" w:line="267" w:lineRule="auto"/>
        <w:tabs>
          <w:tab w:leader="none" w:pos="1109"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Company shall not grant to any third party any registration rights more favorable than or inconsistent with any of those contained herein, so long as any of the registration rights under this Agreement remains in effect.</w:t>
      </w:r>
    </w:p>
    <w:p>
      <w:pPr>
        <w:spacing w:after="0" w:line="101" w:lineRule="exact"/>
        <w:rPr>
          <w:rFonts w:ascii="Arial" w:cs="Arial" w:eastAsia="Arial" w:hAnsi="Arial"/>
          <w:sz w:val="14"/>
          <w:szCs w:val="14"/>
          <w:color w:val="auto"/>
        </w:rPr>
      </w:pPr>
    </w:p>
    <w:p>
      <w:pPr>
        <w:ind w:right="220" w:firstLine="920"/>
        <w:spacing w:after="0" w:line="258" w:lineRule="auto"/>
        <w:tabs>
          <w:tab w:leader="none" w:pos="1079"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If any provision of this Agreement shall be held to be illegal, invalid or unenforceable, such illegality, invalidity or unenforceability shall attach only to such provision and shall not in any manner affect or render illegal, invalid or unenforceable any other provision of this Agreement, and this Agreement shall be carried out as if any such illegal, invalid or unenforceable provision were not contained herein.</w:t>
      </w:r>
    </w:p>
    <w:p>
      <w:pPr>
        <w:spacing w:after="0" w:line="107" w:lineRule="exact"/>
        <w:rPr>
          <w:rFonts w:ascii="Arial" w:cs="Arial" w:eastAsia="Arial" w:hAnsi="Arial"/>
          <w:sz w:val="14"/>
          <w:szCs w:val="14"/>
          <w:color w:val="auto"/>
        </w:rPr>
      </w:pPr>
    </w:p>
    <w:p>
      <w:pPr>
        <w:ind w:right="100" w:firstLine="920"/>
        <w:spacing w:after="0" w:line="351" w:lineRule="auto"/>
        <w:tabs>
          <w:tab w:leader="none" w:pos="1079"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This Agreement, together with the other writings referred to herein or delivered pursuant hereto which form a part hereof, contains the entire agreement among the parties with respect to the subject matter hereof and amends, restates and supersedes all prior and contemporaneous arrangements or understandings, whether written or oral, with respect thereto,</w:t>
      </w:r>
    </w:p>
    <w:p>
      <w:pPr>
        <w:spacing w:after="0" w:line="45" w:lineRule="exact"/>
        <w:rPr>
          <w:rFonts w:ascii="Arial" w:cs="Arial" w:eastAsia="Arial" w:hAnsi="Arial"/>
          <w:sz w:val="12"/>
          <w:szCs w:val="12"/>
          <w:color w:val="auto"/>
        </w:rPr>
      </w:pPr>
    </w:p>
    <w:p>
      <w:pPr>
        <w:ind w:left="5660" w:hanging="73"/>
        <w:spacing w:after="0"/>
        <w:tabs>
          <w:tab w:leader="none" w:pos="566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14 -</w:t>
      </w:r>
    </w:p>
    <w:p>
      <w:pPr>
        <w:sectPr>
          <w:pgSz w:w="11900" w:h="16838" w:orient="portrait"/>
          <w:cols w:equalWidth="0" w:num="1">
            <w:col w:w="11460"/>
          </w:cols>
          <w:pgMar w:left="220" w:top="247" w:right="219" w:bottom="1440" w:gutter="0" w:footer="0" w:header="0"/>
        </w:sectPr>
      </w:pPr>
    </w:p>
    <w:bookmarkStart w:id="271" w:name="page272"/>
    <w:bookmarkEnd w:id="271"/>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including without limitation (a) that certain Third Amended and Restated Registration Rights Agreement, dated as of July 15, 2008, among the Company, the Founders and the Investors named therein; (b) that</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certain Second Amended and Restated Registration Rights Agreement, dated as of May 16, 2006, among the Company, the Founders and the Investors named therein, (c) that certain Amended and Restated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Registration Rights Agreement, dated as of October 13, 2004, among the Company, the Founders and the Investors named therein, (d) that certain Registration Rights Agreement dated October 27, 2003 between</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the Company and Genzyme Corporation, (e) that certain Registration Rights Agreement dated as of September 15, 2000, by and among the Company and the Investors and Founders named therein, as amended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by (i) that certain Amendment No.1 to Registration Rights Agreement dated as of December 4, 2000, by and among the Company, Alexandria Real Estate Equities, L.P. (“</w:t>
      </w:r>
      <w:r>
        <w:rPr>
          <w:rFonts w:ascii="Arial" w:cs="Arial" w:eastAsia="Arial" w:hAnsi="Arial"/>
          <w:sz w:val="12"/>
          <w:szCs w:val="12"/>
          <w:u w:val="single" w:color="auto"/>
          <w:color w:val="auto"/>
        </w:rPr>
        <w:t>ARE</w:t>
      </w:r>
      <w:r>
        <w:rPr>
          <w:rFonts w:ascii="Arial" w:cs="Arial" w:eastAsia="Arial" w:hAnsi="Arial"/>
          <w:sz w:val="12"/>
          <w:szCs w:val="12"/>
          <w:color w:val="auto"/>
        </w:rPr>
        <w:t>”), and the Founders and Investors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named therein, (ii) that certain Amendment No. 2 to Registration Rights Agreement dated as of June 10, 2002, by and among the Company, the Board of Regents of the University of Texas System (the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University</w:t>
      </w:r>
      <w:r>
        <w:rPr>
          <w:rFonts w:ascii="Arial" w:cs="Arial" w:eastAsia="Arial" w:hAnsi="Arial"/>
          <w:sz w:val="12"/>
          <w:szCs w:val="12"/>
          <w:color w:val="auto"/>
        </w:rPr>
        <w:t>”), and the New Purchasers, Founders and Investors named therein, (iii) that certain Amendment No. 3 to Registration Rights Agreement, dated as of October 27, 2003, by and among the Company,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the University and the New Purchasers, Founders, and Investors named therein, and (f) Section 16 of that certain Warrant for the Purchase of Shares of Common Stock granted to ARE, dated October 31, 2000.</w:t>
      </w:r>
    </w:p>
    <w:p>
      <w:pPr>
        <w:spacing w:after="0" w:line="149" w:lineRule="exact"/>
        <w:rPr>
          <w:sz w:val="20"/>
          <w:szCs w:val="20"/>
          <w:color w:val="auto"/>
        </w:rPr>
      </w:pPr>
    </w:p>
    <w:p>
      <w:pPr>
        <w:ind w:right="140" w:firstLine="920"/>
        <w:spacing w:after="0" w:line="321" w:lineRule="auto"/>
        <w:tabs>
          <w:tab w:leader="none" w:pos="1109" w:val="left"/>
        </w:tabs>
        <w:numPr>
          <w:ilvl w:val="0"/>
          <w:numId w:val="175"/>
        </w:numPr>
        <w:rPr>
          <w:rFonts w:ascii="Arial" w:cs="Arial" w:eastAsia="Arial" w:hAnsi="Arial"/>
          <w:sz w:val="12"/>
          <w:szCs w:val="12"/>
          <w:color w:val="auto"/>
        </w:rPr>
      </w:pPr>
      <w:r>
        <w:rPr>
          <w:rFonts w:ascii="Arial" w:cs="Arial" w:eastAsia="Arial" w:hAnsi="Arial"/>
          <w:sz w:val="12"/>
          <w:szCs w:val="12"/>
          <w:color w:val="auto"/>
        </w:rPr>
        <w:t>Notwithstanding anything to the contrary in this Agreement, the Company and Eli Lilly &amp; Company (“</w:t>
      </w:r>
      <w:r>
        <w:rPr>
          <w:rFonts w:ascii="Arial" w:cs="Arial" w:eastAsia="Arial" w:hAnsi="Arial"/>
          <w:sz w:val="12"/>
          <w:szCs w:val="12"/>
          <w:u w:val="single" w:color="auto"/>
          <w:color w:val="auto"/>
        </w:rPr>
        <w:t>Lilly</w:t>
      </w:r>
      <w:r>
        <w:rPr>
          <w:rFonts w:ascii="Arial" w:cs="Arial" w:eastAsia="Arial" w:hAnsi="Arial"/>
          <w:sz w:val="12"/>
          <w:szCs w:val="12"/>
          <w:color w:val="auto"/>
        </w:rPr>
        <w:t>”) each acknowledge and agree that Lilly shall not have any rights or liabilities under this Agreement unless and until Lilly acquires any Securities pursuant to that certain Securities Purchase Agreement, dated as of September 19, 2008, by and among the Company and the Purchasers (including Lilly) named therein (the “</w:t>
      </w:r>
      <w:r>
        <w:rPr>
          <w:rFonts w:ascii="Arial" w:cs="Arial" w:eastAsia="Arial" w:hAnsi="Arial"/>
          <w:sz w:val="12"/>
          <w:szCs w:val="12"/>
          <w:u w:val="single" w:color="auto"/>
          <w:color w:val="auto"/>
        </w:rPr>
        <w:t>Purchase Agreement</w:t>
      </w:r>
      <w:r>
        <w:rPr>
          <w:rFonts w:ascii="Arial" w:cs="Arial" w:eastAsia="Arial" w:hAnsi="Arial"/>
          <w:sz w:val="12"/>
          <w:szCs w:val="12"/>
          <w:color w:val="auto"/>
        </w:rPr>
        <w:t>”). The terms “Securities” and “Purchasers”, as used in this Section 14(k), shall have the meanings ascribed to such terms in the Purchase Agreement.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Remainder of Page Intentionally Left Blank</w:t>
      </w:r>
      <w:r>
        <w:rPr>
          <w:rFonts w:ascii="Arial" w:cs="Arial" w:eastAsia="Arial" w:hAnsi="Arial"/>
          <w:sz w:val="14"/>
          <w:szCs w:val="14"/>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- 15 -</w:t>
      </w:r>
    </w:p>
    <w:p>
      <w:pPr>
        <w:sectPr>
          <w:pgSz w:w="11900" w:h="16838" w:orient="portrait"/>
          <w:cols w:equalWidth="0" w:num="1">
            <w:col w:w="11460"/>
          </w:cols>
          <w:pgMar w:left="220" w:top="247" w:right="219" w:bottom="1440" w:gutter="0" w:footer="0" w:header="0"/>
        </w:sectPr>
      </w:pPr>
    </w:p>
    <w:bookmarkStart w:id="272" w:name="page273"/>
    <w:bookmarkEnd w:id="272"/>
    <w:p>
      <w:pPr>
        <w:ind w:right="16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 this Agreement has been executed by the New Investors as of the date first written above and approved and adopted by the written consent of the Existing Investors and the Series D Investors in accordance with Section 14(d) of the Third Amended and Restated Registration Rights Agreement.</w:t>
      </w:r>
    </w:p>
    <w:p>
      <w:pPr>
        <w:spacing w:after="0" w:line="131"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tbl>
      <w:tblPr>
        <w:tblLayout w:type="fixed"/>
        <w:tblInd w:w="6880" w:type="dxa"/>
        <w:tblCellMar>
          <w:top w:w="0" w:type="dxa"/>
          <w:left w:w="0" w:type="dxa"/>
          <w:bottom w:w="0" w:type="dxa"/>
          <w:right w:w="0" w:type="dxa"/>
        </w:tblCellMar>
      </w:tblPr>
      <w:tr>
        <w:trPr>
          <w:trHeight w:val="173"/>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Scott Koenig</w:t>
            </w:r>
          </w:p>
        </w:tc>
      </w:tr>
      <w:tr>
        <w:trPr>
          <w:trHeight w:val="162"/>
        </w:trPr>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3980" w:type="dxa"/>
            <w:vAlign w:val="bottom"/>
          </w:tcPr>
          <w:p>
            <w:pPr>
              <w:spacing w:after="0"/>
              <w:rPr>
                <w:sz w:val="20"/>
                <w:szCs w:val="20"/>
                <w:color w:val="auto"/>
              </w:rPr>
            </w:pPr>
            <w:r>
              <w:rPr>
                <w:rFonts w:ascii="Arial" w:cs="Arial" w:eastAsia="Arial" w:hAnsi="Arial"/>
                <w:sz w:val="14"/>
                <w:szCs w:val="14"/>
                <w:color w:val="auto"/>
              </w:rPr>
              <w:t>Scott Koenig, M.D., PhD</w:t>
            </w:r>
          </w:p>
        </w:tc>
      </w:tr>
      <w:tr>
        <w:trPr>
          <w:trHeight w:val="173"/>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spacing w:after="0"/>
              <w:rPr>
                <w:sz w:val="20"/>
                <w:szCs w:val="20"/>
                <w:color w:val="auto"/>
              </w:rPr>
            </w:pPr>
            <w:r>
              <w:rPr>
                <w:rFonts w:ascii="Arial" w:cs="Arial" w:eastAsia="Arial" w:hAnsi="Arial"/>
                <w:sz w:val="14"/>
                <w:szCs w:val="14"/>
                <w:color w:val="auto"/>
              </w:rPr>
              <w:t>President &amp; Chief Executive Officer</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1460"/>
          </w:cols>
          <w:pgMar w:left="220" w:top="247" w:right="219" w:bottom="1440" w:gutter="0" w:footer="0" w:header="0"/>
        </w:sectPr>
      </w:pPr>
    </w:p>
    <w:bookmarkStart w:id="273" w:name="page274"/>
    <w:bookmarkEnd w:id="273"/>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NEW INVESTORS</w:t>
      </w:r>
      <w:r>
        <w:rPr>
          <w:rFonts w:ascii="Arial" w:cs="Arial" w:eastAsia="Arial" w:hAnsi="Arial"/>
          <w:sz w:val="14"/>
          <w:szCs w:val="14"/>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ONC PARTNERS, L.P.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MARTIN PAUL</w:t>
            </w:r>
          </w:p>
        </w:tc>
      </w:tr>
      <w:tr>
        <w:trPr>
          <w:trHeight w:val="162"/>
        </w:trPr>
        <w:tc>
          <w:tcPr>
            <w:tcW w:w="6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spacing w:after="0"/>
              <w:rPr>
                <w:sz w:val="20"/>
                <w:szCs w:val="20"/>
                <w:color w:val="auto"/>
              </w:rPr>
            </w:pPr>
            <w:r>
              <w:rPr>
                <w:rFonts w:ascii="Arial" w:cs="Arial" w:eastAsia="Arial" w:hAnsi="Arial"/>
                <w:sz w:val="14"/>
                <w:szCs w:val="14"/>
                <w:color w:val="auto"/>
              </w:rPr>
              <w:t>MARTIN PAUL</w:t>
            </w:r>
          </w:p>
        </w:tc>
      </w:t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rPr>
          <w:sz w:val="20"/>
          <w:szCs w:val="20"/>
          <w:color w:val="auto"/>
        </w:rPr>
      </w:pPr>
      <w:r>
        <w:rPr>
          <w:rFonts w:ascii="Arial" w:cs="Arial" w:eastAsia="Arial" w:hAnsi="Arial"/>
          <w:sz w:val="14"/>
          <w:szCs w:val="14"/>
          <w:color w:val="auto"/>
        </w:rPr>
        <w:t>FOR AND ON BEHALF OF ONC GENERAL PARTNER LIMITED, AS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GENERAL PARTNER OF ONC PARTNERS, L.P.</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INNOVIS INVESTMENTS, L.P.</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ARCUS VENTURES, L.P.</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15" w:lineRule="exact"/>
        <w:rPr>
          <w:sz w:val="20"/>
          <w:szCs w:val="20"/>
          <w:color w:val="auto"/>
        </w:rPr>
      </w:pPr>
    </w:p>
    <w:p>
      <w:pPr>
        <w:jc w:val="right"/>
        <w:ind w:right="2299"/>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0239"/>
          </w:cols>
          <w:pgMar w:left="220" w:top="245" w:right="1440"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NEW INVESTORS</w:t>
      </w:r>
      <w:r>
        <w:rPr>
          <w:rFonts w:ascii="Arial" w:cs="Arial" w:eastAsia="Arial" w:hAnsi="Arial"/>
          <w:sz w:val="14"/>
          <w:szCs w:val="14"/>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ONC PARTNERS, L.P.</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INNOVIS INVESTMENTS, L.P.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Hans Peter Bissinger</w:t>
            </w:r>
          </w:p>
        </w:tc>
      </w:tr>
      <w:tr>
        <w:trPr>
          <w:trHeight w:val="162"/>
        </w:trPr>
        <w:tc>
          <w:tcPr>
            <w:tcW w:w="6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spacing w:after="0"/>
              <w:rPr>
                <w:sz w:val="20"/>
                <w:szCs w:val="20"/>
                <w:color w:val="auto"/>
              </w:rPr>
            </w:pPr>
            <w:r>
              <w:rPr>
                <w:rFonts w:ascii="Arial" w:cs="Arial" w:eastAsia="Arial" w:hAnsi="Arial"/>
                <w:sz w:val="14"/>
                <w:szCs w:val="14"/>
                <w:color w:val="auto"/>
              </w:rPr>
              <w:t>Hans Peter Bissinger</w:t>
            </w:r>
          </w:p>
        </w:tc>
      </w:t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spacing w:after="0"/>
              <w:rPr>
                <w:sz w:val="20"/>
                <w:szCs w:val="20"/>
                <w:color w:val="auto"/>
              </w:rPr>
            </w:pPr>
            <w:r>
              <w:rPr>
                <w:rFonts w:ascii="Arial" w:cs="Arial" w:eastAsia="Arial" w:hAnsi="Arial"/>
                <w:sz w:val="14"/>
                <w:szCs w:val="14"/>
                <w:color w:val="auto"/>
              </w:rPr>
              <w:t>General Partner</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ARCUS VENTURES, L.P.</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15" w:lineRule="exact"/>
        <w:rPr>
          <w:sz w:val="20"/>
          <w:szCs w:val="20"/>
          <w:color w:val="auto"/>
        </w:rPr>
      </w:pPr>
    </w:p>
    <w:p>
      <w:pPr>
        <w:jc w:val="right"/>
        <w:ind w:right="2299"/>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0239"/>
          </w:cols>
          <w:pgMar w:left="220" w:top="245" w:right="1440"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NEW INVESTORS</w:t>
      </w:r>
      <w:r>
        <w:rPr>
          <w:rFonts w:ascii="Arial" w:cs="Arial" w:eastAsia="Arial" w:hAnsi="Arial"/>
          <w:sz w:val="14"/>
          <w:szCs w:val="14"/>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ONC PARTNERS, L.P.</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INNOVIS INVESTMENTS, L.P.</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ARCUS VENTURES, L.P.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James B Dougherty</w:t>
            </w:r>
          </w:p>
        </w:tc>
      </w:tr>
      <w:tr>
        <w:trPr>
          <w:trHeight w:val="162"/>
        </w:trPr>
        <w:tc>
          <w:tcPr>
            <w:tcW w:w="6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spacing w:after="0"/>
              <w:rPr>
                <w:sz w:val="20"/>
                <w:szCs w:val="20"/>
                <w:color w:val="auto"/>
              </w:rPr>
            </w:pPr>
            <w:r>
              <w:rPr>
                <w:rFonts w:ascii="Arial" w:cs="Arial" w:eastAsia="Arial" w:hAnsi="Arial"/>
                <w:sz w:val="14"/>
                <w:szCs w:val="14"/>
                <w:color w:val="auto"/>
              </w:rPr>
              <w:t>James B Dougherty</w:t>
            </w:r>
          </w:p>
        </w:tc>
      </w:t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spacing w:after="0"/>
              <w:rPr>
                <w:sz w:val="20"/>
                <w:szCs w:val="20"/>
                <w:color w:val="auto"/>
              </w:rPr>
            </w:pPr>
            <w:r>
              <w:rPr>
                <w:rFonts w:ascii="Arial" w:cs="Arial" w:eastAsia="Arial" w:hAnsi="Arial"/>
                <w:sz w:val="14"/>
                <w:szCs w:val="14"/>
                <w:color w:val="auto"/>
              </w:rPr>
              <w:t>General Partner</w:t>
            </w:r>
          </w:p>
        </w:tc>
      </w:tr>
    </w:tbl>
    <w:p>
      <w:pPr>
        <w:spacing w:after="0" w:line="109" w:lineRule="exact"/>
        <w:rPr>
          <w:sz w:val="20"/>
          <w:szCs w:val="20"/>
          <w:color w:val="auto"/>
        </w:rPr>
      </w:pPr>
    </w:p>
    <w:p>
      <w:pPr>
        <w:jc w:val="right"/>
        <w:ind w:right="2299"/>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0239"/>
          </w:cols>
          <w:pgMar w:left="220" w:top="245" w:right="1440"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ELI LILLY AND COMPANY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15" w:lineRule="exact"/>
        <w:rPr>
          <w:sz w:val="20"/>
          <w:szCs w:val="20"/>
          <w:color w:val="auto"/>
        </w:rPr>
      </w:pPr>
    </w:p>
    <w:p>
      <w:pPr>
        <w:jc w:val="right"/>
        <w:ind w:right="2299"/>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0239"/>
          </w:cols>
          <w:pgMar w:left="220" w:top="247" w:right="1440"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ALEXANDRIA EQUITIES, LLC,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 Delaware limited liability company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By: ALEXANDRIA REAL ESTATE EQUITIES, INC.,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 Maryland corporation, managing member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Dean A. Shigenaga</w:t>
            </w:r>
          </w:p>
        </w:tc>
      </w:tr>
      <w:tr>
        <w:trPr>
          <w:trHeight w:val="162"/>
        </w:trPr>
        <w:tc>
          <w:tcPr>
            <w:tcW w:w="660" w:type="dxa"/>
            <w:vAlign w:val="bottom"/>
          </w:tcPr>
          <w:p>
            <w:pPr>
              <w:spacing w:after="0"/>
              <w:rPr>
                <w:sz w:val="20"/>
                <w:szCs w:val="20"/>
                <w:color w:val="auto"/>
              </w:rPr>
            </w:pPr>
            <w:r>
              <w:rPr>
                <w:rFonts w:ascii="Arial" w:cs="Arial" w:eastAsia="Arial" w:hAnsi="Arial"/>
                <w:sz w:val="14"/>
                <w:szCs w:val="14"/>
                <w:color w:val="auto"/>
              </w:rPr>
              <w:t>Name:</w:t>
            </w:r>
          </w:p>
        </w:tc>
        <w:tc>
          <w:tcPr>
            <w:tcW w:w="3920" w:type="dxa"/>
            <w:vAlign w:val="bottom"/>
          </w:tcPr>
          <w:p>
            <w:pPr>
              <w:spacing w:after="0"/>
              <w:rPr>
                <w:sz w:val="20"/>
                <w:szCs w:val="20"/>
                <w:color w:val="auto"/>
              </w:rPr>
            </w:pPr>
            <w:r>
              <w:rPr>
                <w:rFonts w:ascii="Arial" w:cs="Arial" w:eastAsia="Arial" w:hAnsi="Arial"/>
                <w:sz w:val="14"/>
                <w:szCs w:val="14"/>
                <w:color w:val="auto"/>
              </w:rPr>
              <w:t>Dean A. Shigenaga</w:t>
            </w:r>
          </w:p>
        </w:tc>
      </w:tr>
      <w:tr>
        <w:trPr>
          <w:trHeight w:val="173"/>
        </w:trPr>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109" w:lineRule="exact"/>
        <w:rPr>
          <w:sz w:val="20"/>
          <w:szCs w:val="20"/>
          <w:color w:val="auto"/>
        </w:rPr>
      </w:pPr>
    </w:p>
    <w:p>
      <w:pPr>
        <w:jc w:val="right"/>
        <w:ind w:right="2299"/>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0239"/>
          </w:cols>
          <w:pgMar w:left="220" w:top="247" w:right="1440"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FOUNDERS: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Scott Koenig Family Trust</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8890</wp:posOffset>
            </wp:positionV>
            <wp:extent cx="240792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0792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90576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Scott Koenig</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 Jeffrey Ravetch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90576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Jeffrey Ravetch</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 Leroy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90576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Leroy Hood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 Alan Aderem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90576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Alan Aderem</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 Ruedi Aebersold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90576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0576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Ruedi Aebersold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Institute for Systems Biology</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8890</wp:posOffset>
            </wp:positionV>
            <wp:extent cx="240792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792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115" w:lineRule="exact"/>
        <w:rPr>
          <w:sz w:val="20"/>
          <w:szCs w:val="20"/>
          <w:color w:val="auto"/>
        </w:rPr>
      </w:pPr>
    </w:p>
    <w:p>
      <w:pPr>
        <w:jc w:val="right"/>
        <w:ind w:right="2299"/>
        <w:spacing w:after="0"/>
        <w:rPr>
          <w:sz w:val="20"/>
          <w:szCs w:val="20"/>
          <w:color w:val="auto"/>
        </w:rPr>
      </w:pPr>
      <w:r>
        <w:rPr>
          <w:rFonts w:ascii="Arial" w:cs="Arial" w:eastAsia="Arial" w:hAnsi="Arial"/>
          <w:sz w:val="14"/>
          <w:szCs w:val="14"/>
          <w:color w:val="auto"/>
        </w:rPr>
        <w:t>Signature Pages to Fourth Amended and Restated Registration Rights Agreement</w:t>
      </w:r>
    </w:p>
    <w:p>
      <w:pPr>
        <w:sectPr>
          <w:pgSz w:w="11900" w:h="16838" w:orient="portrait"/>
          <w:cols w:equalWidth="0" w:num="1">
            <w:col w:w="10239"/>
          </w:cols>
          <w:pgMar w:left="220" w:top="245" w:right="1440" w:bottom="1440" w:gutter="0" w:footer="0" w:header="0"/>
        </w:sectPr>
      </w:pPr>
    </w:p>
    <w:bookmarkStart w:id="279" w:name="page280"/>
    <w:bookmarkEnd w:id="279"/>
    <w:p>
      <w:pPr>
        <w:jc w:val="center"/>
        <w:ind w:right="-1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A</w:t>
      </w:r>
    </w:p>
    <w:p>
      <w:pPr>
        <w:spacing w:after="0" w:line="132"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u w:val="single" w:color="auto"/>
          <w:color w:val="auto"/>
        </w:rPr>
        <w:t>Existing Investors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Ventures West 8 Limited Partnership</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Rivervest Venture Fund 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Caisse De Depot Et Placement du Quebec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Alta Biopharma Partners 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Alta Biopharma Partners III GMBH &amp; Co. Beteiligungs KG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Alta Embarcadero Biopharma Partners III,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TPG Ventures,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TPG Biotechnology Partners,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Red Abbey Venture Partners (QP),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Red Abbey Venture Partners,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Red Abbey CEO’s Fund,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MPM Bioventures 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MPM Bioventures II-QP,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MPM Bioventures GMBH &amp; Co. Parallel-Beteiligungs KG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MPM Asset Management Investors 2000 B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MPM Bioventures IV Strategic Fund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Interwest Partners VIII,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Interwest Investors VIII,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Interwest Investors Q-VIII,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Mirtha Ventures,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Cogene Biotech Ventures,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Orbimed Associates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Caduceus Private Investments,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UBS Juniper Crossover Fund,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The Board of Regents of the University of Texas System</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Startech Seed Fund II, L.P.</w:t>
      </w:r>
    </w:p>
    <w:p>
      <w:pPr>
        <w:sectPr>
          <w:pgSz w:w="11900" w:h="16838" w:orient="portrait"/>
          <w:cols w:equalWidth="0" w:num="1">
            <w:col w:w="10239"/>
          </w:cols>
          <w:pgMar w:left="220" w:top="245" w:right="1440" w:bottom="1440" w:gutter="0" w:footer="0" w:header="0"/>
        </w:sectPr>
      </w:pPr>
    </w:p>
    <w:bookmarkStart w:id="280" w:name="page281"/>
    <w:bookmarkEnd w:id="280"/>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B</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u w:val="single" w:color="auto"/>
          <w:color w:val="auto"/>
        </w:rPr>
        <w:t>Series D Investors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Bear Stearns Health Innoventures Employee Fund, L.P.</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Bear Stearns Health Innoventures Offshore,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Bear Stearns Health Innoventures,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BSHI Members,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BX,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BioMedical Sciences Investment Fund Pte Ltd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Biogen Idec MA, Inc.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Grand Cathay Venture Capital Co., LTD.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Grand Cathay Venture Capital III Co., LTD.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Prudence Venture Investment Corp.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CMEA Life Sciences Fund,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CMEA Ventures Life Sciences 2000, Civil Law Partnership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CMEA Ventures Life Sciences 2000,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Cogene Biotech Ventures,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Jennifer Fonstad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H&amp;Q Healthcare Investors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H&amp;Q Life Sciences Investors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Integra Ventures 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Montgomery RAVEN Partnership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MUFG Venture Capital I,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Pequot Healthcare Venture Fund,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Pequot Offshore Private Equity Partners 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Pequot OHV Fund,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Pequot Private Equity Fund III,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PHCV RAVEN Series D Grantor Trust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Ridgeback Capital Investments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Saints Capital V,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2180 Associates Fund VII,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U.S. Venture Partners VII,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USVP Entrepreneur Partners VII-A,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USVP Entrepreneur Partners VII-B, L.P.</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Vulcan Capital Venture Capital I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HCP Life Science Assets TRS,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Montgomery &amp; Co., LLC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George G. Montgomery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Keith W. Marshall</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Jeremy Taylor</w:t>
      </w:r>
    </w:p>
    <w:p>
      <w:pPr>
        <w:sectPr>
          <w:pgSz w:w="11900" w:h="16838" w:orient="portrait"/>
          <w:cols w:equalWidth="0" w:num="1">
            <w:col w:w="10239"/>
          </w:cols>
          <w:pgMar w:left="220" w:top="245"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14"/>
          <w:szCs w:val="14"/>
          <w:b w:val="1"/>
          <w:bCs w:val="1"/>
          <w:color w:val="auto"/>
        </w:rPr>
        <w:t>Exhibit 10.1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2000 S</w:t>
      </w:r>
      <w:r>
        <w:rPr>
          <w:rFonts w:ascii="Arial" w:cs="Arial" w:eastAsia="Arial" w:hAnsi="Arial"/>
          <w:sz w:val="11"/>
          <w:szCs w:val="11"/>
          <w:b w:val="1"/>
          <w:bCs w:val="1"/>
          <w:color w:val="auto"/>
        </w:rPr>
        <w:t>TOCK</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PTION AND</w:t>
      </w:r>
      <w:r>
        <w:rPr>
          <w:rFonts w:ascii="Arial" w:cs="Arial" w:eastAsia="Arial" w:hAnsi="Arial"/>
          <w:sz w:val="14"/>
          <w:szCs w:val="14"/>
          <w:b w:val="1"/>
          <w:bCs w:val="1"/>
          <w:color w:val="auto"/>
        </w:rPr>
        <w:t xml:space="preserve"> I</w:t>
      </w:r>
      <w:r>
        <w:rPr>
          <w:rFonts w:ascii="Arial" w:cs="Arial" w:eastAsia="Arial" w:hAnsi="Arial"/>
          <w:sz w:val="11"/>
          <w:szCs w:val="11"/>
          <w:b w:val="1"/>
          <w:bCs w:val="1"/>
          <w:color w:val="auto"/>
        </w:rPr>
        <w:t>NCENTIVE</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LAN</w:t>
      </w:r>
    </w:p>
    <w:p>
      <w:pPr>
        <w:spacing w:after="0" w:line="163" w:lineRule="exact"/>
        <w:rPr>
          <w:sz w:val="20"/>
          <w:szCs w:val="20"/>
          <w:color w:val="auto"/>
        </w:rPr>
      </w:pPr>
    </w:p>
    <w:p>
      <w:pPr>
        <w:ind w:left="460" w:hanging="456"/>
        <w:spacing w:after="0"/>
        <w:tabs>
          <w:tab w:leader="none" w:pos="460" w:val="left"/>
        </w:tabs>
        <w:numPr>
          <w:ilvl w:val="0"/>
          <w:numId w:val="17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Purpose and Eligibility</w:t>
      </w:r>
    </w:p>
    <w:p>
      <w:pPr>
        <w:spacing w:after="0" w:line="71"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4"/>
          <w:szCs w:val="14"/>
          <w:color w:val="auto"/>
        </w:rPr>
        <w:t>The purpose of this 2000 Stock Option and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of MacroGenics. Inc. (the “</w:t>
      </w:r>
      <w:r>
        <w:rPr>
          <w:rFonts w:ascii="Arial" w:cs="Arial" w:eastAsia="Arial" w:hAnsi="Arial"/>
          <w:sz w:val="14"/>
          <w:szCs w:val="14"/>
          <w:u w:val="single" w:color="auto"/>
          <w:color w:val="auto"/>
        </w:rPr>
        <w:t>Company</w:t>
      </w:r>
      <w:r>
        <w:rPr>
          <w:rFonts w:ascii="Arial" w:cs="Arial" w:eastAsia="Arial" w:hAnsi="Arial"/>
          <w:sz w:val="14"/>
          <w:szCs w:val="14"/>
          <w:color w:val="auto"/>
        </w:rPr>
        <w:t>”) is to provide stock options and other equity interests in the Company (each, an “</w:t>
      </w:r>
      <w:r>
        <w:rPr>
          <w:rFonts w:ascii="Arial" w:cs="Arial" w:eastAsia="Arial" w:hAnsi="Arial"/>
          <w:sz w:val="14"/>
          <w:szCs w:val="14"/>
          <w:u w:val="single" w:color="auto"/>
          <w:color w:val="auto"/>
        </w:rPr>
        <w:t>Award</w:t>
      </w:r>
      <w:r>
        <w:rPr>
          <w:rFonts w:ascii="Arial" w:cs="Arial" w:eastAsia="Arial" w:hAnsi="Arial"/>
          <w:sz w:val="14"/>
          <w:szCs w:val="14"/>
          <w:color w:val="auto"/>
        </w:rPr>
        <w:t>”) to employees, officers, directors, consultants and advisors of the Company and its Subsidiaries, all of whom are eligible to receive Awards under the Plan. Any person to whom an Award has been granted under the Plan is called a “</w:t>
      </w:r>
      <w:r>
        <w:rPr>
          <w:rFonts w:ascii="Arial" w:cs="Arial" w:eastAsia="Arial" w:hAnsi="Arial"/>
          <w:sz w:val="14"/>
          <w:szCs w:val="14"/>
          <w:u w:val="single" w:color="auto"/>
          <w:color w:val="auto"/>
        </w:rPr>
        <w:t>Participant</w:t>
      </w:r>
      <w:r>
        <w:rPr>
          <w:rFonts w:ascii="Arial" w:cs="Arial" w:eastAsia="Arial" w:hAnsi="Arial"/>
          <w:sz w:val="14"/>
          <w:szCs w:val="14"/>
          <w:color w:val="auto"/>
        </w:rPr>
        <w:t>.” Additional definitions are contained in Section 8.</w:t>
      </w:r>
    </w:p>
    <w:p>
      <w:pPr>
        <w:spacing w:after="0" w:line="200" w:lineRule="exact"/>
        <w:rPr>
          <w:sz w:val="20"/>
          <w:szCs w:val="20"/>
          <w:color w:val="auto"/>
        </w:rPr>
      </w:pPr>
    </w:p>
    <w:p>
      <w:pPr>
        <w:ind w:left="460" w:hanging="456"/>
        <w:spacing w:after="0"/>
        <w:tabs>
          <w:tab w:leader="none" w:pos="460" w:val="left"/>
        </w:tabs>
        <w:numPr>
          <w:ilvl w:val="0"/>
          <w:numId w:val="17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Administration</w:t>
      </w:r>
    </w:p>
    <w:p>
      <w:pPr>
        <w:spacing w:after="0" w:line="70" w:lineRule="exact"/>
        <w:rPr>
          <w:rFonts w:ascii="Arial" w:cs="Arial" w:eastAsia="Arial" w:hAnsi="Arial"/>
          <w:sz w:val="14"/>
          <w:szCs w:val="14"/>
          <w:b w:val="1"/>
          <w:bCs w:val="1"/>
          <w:color w:val="auto"/>
        </w:rPr>
      </w:pPr>
    </w:p>
    <w:p>
      <w:pPr>
        <w:ind w:right="140" w:firstLine="462"/>
        <w:spacing w:after="0" w:line="258" w:lineRule="auto"/>
        <w:tabs>
          <w:tab w:leader="none" w:pos="587"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Administration by Board of Directors</w:t>
      </w:r>
      <w:r>
        <w:rPr>
          <w:rFonts w:ascii="Arial" w:cs="Arial" w:eastAsia="Arial" w:hAnsi="Arial"/>
          <w:sz w:val="14"/>
          <w:szCs w:val="14"/>
          <w:color w:val="auto"/>
        </w:rPr>
        <w:t>. The Plan will be administered by the Board of Directors of the Company (the “</w:t>
      </w:r>
      <w:r>
        <w:rPr>
          <w:rFonts w:ascii="Arial" w:cs="Arial" w:eastAsia="Arial" w:hAnsi="Arial"/>
          <w:sz w:val="14"/>
          <w:szCs w:val="14"/>
          <w:u w:val="single" w:color="auto"/>
          <w:color w:val="auto"/>
        </w:rPr>
        <w:t>Board</w:t>
      </w:r>
      <w:r>
        <w:rPr>
          <w:rFonts w:ascii="Arial" w:cs="Arial" w:eastAsia="Arial" w:hAnsi="Arial"/>
          <w:sz w:val="14"/>
          <w:szCs w:val="14"/>
          <w:color w:val="auto"/>
        </w:rPr>
        <w:t>”). The Board, in its sole discretion, shall have the authority to grant and amend Awards, to adopt, amend and repeal rules relating to the Plan and to interpret and correct the provisions of the Plan and any Award. All decisions by the Board shall be final and binding on all interested persons. Neither the Company nor any member of the Board shall be liable for any action or determination relating to the Plan.</w:t>
      </w:r>
    </w:p>
    <w:p>
      <w:pPr>
        <w:spacing w:after="0" w:line="107" w:lineRule="exact"/>
        <w:rPr>
          <w:rFonts w:ascii="Arial" w:cs="Arial" w:eastAsia="Arial" w:hAnsi="Arial"/>
          <w:sz w:val="14"/>
          <w:szCs w:val="14"/>
          <w:color w:val="auto"/>
        </w:rPr>
      </w:pPr>
    </w:p>
    <w:p>
      <w:pPr>
        <w:ind w:right="200" w:firstLine="462"/>
        <w:spacing w:after="0" w:line="267" w:lineRule="auto"/>
        <w:tabs>
          <w:tab w:leader="none" w:pos="594"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Appointment of Committees</w:t>
      </w:r>
      <w:r>
        <w:rPr>
          <w:rFonts w:ascii="Arial" w:cs="Arial" w:eastAsia="Arial" w:hAnsi="Arial"/>
          <w:sz w:val="14"/>
          <w:szCs w:val="14"/>
          <w:color w:val="auto"/>
        </w:rPr>
        <w:t>. To the extent permitted by applicable law, the Board may delegate any or all of its powers under the Plan to one or more committees or subcommittees of the Board (a “</w:t>
      </w:r>
      <w:r>
        <w:rPr>
          <w:rFonts w:ascii="Arial" w:cs="Arial" w:eastAsia="Arial" w:hAnsi="Arial"/>
          <w:sz w:val="14"/>
          <w:szCs w:val="14"/>
          <w:u w:val="single" w:color="auto"/>
          <w:color w:val="auto"/>
        </w:rPr>
        <w:t>Committee</w:t>
      </w:r>
      <w:r>
        <w:rPr>
          <w:rFonts w:ascii="Arial" w:cs="Arial" w:eastAsia="Arial" w:hAnsi="Arial"/>
          <w:sz w:val="14"/>
          <w:szCs w:val="14"/>
          <w:color w:val="auto"/>
        </w:rPr>
        <w:t>”). All references in the Plan to the “</w:t>
      </w:r>
      <w:r>
        <w:rPr>
          <w:rFonts w:ascii="Arial" w:cs="Arial" w:eastAsia="Arial" w:hAnsi="Arial"/>
          <w:sz w:val="14"/>
          <w:szCs w:val="14"/>
          <w:u w:val="single" w:color="auto"/>
          <w:color w:val="auto"/>
        </w:rPr>
        <w:t>Board</w:t>
      </w:r>
      <w:r>
        <w:rPr>
          <w:rFonts w:ascii="Arial" w:cs="Arial" w:eastAsia="Arial" w:hAnsi="Arial"/>
          <w:sz w:val="14"/>
          <w:szCs w:val="14"/>
          <w:color w:val="auto"/>
        </w:rPr>
        <w:t>” shall mean such Committee or the Board.</w:t>
      </w:r>
    </w:p>
    <w:p>
      <w:pPr>
        <w:spacing w:after="0" w:line="101" w:lineRule="exact"/>
        <w:rPr>
          <w:rFonts w:ascii="Arial" w:cs="Arial" w:eastAsia="Arial" w:hAnsi="Arial"/>
          <w:sz w:val="14"/>
          <w:szCs w:val="14"/>
          <w:color w:val="auto"/>
        </w:rPr>
      </w:pPr>
    </w:p>
    <w:p>
      <w:pPr>
        <w:ind w:right="100" w:firstLine="462"/>
        <w:spacing w:after="0" w:line="258" w:lineRule="auto"/>
        <w:tabs>
          <w:tab w:leader="none" w:pos="587"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Delegation to Executive Officers</w:t>
      </w:r>
      <w:r>
        <w:rPr>
          <w:rFonts w:ascii="Arial" w:cs="Arial" w:eastAsia="Arial" w:hAnsi="Arial"/>
          <w:sz w:val="14"/>
          <w:szCs w:val="14"/>
          <w:color w:val="auto"/>
        </w:rPr>
        <w:t xml:space="preserve">. To the extent permitted by applicable law, the Board may delegate to one or more executive officers of the Company who are also directors of the Company the power to grant Awards and exercise such other powers under the Plan as the Board may determine,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Board shall fix the maximum number of Awards to be granted and the maximum number of shares issuable to any one Participant pursuant to Awards granted by such executive officers.</w:t>
      </w:r>
    </w:p>
    <w:p>
      <w:pPr>
        <w:spacing w:after="0" w:line="199" w:lineRule="exact"/>
        <w:rPr>
          <w:rFonts w:ascii="Arial" w:cs="Arial" w:eastAsia="Arial" w:hAnsi="Arial"/>
          <w:sz w:val="14"/>
          <w:szCs w:val="14"/>
          <w:color w:val="auto"/>
        </w:rPr>
      </w:pPr>
    </w:p>
    <w:p>
      <w:pPr>
        <w:ind w:left="460" w:hanging="456"/>
        <w:spacing w:after="0"/>
        <w:tabs>
          <w:tab w:leader="none" w:pos="460" w:val="left"/>
        </w:tabs>
        <w:numPr>
          <w:ilvl w:val="0"/>
          <w:numId w:val="17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Stock Available for Awards</w:t>
      </w:r>
    </w:p>
    <w:p>
      <w:pPr>
        <w:spacing w:after="0" w:line="70" w:lineRule="exact"/>
        <w:rPr>
          <w:rFonts w:ascii="Arial" w:cs="Arial" w:eastAsia="Arial" w:hAnsi="Arial"/>
          <w:sz w:val="14"/>
          <w:szCs w:val="14"/>
          <w:b w:val="1"/>
          <w:bCs w:val="1"/>
          <w:color w:val="auto"/>
        </w:rPr>
      </w:pPr>
    </w:p>
    <w:p>
      <w:pPr>
        <w:ind w:right="160" w:firstLine="462"/>
        <w:spacing w:after="0" w:line="311" w:lineRule="auto"/>
        <w:tabs>
          <w:tab w:leader="none" w:pos="587" w:val="left"/>
        </w:tabs>
        <w:numPr>
          <w:ilvl w:val="1"/>
          <w:numId w:val="177"/>
        </w:numPr>
        <w:rPr>
          <w:rFonts w:ascii="Arial" w:cs="Arial" w:eastAsia="Arial" w:hAnsi="Arial"/>
          <w:sz w:val="12"/>
          <w:szCs w:val="12"/>
          <w:color w:val="auto"/>
        </w:rPr>
      </w:pPr>
      <w:r>
        <w:rPr>
          <w:rFonts w:ascii="Arial" w:cs="Arial" w:eastAsia="Arial" w:hAnsi="Arial"/>
          <w:sz w:val="12"/>
          <w:szCs w:val="12"/>
          <w:u w:val="single" w:color="auto"/>
          <w:color w:val="auto"/>
        </w:rPr>
        <w:t>Number of Shares</w:t>
      </w:r>
      <w:r>
        <w:rPr>
          <w:rFonts w:ascii="Arial" w:cs="Arial" w:eastAsia="Arial" w:hAnsi="Arial"/>
          <w:sz w:val="12"/>
          <w:szCs w:val="12"/>
          <w:color w:val="auto"/>
        </w:rPr>
        <w:t>. Subject to adjustment under Section 3(c), the aggregate number of shares of common stock, $.01 par value per share, of the Company (the “</w:t>
      </w:r>
      <w:r>
        <w:rPr>
          <w:rFonts w:ascii="Arial" w:cs="Arial" w:eastAsia="Arial" w:hAnsi="Arial"/>
          <w:sz w:val="12"/>
          <w:szCs w:val="12"/>
          <w:u w:val="single" w:color="auto"/>
          <w:color w:val="auto"/>
        </w:rPr>
        <w:t>Common Stock</w:t>
      </w:r>
      <w:r>
        <w:rPr>
          <w:rFonts w:ascii="Arial" w:cs="Arial" w:eastAsia="Arial" w:hAnsi="Arial"/>
          <w:sz w:val="12"/>
          <w:szCs w:val="12"/>
          <w:color w:val="auto"/>
        </w:rPr>
        <w:t>”) that may be issued pursuant to the Plan is 4,000,000 shares. If any Award, or shares of Common Stock issued pursuant to an Award, expires or is terminated, repurchased, surrendered, forfeited or settled in cash (other than repurchases or cash settlements purported to be made at fair market value), in whole or in part, the Common Stock issued or issuable pursuant to such Award as to which such event has occurred shall again be available for the grant of Awards under the Plan. Shares issued under the Plan may consist in whole or in part of authorized but unissued shares or treasury shares.</w:t>
      </w:r>
    </w:p>
    <w:p>
      <w:pPr>
        <w:sectPr>
          <w:pgSz w:w="11900" w:h="16838" w:orient="portrait"/>
          <w:cols w:equalWidth="0" w:num="1">
            <w:col w:w="11460"/>
          </w:cols>
          <w:pgMar w:left="220" w:top="130" w:right="219" w:bottom="1440" w:gutter="0" w:footer="0" w:header="0"/>
        </w:sectPr>
      </w:pPr>
    </w:p>
    <w:bookmarkStart w:id="282" w:name="page283"/>
    <w:bookmarkEnd w:id="282"/>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b. </w:t>
      </w:r>
      <w:r>
        <w:rPr>
          <w:rFonts w:ascii="Arial" w:cs="Arial" w:eastAsia="Arial" w:hAnsi="Arial"/>
          <w:sz w:val="12"/>
          <w:szCs w:val="12"/>
          <w:u w:val="single" w:color="auto"/>
          <w:color w:val="auto"/>
        </w:rPr>
        <w:t>Per-Participant Limit</w:t>
      </w:r>
      <w:r>
        <w:rPr>
          <w:rFonts w:ascii="Arial" w:cs="Arial" w:eastAsia="Arial" w:hAnsi="Arial"/>
          <w:sz w:val="12"/>
          <w:szCs w:val="12"/>
          <w:color w:val="auto"/>
        </w:rPr>
        <w:t>. Subject to adjustment under Section 3(c), no Participant may be granted Awards during any one fiscal year to purchase more than 1,000,000 shares of Common Stock.</w:t>
      </w:r>
    </w:p>
    <w:p>
      <w:pPr>
        <w:spacing w:after="0" w:line="155"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Adjustment to Common Stock</w:t>
      </w:r>
      <w:r>
        <w:rPr>
          <w:rFonts w:ascii="Arial" w:cs="Arial" w:eastAsia="Arial" w:hAnsi="Arial"/>
          <w:sz w:val="14"/>
          <w:szCs w:val="14"/>
          <w:color w:val="auto"/>
        </w:rPr>
        <w:t>. In the event of any stock split, stock dividend, extraordinary cash dividend, recapitalization, reorganization, merger, consolidation, combination, exchange of shares, liquidation, spin-off, split-up, or other similar change in capitalization or event, (i) the number and class of securities available for Awards under the Plan and the per-Participant share limit, (ii) the number and class of securities, vesting schedule and exercise price per share subject to each outstanding Option, (iii) the repurchase price per security subject to repurchase, and (iv) the terms of each other outstanding stock-based Award shall be adjusted by the Company (or substituted Awards may be made) to the extent the Board shall determine, in good faith, that such an adjustment (or substitution) is appropriate. If Section 7(e) (i) applies for any event, this Section 3(c) shall not be applicable.</w:t>
      </w:r>
    </w:p>
    <w:p>
      <w:pPr>
        <w:spacing w:after="0" w:line="205" w:lineRule="exact"/>
        <w:rPr>
          <w:sz w:val="20"/>
          <w:szCs w:val="20"/>
          <w:color w:val="auto"/>
        </w:rPr>
      </w:pPr>
    </w:p>
    <w:p>
      <w:pPr>
        <w:ind w:left="460" w:hanging="456"/>
        <w:spacing w:after="0"/>
        <w:tabs>
          <w:tab w:leader="none" w:pos="460"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Stock Options</w:t>
      </w:r>
    </w:p>
    <w:p>
      <w:pPr>
        <w:spacing w:after="0" w:line="70" w:lineRule="exact"/>
        <w:rPr>
          <w:rFonts w:ascii="Arial" w:cs="Arial" w:eastAsia="Arial" w:hAnsi="Arial"/>
          <w:sz w:val="14"/>
          <w:szCs w:val="14"/>
          <w:b w:val="1"/>
          <w:bCs w:val="1"/>
          <w:color w:val="auto"/>
        </w:rPr>
      </w:pPr>
    </w:p>
    <w:p>
      <w:pPr>
        <w:ind w:right="60" w:firstLine="462"/>
        <w:spacing w:after="0" w:line="258" w:lineRule="auto"/>
        <w:tabs>
          <w:tab w:leader="none" w:pos="587"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Board may grant options to purchase Common Stock (each, an “</w:t>
      </w:r>
      <w:r>
        <w:rPr>
          <w:rFonts w:ascii="Arial" w:cs="Arial" w:eastAsia="Arial" w:hAnsi="Arial"/>
          <w:sz w:val="14"/>
          <w:szCs w:val="14"/>
          <w:u w:val="single" w:color="auto"/>
          <w:color w:val="auto"/>
        </w:rPr>
        <w:t>Option</w:t>
      </w:r>
      <w:r>
        <w:rPr>
          <w:rFonts w:ascii="Arial" w:cs="Arial" w:eastAsia="Arial" w:hAnsi="Arial"/>
          <w:sz w:val="14"/>
          <w:szCs w:val="14"/>
          <w:color w:val="auto"/>
        </w:rPr>
        <w:t>”) and determine the number of shares of Common Stock to be covered by each Option, the exercise price of each Option and the conditions and limitations applicable to the exercise of each Option and the Common Stock issued upon the exercise of each Option, including vesting provisions, repurchase provisions and restrictions relating to applicable federal or state securities laws, as it considers advisable.</w:t>
      </w:r>
    </w:p>
    <w:p>
      <w:pPr>
        <w:spacing w:after="0" w:line="107" w:lineRule="exact"/>
        <w:rPr>
          <w:rFonts w:ascii="Arial" w:cs="Arial" w:eastAsia="Arial" w:hAnsi="Arial"/>
          <w:sz w:val="14"/>
          <w:szCs w:val="14"/>
          <w:color w:val="auto"/>
        </w:rPr>
      </w:pPr>
    </w:p>
    <w:p>
      <w:pPr>
        <w:jc w:val="both"/>
        <w:ind w:right="40" w:firstLine="462"/>
        <w:spacing w:after="0" w:line="321" w:lineRule="auto"/>
        <w:tabs>
          <w:tab w:leader="none" w:pos="594" w:val="left"/>
        </w:tabs>
        <w:numPr>
          <w:ilvl w:val="1"/>
          <w:numId w:val="178"/>
        </w:numPr>
        <w:rPr>
          <w:rFonts w:ascii="Arial" w:cs="Arial" w:eastAsia="Arial" w:hAnsi="Arial"/>
          <w:sz w:val="12"/>
          <w:szCs w:val="12"/>
          <w:color w:val="auto"/>
        </w:rPr>
      </w:pPr>
      <w:r>
        <w:rPr>
          <w:rFonts w:ascii="Arial" w:cs="Arial" w:eastAsia="Arial" w:hAnsi="Arial"/>
          <w:sz w:val="12"/>
          <w:szCs w:val="12"/>
          <w:u w:val="single" w:color="auto"/>
          <w:color w:val="auto"/>
        </w:rPr>
        <w:t>Incentive Stock Options</w:t>
      </w:r>
      <w:r>
        <w:rPr>
          <w:rFonts w:ascii="Arial" w:cs="Arial" w:eastAsia="Arial" w:hAnsi="Arial"/>
          <w:sz w:val="12"/>
          <w:szCs w:val="12"/>
          <w:color w:val="auto"/>
        </w:rPr>
        <w:t>. An Option that the Board intends to be an “incentive stock option” as defined in Section 422 of the Code (an “</w:t>
      </w:r>
      <w:r>
        <w:rPr>
          <w:rFonts w:ascii="Arial" w:cs="Arial" w:eastAsia="Arial" w:hAnsi="Arial"/>
          <w:sz w:val="12"/>
          <w:szCs w:val="12"/>
          <w:u w:val="single" w:color="auto"/>
          <w:color w:val="auto"/>
        </w:rPr>
        <w:t>Incentive Stock Option</w:t>
      </w:r>
      <w:r>
        <w:rPr>
          <w:rFonts w:ascii="Arial" w:cs="Arial" w:eastAsia="Arial" w:hAnsi="Arial"/>
          <w:sz w:val="12"/>
          <w:szCs w:val="12"/>
          <w:color w:val="auto"/>
        </w:rPr>
        <w:t>”) shall be granted only to employees of the Company and shall be subject to and shall be construed consistently with the requirements of Section 422 of the Code. The Board and the Company shall have no liability if an Option or any part thereof that is intended to be an Incentive Stock Option does not qualify as such. An Option or any part thereof that does not qualify as an Incentive Stock Option is referred to herein as a “</w:t>
      </w:r>
      <w:r>
        <w:rPr>
          <w:rFonts w:ascii="Arial" w:cs="Arial" w:eastAsia="Arial" w:hAnsi="Arial"/>
          <w:sz w:val="12"/>
          <w:szCs w:val="12"/>
          <w:u w:val="single" w:color="auto"/>
          <w:color w:val="auto"/>
        </w:rPr>
        <w:t>Nonstatutory Stock Option</w:t>
      </w:r>
      <w:r>
        <w:rPr>
          <w:rFonts w:ascii="Arial" w:cs="Arial" w:eastAsia="Arial" w:hAnsi="Arial"/>
          <w:sz w:val="12"/>
          <w:szCs w:val="12"/>
          <w:color w:val="auto"/>
        </w:rPr>
        <w:t>.”</w:t>
      </w:r>
    </w:p>
    <w:p>
      <w:pPr>
        <w:spacing w:after="0" w:line="73" w:lineRule="exact"/>
        <w:rPr>
          <w:rFonts w:ascii="Arial" w:cs="Arial" w:eastAsia="Arial" w:hAnsi="Arial"/>
          <w:sz w:val="12"/>
          <w:szCs w:val="12"/>
          <w:color w:val="auto"/>
        </w:rPr>
      </w:pPr>
    </w:p>
    <w:p>
      <w:pPr>
        <w:ind w:right="20" w:firstLine="462"/>
        <w:spacing w:after="0" w:line="267" w:lineRule="auto"/>
        <w:tabs>
          <w:tab w:leader="none" w:pos="587"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Board shall establish the exercise price (or determine the method by which the exercise price shall be determined) at the time each Option is granted and specify it in the applicable option agreement.</w:t>
      </w:r>
    </w:p>
    <w:p>
      <w:pPr>
        <w:spacing w:after="0" w:line="101" w:lineRule="exact"/>
        <w:rPr>
          <w:rFonts w:ascii="Arial" w:cs="Arial" w:eastAsia="Arial" w:hAnsi="Arial"/>
          <w:sz w:val="14"/>
          <w:szCs w:val="14"/>
          <w:color w:val="auto"/>
        </w:rPr>
      </w:pPr>
    </w:p>
    <w:p>
      <w:pPr>
        <w:ind w:left="600" w:hanging="138"/>
        <w:spacing w:after="0"/>
        <w:tabs>
          <w:tab w:leader="none" w:pos="600"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Duration of Options</w:t>
      </w:r>
      <w:r>
        <w:rPr>
          <w:rFonts w:ascii="Arial" w:cs="Arial" w:eastAsia="Arial" w:hAnsi="Arial"/>
          <w:sz w:val="14"/>
          <w:szCs w:val="14"/>
          <w:color w:val="auto"/>
        </w:rPr>
        <w:t>. Each Option shall be exercisable at such times and subject to such terms and conditions as the Board may specify in the applicable option agreement.</w:t>
      </w:r>
    </w:p>
    <w:p>
      <w:pPr>
        <w:spacing w:after="0" w:line="131" w:lineRule="exact"/>
        <w:rPr>
          <w:rFonts w:ascii="Arial" w:cs="Arial" w:eastAsia="Arial" w:hAnsi="Arial"/>
          <w:sz w:val="14"/>
          <w:szCs w:val="14"/>
          <w:color w:val="auto"/>
        </w:rPr>
      </w:pPr>
    </w:p>
    <w:p>
      <w:pPr>
        <w:ind w:right="40" w:firstLine="462"/>
        <w:spacing w:after="0" w:line="267" w:lineRule="auto"/>
        <w:tabs>
          <w:tab w:leader="none" w:pos="587"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 Options may be exercised only by delivery to the Company of a written notice of exercise signed by the proper person together with payment in full as specified in Section 4(f) for the number of shares for which the Option is exercised.</w:t>
      </w:r>
    </w:p>
    <w:p>
      <w:pPr>
        <w:spacing w:after="0" w:line="91" w:lineRule="exact"/>
        <w:rPr>
          <w:rFonts w:ascii="Arial" w:cs="Arial" w:eastAsia="Arial" w:hAnsi="Arial"/>
          <w:sz w:val="14"/>
          <w:szCs w:val="14"/>
          <w:color w:val="auto"/>
        </w:rPr>
      </w:pPr>
    </w:p>
    <w:p>
      <w:pPr>
        <w:ind w:left="5700" w:hanging="79"/>
        <w:spacing w:after="0"/>
        <w:tabs>
          <w:tab w:leader="none" w:pos="5700" w:val="left"/>
        </w:tabs>
        <w:numPr>
          <w:ilvl w:val="2"/>
          <w:numId w:val="178"/>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1460"/>
          </w:cols>
          <w:pgMar w:left="220" w:top="247" w:right="219" w:bottom="1440" w:gutter="0" w:footer="0" w:header="0"/>
        </w:sectPr>
      </w:pPr>
    </w:p>
    <w:bookmarkStart w:id="283" w:name="page284"/>
    <w:bookmarkEnd w:id="283"/>
    <w:p>
      <w:pPr>
        <w:ind w:left="45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f. </w:t>
      </w:r>
      <w:r>
        <w:rPr>
          <w:rFonts w:ascii="Arial" w:cs="Arial" w:eastAsia="Arial" w:hAnsi="Arial"/>
          <w:sz w:val="14"/>
          <w:szCs w:val="14"/>
          <w:u w:val="single" w:color="auto"/>
          <w:color w:val="auto"/>
        </w:rPr>
        <w:t>Payment Upon Exercise</w:t>
      </w:r>
      <w:r>
        <w:rPr>
          <w:rFonts w:ascii="Arial" w:cs="Arial" w:eastAsia="Arial" w:hAnsi="Arial"/>
          <w:sz w:val="14"/>
          <w:szCs w:val="14"/>
          <w:color w:val="auto"/>
        </w:rPr>
        <w:t>. Common Stock purchased upon the exercise of an Option shall be paid for by one or any combination of the following forms of payment:</w:t>
      </w:r>
    </w:p>
    <w:p>
      <w:pPr>
        <w:spacing w:after="0" w:line="132" w:lineRule="exact"/>
        <w:rPr>
          <w:sz w:val="20"/>
          <w:szCs w:val="20"/>
          <w:color w:val="auto"/>
        </w:rPr>
      </w:pPr>
    </w:p>
    <w:p>
      <w:pPr>
        <w:ind w:left="1076" w:hanging="160"/>
        <w:spacing w:after="0"/>
        <w:tabs>
          <w:tab w:leader="none" w:pos="1076" w:val="left"/>
        </w:tabs>
        <w:numPr>
          <w:ilvl w:val="2"/>
          <w:numId w:val="179"/>
        </w:numPr>
        <w:rPr>
          <w:rFonts w:ascii="Arial" w:cs="Arial" w:eastAsia="Arial" w:hAnsi="Arial"/>
          <w:sz w:val="14"/>
          <w:szCs w:val="14"/>
          <w:color w:val="auto"/>
        </w:rPr>
      </w:pPr>
      <w:r>
        <w:rPr>
          <w:rFonts w:ascii="Arial" w:cs="Arial" w:eastAsia="Arial" w:hAnsi="Arial"/>
          <w:sz w:val="14"/>
          <w:szCs w:val="14"/>
          <w:color w:val="auto"/>
        </w:rPr>
        <w:t>by check payable to the order of the Company;</w:t>
      </w:r>
    </w:p>
    <w:p>
      <w:pPr>
        <w:spacing w:after="0" w:line="131" w:lineRule="exact"/>
        <w:rPr>
          <w:rFonts w:ascii="Arial" w:cs="Arial" w:eastAsia="Arial" w:hAnsi="Arial"/>
          <w:sz w:val="14"/>
          <w:szCs w:val="14"/>
          <w:color w:val="auto"/>
        </w:rPr>
      </w:pPr>
    </w:p>
    <w:p>
      <w:pPr>
        <w:ind w:left="-4" w:right="100" w:firstLine="920"/>
        <w:spacing w:after="0" w:line="258" w:lineRule="auto"/>
        <w:tabs>
          <w:tab w:leader="none" w:pos="1113" w:val="left"/>
        </w:tabs>
        <w:numPr>
          <w:ilvl w:val="2"/>
          <w:numId w:val="179"/>
        </w:numPr>
        <w:rPr>
          <w:rFonts w:ascii="Arial" w:cs="Arial" w:eastAsia="Arial" w:hAnsi="Arial"/>
          <w:sz w:val="14"/>
          <w:szCs w:val="14"/>
          <w:color w:val="auto"/>
        </w:rPr>
      </w:pPr>
      <w:r>
        <w:rPr>
          <w:rFonts w:ascii="Arial" w:cs="Arial" w:eastAsia="Arial" w:hAnsi="Arial"/>
          <w:sz w:val="14"/>
          <w:szCs w:val="14"/>
          <w:color w:val="auto"/>
        </w:rPr>
        <w:t>except as otherwise explicitly provided in the applicable option agreement, and only if the Common Stock is then publicly traded,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 or</w:t>
      </w:r>
    </w:p>
    <w:p>
      <w:pPr>
        <w:spacing w:after="0" w:line="107" w:lineRule="exact"/>
        <w:rPr>
          <w:rFonts w:ascii="Arial" w:cs="Arial" w:eastAsia="Arial" w:hAnsi="Arial"/>
          <w:sz w:val="14"/>
          <w:szCs w:val="14"/>
          <w:color w:val="auto"/>
        </w:rPr>
      </w:pPr>
    </w:p>
    <w:p>
      <w:pPr>
        <w:ind w:left="-4" w:right="20" w:firstLine="920"/>
        <w:spacing w:after="0" w:line="258" w:lineRule="auto"/>
        <w:tabs>
          <w:tab w:leader="none" w:pos="1151" w:val="left"/>
        </w:tabs>
        <w:numPr>
          <w:ilvl w:val="2"/>
          <w:numId w:val="179"/>
        </w:numPr>
        <w:rPr>
          <w:rFonts w:ascii="Arial" w:cs="Arial" w:eastAsia="Arial" w:hAnsi="Arial"/>
          <w:sz w:val="14"/>
          <w:szCs w:val="14"/>
          <w:color w:val="auto"/>
        </w:rPr>
      </w:pPr>
      <w:r>
        <w:rPr>
          <w:rFonts w:ascii="Arial" w:cs="Arial" w:eastAsia="Arial" w:hAnsi="Arial"/>
          <w:sz w:val="14"/>
          <w:szCs w:val="14"/>
          <w:color w:val="auto"/>
        </w:rPr>
        <w:t>to the extent explicitly provided in the applicable option agreement, by (x) delivery of shares of Common Stock owned by the Participant valued at fair market value (as determined by the Board or as determined pursuant to the applicable option agreement), (y) delivery of a promissory note of the Participant to the Company (and delivery to the Company by the Participant of a check in an amount equal to the par value of the shares purchased), or (z) payment of such other lawful consideration as the Board may determine.</w:t>
      </w:r>
    </w:p>
    <w:p>
      <w:pPr>
        <w:spacing w:after="0" w:line="199" w:lineRule="exact"/>
        <w:rPr>
          <w:rFonts w:ascii="Arial" w:cs="Arial" w:eastAsia="Arial" w:hAnsi="Arial"/>
          <w:sz w:val="14"/>
          <w:szCs w:val="14"/>
          <w:color w:val="auto"/>
        </w:rPr>
      </w:pPr>
    </w:p>
    <w:p>
      <w:pPr>
        <w:ind w:left="456" w:hanging="456"/>
        <w:spacing w:after="0"/>
        <w:tabs>
          <w:tab w:leader="none" w:pos="456"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Restricted Stock</w:t>
      </w:r>
    </w:p>
    <w:p>
      <w:pPr>
        <w:spacing w:after="0" w:line="70" w:lineRule="exact"/>
        <w:rPr>
          <w:rFonts w:ascii="Arial" w:cs="Arial" w:eastAsia="Arial" w:hAnsi="Arial"/>
          <w:sz w:val="14"/>
          <w:szCs w:val="14"/>
          <w:b w:val="1"/>
          <w:bCs w:val="1"/>
          <w:color w:val="auto"/>
        </w:rPr>
      </w:pPr>
    </w:p>
    <w:p>
      <w:pPr>
        <w:ind w:left="-4" w:right="60" w:firstLine="462"/>
        <w:spacing w:after="0" w:line="321" w:lineRule="auto"/>
        <w:tabs>
          <w:tab w:leader="none" w:pos="583" w:val="left"/>
        </w:tabs>
        <w:numPr>
          <w:ilvl w:val="1"/>
          <w:numId w:val="180"/>
        </w:numPr>
        <w:rPr>
          <w:rFonts w:ascii="Arial" w:cs="Arial" w:eastAsia="Arial" w:hAnsi="Arial"/>
          <w:sz w:val="12"/>
          <w:szCs w:val="12"/>
          <w:color w:val="auto"/>
        </w:rPr>
      </w:pPr>
      <w:r>
        <w:rPr>
          <w:rFonts w:ascii="Arial" w:cs="Arial" w:eastAsia="Arial" w:hAnsi="Arial"/>
          <w:sz w:val="12"/>
          <w:szCs w:val="12"/>
          <w:u w:val="single" w:color="auto"/>
          <w:color w:val="auto"/>
        </w:rPr>
        <w:t>Grants</w:t>
      </w:r>
      <w:r>
        <w:rPr>
          <w:rFonts w:ascii="Arial" w:cs="Arial" w:eastAsia="Arial" w:hAnsi="Arial"/>
          <w:sz w:val="12"/>
          <w:szCs w:val="12"/>
          <w:color w:val="auto"/>
        </w:rPr>
        <w:t>. The Board may grant Awards entitling recipients to acquire shares of Common Stock, subject to (i) delivery to the Company by the Participant of a check in an amount at least equal to the par value of the shares purchased, and (ii) the right of the Company to repurchase all or part of such shares at their issue price or other stated or formula price from the Participant in the event that conditions specified by the Board in the applicable Award are not satisfied prior to the end of the applicable restriction period or periods established by the Board for such Award (each, a “</w:t>
      </w:r>
      <w:r>
        <w:rPr>
          <w:rFonts w:ascii="Arial" w:cs="Arial" w:eastAsia="Arial" w:hAnsi="Arial"/>
          <w:sz w:val="12"/>
          <w:szCs w:val="12"/>
          <w:u w:val="single" w:color="auto"/>
          <w:color w:val="auto"/>
        </w:rPr>
        <w:t>Restricted Stock Award</w:t>
      </w:r>
      <w:r>
        <w:rPr>
          <w:rFonts w:ascii="Arial" w:cs="Arial" w:eastAsia="Arial" w:hAnsi="Arial"/>
          <w:sz w:val="12"/>
          <w:szCs w:val="12"/>
          <w:color w:val="auto"/>
        </w:rPr>
        <w:t>”).</w:t>
      </w:r>
    </w:p>
    <w:p>
      <w:pPr>
        <w:spacing w:after="0" w:line="73" w:lineRule="exact"/>
        <w:rPr>
          <w:rFonts w:ascii="Arial" w:cs="Arial" w:eastAsia="Arial" w:hAnsi="Arial"/>
          <w:sz w:val="12"/>
          <w:szCs w:val="12"/>
          <w:color w:val="auto"/>
        </w:rPr>
      </w:pPr>
    </w:p>
    <w:p>
      <w:pPr>
        <w:ind w:left="-4" w:firstLine="462"/>
        <w:spacing w:after="0" w:line="305" w:lineRule="auto"/>
        <w:tabs>
          <w:tab w:leader="none" w:pos="591" w:val="left"/>
        </w:tabs>
        <w:numPr>
          <w:ilvl w:val="1"/>
          <w:numId w:val="180"/>
        </w:numPr>
        <w:rPr>
          <w:rFonts w:ascii="Arial" w:cs="Arial" w:eastAsia="Arial" w:hAnsi="Arial"/>
          <w:sz w:val="12"/>
          <w:szCs w:val="12"/>
          <w:color w:val="auto"/>
        </w:rPr>
      </w:pPr>
      <w:r>
        <w:rPr>
          <w:rFonts w:ascii="Arial" w:cs="Arial" w:eastAsia="Arial" w:hAnsi="Arial"/>
          <w:sz w:val="12"/>
          <w:szCs w:val="12"/>
          <w:u w:val="single" w:color="auto"/>
          <w:color w:val="auto"/>
        </w:rPr>
        <w:t>Terms and Conditions</w:t>
      </w:r>
      <w:r>
        <w:rPr>
          <w:rFonts w:ascii="Arial" w:cs="Arial" w:eastAsia="Arial" w:hAnsi="Arial"/>
          <w:sz w:val="12"/>
          <w:szCs w:val="12"/>
          <w:color w:val="auto"/>
        </w:rPr>
        <w:t>. The Board shall determine the terms and conditions of any such Restricted Stock Award. Any stock certificates issued in respect of a Restricted Stock Award shall be registered in the name of the Participant and, unless otherwise determined by the Board, deposited by the Participant, together with a stock power endorsed in blank, with the Company (or its designee). After the expiration of the applicable restriction periods and upon the request of the Participant, the Company (or such designee) shall deliver the certificates no longer subject to such restrictions to the Participant or, if the Participant has died, to the beneficiary designated by a Participant, in a manner determined by the Board, to receive amounts due or exercise rights of the Participant in the event of the Participant’s death (the “</w:t>
      </w:r>
      <w:r>
        <w:rPr>
          <w:rFonts w:ascii="Arial" w:cs="Arial" w:eastAsia="Arial" w:hAnsi="Arial"/>
          <w:sz w:val="12"/>
          <w:szCs w:val="12"/>
          <w:u w:val="single" w:color="auto"/>
          <w:color w:val="auto"/>
        </w:rPr>
        <w:t>Designated Beneficiary</w:t>
      </w:r>
      <w:r>
        <w:rPr>
          <w:rFonts w:ascii="Arial" w:cs="Arial" w:eastAsia="Arial" w:hAnsi="Arial"/>
          <w:sz w:val="12"/>
          <w:szCs w:val="12"/>
          <w:color w:val="auto"/>
        </w:rPr>
        <w:t>”). In the absence of an effective designation by a Participant, Designated Beneficiary shall mean the Participant’s estate.</w:t>
      </w:r>
    </w:p>
    <w:p>
      <w:pPr>
        <w:spacing w:after="0" w:line="73" w:lineRule="exact"/>
        <w:rPr>
          <w:rFonts w:ascii="Arial" w:cs="Arial" w:eastAsia="Arial" w:hAnsi="Arial"/>
          <w:sz w:val="12"/>
          <w:szCs w:val="12"/>
          <w:color w:val="auto"/>
        </w:rPr>
      </w:pPr>
    </w:p>
    <w:p>
      <w:pPr>
        <w:ind w:left="5696" w:hanging="79"/>
        <w:spacing w:after="0"/>
        <w:tabs>
          <w:tab w:leader="none" w:pos="5696" w:val="left"/>
        </w:tabs>
        <w:numPr>
          <w:ilvl w:val="3"/>
          <w:numId w:val="180"/>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56"/>
          </w:cols>
          <w:pgMar w:left="224" w:top="247" w:right="219" w:bottom="1440" w:gutter="0" w:footer="0" w:header="0"/>
        </w:sectPr>
      </w:pPr>
    </w:p>
    <w:bookmarkStart w:id="284" w:name="page285"/>
    <w:bookmarkEnd w:id="284"/>
    <w:p>
      <w:pPr>
        <w:ind w:left="460" w:hanging="456"/>
        <w:spacing w:after="0"/>
        <w:tabs>
          <w:tab w:leader="none" w:pos="460" w:val="left"/>
        </w:tabs>
        <w:numPr>
          <w:ilvl w:val="0"/>
          <w:numId w:val="18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Other Stock-Based Awards</w:t>
      </w:r>
    </w:p>
    <w:p>
      <w:pPr>
        <w:spacing w:after="0" w:line="71" w:lineRule="exact"/>
        <w:rPr>
          <w:sz w:val="20"/>
          <w:szCs w:val="20"/>
          <w:color w:val="auto"/>
        </w:rPr>
      </w:pPr>
    </w:p>
    <w:p>
      <w:pPr>
        <w:ind w:right="160" w:firstLine="458"/>
        <w:spacing w:after="0" w:line="351" w:lineRule="auto"/>
        <w:rPr>
          <w:sz w:val="20"/>
          <w:szCs w:val="20"/>
          <w:color w:val="auto"/>
        </w:rPr>
      </w:pPr>
      <w:r>
        <w:rPr>
          <w:rFonts w:ascii="Arial" w:cs="Arial" w:eastAsia="Arial" w:hAnsi="Arial"/>
          <w:sz w:val="12"/>
          <w:szCs w:val="12"/>
          <w:color w:val="auto"/>
        </w:rPr>
        <w:t>The Board shall have the right to grant other Awards based upon the Common Stock having such terms and conditions as the Board may determine, including, without limitation, the grant of shares based upon certain conditions, the grant of securities convertible into Common Stock and the grant of stock appreciation rights, phantom stock awards or stock units.</w:t>
      </w:r>
    </w:p>
    <w:p>
      <w:pPr>
        <w:spacing w:after="0" w:line="148" w:lineRule="exact"/>
        <w:rPr>
          <w:sz w:val="20"/>
          <w:szCs w:val="20"/>
          <w:color w:val="auto"/>
        </w:rPr>
      </w:pPr>
    </w:p>
    <w:p>
      <w:pPr>
        <w:ind w:left="460" w:hanging="456"/>
        <w:spacing w:after="0"/>
        <w:tabs>
          <w:tab w:leader="none" w:pos="460" w:val="left"/>
        </w:tabs>
        <w:numPr>
          <w:ilvl w:val="0"/>
          <w:numId w:val="18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General Provisions Applicable to Awards</w:t>
      </w:r>
    </w:p>
    <w:p>
      <w:pPr>
        <w:spacing w:after="0" w:line="70" w:lineRule="exact"/>
        <w:rPr>
          <w:rFonts w:ascii="Arial" w:cs="Arial" w:eastAsia="Arial" w:hAnsi="Arial"/>
          <w:sz w:val="14"/>
          <w:szCs w:val="14"/>
          <w:b w:val="1"/>
          <w:bCs w:val="1"/>
          <w:color w:val="auto"/>
        </w:rPr>
      </w:pPr>
    </w:p>
    <w:p>
      <w:pPr>
        <w:ind w:right="80" w:firstLine="462"/>
        <w:spacing w:after="0" w:line="258" w:lineRule="auto"/>
        <w:tabs>
          <w:tab w:leader="none" w:pos="587"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Transferability of Awards</w:t>
      </w:r>
      <w:r>
        <w:rPr>
          <w:rFonts w:ascii="Arial" w:cs="Arial" w:eastAsia="Arial" w:hAnsi="Arial"/>
          <w:sz w:val="14"/>
          <w:szCs w:val="14"/>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07" w:lineRule="exact"/>
        <w:rPr>
          <w:rFonts w:ascii="Arial" w:cs="Arial" w:eastAsia="Arial" w:hAnsi="Arial"/>
          <w:sz w:val="14"/>
          <w:szCs w:val="14"/>
          <w:color w:val="auto"/>
        </w:rPr>
      </w:pPr>
    </w:p>
    <w:p>
      <w:pPr>
        <w:ind w:right="80" w:firstLine="462"/>
        <w:spacing w:after="0" w:line="351" w:lineRule="auto"/>
        <w:tabs>
          <w:tab w:leader="none" w:pos="594" w:val="left"/>
        </w:tabs>
        <w:numPr>
          <w:ilvl w:val="1"/>
          <w:numId w:val="182"/>
        </w:numPr>
        <w:rPr>
          <w:rFonts w:ascii="Arial" w:cs="Arial" w:eastAsia="Arial" w:hAnsi="Arial"/>
          <w:sz w:val="12"/>
          <w:szCs w:val="12"/>
          <w:color w:val="auto"/>
        </w:rPr>
      </w:pPr>
      <w:r>
        <w:rPr>
          <w:rFonts w:ascii="Arial" w:cs="Arial" w:eastAsia="Arial" w:hAnsi="Arial"/>
          <w:sz w:val="12"/>
          <w:szCs w:val="12"/>
          <w:u w:val="single" w:color="auto"/>
          <w:color w:val="auto"/>
        </w:rPr>
        <w:t>Documentation</w:t>
      </w:r>
      <w:r>
        <w:rPr>
          <w:rFonts w:ascii="Arial" w:cs="Arial" w:eastAsia="Arial" w:hAnsi="Arial"/>
          <w:sz w:val="12"/>
          <w:szCs w:val="12"/>
          <w:color w:val="auto"/>
        </w:rPr>
        <w:t xml:space="preserve">. Each Award under the Plan shall be evidenced by a written instrument in such form as the Board shall determine or as executed by an officer of the Company pursuant to authority delegated by the Board. Each Award may contain terms and conditions in addition to those set forth in the Plan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terms and conditions do not contravene the provisions of the Plan.</w:t>
      </w:r>
    </w:p>
    <w:p>
      <w:pPr>
        <w:spacing w:after="0" w:line="56" w:lineRule="exact"/>
        <w:rPr>
          <w:rFonts w:ascii="Arial" w:cs="Arial" w:eastAsia="Arial" w:hAnsi="Arial"/>
          <w:sz w:val="12"/>
          <w:szCs w:val="12"/>
          <w:color w:val="auto"/>
        </w:rPr>
      </w:pPr>
    </w:p>
    <w:p>
      <w:pPr>
        <w:ind w:left="600" w:hanging="138"/>
        <w:spacing w:after="0"/>
        <w:tabs>
          <w:tab w:leader="none" w:pos="600"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Board Discretion</w:t>
      </w:r>
      <w:r>
        <w:rPr>
          <w:rFonts w:ascii="Arial" w:cs="Arial" w:eastAsia="Arial" w:hAnsi="Arial"/>
          <w:sz w:val="14"/>
          <w:szCs w:val="14"/>
          <w:color w:val="auto"/>
        </w:rPr>
        <w:t>. The terms of each type of Award need not be identical, and the Board need not treat Participants uniformly.</w:t>
      </w:r>
    </w:p>
    <w:p>
      <w:pPr>
        <w:spacing w:after="0" w:line="131" w:lineRule="exact"/>
        <w:rPr>
          <w:rFonts w:ascii="Arial" w:cs="Arial" w:eastAsia="Arial" w:hAnsi="Arial"/>
          <w:sz w:val="14"/>
          <w:szCs w:val="14"/>
          <w:color w:val="auto"/>
        </w:rPr>
      </w:pPr>
    </w:p>
    <w:p>
      <w:pPr>
        <w:ind w:firstLine="462"/>
        <w:spacing w:after="0" w:line="351" w:lineRule="auto"/>
        <w:tabs>
          <w:tab w:leader="none" w:pos="594" w:val="left"/>
        </w:tabs>
        <w:numPr>
          <w:ilvl w:val="1"/>
          <w:numId w:val="182"/>
        </w:numPr>
        <w:rPr>
          <w:rFonts w:ascii="Arial" w:cs="Arial" w:eastAsia="Arial" w:hAnsi="Arial"/>
          <w:sz w:val="12"/>
          <w:szCs w:val="12"/>
          <w:color w:val="auto"/>
        </w:rPr>
      </w:pPr>
      <w:r>
        <w:rPr>
          <w:rFonts w:ascii="Arial" w:cs="Arial" w:eastAsia="Arial" w:hAnsi="Arial"/>
          <w:sz w:val="12"/>
          <w:szCs w:val="12"/>
          <w:u w:val="single" w:color="auto"/>
          <w:color w:val="auto"/>
        </w:rPr>
        <w:t>Termination of Status</w:t>
      </w:r>
      <w:r>
        <w:rPr>
          <w:rFonts w:ascii="Arial" w:cs="Arial" w:eastAsia="Arial" w:hAnsi="Arial"/>
          <w:sz w:val="12"/>
          <w:szCs w:val="12"/>
          <w:color w:val="auto"/>
        </w:rPr>
        <w:t>. The Board shall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56" w:lineRule="exact"/>
        <w:rPr>
          <w:rFonts w:ascii="Arial" w:cs="Arial" w:eastAsia="Arial" w:hAnsi="Arial"/>
          <w:sz w:val="12"/>
          <w:szCs w:val="12"/>
          <w:color w:val="auto"/>
        </w:rPr>
      </w:pPr>
    </w:p>
    <w:p>
      <w:pPr>
        <w:ind w:left="600" w:hanging="138"/>
        <w:spacing w:after="0"/>
        <w:tabs>
          <w:tab w:leader="none" w:pos="600"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Acquisition of the Company</w:t>
      </w:r>
    </w:p>
    <w:p>
      <w:pPr>
        <w:spacing w:after="0" w:line="131" w:lineRule="exact"/>
        <w:rPr>
          <w:rFonts w:ascii="Arial" w:cs="Arial" w:eastAsia="Arial" w:hAnsi="Arial"/>
          <w:sz w:val="14"/>
          <w:szCs w:val="14"/>
          <w:color w:val="auto"/>
        </w:rPr>
      </w:pPr>
    </w:p>
    <w:p>
      <w:pPr>
        <w:ind w:left="1080" w:hanging="160"/>
        <w:spacing w:after="0"/>
        <w:tabs>
          <w:tab w:leader="none" w:pos="1080" w:val="left"/>
        </w:tabs>
        <w:numPr>
          <w:ilvl w:val="2"/>
          <w:numId w:val="182"/>
        </w:numPr>
        <w:rPr>
          <w:rFonts w:ascii="Arial" w:cs="Arial" w:eastAsia="Arial" w:hAnsi="Arial"/>
          <w:sz w:val="14"/>
          <w:szCs w:val="14"/>
          <w:color w:val="auto"/>
        </w:rPr>
      </w:pPr>
      <w:r>
        <w:rPr>
          <w:rFonts w:ascii="Arial" w:cs="Arial" w:eastAsia="Arial" w:hAnsi="Arial"/>
          <w:sz w:val="14"/>
          <w:szCs w:val="14"/>
          <w:u w:val="single" w:color="auto"/>
          <w:color w:val="auto"/>
        </w:rPr>
        <w:t>Consequences of an Acquisition</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right="40" w:firstLine="1493"/>
        <w:spacing w:after="0" w:line="258" w:lineRule="auto"/>
        <w:tabs>
          <w:tab w:leader="none" w:pos="1712" w:val="left"/>
        </w:tabs>
        <w:numPr>
          <w:ilvl w:val="3"/>
          <w:numId w:val="182"/>
        </w:numPr>
        <w:rPr>
          <w:rFonts w:ascii="Arial" w:cs="Arial" w:eastAsia="Arial" w:hAnsi="Arial"/>
          <w:sz w:val="14"/>
          <w:szCs w:val="14"/>
          <w:color w:val="auto"/>
        </w:rPr>
      </w:pPr>
      <w:r>
        <w:rPr>
          <w:rFonts w:ascii="Arial" w:cs="Arial" w:eastAsia="Arial" w:hAnsi="Arial"/>
          <w:sz w:val="14"/>
          <w:szCs w:val="14"/>
          <w:u w:val="single" w:color="auto"/>
          <w:color w:val="auto"/>
        </w:rPr>
        <w:t>Acquisition Intended to be Accounted for as a Pooling-of-interests</w:t>
      </w:r>
      <w:r>
        <w:rPr>
          <w:rFonts w:ascii="Arial" w:cs="Arial" w:eastAsia="Arial" w:hAnsi="Arial"/>
          <w:sz w:val="14"/>
          <w:szCs w:val="14"/>
          <w:color w:val="auto"/>
        </w:rPr>
        <w:t>. Upon the consummation of an Acquisition intended to be accounted for as a pooling-of-interests: all outstanding Awards shall remain the obligation of the Company or be assumed by the surviving or acquiring entity, and there shall be automatically substituted for the shares of Common Stock then subject to such Awards the consideration payable with respect to the outstanding shares of Common Stock in connection with the Acquisition.</w:t>
      </w:r>
    </w:p>
    <w:p>
      <w:pPr>
        <w:spacing w:after="0" w:line="107" w:lineRule="exact"/>
        <w:rPr>
          <w:rFonts w:ascii="Arial" w:cs="Arial" w:eastAsia="Arial" w:hAnsi="Arial"/>
          <w:sz w:val="14"/>
          <w:szCs w:val="14"/>
          <w:color w:val="auto"/>
        </w:rPr>
      </w:pPr>
    </w:p>
    <w:p>
      <w:pPr>
        <w:ind w:right="400" w:firstLine="1493"/>
        <w:spacing w:after="0" w:line="267" w:lineRule="auto"/>
        <w:tabs>
          <w:tab w:leader="none" w:pos="1705" w:val="left"/>
        </w:tabs>
        <w:numPr>
          <w:ilvl w:val="3"/>
          <w:numId w:val="182"/>
        </w:numPr>
        <w:rPr>
          <w:rFonts w:ascii="Arial" w:cs="Arial" w:eastAsia="Arial" w:hAnsi="Arial"/>
          <w:sz w:val="14"/>
          <w:szCs w:val="14"/>
          <w:color w:val="auto"/>
        </w:rPr>
      </w:pPr>
      <w:r>
        <w:rPr>
          <w:rFonts w:ascii="Arial" w:cs="Arial" w:eastAsia="Arial" w:hAnsi="Arial"/>
          <w:sz w:val="14"/>
          <w:szCs w:val="14"/>
          <w:u w:val="single" w:color="auto"/>
          <w:color w:val="auto"/>
        </w:rPr>
        <w:t>Acquisition Intended to be Accounted for under the Purchase Method</w:t>
      </w:r>
      <w:r>
        <w:rPr>
          <w:rFonts w:ascii="Arial" w:cs="Arial" w:eastAsia="Arial" w:hAnsi="Arial"/>
          <w:sz w:val="14"/>
          <w:szCs w:val="14"/>
          <w:color w:val="auto"/>
        </w:rPr>
        <w:t>. Unless otherwise expressly provided in the applicable Option or Award, upon the occurrence of an Acquisition intended to be accounted for under the purchase method, the Board</w:t>
      </w:r>
    </w:p>
    <w:p>
      <w:pPr>
        <w:spacing w:after="0" w:line="91" w:lineRule="exact"/>
        <w:rPr>
          <w:rFonts w:ascii="Arial" w:cs="Arial" w:eastAsia="Arial" w:hAnsi="Arial"/>
          <w:sz w:val="14"/>
          <w:szCs w:val="14"/>
          <w:color w:val="auto"/>
        </w:rPr>
      </w:pPr>
    </w:p>
    <w:p>
      <w:pPr>
        <w:ind w:left="5700" w:hanging="79"/>
        <w:spacing w:after="0"/>
        <w:tabs>
          <w:tab w:leader="none" w:pos="5700" w:val="left"/>
        </w:tabs>
        <w:numPr>
          <w:ilvl w:val="4"/>
          <w:numId w:val="182"/>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11320"/>
          </w:cols>
          <w:pgMar w:left="220" w:top="245" w:right="359" w:bottom="1440" w:gutter="0" w:footer="0" w:header="0"/>
        </w:sectPr>
      </w:pPr>
    </w:p>
    <w:bookmarkStart w:id="285" w:name="page286"/>
    <w:bookmarkEnd w:id="285"/>
    <w:p>
      <w:pPr>
        <w:ind w:right="20"/>
        <w:spacing w:after="0" w:line="29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or the board of directors of the surviving or acquiring entity (as used in this Section 7(e)(i)(B), also the “</w:t>
      </w:r>
      <w:r>
        <w:rPr>
          <w:rFonts w:ascii="Arial" w:cs="Arial" w:eastAsia="Arial" w:hAnsi="Arial"/>
          <w:sz w:val="12"/>
          <w:szCs w:val="12"/>
          <w:u w:val="single" w:color="auto"/>
          <w:color w:val="auto"/>
        </w:rPr>
        <w:t>Board</w:t>
      </w:r>
      <w:r>
        <w:rPr>
          <w:rFonts w:ascii="Arial" w:cs="Arial" w:eastAsia="Arial" w:hAnsi="Arial"/>
          <w:sz w:val="12"/>
          <w:szCs w:val="12"/>
          <w:color w:val="auto"/>
        </w:rPr>
        <w:t>”), shall, as to outstanding Awards (on the same basis or on different bases, as the Board shall specify), make appropriate provision, subject to Section 7(e)(i)(C), for the continuation of such Awards by the Company or the assumption of such Awards by the surviving or acquiring entity and by substituting on an equitable basis for the shares then subject to such Awards either (a) the consideration payable with respect to the outstanding shares of Common Stock in connection with the Acquisition, (b) shares of stock of the surviving or acquiring corporation or (c) such other securities as the Board deems appropriate, the fair market value of which (as determined by the Board in its sole discretion) shall not materially differ from the fair market value of the shares of Common Stock subject to such Awards immediately preceding the Acquisition. In addition to or in lieu of the foregoing, with respect to outstanding Options, the Board may, upon written notice to the affected optionees, provide that one or more Options must be exercised, to the extent then exercisable or to be exercisable as a result of the Acquisition in accordance with Section 7(e)(i)(C) and as permitted by Section 7(i), within a specified number of days of the date of such notice, at the end of which period such Options shall terminate; or terminate one or more Options in exchange for a cash payment equal to the excess of the fair market value (as determined by the Board in its sole discretion) of the shares subject to such Options (to the extent then exercisable or to be exercisable as a result of the Acquisition or as permitted by Section 7(i)) over the exercise price thereof.</w:t>
      </w:r>
    </w:p>
    <w:p>
      <w:pPr>
        <w:spacing w:after="0" w:line="88" w:lineRule="exact"/>
        <w:rPr>
          <w:sz w:val="20"/>
          <w:szCs w:val="20"/>
          <w:color w:val="auto"/>
        </w:rPr>
      </w:pPr>
    </w:p>
    <w:p>
      <w:pPr>
        <w:jc w:val="both"/>
        <w:ind w:right="340" w:firstLine="1493"/>
        <w:spacing w:after="0" w:line="258" w:lineRule="auto"/>
        <w:tabs>
          <w:tab w:leader="none" w:pos="1705" w:val="left"/>
        </w:tabs>
        <w:numPr>
          <w:ilvl w:val="1"/>
          <w:numId w:val="183"/>
        </w:numPr>
        <w:rPr>
          <w:rFonts w:ascii="Arial" w:cs="Arial" w:eastAsia="Arial" w:hAnsi="Arial"/>
          <w:sz w:val="14"/>
          <w:szCs w:val="14"/>
          <w:color w:val="auto"/>
        </w:rPr>
      </w:pPr>
      <w:r>
        <w:rPr>
          <w:rFonts w:ascii="Arial" w:cs="Arial" w:eastAsia="Arial" w:hAnsi="Arial"/>
          <w:sz w:val="14"/>
          <w:szCs w:val="14"/>
          <w:u w:val="single" w:color="auto"/>
          <w:color w:val="auto"/>
        </w:rPr>
        <w:t>Acquisitions Generally</w:t>
      </w:r>
      <w:r>
        <w:rPr>
          <w:rFonts w:ascii="Arial" w:cs="Arial" w:eastAsia="Arial" w:hAnsi="Arial"/>
          <w:sz w:val="14"/>
          <w:szCs w:val="14"/>
          <w:color w:val="auto"/>
        </w:rPr>
        <w:t>. Upon the consummation of an Acquisition, the exercisability of Options, the vesting provisions of Restricted Stock Awards, and the exercisability of and/or vesting provisions under other stock-based Awards shall be accelerated, if at all, in accordance with the terms and conditions of the written instrument evidencing any such Options. Restricted Stock Awards or other stock-based Awards approved by the Board.</w:t>
      </w:r>
    </w:p>
    <w:p>
      <w:pPr>
        <w:spacing w:after="0" w:line="107" w:lineRule="exact"/>
        <w:rPr>
          <w:rFonts w:ascii="Arial" w:cs="Arial" w:eastAsia="Arial" w:hAnsi="Arial"/>
          <w:sz w:val="14"/>
          <w:szCs w:val="14"/>
          <w:color w:val="auto"/>
        </w:rPr>
      </w:pPr>
    </w:p>
    <w:p>
      <w:pPr>
        <w:jc w:val="both"/>
        <w:ind w:firstLine="1493"/>
        <w:spacing w:after="0" w:line="311" w:lineRule="auto"/>
        <w:tabs>
          <w:tab w:leader="none" w:pos="1712" w:val="left"/>
        </w:tabs>
        <w:numPr>
          <w:ilvl w:val="1"/>
          <w:numId w:val="183"/>
        </w:numPr>
        <w:rPr>
          <w:rFonts w:ascii="Arial" w:cs="Arial" w:eastAsia="Arial" w:hAnsi="Arial"/>
          <w:sz w:val="12"/>
          <w:szCs w:val="12"/>
          <w:color w:val="auto"/>
        </w:rPr>
      </w:pPr>
      <w:r>
        <w:rPr>
          <w:rFonts w:ascii="Arial" w:cs="Arial" w:eastAsia="Arial" w:hAnsi="Arial"/>
          <w:sz w:val="12"/>
          <w:szCs w:val="12"/>
          <w:u w:val="single" w:color="auto"/>
          <w:color w:val="auto"/>
        </w:rPr>
        <w:t>Acquisition Defined</w:t>
      </w:r>
      <w:r>
        <w:rPr>
          <w:rFonts w:ascii="Arial" w:cs="Arial" w:eastAsia="Arial" w:hAnsi="Arial"/>
          <w:sz w:val="12"/>
          <w:szCs w:val="12"/>
          <w:color w:val="auto"/>
        </w:rPr>
        <w:t>. An “</w:t>
      </w:r>
      <w:r>
        <w:rPr>
          <w:rFonts w:ascii="Arial" w:cs="Arial" w:eastAsia="Arial" w:hAnsi="Arial"/>
          <w:sz w:val="12"/>
          <w:szCs w:val="12"/>
          <w:u w:val="single" w:color="auto"/>
          <w:color w:val="auto"/>
        </w:rPr>
        <w:t>Acquisition</w:t>
      </w:r>
      <w:r>
        <w:rPr>
          <w:rFonts w:ascii="Arial" w:cs="Arial" w:eastAsia="Arial" w:hAnsi="Arial"/>
          <w:sz w:val="12"/>
          <w:szCs w:val="12"/>
          <w:color w:val="auto"/>
        </w:rPr>
        <w:t>” shall mean: (x) the consolidation with or acquisition by another entity in a merger, reorganization, consolidation of other form of business combination in which the other entity is the surviving or successor entity and the holders of outstanding voting stock of the Company immediately preceding the consummation of such event, shall, immediately following such event, hold, as a group, less than a majority of the voting securities of the surviving or successor entity; or (y) any sale of all or substantially all of the assets or capital stock of the Company (other than in a spin-off or similar transaction) or (z) any other acquisition of the business of the Company, as determined by the Board.</w:t>
      </w:r>
    </w:p>
    <w:p>
      <w:pPr>
        <w:spacing w:after="0" w:line="78" w:lineRule="exact"/>
        <w:rPr>
          <w:rFonts w:ascii="Arial" w:cs="Arial" w:eastAsia="Arial" w:hAnsi="Arial"/>
          <w:sz w:val="12"/>
          <w:szCs w:val="12"/>
          <w:color w:val="auto"/>
        </w:rPr>
      </w:pPr>
    </w:p>
    <w:p>
      <w:pPr>
        <w:ind w:firstLine="920"/>
        <w:spacing w:after="0" w:line="258" w:lineRule="auto"/>
        <w:tabs>
          <w:tab w:leader="none" w:pos="1117" w:val="left"/>
        </w:tabs>
        <w:numPr>
          <w:ilvl w:val="0"/>
          <w:numId w:val="184"/>
        </w:numPr>
        <w:rPr>
          <w:rFonts w:ascii="Arial" w:cs="Arial" w:eastAsia="Arial" w:hAnsi="Arial"/>
          <w:sz w:val="14"/>
          <w:szCs w:val="14"/>
          <w:color w:val="auto"/>
        </w:rPr>
      </w:pPr>
      <w:r>
        <w:rPr>
          <w:rFonts w:ascii="Arial" w:cs="Arial" w:eastAsia="Arial" w:hAnsi="Arial"/>
          <w:sz w:val="14"/>
          <w:szCs w:val="14"/>
          <w:u w:val="single" w:color="auto"/>
          <w:color w:val="auto"/>
        </w:rPr>
        <w:t>Assumption of Options Upon Certain Events</w:t>
      </w:r>
      <w:r>
        <w:rPr>
          <w:rFonts w:ascii="Arial" w:cs="Arial" w:eastAsia="Arial" w:hAnsi="Arial"/>
          <w:sz w:val="14"/>
          <w:szCs w:val="14"/>
          <w:color w:val="auto"/>
        </w:rPr>
        <w:t>. In connection with a merger or consolidation of an entity with the Company or the acquisition by the Company of property or stock of an entity, the Board may grant Awards under the Plan in substitution for stock and stock-based awards issued by such entity or an affiliate thereof. The substitute Awards shall be granted on such terms and conditions as the Board considers appropriate in the circumstances.</w:t>
      </w:r>
    </w:p>
    <w:p>
      <w:pPr>
        <w:spacing w:after="0" w:line="107" w:lineRule="exact"/>
        <w:rPr>
          <w:rFonts w:ascii="Arial" w:cs="Arial" w:eastAsia="Arial" w:hAnsi="Arial"/>
          <w:sz w:val="14"/>
          <w:szCs w:val="14"/>
          <w:color w:val="auto"/>
        </w:rPr>
      </w:pPr>
    </w:p>
    <w:p>
      <w:pPr>
        <w:ind w:left="1160" w:hanging="240"/>
        <w:spacing w:after="0"/>
        <w:tabs>
          <w:tab w:leader="none" w:pos="1160" w:val="left"/>
        </w:tabs>
        <w:numPr>
          <w:ilvl w:val="0"/>
          <w:numId w:val="184"/>
        </w:numPr>
        <w:rPr>
          <w:rFonts w:ascii="Arial" w:cs="Arial" w:eastAsia="Arial" w:hAnsi="Arial"/>
          <w:sz w:val="14"/>
          <w:szCs w:val="14"/>
          <w:color w:val="auto"/>
        </w:rPr>
      </w:pPr>
      <w:r>
        <w:rPr>
          <w:rFonts w:ascii="Arial" w:cs="Arial" w:eastAsia="Arial" w:hAnsi="Arial"/>
          <w:sz w:val="14"/>
          <w:szCs w:val="14"/>
          <w:u w:val="single" w:color="auto"/>
          <w:color w:val="auto"/>
        </w:rPr>
        <w:t>Pooling-of-Interests Accounting</w:t>
      </w:r>
      <w:r>
        <w:rPr>
          <w:rFonts w:ascii="Arial" w:cs="Arial" w:eastAsia="Arial" w:hAnsi="Arial"/>
          <w:sz w:val="14"/>
          <w:szCs w:val="14"/>
          <w:color w:val="auto"/>
        </w:rPr>
        <w:t>. If the Company proposes to engage in an Acquisition intended to be accounted for as a pooling-of-interests, and in the event that the</w:t>
      </w:r>
    </w:p>
    <w:p>
      <w:pPr>
        <w:spacing w:after="0" w:line="121" w:lineRule="exact"/>
        <w:rPr>
          <w:rFonts w:ascii="Arial" w:cs="Arial" w:eastAsia="Arial" w:hAnsi="Arial"/>
          <w:sz w:val="14"/>
          <w:szCs w:val="14"/>
          <w:color w:val="auto"/>
        </w:rPr>
      </w:pPr>
    </w:p>
    <w:p>
      <w:pPr>
        <w:ind w:left="5700" w:hanging="79"/>
        <w:spacing w:after="0"/>
        <w:tabs>
          <w:tab w:leader="none" w:pos="5700" w:val="left"/>
        </w:tabs>
        <w:numPr>
          <w:ilvl w:val="2"/>
          <w:numId w:val="184"/>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11460"/>
          </w:cols>
          <w:pgMar w:left="220" w:top="247" w:right="219" w:bottom="1440" w:gutter="0" w:footer="0" w:header="0"/>
        </w:sectPr>
      </w:pPr>
    </w:p>
    <w:bookmarkStart w:id="286" w:name="page287"/>
    <w:bookmarkEnd w:id="286"/>
    <w:p>
      <w:pPr>
        <w:ind w:right="1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provisions of this Plan or of any Award hereunder, or any actions of the Board taken in connection with such Acquisition, are determined by the Company’s or the acquiring company’s independent public accountants to cause such Acquisition to fail to be accounted for as a pooling-of-interests, then such provisions or actions shall be amended or rescinded by the Board, without the consent of any Participant, to be consistent with pooling-of-interests accounting treatment for such Acquisition.</w:t>
      </w:r>
    </w:p>
    <w:p>
      <w:pPr>
        <w:spacing w:after="0" w:line="108" w:lineRule="exact"/>
        <w:rPr>
          <w:sz w:val="20"/>
          <w:szCs w:val="20"/>
          <w:color w:val="auto"/>
        </w:rPr>
      </w:pPr>
    </w:p>
    <w:p>
      <w:pPr>
        <w:ind w:firstLine="920"/>
        <w:spacing w:after="0" w:line="292" w:lineRule="auto"/>
        <w:tabs>
          <w:tab w:leader="none" w:pos="1147" w:val="left"/>
        </w:tabs>
        <w:numPr>
          <w:ilvl w:val="1"/>
          <w:numId w:val="185"/>
        </w:numPr>
        <w:rPr>
          <w:rFonts w:ascii="Arial" w:cs="Arial" w:eastAsia="Arial" w:hAnsi="Arial"/>
          <w:sz w:val="12"/>
          <w:szCs w:val="12"/>
          <w:color w:val="auto"/>
        </w:rPr>
      </w:pPr>
      <w:r>
        <w:rPr>
          <w:rFonts w:ascii="Arial" w:cs="Arial" w:eastAsia="Arial" w:hAnsi="Arial"/>
          <w:sz w:val="12"/>
          <w:szCs w:val="12"/>
          <w:u w:val="single" w:color="auto"/>
          <w:color w:val="auto"/>
        </w:rPr>
        <w:t>Parachute Awards</w:t>
      </w:r>
      <w:r>
        <w:rPr>
          <w:rFonts w:ascii="Arial" w:cs="Arial" w:eastAsia="Arial" w:hAnsi="Arial"/>
          <w:sz w:val="12"/>
          <w:szCs w:val="12"/>
          <w:color w:val="auto"/>
        </w:rPr>
        <w:t>. Notwithstanding the provisions of any Option, Restricted Stock Award or other stock-based Award, if, in connection with the consummation of an Acquisition as described in Section 7(e)(i)(D), a tax under Section 4999 of the Code would be imposed on the Participant (after taking into account the exceptions set forth in Sections 280G(b)(4) and 280G(b)(5) of the Code), then the number of Awards which shall become exercisable, realizable or vested as provided in such written instrument evidencing such Option, Restricted Stock Award or other stock-based Award shall be reduced (or delayed), to the minimum extent necessary, so that no such tax would be imposed on the Participant (the Awards not becoming so accelerated, realizable or vested, the “</w:t>
      </w:r>
      <w:r>
        <w:rPr>
          <w:rFonts w:ascii="Arial" w:cs="Arial" w:eastAsia="Arial" w:hAnsi="Arial"/>
          <w:sz w:val="12"/>
          <w:szCs w:val="12"/>
          <w:u w:val="single" w:color="auto"/>
          <w:color w:val="auto"/>
        </w:rPr>
        <w:t>Parachute Awards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the “</w:t>
      </w:r>
      <w:r>
        <w:rPr>
          <w:rFonts w:ascii="Arial" w:cs="Arial" w:eastAsia="Arial" w:hAnsi="Arial"/>
          <w:sz w:val="12"/>
          <w:szCs w:val="12"/>
          <w:u w:val="single" w:color="auto"/>
          <w:color w:val="auto"/>
        </w:rPr>
        <w:t>aggregate present value</w:t>
      </w:r>
      <w:r>
        <w:rPr>
          <w:rFonts w:ascii="Arial" w:cs="Arial" w:eastAsia="Arial" w:hAnsi="Arial"/>
          <w:sz w:val="12"/>
          <w:szCs w:val="12"/>
          <w:color w:val="auto"/>
        </w:rPr>
        <w:t>” of the Parachute Awards would exceed the tax that, but for this sentence, would be imposed on the Participant under Section 4999 of the Code in connection with</w:t>
      </w:r>
      <w:r>
        <w:rPr>
          <w:rFonts w:ascii="Arial" w:cs="Arial" w:eastAsia="Arial" w:hAnsi="Arial"/>
          <w:sz w:val="12"/>
          <w:szCs w:val="12"/>
          <w:i w:val="1"/>
          <w:iCs w:val="1"/>
          <w:color w:val="auto"/>
        </w:rPr>
        <w:t xml:space="preserve"> </w:t>
      </w:r>
      <w:r>
        <w:rPr>
          <w:rFonts w:ascii="Arial" w:cs="Arial" w:eastAsia="Arial" w:hAnsi="Arial"/>
          <w:sz w:val="12"/>
          <w:szCs w:val="12"/>
          <w:color w:val="auto"/>
        </w:rPr>
        <w:t>the Acquisition, then the Awards shall become immediately exercisable, realizable and vested without regard to the provisions of this sentence. For purposes of the preceding sentence, the “</w:t>
      </w:r>
      <w:r>
        <w:rPr>
          <w:rFonts w:ascii="Arial" w:cs="Arial" w:eastAsia="Arial" w:hAnsi="Arial"/>
          <w:sz w:val="12"/>
          <w:szCs w:val="12"/>
          <w:u w:val="single" w:color="auto"/>
          <w:color w:val="auto"/>
        </w:rPr>
        <w:t>aggregate present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value</w:t>
      </w:r>
      <w:r>
        <w:rPr>
          <w:rFonts w:ascii="Arial" w:cs="Arial" w:eastAsia="Arial" w:hAnsi="Arial"/>
          <w:sz w:val="12"/>
          <w:szCs w:val="12"/>
          <w:color w:val="auto"/>
        </w:rPr>
        <w:t>” of an Award shall be calculated on an after-tax basis (other than taxes imposed by Section 4999 of the Code) and shall be based on economic principles rather than the principles set forth under</w:t>
      </w:r>
    </w:p>
    <w:p>
      <w:pPr>
        <w:spacing w:after="0"/>
        <w:rPr>
          <w:rFonts w:ascii="Arial" w:cs="Arial" w:eastAsia="Arial" w:hAnsi="Arial"/>
          <w:sz w:val="12"/>
          <w:szCs w:val="12"/>
          <w:color w:val="auto"/>
        </w:rPr>
      </w:pPr>
      <w:r>
        <w:rPr>
          <w:rFonts w:ascii="Arial" w:cs="Arial" w:eastAsia="Arial" w:hAnsi="Arial"/>
          <w:sz w:val="14"/>
          <w:szCs w:val="14"/>
          <w:color w:val="auto"/>
        </w:rPr>
        <w:t>Section 280G of the Code and the regulations promulgated thereunder. All determinations required to be made under this Section 7(e)(iv) shall be made by the Company.</w:t>
      </w:r>
    </w:p>
    <w:p>
      <w:pPr>
        <w:spacing w:after="0" w:line="125" w:lineRule="exact"/>
        <w:rPr>
          <w:rFonts w:ascii="Arial" w:cs="Arial" w:eastAsia="Arial" w:hAnsi="Arial"/>
          <w:sz w:val="12"/>
          <w:szCs w:val="12"/>
          <w:color w:val="auto"/>
        </w:rPr>
      </w:pPr>
    </w:p>
    <w:p>
      <w:pPr>
        <w:ind w:right="60" w:firstLine="462"/>
        <w:spacing w:after="0" w:line="311" w:lineRule="auto"/>
        <w:tabs>
          <w:tab w:leader="none" w:pos="571" w:val="left"/>
        </w:tabs>
        <w:numPr>
          <w:ilvl w:val="0"/>
          <w:numId w:val="186"/>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Each Participant shall pay to the Company, or make provisions satisfactory to the Company for payment of, any taxes required by law to be withheld in connection with Awards to such Participant no later than the date of the event creating the tax liability. The Board may allow Participants to satisfy such tax obligations in whole or in part by transferring shares of Common Stock, including shares retained from the Award creating the tax obligation, valued at their fair market value (as determined by the Board or as determined pursuant to the applicable option agreement). The Company may, to the extent permitted by law, deduct any such tax obligations from any payment of any kind otherwise due to a Participant.</w:t>
      </w:r>
    </w:p>
    <w:p>
      <w:pPr>
        <w:spacing w:after="0" w:line="78" w:lineRule="exact"/>
        <w:rPr>
          <w:rFonts w:ascii="Arial" w:cs="Arial" w:eastAsia="Arial" w:hAnsi="Arial"/>
          <w:sz w:val="12"/>
          <w:szCs w:val="12"/>
          <w:color w:val="auto"/>
        </w:rPr>
      </w:pPr>
    </w:p>
    <w:p>
      <w:pPr>
        <w:ind w:right="60" w:firstLine="462"/>
        <w:spacing w:after="0" w:line="321" w:lineRule="auto"/>
        <w:tabs>
          <w:tab w:leader="none" w:pos="594" w:val="left"/>
        </w:tabs>
        <w:numPr>
          <w:ilvl w:val="0"/>
          <w:numId w:val="186"/>
        </w:numPr>
        <w:rPr>
          <w:rFonts w:ascii="Arial" w:cs="Arial" w:eastAsia="Arial" w:hAnsi="Arial"/>
          <w:sz w:val="12"/>
          <w:szCs w:val="12"/>
          <w:color w:val="auto"/>
        </w:rPr>
      </w:pPr>
      <w:r>
        <w:rPr>
          <w:rFonts w:ascii="Arial" w:cs="Arial" w:eastAsia="Arial" w:hAnsi="Arial"/>
          <w:sz w:val="12"/>
          <w:szCs w:val="12"/>
          <w:u w:val="single" w:color="auto"/>
          <w:color w:val="auto"/>
        </w:rPr>
        <w:t>Amendment of Awards</w:t>
      </w:r>
      <w:r>
        <w:rPr>
          <w:rFonts w:ascii="Arial" w:cs="Arial" w:eastAsia="Arial" w:hAnsi="Arial"/>
          <w:sz w:val="12"/>
          <w:szCs w:val="12"/>
          <w:color w:val="auto"/>
        </w:rPr>
        <w:t xml:space="preserve">. The Board may amend, modify or terminate any outstanding Award including, but not limited to, substituting therefor another Award of the same or a different type, changing the date of exercise or realization, and converting an Incentive Stock Option to a Nonstatutory Stock Option, </w:t>
      </w:r>
      <w:r>
        <w:rPr>
          <w:rFonts w:ascii="Arial" w:cs="Arial" w:eastAsia="Arial" w:hAnsi="Arial"/>
          <w:sz w:val="12"/>
          <w:szCs w:val="12"/>
          <w:i w:val="1"/>
          <w:iCs w:val="1"/>
          <w:color w:val="auto"/>
        </w:rPr>
        <w:t>provided that</w:t>
      </w:r>
      <w:r>
        <w:rPr>
          <w:rFonts w:ascii="Arial" w:cs="Arial" w:eastAsia="Arial" w:hAnsi="Arial"/>
          <w:sz w:val="12"/>
          <w:szCs w:val="12"/>
          <w:color w:val="auto"/>
        </w:rPr>
        <w:t>, except as otherwise provided in Section 7(e)(iii), the Participant’s consent to such action shall be required unless the Board determines that the action, taking into account any related action, would not materially and adversely affect the Participant.</w:t>
      </w:r>
    </w:p>
    <w:p>
      <w:pPr>
        <w:spacing w:after="0" w:line="73" w:lineRule="exact"/>
        <w:rPr>
          <w:rFonts w:ascii="Arial" w:cs="Arial" w:eastAsia="Arial" w:hAnsi="Arial"/>
          <w:sz w:val="12"/>
          <w:szCs w:val="12"/>
          <w:color w:val="auto"/>
        </w:rPr>
      </w:pPr>
    </w:p>
    <w:p>
      <w:pPr>
        <w:ind w:left="600" w:hanging="138"/>
        <w:spacing w:after="0"/>
        <w:tabs>
          <w:tab w:leader="none" w:pos="600"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Conditions on Delivery of Stock</w:t>
      </w:r>
      <w:r>
        <w:rPr>
          <w:rFonts w:ascii="Arial" w:cs="Arial" w:eastAsia="Arial" w:hAnsi="Arial"/>
          <w:sz w:val="14"/>
          <w:szCs w:val="14"/>
          <w:color w:val="auto"/>
        </w:rPr>
        <w:t>. The Company will not be obligated to deliver any shares of Common Stock pursuant to the Plan or to remove restrictions from shares</w:t>
      </w:r>
    </w:p>
    <w:p>
      <w:pPr>
        <w:spacing w:after="0" w:line="121" w:lineRule="exact"/>
        <w:rPr>
          <w:rFonts w:ascii="Arial" w:cs="Arial" w:eastAsia="Arial" w:hAnsi="Arial"/>
          <w:sz w:val="14"/>
          <w:szCs w:val="14"/>
          <w:color w:val="auto"/>
        </w:rPr>
      </w:pPr>
    </w:p>
    <w:p>
      <w:pPr>
        <w:ind w:left="5700" w:hanging="79"/>
        <w:spacing w:after="0"/>
        <w:tabs>
          <w:tab w:leader="none" w:pos="5700" w:val="left"/>
        </w:tabs>
        <w:numPr>
          <w:ilvl w:val="2"/>
          <w:numId w:val="186"/>
        </w:numPr>
        <w:rPr>
          <w:rFonts w:ascii="Arial" w:cs="Arial" w:eastAsia="Arial" w:hAnsi="Arial"/>
          <w:sz w:val="14"/>
          <w:szCs w:val="14"/>
          <w:color w:val="auto"/>
        </w:rPr>
      </w:pPr>
      <w:r>
        <w:rPr>
          <w:rFonts w:ascii="Arial" w:cs="Arial" w:eastAsia="Arial" w:hAnsi="Arial"/>
          <w:sz w:val="14"/>
          <w:szCs w:val="14"/>
          <w:color w:val="auto"/>
        </w:rPr>
        <w:t>6 -</w:t>
      </w:r>
    </w:p>
    <w:p>
      <w:pPr>
        <w:sectPr>
          <w:pgSz w:w="11900" w:h="16838" w:orient="portrait"/>
          <w:cols w:equalWidth="0" w:num="1">
            <w:col w:w="11460"/>
          </w:cols>
          <w:pgMar w:left="220" w:top="247" w:right="219" w:bottom="1440" w:gutter="0" w:footer="0" w:header="0"/>
        </w:sectPr>
      </w:pPr>
    </w:p>
    <w:bookmarkStart w:id="287" w:name="page288"/>
    <w:bookmarkEnd w:id="287"/>
    <w:p>
      <w:pPr>
        <w:ind w:right="30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73" w:lineRule="exact"/>
        <w:rPr>
          <w:sz w:val="20"/>
          <w:szCs w:val="20"/>
          <w:color w:val="auto"/>
        </w:rPr>
      </w:pPr>
    </w:p>
    <w:p>
      <w:pPr>
        <w:jc w:val="both"/>
        <w:ind w:right="80" w:firstLine="458"/>
        <w:spacing w:after="0" w:line="321" w:lineRule="auto"/>
        <w:rPr>
          <w:sz w:val="20"/>
          <w:szCs w:val="20"/>
          <w:color w:val="auto"/>
        </w:rPr>
      </w:pPr>
      <w:r>
        <w:rPr>
          <w:rFonts w:ascii="Arial" w:cs="Arial" w:eastAsia="Arial" w:hAnsi="Arial"/>
          <w:sz w:val="12"/>
          <w:szCs w:val="12"/>
          <w:color w:val="auto"/>
        </w:rPr>
        <w:t xml:space="preserve">i. </w:t>
      </w:r>
      <w:r>
        <w:rPr>
          <w:rFonts w:ascii="Arial" w:cs="Arial" w:eastAsia="Arial" w:hAnsi="Arial"/>
          <w:sz w:val="12"/>
          <w:szCs w:val="12"/>
          <w:u w:val="single" w:color="auto"/>
          <w:color w:val="auto"/>
        </w:rPr>
        <w:t>Acceleration</w:t>
      </w:r>
      <w:r>
        <w:rPr>
          <w:rFonts w:ascii="Arial" w:cs="Arial" w:eastAsia="Arial" w:hAnsi="Arial"/>
          <w:sz w:val="12"/>
          <w:szCs w:val="12"/>
          <w:color w:val="auto"/>
        </w:rPr>
        <w:t>. The Board may at any time provide that any Options shall become immediately exercisable in full or in part, that any Restricted Stock Awards shall be free of some or all restrictions, or that any other stock-based Awards may become exercisable in full or in part or free of some or all restrictions or conditions, or otherwise realizable in full or in part, as the case may be, despite the fact that the foregoing actions may (i) cause the application of Sections 280G and 4999 of the Code if a change in control of the Company occurs, or (ii) disqualify all or part of the Option as an Incentive Stock Option.</w:t>
      </w:r>
    </w:p>
    <w:p>
      <w:pPr>
        <w:spacing w:after="0" w:line="165" w:lineRule="exact"/>
        <w:rPr>
          <w:sz w:val="20"/>
          <w:szCs w:val="20"/>
          <w:color w:val="auto"/>
        </w:rPr>
      </w:pPr>
    </w:p>
    <w:p>
      <w:pPr>
        <w:jc w:val="both"/>
        <w:ind w:left="460" w:right="10180" w:hanging="456"/>
        <w:spacing w:after="0" w:line="497" w:lineRule="auto"/>
        <w:tabs>
          <w:tab w:leader="none" w:pos="451" w:val="left"/>
        </w:tabs>
        <w:numPr>
          <w:ilvl w:val="0"/>
          <w:numId w:val="18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Miscellaneous </w:t>
      </w:r>
      <w:r>
        <w:rPr>
          <w:rFonts w:ascii="Arial" w:cs="Arial" w:eastAsia="Arial" w:hAnsi="Arial"/>
          <w:sz w:val="11"/>
          <w:szCs w:val="11"/>
          <w:color w:val="auto"/>
        </w:rPr>
        <w:t xml:space="preserve">a. </w:t>
      </w:r>
      <w:r>
        <w:rPr>
          <w:rFonts w:ascii="Arial" w:cs="Arial" w:eastAsia="Arial" w:hAnsi="Arial"/>
          <w:sz w:val="11"/>
          <w:szCs w:val="11"/>
          <w:u w:val="single" w:color="auto"/>
          <w:color w:val="auto"/>
        </w:rPr>
        <w:t>Definitions</w:t>
      </w:r>
      <w:r>
        <w:rPr>
          <w:rFonts w:ascii="Arial" w:cs="Arial" w:eastAsia="Arial" w:hAnsi="Arial"/>
          <w:sz w:val="11"/>
          <w:szCs w:val="11"/>
          <w:color w:val="auto"/>
        </w:rPr>
        <w: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Company</w:t>
      </w:r>
      <w:r>
        <w:rPr>
          <w:rFonts w:ascii="Arial" w:cs="Arial" w:eastAsia="Arial" w:hAnsi="Arial"/>
          <w:sz w:val="12"/>
          <w:szCs w:val="12"/>
          <w:color w:val="auto"/>
        </w:rPr>
        <w:t>,” for purposes of eligibility under the Plan, shall include any present or future subsidiary corporations of MacroGenics, Inc., as defined in Section 424(f) of the Code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and any present or future parent corporation of MacroGenics, Inc., as defined in Section 424(e) of the Code. For purposes of Awards other than Incentive Stock Options, the term “</w:t>
      </w:r>
      <w:r>
        <w:rPr>
          <w:rFonts w:ascii="Arial" w:cs="Arial" w:eastAsia="Arial" w:hAnsi="Arial"/>
          <w:sz w:val="12"/>
          <w:szCs w:val="12"/>
          <w:u w:val="single" w:color="auto"/>
          <w:color w:val="auto"/>
        </w:rPr>
        <w:t>Company</w:t>
      </w:r>
      <w:r>
        <w:rPr>
          <w:rFonts w:ascii="Arial" w:cs="Arial" w:eastAsia="Arial" w:hAnsi="Arial"/>
          <w:sz w:val="12"/>
          <w:szCs w:val="12"/>
          <w:color w:val="auto"/>
        </w:rPr>
        <w:t>” shall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include any other business venture in which the Company has a direct or indirect significant interest, as determined by the Board in its sole discretion.</w:t>
      </w:r>
    </w:p>
    <w:p>
      <w:pPr>
        <w:spacing w:after="0" w:line="126" w:lineRule="exact"/>
        <w:rPr>
          <w:sz w:val="20"/>
          <w:szCs w:val="20"/>
          <w:color w:val="auto"/>
        </w:rPr>
      </w:pPr>
    </w:p>
    <w:p>
      <w:pPr>
        <w:ind w:left="1120" w:hanging="200"/>
        <w:spacing w:after="0"/>
        <w:tabs>
          <w:tab w:leader="none" w:pos="1120" w:val="left"/>
        </w:tabs>
        <w:numPr>
          <w:ilvl w:val="1"/>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 and any regulations promulgated thereunder.</w:t>
      </w:r>
    </w:p>
    <w:p>
      <w:pPr>
        <w:spacing w:after="0" w:line="131" w:lineRule="exact"/>
        <w:rPr>
          <w:rFonts w:ascii="Arial" w:cs="Arial" w:eastAsia="Arial" w:hAnsi="Arial"/>
          <w:sz w:val="14"/>
          <w:szCs w:val="14"/>
          <w:color w:val="auto"/>
        </w:rPr>
      </w:pPr>
    </w:p>
    <w:p>
      <w:pPr>
        <w:ind w:right="360" w:firstLine="462"/>
        <w:spacing w:after="0" w:line="258" w:lineRule="auto"/>
        <w:tabs>
          <w:tab w:leader="none" w:pos="594" w:val="left"/>
        </w:tabs>
        <w:numPr>
          <w:ilvl w:val="0"/>
          <w:numId w:val="189"/>
        </w:numPr>
        <w:rPr>
          <w:rFonts w:ascii="Arial" w:cs="Arial" w:eastAsia="Arial" w:hAnsi="Arial"/>
          <w:sz w:val="14"/>
          <w:szCs w:val="14"/>
          <w:color w:val="auto"/>
        </w:rPr>
      </w:pPr>
      <w:r>
        <w:rPr>
          <w:rFonts w:ascii="Arial" w:cs="Arial" w:eastAsia="Arial" w:hAnsi="Arial"/>
          <w:sz w:val="14"/>
          <w:szCs w:val="14"/>
          <w:u w:val="single" w:color="auto"/>
          <w:color w:val="auto"/>
        </w:rPr>
        <w:t>No Right To Employment or Other Status</w:t>
      </w:r>
      <w:r>
        <w:rPr>
          <w:rFonts w:ascii="Arial" w:cs="Arial" w:eastAsia="Arial" w:hAnsi="Arial"/>
          <w:sz w:val="14"/>
          <w:szCs w:val="14"/>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w:t>
      </w:r>
    </w:p>
    <w:p>
      <w:pPr>
        <w:spacing w:after="0" w:line="107" w:lineRule="exact"/>
        <w:rPr>
          <w:rFonts w:ascii="Arial" w:cs="Arial" w:eastAsia="Arial" w:hAnsi="Arial"/>
          <w:sz w:val="14"/>
          <w:szCs w:val="14"/>
          <w:color w:val="auto"/>
        </w:rPr>
      </w:pPr>
    </w:p>
    <w:p>
      <w:pPr>
        <w:ind w:right="200" w:firstLine="462"/>
        <w:spacing w:after="0" w:line="267" w:lineRule="auto"/>
        <w:tabs>
          <w:tab w:leader="none" w:pos="587" w:val="left"/>
        </w:tabs>
        <w:numPr>
          <w:ilvl w:val="0"/>
          <w:numId w:val="189"/>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Subject to the provisions of the applicable Award, no Participant or Designated Beneficiary shall have any rights as a stockholder with respect to any shares of Common Stock to be distributed with respect to an Award until becoming the record holder thereof.</w:t>
      </w:r>
    </w:p>
    <w:p>
      <w:pPr>
        <w:spacing w:after="0" w:line="101" w:lineRule="exact"/>
        <w:rPr>
          <w:rFonts w:ascii="Arial" w:cs="Arial" w:eastAsia="Arial" w:hAnsi="Arial"/>
          <w:sz w:val="14"/>
          <w:szCs w:val="14"/>
          <w:color w:val="auto"/>
        </w:rPr>
      </w:pPr>
    </w:p>
    <w:p>
      <w:pPr>
        <w:ind w:firstLine="462"/>
        <w:spacing w:after="0" w:line="267" w:lineRule="auto"/>
        <w:tabs>
          <w:tab w:leader="none" w:pos="594" w:val="left"/>
        </w:tabs>
        <w:numPr>
          <w:ilvl w:val="0"/>
          <w:numId w:val="189"/>
        </w:numPr>
        <w:rPr>
          <w:rFonts w:ascii="Arial" w:cs="Arial" w:eastAsia="Arial" w:hAnsi="Arial"/>
          <w:sz w:val="14"/>
          <w:szCs w:val="14"/>
          <w:color w:val="auto"/>
        </w:rPr>
      </w:pPr>
      <w:r>
        <w:rPr>
          <w:rFonts w:ascii="Arial" w:cs="Arial" w:eastAsia="Arial" w:hAnsi="Arial"/>
          <w:sz w:val="14"/>
          <w:szCs w:val="14"/>
          <w:u w:val="single" w:color="auto"/>
          <w:color w:val="auto"/>
        </w:rPr>
        <w:t>Effective Date and Term of Plan</w:t>
      </w:r>
      <w:r>
        <w:rPr>
          <w:rFonts w:ascii="Arial" w:cs="Arial" w:eastAsia="Arial" w:hAnsi="Arial"/>
          <w:sz w:val="14"/>
          <w:szCs w:val="14"/>
          <w:color w:val="auto"/>
        </w:rPr>
        <w:t>. The Plan shall become effective on the date on which it is adopted by the Board. No Awards shall be granted under the Plan after the completion of ten years from the date on which the Plan was adopted by the Board, but Awards previously granted may extend beyond that date.</w:t>
      </w:r>
    </w:p>
    <w:p>
      <w:pPr>
        <w:spacing w:after="0" w:line="91" w:lineRule="exact"/>
        <w:rPr>
          <w:rFonts w:ascii="Arial" w:cs="Arial" w:eastAsia="Arial" w:hAnsi="Arial"/>
          <w:sz w:val="14"/>
          <w:szCs w:val="14"/>
          <w:color w:val="auto"/>
        </w:rPr>
      </w:pPr>
    </w:p>
    <w:p>
      <w:pPr>
        <w:ind w:left="5700" w:hanging="79"/>
        <w:spacing w:after="0"/>
        <w:tabs>
          <w:tab w:leader="none" w:pos="5700" w:val="left"/>
        </w:tabs>
        <w:numPr>
          <w:ilvl w:val="2"/>
          <w:numId w:val="189"/>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11440"/>
          </w:cols>
          <w:pgMar w:left="220" w:top="247" w:right="239" w:bottom="1440" w:gutter="0" w:footer="0" w:header="0"/>
        </w:sectPr>
      </w:pPr>
    </w:p>
    <w:bookmarkStart w:id="288" w:name="page289"/>
    <w:bookmarkEnd w:id="288"/>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e. </w:t>
      </w:r>
      <w:r>
        <w:rPr>
          <w:rFonts w:ascii="Arial" w:cs="Arial" w:eastAsia="Arial" w:hAnsi="Arial"/>
          <w:sz w:val="14"/>
          <w:szCs w:val="14"/>
          <w:u w:val="single" w:color="auto"/>
          <w:color w:val="auto"/>
        </w:rPr>
        <w:t>Amendment of Plan</w:t>
      </w:r>
      <w:r>
        <w:rPr>
          <w:rFonts w:ascii="Arial" w:cs="Arial" w:eastAsia="Arial" w:hAnsi="Arial"/>
          <w:sz w:val="14"/>
          <w:szCs w:val="14"/>
          <w:color w:val="auto"/>
        </w:rPr>
        <w:t>. The Board may amend, suspend or terminate the Plan or any portion thereof at any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u w:val="single" w:color="auto"/>
          <w:color w:val="auto"/>
        </w:rPr>
        <w:t>Governing Law</w:t>
      </w:r>
      <w:r>
        <w:rPr>
          <w:rFonts w:ascii="Arial" w:cs="Arial" w:eastAsia="Arial" w:hAnsi="Arial"/>
          <w:sz w:val="12"/>
          <w:szCs w:val="12"/>
          <w:color w:val="auto"/>
        </w:rPr>
        <w:t>. The provisions of the Plan and all Awards made hereunder shall be governed by and interpreted in accordance with the laws of Delaware, without regard to any applicable conflicts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15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Adopted by the Board of Directors on:</w:t>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December 13, 2000</w:t>
      </w:r>
    </w:p>
    <w:p>
      <w:pPr>
        <w:spacing w:after="0" w:line="167"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Approved by the stockholders on:</w:t>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December 13, 2000</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1420"/>
          </w:cols>
          <w:pgMar w:left="220" w:top="247" w:right="259" w:bottom="1440" w:gutter="0" w:footer="0" w:header="0"/>
        </w:sectPr>
      </w:pPr>
    </w:p>
    <w:bookmarkStart w:id="289" w:name="page290"/>
    <w:bookmarkEnd w:id="289"/>
    <w:p>
      <w:pPr>
        <w:ind w:left="494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w:t>
      </w:r>
      <w:r>
        <w:rPr>
          <w:rFonts w:ascii="Arial" w:cs="Arial" w:eastAsia="Arial" w:hAnsi="Arial"/>
          <w:sz w:val="11"/>
          <w:szCs w:val="11"/>
          <w:u w:val="single" w:color="auto"/>
          <w:color w:val="auto"/>
        </w:rPr>
        <w:t>EGISTER</w:t>
      </w:r>
      <w:r>
        <w:rPr>
          <w:rFonts w:ascii="Arial" w:cs="Arial" w:eastAsia="Arial" w:hAnsi="Arial"/>
          <w:sz w:val="14"/>
          <w:szCs w:val="14"/>
          <w:u w:val="single" w:color="auto"/>
          <w:color w:val="auto"/>
        </w:rPr>
        <w:t xml:space="preserve"> O</w:t>
      </w:r>
      <w:r>
        <w:rPr>
          <w:rFonts w:ascii="Arial" w:cs="Arial" w:eastAsia="Arial" w:hAnsi="Arial"/>
          <w:sz w:val="11"/>
          <w:szCs w:val="11"/>
          <w:u w:val="single" w:color="auto"/>
          <w:color w:val="auto"/>
        </w:rPr>
        <w:t>F</w:t>
      </w:r>
      <w:r>
        <w:rPr>
          <w:rFonts w:ascii="Arial" w:cs="Arial" w:eastAsia="Arial" w:hAnsi="Arial"/>
          <w:sz w:val="14"/>
          <w:szCs w:val="14"/>
          <w:u w:val="single" w:color="auto"/>
          <w:color w:val="auto"/>
        </w:rPr>
        <w:t xml:space="preserve"> A</w:t>
      </w:r>
      <w:r>
        <w:rPr>
          <w:rFonts w:ascii="Arial" w:cs="Arial" w:eastAsia="Arial" w:hAnsi="Arial"/>
          <w:sz w:val="11"/>
          <w:szCs w:val="11"/>
          <w:u w:val="single" w:color="auto"/>
          <w:color w:val="auto"/>
        </w:rPr>
        <w:t>MENDMENTS</w:t>
      </w:r>
    </w:p>
    <w:p>
      <w:pPr>
        <w:spacing w:after="0" w:line="163" w:lineRule="exact"/>
        <w:rPr>
          <w:sz w:val="20"/>
          <w:szCs w:val="20"/>
          <w:color w:val="auto"/>
        </w:rPr>
      </w:pPr>
    </w:p>
    <w:p>
      <w:pPr>
        <w:spacing w:after="0"/>
        <w:tabs>
          <w:tab w:leader="none" w:pos="4420" w:val="left"/>
          <w:tab w:leader="none" w:pos="7240" w:val="left"/>
          <w:tab w:leader="none" w:pos="9940" w:val="left"/>
        </w:tabs>
        <w:rPr>
          <w:sz w:val="20"/>
          <w:szCs w:val="20"/>
          <w:color w:val="auto"/>
        </w:rPr>
      </w:pPr>
      <w:r>
        <w:rPr>
          <w:rFonts w:ascii="Arial" w:cs="Arial" w:eastAsia="Arial" w:hAnsi="Arial"/>
          <w:sz w:val="10"/>
          <w:szCs w:val="10"/>
          <w:color w:val="auto"/>
        </w:rPr>
        <w:t>Amendment No.</w:t>
      </w:r>
      <w:r>
        <w:rPr>
          <w:sz w:val="20"/>
          <w:szCs w:val="20"/>
          <w:color w:val="auto"/>
        </w:rPr>
        <w:tab/>
      </w:r>
      <w:r>
        <w:rPr>
          <w:rFonts w:ascii="Arial" w:cs="Arial" w:eastAsia="Arial" w:hAnsi="Arial"/>
          <w:sz w:val="10"/>
          <w:szCs w:val="10"/>
          <w:u w:val="single" w:color="auto"/>
          <w:color w:val="auto"/>
        </w:rPr>
        <w:t>Date</w:t>
      </w:r>
      <w:r>
        <w:rPr>
          <w:sz w:val="20"/>
          <w:szCs w:val="20"/>
          <w:color w:val="auto"/>
        </w:rPr>
        <w:tab/>
      </w:r>
      <w:r>
        <w:rPr>
          <w:rFonts w:ascii="Arial" w:cs="Arial" w:eastAsia="Arial" w:hAnsi="Arial"/>
          <w:sz w:val="10"/>
          <w:szCs w:val="10"/>
          <w:u w:val="single" w:color="auto"/>
          <w:color w:val="auto"/>
        </w:rPr>
        <w:t>Section</w:t>
      </w:r>
      <w:r>
        <w:rPr>
          <w:sz w:val="20"/>
          <w:szCs w:val="20"/>
          <w:color w:val="auto"/>
        </w:rPr>
        <w:tab/>
      </w:r>
      <w:r>
        <w:rPr>
          <w:rFonts w:ascii="Arial" w:cs="Arial" w:eastAsia="Arial" w:hAnsi="Arial"/>
          <w:sz w:val="9"/>
          <w:szCs w:val="9"/>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7117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1170" cy="6350"/>
                    </a:xfrm>
                    <a:prstGeom prst="rect">
                      <a:avLst/>
                    </a:prstGeom>
                    <a:noFill/>
                  </pic:spPr>
                </pic:pic>
              </a:graphicData>
            </a:graphic>
          </wp:anchor>
        </w:drawing>
      </w:r>
    </w:p>
    <w:p>
      <w:pPr>
        <w:sectPr>
          <w:pgSz w:w="11900" w:h="16838" w:orient="portrait"/>
          <w:cols w:equalWidth="0" w:num="1">
            <w:col w:w="10440"/>
          </w:cols>
          <w:pgMar w:left="220" w:top="247" w:right="1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700" w:type="dxa"/>
            <w:vAlign w:val="bottom"/>
          </w:tcPr>
          <w:p>
            <w:pPr>
              <w:ind w:left="7000"/>
              <w:spacing w:after="0"/>
              <w:rPr>
                <w:sz w:val="20"/>
                <w:szCs w:val="20"/>
                <w:color w:val="auto"/>
              </w:rPr>
            </w:pPr>
            <w:r>
              <w:rPr>
                <w:rFonts w:ascii="Arial" w:cs="Arial" w:eastAsia="Arial" w:hAnsi="Arial"/>
                <w:sz w:val="14"/>
                <w:szCs w:val="14"/>
                <w:b w:val="1"/>
                <w:bCs w:val="1"/>
                <w:color w:val="auto"/>
                <w:w w:val="87"/>
              </w:rPr>
              <w:t>Exhibit 10.2</w:t>
            </w:r>
          </w:p>
        </w:tc>
      </w:tr>
      <w:tr>
        <w:trPr>
          <w:trHeight w:val="293"/>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700" w:type="dxa"/>
            <w:vAlign w:val="bottom"/>
          </w:tcPr>
          <w:p>
            <w:pPr>
              <w:ind w:left="1440"/>
              <w:spacing w:after="0"/>
              <w:rPr>
                <w:sz w:val="20"/>
                <w:szCs w:val="20"/>
                <w:color w:val="auto"/>
              </w:rPr>
            </w:pPr>
            <w:r>
              <w:rPr>
                <w:rFonts w:ascii="Arial" w:cs="Arial" w:eastAsia="Arial" w:hAnsi="Arial"/>
                <w:sz w:val="14"/>
                <w:szCs w:val="14"/>
                <w:b w:val="1"/>
                <w:bCs w:val="1"/>
                <w:color w:val="auto"/>
              </w:rPr>
              <w:t>MacroGenics, Inc.</w:t>
            </w:r>
          </w:p>
        </w:tc>
      </w:tr>
      <w:tr>
        <w:trPr>
          <w:trHeight w:val="324"/>
        </w:trPr>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Re:</w:t>
            </w:r>
          </w:p>
        </w:tc>
        <w:tc>
          <w:tcPr>
            <w:tcW w:w="3400" w:type="dxa"/>
            <w:vAlign w:val="bottom"/>
          </w:tcPr>
          <w:p>
            <w:pPr>
              <w:ind w:left="100"/>
              <w:spacing w:after="0"/>
              <w:rPr>
                <w:sz w:val="20"/>
                <w:szCs w:val="20"/>
                <w:color w:val="auto"/>
              </w:rPr>
            </w:pPr>
            <w:r>
              <w:rPr>
                <w:rFonts w:ascii="Arial" w:cs="Arial" w:eastAsia="Arial" w:hAnsi="Arial"/>
                <w:sz w:val="14"/>
                <w:szCs w:val="14"/>
                <w:b w:val="1"/>
                <w:bCs w:val="1"/>
                <w:color w:val="auto"/>
              </w:rPr>
              <w:t>Grant of Incentive Stock Option</w:t>
            </w:r>
          </w:p>
        </w:tc>
        <w:tc>
          <w:tcPr>
            <w:tcW w:w="7700" w:type="dxa"/>
            <w:vAlign w:val="bottom"/>
          </w:tcPr>
          <w:p>
            <w:pPr>
              <w:spacing w:after="0"/>
              <w:rPr>
                <w:sz w:val="24"/>
                <w:szCs w:val="24"/>
                <w:color w:val="auto"/>
              </w:rPr>
            </w:pPr>
          </w:p>
        </w:tc>
      </w:tr>
      <w:tr>
        <w:trPr>
          <w:trHeight w:val="251"/>
        </w:trPr>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ind w:left="100"/>
              <w:spacing w:after="0"/>
              <w:rPr>
                <w:sz w:val="20"/>
                <w:szCs w:val="20"/>
                <w:color w:val="auto"/>
              </w:rPr>
            </w:pPr>
            <w:r>
              <w:rPr>
                <w:rFonts w:ascii="Arial" w:cs="Arial" w:eastAsia="Arial" w:hAnsi="Arial"/>
                <w:sz w:val="14"/>
                <w:szCs w:val="14"/>
                <w:color w:val="auto"/>
              </w:rPr>
              <w:t>Option Shares:</w:t>
            </w:r>
          </w:p>
        </w:tc>
        <w:tc>
          <w:tcPr>
            <w:tcW w:w="7700" w:type="dxa"/>
            <w:vAlign w:val="bottom"/>
          </w:tcPr>
          <w:p>
            <w:pPr>
              <w:ind w:left="2320"/>
              <w:spacing w:after="0"/>
              <w:rPr>
                <w:sz w:val="20"/>
                <w:szCs w:val="20"/>
                <w:color w:val="auto"/>
              </w:rPr>
            </w:pPr>
            <w:r>
              <w:rPr>
                <w:rFonts w:ascii="Arial" w:cs="Arial" w:eastAsia="Arial" w:hAnsi="Arial"/>
                <w:sz w:val="14"/>
                <w:szCs w:val="14"/>
                <w:color w:val="auto"/>
              </w:rPr>
              <w:t>Grant Date:</w:t>
            </w:r>
          </w:p>
        </w:tc>
      </w:tr>
      <w:tr>
        <w:trPr>
          <w:trHeight w:val="251"/>
        </w:trPr>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ind w:left="100"/>
              <w:spacing w:after="0"/>
              <w:rPr>
                <w:sz w:val="20"/>
                <w:szCs w:val="20"/>
                <w:color w:val="auto"/>
              </w:rPr>
            </w:pPr>
            <w:r>
              <w:rPr>
                <w:rFonts w:ascii="Arial" w:cs="Arial" w:eastAsia="Arial" w:hAnsi="Arial"/>
                <w:sz w:val="14"/>
                <w:szCs w:val="14"/>
                <w:color w:val="auto"/>
              </w:rPr>
              <w:t>Price per share:</w:t>
            </w:r>
          </w:p>
        </w:tc>
        <w:tc>
          <w:tcPr>
            <w:tcW w:w="7700" w:type="dxa"/>
            <w:vAlign w:val="bottom"/>
          </w:tcPr>
          <w:p>
            <w:pPr>
              <w:ind w:left="2320"/>
              <w:spacing w:after="0"/>
              <w:rPr>
                <w:sz w:val="20"/>
                <w:szCs w:val="20"/>
                <w:color w:val="auto"/>
              </w:rPr>
            </w:pPr>
            <w:r>
              <w:rPr>
                <w:rFonts w:ascii="Arial" w:cs="Arial" w:eastAsia="Arial" w:hAnsi="Arial"/>
                <w:sz w:val="14"/>
                <w:szCs w:val="14"/>
                <w:color w:val="auto"/>
              </w:rPr>
              <w:t>Vesting Base Date:</w:t>
            </w:r>
          </w:p>
        </w:tc>
      </w:tr>
      <w:tr>
        <w:trPr>
          <w:trHeight w:val="251"/>
        </w:trPr>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7700" w:type="dxa"/>
            <w:vAlign w:val="bottom"/>
          </w:tcPr>
          <w:p>
            <w:pPr>
              <w:ind w:left="2320"/>
              <w:spacing w:after="0"/>
              <w:rPr>
                <w:sz w:val="20"/>
                <w:szCs w:val="20"/>
                <w:color w:val="auto"/>
              </w:rPr>
            </w:pPr>
            <w:r>
              <w:rPr>
                <w:rFonts w:ascii="Arial" w:cs="Arial" w:eastAsia="Arial" w:hAnsi="Arial"/>
                <w:sz w:val="14"/>
                <w:szCs w:val="14"/>
                <w:color w:val="auto"/>
              </w:rPr>
              <w:t>Fully-Vested Date:</w:t>
            </w:r>
          </w:p>
        </w:tc>
      </w:tr>
      <w:tr>
        <w:trPr>
          <w:trHeight w:val="251"/>
        </w:trPr>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ind w:left="100"/>
              <w:spacing w:after="0"/>
              <w:rPr>
                <w:sz w:val="20"/>
                <w:szCs w:val="20"/>
                <w:color w:val="auto"/>
              </w:rPr>
            </w:pPr>
            <w:r>
              <w:rPr>
                <w:rFonts w:ascii="Arial" w:cs="Arial" w:eastAsia="Arial" w:hAnsi="Arial"/>
                <w:sz w:val="14"/>
                <w:szCs w:val="14"/>
                <w:color w:val="auto"/>
              </w:rPr>
              <w:t>Option control no.:</w:t>
            </w:r>
          </w:p>
        </w:tc>
        <w:tc>
          <w:tcPr>
            <w:tcW w:w="7700" w:type="dxa"/>
            <w:vAlign w:val="bottom"/>
          </w:tcPr>
          <w:p>
            <w:pPr>
              <w:ind w:left="2320"/>
              <w:spacing w:after="0"/>
              <w:rPr>
                <w:sz w:val="20"/>
                <w:szCs w:val="20"/>
                <w:color w:val="auto"/>
              </w:rPr>
            </w:pPr>
            <w:r>
              <w:rPr>
                <w:rFonts w:ascii="Arial" w:cs="Arial" w:eastAsia="Arial" w:hAnsi="Arial"/>
                <w:sz w:val="14"/>
                <w:szCs w:val="14"/>
                <w:color w:val="auto"/>
              </w:rPr>
              <w:t>Expiration Date:</w:t>
            </w:r>
          </w:p>
        </w:tc>
      </w:tr>
      <w:tr>
        <w:trPr>
          <w:trHeight w:val="117"/>
        </w:trPr>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7700" w:type="dxa"/>
            <w:vAlign w:val="bottom"/>
            <w:tcBorders>
              <w:bottom w:val="single" w:sz="8" w:color="auto"/>
            </w:tcBorders>
          </w:tcPr>
          <w:p>
            <w:pPr>
              <w:spacing w:after="0"/>
              <w:rPr>
                <w:sz w:val="10"/>
                <w:szCs w:val="10"/>
                <w:color w:val="auto"/>
              </w:rPr>
            </w:pPr>
          </w:p>
        </w:tc>
      </w:tr>
      <w:tr>
        <w:trPr>
          <w:trHeight w:val="281"/>
        </w:trPr>
        <w:tc>
          <w:tcPr>
            <w:tcW w:w="360" w:type="dxa"/>
            <w:vAlign w:val="bottom"/>
            <w:gridSpan w:val="2"/>
          </w:tcPr>
          <w:p>
            <w:pPr>
              <w:spacing w:after="0"/>
              <w:rPr>
                <w:sz w:val="20"/>
                <w:szCs w:val="20"/>
                <w:color w:val="auto"/>
              </w:rPr>
            </w:pPr>
            <w:r>
              <w:rPr>
                <w:rFonts w:ascii="Arial" w:cs="Arial" w:eastAsia="Arial" w:hAnsi="Arial"/>
                <w:sz w:val="14"/>
                <w:szCs w:val="14"/>
                <w:color w:val="auto"/>
              </w:rPr>
              <w:t>Dear</w:t>
            </w:r>
          </w:p>
        </w:tc>
        <w:tc>
          <w:tcPr>
            <w:tcW w:w="3400" w:type="dxa"/>
            <w:vAlign w:val="bottom"/>
          </w:tcPr>
          <w:p>
            <w:pPr>
              <w:ind w:left="620"/>
              <w:spacing w:after="0"/>
              <w:rPr>
                <w:sz w:val="20"/>
                <w:szCs w:val="20"/>
                <w:color w:val="auto"/>
              </w:rPr>
            </w:pPr>
            <w:r>
              <w:rPr>
                <w:rFonts w:ascii="Arial" w:cs="Arial" w:eastAsia="Arial" w:hAnsi="Arial"/>
                <w:sz w:val="14"/>
                <w:szCs w:val="14"/>
                <w:color w:val="auto"/>
              </w:rPr>
              <w:t>:</w:t>
            </w:r>
          </w:p>
        </w:tc>
        <w:tc>
          <w:tcPr>
            <w:tcW w:w="7700" w:type="dxa"/>
            <w:vAlign w:val="bottom"/>
          </w:tcPr>
          <w:p>
            <w:pPr>
              <w:spacing w:after="0"/>
              <w:rPr>
                <w:sz w:val="24"/>
                <w:szCs w:val="24"/>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I am pleased to confirm that the Company has granted you an option to purchase shares of our common stock under the MacroGenics, Inc. 2000 Equity Incentive Plan. To accept your stock option, please sign</w:t>
      </w:r>
    </w:p>
    <w:p>
      <w:pPr>
        <w:spacing w:after="0" w:line="35" w:lineRule="exact"/>
        <w:rPr>
          <w:sz w:val="20"/>
          <w:szCs w:val="20"/>
          <w:color w:val="auto"/>
        </w:rPr>
      </w:pPr>
    </w:p>
    <w:p>
      <w:pPr>
        <w:spacing w:after="0"/>
        <w:tabs>
          <w:tab w:leader="none" w:pos="3200" w:val="left"/>
        </w:tabs>
        <w:rPr>
          <w:sz w:val="20"/>
          <w:szCs w:val="20"/>
          <w:color w:val="auto"/>
        </w:rPr>
      </w:pPr>
      <w:r>
        <w:rPr>
          <w:rFonts w:ascii="Arial" w:cs="Arial" w:eastAsia="Arial" w:hAnsi="Arial"/>
          <w:sz w:val="14"/>
          <w:szCs w:val="14"/>
          <w:color w:val="auto"/>
        </w:rPr>
        <w:t>the enclosed copy of this letter and return it to</w:t>
      </w:r>
      <w:r>
        <w:rPr>
          <w:sz w:val="20"/>
          <w:szCs w:val="20"/>
          <w:color w:val="auto"/>
        </w:rPr>
        <w:tab/>
      </w:r>
      <w:r>
        <w:rPr>
          <w:rFonts w:ascii="Arial" w:cs="Arial" w:eastAsia="Arial" w:hAnsi="Arial"/>
          <w:sz w:val="14"/>
          <w:szCs w:val="14"/>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terms</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Your option is intended to be an incentive option. The basic terms of your option grant are identified in the information block at the top of this offer letter, but other important terms and conditions are described in the plan. We encourage you to carefully review the plan, a copy of which is attached.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Purchase and payment</w:t>
      </w:r>
    </w:p>
    <w:p>
      <w:pPr>
        <w:spacing w:after="0" w:line="134"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Subject to the plan, your option vests (becomes exercisable) as follows: (i) with regard to 12.5% of the Option Shares, six months after the Vesting Base Date; and (ii) with regard to the balance of the Option Shares, in fourteen (14) equal quarterly installments commencing six (6) months after the Vesting Base Date (or, if no Vesting Base Date is specified, the Grant Date) and continuing on the last day of the fourteen (14) quarterly periods thereafter (subject to adjustment of the last quarterly installment to prevent vesting of fractional shares throughout the vesting period), so that all shares will become purchasable on the Fully-Vested Date shown above.</w:t>
      </w:r>
    </w:p>
    <w:p>
      <w:pPr>
        <w:spacing w:after="0" w:line="110" w:lineRule="exact"/>
        <w:rPr>
          <w:sz w:val="20"/>
          <w:szCs w:val="20"/>
          <w:color w:val="auto"/>
        </w:rPr>
      </w:pPr>
    </w:p>
    <w:p>
      <w:pPr>
        <w:ind w:right="20"/>
        <w:spacing w:after="0" w:line="351" w:lineRule="auto"/>
        <w:rPr>
          <w:sz w:val="20"/>
          <w:szCs w:val="20"/>
          <w:color w:val="auto"/>
        </w:rPr>
      </w:pPr>
      <w:r>
        <w:rPr>
          <w:rFonts w:ascii="Arial" w:cs="Arial" w:eastAsia="Arial" w:hAnsi="Arial"/>
          <w:sz w:val="12"/>
          <w:szCs w:val="12"/>
          <w:color w:val="auto"/>
        </w:rPr>
        <w:t>If you decide to purchase shares under this option, you will be required to submit a completed exercise agreement on a form approved by the Company, together with payment for the shares. You may pay for the shares (plus any associated withholding taxes) using cash, a check, a wire transfer or any other form of payment. Shares available under this option must be purchased, if at all, no later than the Expiration Date.</w:t>
      </w:r>
    </w:p>
    <w:p>
      <w:pPr>
        <w:sectPr>
          <w:pgSz w:w="11900" w:h="16838" w:orient="portrait"/>
          <w:cols w:equalWidth="0" w:num="1">
            <w:col w:w="11460"/>
          </w:cols>
          <w:pgMar w:left="220" w:top="130" w:right="219" w:bottom="1440" w:gutter="0" w:footer="0" w:header="0"/>
        </w:sectPr>
      </w:pPr>
    </w:p>
    <w:bookmarkStart w:id="291" w:name="page292"/>
    <w:bookmarkEnd w:id="291"/>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Restrictions on the Shares</w:t>
      </w:r>
    </w:p>
    <w:p>
      <w:pPr>
        <w:spacing w:after="0" w:line="134"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As you know, the shares of the Company have not been registered with the Securities and Exchange Commission, and are not publicly traded. In accepting this option, you agree that your rights to purchase or resell the option shares are expressly conditioned upon compliance with applicable U.S. federal and state securities laws, and agree to cooperate with the Company to achieve compliance with those laws.</w:t>
      </w:r>
    </w:p>
    <w:p>
      <w:pPr>
        <w:spacing w:after="0" w:line="5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 xml:space="preserve">Shares you purchase under this option may be subject to other repurchase rights and resale restrictions, including market standoff requirements. Those rights and restrictions are set forth in Section 15.2 of the plan </w:t>
      </w:r>
      <w:r>
        <w:rPr>
          <w:rFonts w:ascii="Arial" w:cs="Arial" w:eastAsia="Arial" w:hAnsi="Arial"/>
          <w:sz w:val="14"/>
          <w:szCs w:val="14"/>
          <w:i w:val="1"/>
          <w:iCs w:val="1"/>
          <w:color w:val="auto"/>
        </w:rPr>
        <w:t>or</w:t>
      </w:r>
      <w:r>
        <w:rPr>
          <w:rFonts w:ascii="Arial" w:cs="Arial" w:eastAsia="Arial" w:hAnsi="Arial"/>
          <w:sz w:val="14"/>
          <w:szCs w:val="14"/>
          <w:color w:val="auto"/>
        </w:rPr>
        <w:t xml:space="preserve"> the company’s standard form of option exercise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We value your efforts and look forward to your continued contribution.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Dr. Scott Koenig</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accept this option and agree to the terms of this offer letter and the plan.</w:t>
      </w:r>
    </w:p>
    <w:p>
      <w:pPr>
        <w:spacing w:after="0" w:line="290"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-10795</wp:posOffset>
            </wp:positionV>
            <wp:extent cx="88392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3920" cy="6350"/>
                    </a:xfrm>
                    <a:prstGeom prst="rect">
                      <a:avLst/>
                    </a:prstGeom>
                    <a:noFill/>
                  </pic:spPr>
                </pic:pic>
              </a:graphicData>
            </a:graphic>
          </wp:anchor>
        </w:drawing>
      </w:r>
    </w:p>
    <w:p>
      <w:pPr>
        <w:spacing w:after="0"/>
        <w:tabs>
          <w:tab w:leader="none" w:pos="7680" w:val="left"/>
        </w:tabs>
        <w:rPr>
          <w:sz w:val="20"/>
          <w:szCs w:val="20"/>
          <w:color w:val="auto"/>
        </w:rPr>
      </w:pPr>
      <w:r>
        <w:rPr>
          <w:rFonts w:ascii="Arial" w:cs="Arial" w:eastAsia="Arial" w:hAnsi="Arial"/>
          <w:sz w:val="14"/>
          <w:szCs w:val="14"/>
          <w:color w:val="auto"/>
        </w:rPr>
        <w:t>Optionee signature</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392049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920490" cy="6350"/>
                    </a:xfrm>
                    <a:prstGeom prst="rect">
                      <a:avLst/>
                    </a:prstGeom>
                    <a:noFill/>
                  </pic:spPr>
                </pic:pic>
              </a:graphicData>
            </a:graphic>
          </wp:anchor>
        </w:drawing>
      </w:r>
    </w:p>
    <w:p>
      <w:pPr>
        <w:sectPr>
          <w:pgSz w:w="11900" w:h="16838" w:orient="portrait"/>
          <w:cols w:equalWidth="0" w:num="1">
            <w:col w:w="11300"/>
          </w:cols>
          <w:pgMar w:left="220" w:top="245" w:right="379" w:bottom="1440" w:gutter="0" w:footer="0" w:header="0"/>
        </w:sectPr>
      </w:pPr>
    </w:p>
    <w:bookmarkStart w:id="292" w:name="page293"/>
    <w:bookmarkEnd w:id="292"/>
    <w:p>
      <w:pPr>
        <w:jc w:val="right"/>
        <w:spacing w:after="0"/>
        <w:rPr>
          <w:sz w:val="20"/>
          <w:szCs w:val="20"/>
          <w:color w:val="auto"/>
        </w:rPr>
      </w:pPr>
      <w:r>
        <w:rPr>
          <w:rFonts w:ascii="Arial" w:cs="Arial" w:eastAsia="Arial" w:hAnsi="Arial"/>
          <w:sz w:val="14"/>
          <w:szCs w:val="14"/>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2003 EQUITY INCENTIVE PLAN</w:t>
      </w:r>
    </w:p>
    <w:p>
      <w:pPr>
        <w:spacing w:after="0" w:line="3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OF</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MACROGENICS, INC.</w:t>
      </w:r>
    </w:p>
    <w:p>
      <w:pPr>
        <w:sectPr>
          <w:pgSz w:w="11900" w:h="16838" w:orient="portrait"/>
          <w:cols w:equalWidth="0" w:num="1">
            <w:col w:w="10240"/>
          </w:cols>
          <w:pgMar w:left="1440" w:top="130" w:right="21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760" w:type="dxa"/>
            <w:vAlign w:val="bottom"/>
            <w:gridSpan w:val="2"/>
          </w:tcPr>
          <w:p>
            <w:pPr>
              <w:jc w:val="right"/>
              <w:ind w:right="4880"/>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273"/>
        </w:trPr>
        <w:tc>
          <w:tcPr>
            <w:tcW w:w="300" w:type="dxa"/>
            <w:vAlign w:val="bottom"/>
            <w:vMerge w:val="restart"/>
          </w:tcPr>
          <w:p>
            <w:pPr>
              <w:spacing w:after="0"/>
              <w:rPr>
                <w:sz w:val="20"/>
                <w:szCs w:val="20"/>
                <w:color w:val="auto"/>
              </w:rPr>
            </w:pPr>
            <w:r>
              <w:rPr>
                <w:rFonts w:ascii="Arial" w:cs="Arial" w:eastAsia="Arial" w:hAnsi="Arial"/>
                <w:sz w:val="14"/>
                <w:szCs w:val="14"/>
                <w:color w:val="auto"/>
              </w:rPr>
              <w:t>1.</w:t>
            </w:r>
          </w:p>
        </w:tc>
        <w:tc>
          <w:tcPr>
            <w:tcW w:w="4340" w:type="dxa"/>
            <w:vAlign w:val="bottom"/>
            <w:gridSpan w:val="2"/>
            <w:vMerge w:val="restart"/>
          </w:tcPr>
          <w:p>
            <w:pPr>
              <w:ind w:left="140"/>
              <w:spacing w:after="0"/>
              <w:rPr>
                <w:sz w:val="20"/>
                <w:szCs w:val="20"/>
                <w:color w:val="auto"/>
              </w:rPr>
            </w:pPr>
            <w:r>
              <w:rPr>
                <w:rFonts w:ascii="Arial" w:cs="Arial" w:eastAsia="Arial" w:hAnsi="Arial"/>
                <w:sz w:val="14"/>
                <w:szCs w:val="14"/>
                <w:color w:val="auto"/>
              </w:rPr>
              <w:t>Purpose of this Plan</w:t>
            </w:r>
          </w:p>
        </w:tc>
        <w:tc>
          <w:tcPr>
            <w:tcW w:w="654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150"/>
        </w:trPr>
        <w:tc>
          <w:tcPr>
            <w:tcW w:w="300" w:type="dxa"/>
            <w:vAlign w:val="bottom"/>
            <w:vMerge w:val="continue"/>
          </w:tcPr>
          <w:p>
            <w:pPr>
              <w:spacing w:after="0"/>
              <w:rPr>
                <w:sz w:val="13"/>
                <w:szCs w:val="13"/>
                <w:color w:val="auto"/>
              </w:rPr>
            </w:pPr>
          </w:p>
        </w:tc>
        <w:tc>
          <w:tcPr>
            <w:tcW w:w="4340" w:type="dxa"/>
            <w:vAlign w:val="bottom"/>
            <w:gridSpan w:val="2"/>
            <w:vMerge w:val="continue"/>
          </w:tcPr>
          <w:p>
            <w:pPr>
              <w:spacing w:after="0"/>
              <w:rPr>
                <w:sz w:val="13"/>
                <w:szCs w:val="13"/>
                <w:color w:val="auto"/>
              </w:rPr>
            </w:pPr>
          </w:p>
        </w:tc>
        <w:tc>
          <w:tcPr>
            <w:tcW w:w="6540" w:type="dxa"/>
            <w:vAlign w:val="bottom"/>
          </w:tcPr>
          <w:p>
            <w:pPr>
              <w:spacing w:after="0"/>
              <w:rPr>
                <w:sz w:val="13"/>
                <w:szCs w:val="13"/>
                <w:color w:val="auto"/>
              </w:rPr>
            </w:pPr>
          </w:p>
        </w:tc>
        <w:tc>
          <w:tcPr>
            <w:tcW w:w="220" w:type="dxa"/>
            <w:vAlign w:val="bottom"/>
          </w:tcPr>
          <w:p>
            <w:pPr>
              <w:jc w:val="right"/>
              <w:spacing w:after="0" w:line="150"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2.</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Definitions and Rules of Interpretation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2.1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Definitions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2.2</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Rules of Interpretation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3.</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Shares Subject to this Plan; Term of this Plan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3.1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Number of Award Shares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3.2</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Source of Shares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3.3</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Term of this Plan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4.</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Administration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4.1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General</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4.2</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Authority of Administrator</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4.3</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Scope of Discretion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5.</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Persons Eligible to Receive Awards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5.1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Eligible Individuals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6.</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Terms and Conditions of Options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6.1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Price</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6.2</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Term</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6.3</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Vesting</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6.4</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Form of Payment</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6.5</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Nonassignability of Options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6.6</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Substitute Options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20"/>
                <w:szCs w:val="20"/>
                <w:color w:val="auto"/>
              </w:rPr>
            </w:pPr>
            <w:r>
              <w:rPr>
                <w:rFonts w:ascii="Arial" w:cs="Arial" w:eastAsia="Arial" w:hAnsi="Arial"/>
                <w:sz w:val="14"/>
                <w:szCs w:val="14"/>
                <w:color w:val="auto"/>
              </w:rPr>
              <w:t>7.</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Incentive Stock Options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8.</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Stock Appreciation Rights, Stock Awards and Cash Awards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8.1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w w:val="97"/>
              </w:rPr>
              <w:t xml:space="preserve">Stock Appreciation Rights. </w:t>
            </w:r>
            <w:r>
              <w:rPr>
                <w:rFonts w:ascii="Arial" w:cs="Arial" w:eastAsia="Arial" w:hAnsi="Arial"/>
                <w:sz w:val="14"/>
                <w:szCs w:val="14"/>
                <w:color w:val="auto"/>
                <w:w w:val="97"/>
              </w:rPr>
              <w:t>The following rules apply to SARs: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8.2</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Stock Awards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8.3</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Cash Awards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9.</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Exercise of Awards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9.1</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In General</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9.2</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Time of Exercise</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9.3</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Issuance of Award Shares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9.4</w:t>
            </w:r>
          </w:p>
        </w:tc>
        <w:tc>
          <w:tcPr>
            <w:tcW w:w="3980" w:type="dxa"/>
            <w:vAlign w:val="bottom"/>
          </w:tcPr>
          <w:p>
            <w:pPr>
              <w:ind w:left="80"/>
              <w:spacing w:after="0"/>
              <w:rPr>
                <w:sz w:val="20"/>
                <w:szCs w:val="20"/>
                <w:color w:val="auto"/>
              </w:rPr>
            </w:pPr>
            <w:r>
              <w:rPr>
                <w:rFonts w:ascii="Arial" w:cs="Arial" w:eastAsia="Arial" w:hAnsi="Arial"/>
                <w:sz w:val="14"/>
                <w:szCs w:val="14"/>
                <w:b w:val="1"/>
                <w:bCs w:val="1"/>
                <w:color w:val="auto"/>
              </w:rPr>
              <w:t>Termination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20"/>
                <w:szCs w:val="20"/>
                <w:color w:val="auto"/>
              </w:rPr>
            </w:pPr>
            <w:r>
              <w:rPr>
                <w:rFonts w:ascii="Arial" w:cs="Arial" w:eastAsia="Arial" w:hAnsi="Arial"/>
                <w:sz w:val="14"/>
                <w:szCs w:val="14"/>
                <w:color w:val="auto"/>
              </w:rPr>
              <w:t>10.</w:t>
            </w: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Certain Transactions and Events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In General</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b w:val="1"/>
                <w:bCs w:val="1"/>
                <w:color w:val="auto"/>
              </w:rPr>
              <w:t>Changes in Capital Structure</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Fundamental Transactions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Changes of Control</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Divestiture</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b w:val="1"/>
                <w:bCs w:val="1"/>
                <w:color w:val="auto"/>
              </w:rPr>
              <w:t>Dissolution</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4340" w:type="dxa"/>
            <w:vAlign w:val="bottom"/>
            <w:gridSpan w:val="2"/>
          </w:tcPr>
          <w:p>
            <w:pPr>
              <w:ind w:left="140"/>
              <w:spacing w:after="0"/>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b w:val="1"/>
                <w:bCs w:val="1"/>
                <w:color w:val="auto"/>
              </w:rPr>
              <w:t>Cut-Back to Preserve Benefits</w:t>
            </w:r>
          </w:p>
        </w:tc>
        <w:tc>
          <w:tcPr>
            <w:tcW w:w="67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20" w:top="245" w:right="27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65"/>
        </w:trPr>
        <w:tc>
          <w:tcPr>
            <w:tcW w:w="300" w:type="dxa"/>
            <w:vAlign w:val="bottom"/>
          </w:tcPr>
          <w:p>
            <w:pPr>
              <w:jc w:val="right"/>
              <w:ind w:right="72"/>
              <w:spacing w:after="0"/>
              <w:rPr>
                <w:sz w:val="20"/>
                <w:szCs w:val="20"/>
                <w:color w:val="auto"/>
              </w:rPr>
            </w:pPr>
            <w:r>
              <w:rPr>
                <w:rFonts w:ascii="Arial" w:cs="Arial" w:eastAsia="Arial" w:hAnsi="Arial"/>
                <w:sz w:val="14"/>
                <w:szCs w:val="14"/>
                <w:color w:val="auto"/>
                <w:w w:val="71"/>
              </w:rPr>
              <w:t>11.</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Withholding and Tax Reporting</w:t>
            </w:r>
          </w:p>
        </w:tc>
        <w:tc>
          <w:tcPr>
            <w:tcW w:w="38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11.1</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Tax Withholding Alternatives</w:t>
            </w:r>
          </w:p>
        </w:tc>
        <w:tc>
          <w:tcPr>
            <w:tcW w:w="38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9"/>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11.2</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Reporting of Dispositions</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5"/>
        </w:trPr>
        <w:tc>
          <w:tcPr>
            <w:tcW w:w="300" w:type="dxa"/>
            <w:vAlign w:val="bottom"/>
          </w:tcPr>
          <w:p>
            <w:pPr>
              <w:jc w:val="right"/>
              <w:ind w:right="52"/>
              <w:spacing w:after="0"/>
              <w:rPr>
                <w:sz w:val="20"/>
                <w:szCs w:val="20"/>
                <w:color w:val="auto"/>
              </w:rPr>
            </w:pPr>
            <w:r>
              <w:rPr>
                <w:rFonts w:ascii="Arial" w:cs="Arial" w:eastAsia="Arial" w:hAnsi="Arial"/>
                <w:sz w:val="14"/>
                <w:szCs w:val="14"/>
                <w:color w:val="auto"/>
                <w:w w:val="81"/>
              </w:rPr>
              <w:t>12.</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Compliance with Law</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9"/>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12.1</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Applicable Law</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5"/>
        </w:trPr>
        <w:tc>
          <w:tcPr>
            <w:tcW w:w="300" w:type="dxa"/>
            <w:vAlign w:val="bottom"/>
          </w:tcPr>
          <w:p>
            <w:pPr>
              <w:jc w:val="right"/>
              <w:ind w:right="52"/>
              <w:spacing w:after="0"/>
              <w:rPr>
                <w:sz w:val="20"/>
                <w:szCs w:val="20"/>
                <w:color w:val="auto"/>
              </w:rPr>
            </w:pPr>
            <w:r>
              <w:rPr>
                <w:rFonts w:ascii="Arial" w:cs="Arial" w:eastAsia="Arial" w:hAnsi="Arial"/>
                <w:sz w:val="14"/>
                <w:szCs w:val="14"/>
                <w:color w:val="auto"/>
                <w:w w:val="81"/>
              </w:rPr>
              <w:t>13.</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Amendment or Termination of this Plan or Outstanding Awards</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13.1</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Amendment and Termination</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13.2</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Stockholder Approval</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9"/>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13.3</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Effect</w:t>
            </w:r>
          </w:p>
        </w:tc>
        <w:tc>
          <w:tcPr>
            <w:tcW w:w="38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5"/>
        </w:trPr>
        <w:tc>
          <w:tcPr>
            <w:tcW w:w="300" w:type="dxa"/>
            <w:vAlign w:val="bottom"/>
          </w:tcPr>
          <w:p>
            <w:pPr>
              <w:jc w:val="right"/>
              <w:ind w:right="52"/>
              <w:spacing w:after="0"/>
              <w:rPr>
                <w:sz w:val="20"/>
                <w:szCs w:val="20"/>
                <w:color w:val="auto"/>
              </w:rPr>
            </w:pPr>
            <w:r>
              <w:rPr>
                <w:rFonts w:ascii="Arial" w:cs="Arial" w:eastAsia="Arial" w:hAnsi="Arial"/>
                <w:sz w:val="14"/>
                <w:szCs w:val="14"/>
                <w:color w:val="auto"/>
                <w:w w:val="81"/>
              </w:rPr>
              <w:t>14.</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Reserved Rights</w:t>
            </w:r>
          </w:p>
        </w:tc>
        <w:tc>
          <w:tcPr>
            <w:tcW w:w="38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14.1</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Nonexciusivity of this Plan</w:t>
            </w:r>
          </w:p>
        </w:tc>
        <w:tc>
          <w:tcPr>
            <w:tcW w:w="38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9"/>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14.2</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Unfunded Plan</w:t>
            </w:r>
          </w:p>
        </w:tc>
        <w:tc>
          <w:tcPr>
            <w:tcW w:w="38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5"/>
        </w:trPr>
        <w:tc>
          <w:tcPr>
            <w:tcW w:w="300" w:type="dxa"/>
            <w:vAlign w:val="bottom"/>
          </w:tcPr>
          <w:p>
            <w:pPr>
              <w:jc w:val="right"/>
              <w:ind w:right="52"/>
              <w:spacing w:after="0"/>
              <w:rPr>
                <w:sz w:val="20"/>
                <w:szCs w:val="20"/>
                <w:color w:val="auto"/>
              </w:rPr>
            </w:pPr>
            <w:r>
              <w:rPr>
                <w:rFonts w:ascii="Arial" w:cs="Arial" w:eastAsia="Arial" w:hAnsi="Arial"/>
                <w:sz w:val="14"/>
                <w:szCs w:val="14"/>
                <w:color w:val="auto"/>
                <w:w w:val="81"/>
              </w:rPr>
              <w:t>15.</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Special Arrangements Regarding Award Shares</w:t>
            </w:r>
          </w:p>
        </w:tc>
        <w:tc>
          <w:tcPr>
            <w:tcW w:w="38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15.1</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Escrows and Pledges</w:t>
            </w:r>
          </w:p>
        </w:tc>
        <w:tc>
          <w:tcPr>
            <w:tcW w:w="38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15.2</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Repurchase Rights</w:t>
            </w:r>
          </w:p>
        </w:tc>
        <w:tc>
          <w:tcPr>
            <w:tcW w:w="3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15.3</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Market Standoff</w:t>
            </w:r>
          </w:p>
        </w:tc>
        <w:tc>
          <w:tcPr>
            <w:tcW w:w="3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9"/>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15.4</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Dividends</w:t>
            </w:r>
          </w:p>
        </w:tc>
        <w:tc>
          <w:tcPr>
            <w:tcW w:w="3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300" w:type="dxa"/>
            <w:vAlign w:val="bottom"/>
          </w:tcPr>
          <w:p>
            <w:pPr>
              <w:jc w:val="right"/>
              <w:ind w:right="52"/>
              <w:spacing w:after="0"/>
              <w:rPr>
                <w:sz w:val="20"/>
                <w:szCs w:val="20"/>
                <w:color w:val="auto"/>
              </w:rPr>
            </w:pPr>
            <w:r>
              <w:rPr>
                <w:rFonts w:ascii="Arial" w:cs="Arial" w:eastAsia="Arial" w:hAnsi="Arial"/>
                <w:sz w:val="14"/>
                <w:szCs w:val="14"/>
                <w:color w:val="auto"/>
                <w:w w:val="81"/>
              </w:rPr>
              <w:t>16.</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Beneficiaries</w:t>
            </w:r>
          </w:p>
        </w:tc>
        <w:tc>
          <w:tcPr>
            <w:tcW w:w="3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5"/>
        </w:trPr>
        <w:tc>
          <w:tcPr>
            <w:tcW w:w="300" w:type="dxa"/>
            <w:vAlign w:val="bottom"/>
          </w:tcPr>
          <w:p>
            <w:pPr>
              <w:jc w:val="right"/>
              <w:ind w:right="52"/>
              <w:spacing w:after="0"/>
              <w:rPr>
                <w:sz w:val="20"/>
                <w:szCs w:val="20"/>
                <w:color w:val="auto"/>
              </w:rPr>
            </w:pPr>
            <w:r>
              <w:rPr>
                <w:rFonts w:ascii="Arial" w:cs="Arial" w:eastAsia="Arial" w:hAnsi="Arial"/>
                <w:sz w:val="14"/>
                <w:szCs w:val="14"/>
                <w:color w:val="auto"/>
                <w:w w:val="81"/>
              </w:rPr>
              <w:t>17.</w:t>
            </w:r>
          </w:p>
        </w:tc>
        <w:tc>
          <w:tcPr>
            <w:tcW w:w="7280" w:type="dxa"/>
            <w:vAlign w:val="bottom"/>
            <w:gridSpan w:val="2"/>
          </w:tcPr>
          <w:p>
            <w:pPr>
              <w:ind w:left="140"/>
              <w:spacing w:after="0"/>
              <w:rPr>
                <w:sz w:val="20"/>
                <w:szCs w:val="20"/>
                <w:color w:val="auto"/>
              </w:rPr>
            </w:pPr>
            <w:r>
              <w:rPr>
                <w:rFonts w:ascii="Arial" w:cs="Arial" w:eastAsia="Arial" w:hAnsi="Arial"/>
                <w:sz w:val="14"/>
                <w:szCs w:val="14"/>
                <w:color w:val="auto"/>
              </w:rPr>
              <w:t>Miscellaneous</w:t>
            </w:r>
          </w:p>
        </w:tc>
        <w:tc>
          <w:tcPr>
            <w:tcW w:w="3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17.1</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Governing Law</w:t>
            </w:r>
          </w:p>
        </w:tc>
        <w:tc>
          <w:tcPr>
            <w:tcW w:w="3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17.2</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Determination of Value</w:t>
            </w:r>
          </w:p>
        </w:tc>
        <w:tc>
          <w:tcPr>
            <w:tcW w:w="3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17.3</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Reservation of Shares</w:t>
            </w:r>
          </w:p>
        </w:tc>
        <w:tc>
          <w:tcPr>
            <w:tcW w:w="38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17.4</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Electronic Communications</w:t>
            </w:r>
          </w:p>
        </w:tc>
        <w:tc>
          <w:tcPr>
            <w:tcW w:w="38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75"/>
        </w:trPr>
        <w:tc>
          <w:tcPr>
            <w:tcW w:w="300" w:type="dxa"/>
            <w:vAlign w:val="bottom"/>
          </w:tcPr>
          <w:p>
            <w:pPr>
              <w:spacing w:after="0"/>
              <w:rPr>
                <w:sz w:val="15"/>
                <w:szCs w:val="15"/>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w w:val="87"/>
              </w:rPr>
              <w:t>17.5</w:t>
            </w:r>
          </w:p>
        </w:tc>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Notices</w:t>
            </w:r>
          </w:p>
        </w:tc>
        <w:tc>
          <w:tcPr>
            <w:tcW w:w="3820" w:type="dxa"/>
            <w:vAlign w:val="bottom"/>
          </w:tcPr>
          <w:p>
            <w:pPr>
              <w:jc w:val="right"/>
              <w:spacing w:after="0"/>
              <w:rPr>
                <w:sz w:val="20"/>
                <w:szCs w:val="20"/>
                <w:color w:val="auto"/>
              </w:rPr>
            </w:pPr>
            <w:r>
              <w:rPr>
                <w:rFonts w:ascii="Arial" w:cs="Arial" w:eastAsia="Arial" w:hAnsi="Arial"/>
                <w:sz w:val="14"/>
                <w:szCs w:val="14"/>
                <w:color w:val="auto"/>
              </w:rPr>
              <w:t>24</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20" w:top="247" w:right="27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2003 E</w:t>
      </w:r>
      <w:r>
        <w:rPr>
          <w:rFonts w:ascii="Arial" w:cs="Arial" w:eastAsia="Arial" w:hAnsi="Arial"/>
          <w:sz w:val="11"/>
          <w:szCs w:val="11"/>
          <w:b w:val="1"/>
          <w:bCs w:val="1"/>
          <w:color w:val="auto"/>
        </w:rPr>
        <w:t>QUITY</w:t>
      </w:r>
      <w:r>
        <w:rPr>
          <w:rFonts w:ascii="Arial" w:cs="Arial" w:eastAsia="Arial" w:hAnsi="Arial"/>
          <w:sz w:val="14"/>
          <w:szCs w:val="14"/>
          <w:b w:val="1"/>
          <w:bCs w:val="1"/>
          <w:color w:val="auto"/>
        </w:rPr>
        <w:t xml:space="preserve"> I</w:t>
      </w:r>
      <w:r>
        <w:rPr>
          <w:rFonts w:ascii="Arial" w:cs="Arial" w:eastAsia="Arial" w:hAnsi="Arial"/>
          <w:sz w:val="11"/>
          <w:szCs w:val="11"/>
          <w:b w:val="1"/>
          <w:bCs w:val="1"/>
          <w:color w:val="auto"/>
        </w:rPr>
        <w:t>NCENTIVE</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ACRO</w:t>
      </w:r>
      <w:r>
        <w:rPr>
          <w:rFonts w:ascii="Arial" w:cs="Arial" w:eastAsia="Arial" w:hAnsi="Arial"/>
          <w:sz w:val="14"/>
          <w:szCs w:val="14"/>
          <w:b w:val="1"/>
          <w:bCs w:val="1"/>
          <w:color w:val="auto"/>
        </w:rPr>
        <w:t>G</w:t>
      </w:r>
      <w:r>
        <w:rPr>
          <w:rFonts w:ascii="Arial" w:cs="Arial" w:eastAsia="Arial" w:hAnsi="Arial"/>
          <w:sz w:val="11"/>
          <w:szCs w:val="11"/>
          <w:b w:val="1"/>
          <w:bCs w:val="1"/>
          <w:color w:val="auto"/>
        </w:rPr>
        <w:t>ENICS</w:t>
      </w:r>
      <w:r>
        <w:rPr>
          <w:rFonts w:ascii="Arial" w:cs="Arial" w:eastAsia="Arial" w:hAnsi="Arial"/>
          <w:sz w:val="14"/>
          <w:szCs w:val="14"/>
          <w:b w:val="1"/>
          <w:bCs w:val="1"/>
          <w:color w:val="auto"/>
        </w:rPr>
        <w:t>, I</w:t>
      </w:r>
      <w:r>
        <w:rPr>
          <w:rFonts w:ascii="Arial" w:cs="Arial" w:eastAsia="Arial" w:hAnsi="Arial"/>
          <w:sz w:val="11"/>
          <w:szCs w:val="11"/>
          <w:b w:val="1"/>
          <w:bCs w:val="1"/>
          <w:color w:val="auto"/>
        </w:rPr>
        <w:t>NC</w:t>
      </w:r>
      <w:r>
        <w:rPr>
          <w:rFonts w:ascii="Arial" w:cs="Arial" w:eastAsia="Arial" w:hAnsi="Arial"/>
          <w:sz w:val="14"/>
          <w:szCs w:val="14"/>
          <w:b w:val="1"/>
          <w:bCs w:val="1"/>
          <w:color w:val="auto"/>
        </w:rPr>
        <w:t>.</w:t>
      </w:r>
    </w:p>
    <w:p>
      <w:pPr>
        <w:spacing w:after="0" w:line="149" w:lineRule="exact"/>
        <w:rPr>
          <w:sz w:val="20"/>
          <w:szCs w:val="20"/>
          <w:color w:val="auto"/>
        </w:rPr>
      </w:pPr>
    </w:p>
    <w:p>
      <w:pPr>
        <w:ind w:left="460" w:hanging="456"/>
        <w:spacing w:after="0"/>
        <w:tabs>
          <w:tab w:leader="none" w:pos="460" w:val="left"/>
        </w:tabs>
        <w:numPr>
          <w:ilvl w:val="0"/>
          <w:numId w:val="190"/>
        </w:numPr>
        <w:rPr>
          <w:rFonts w:ascii="Arial" w:cs="Arial" w:eastAsia="Arial" w:hAnsi="Arial"/>
          <w:sz w:val="14"/>
          <w:szCs w:val="14"/>
          <w:color w:val="auto"/>
        </w:rPr>
      </w:pPr>
      <w:r>
        <w:rPr>
          <w:rFonts w:ascii="Arial" w:cs="Arial" w:eastAsia="Arial" w:hAnsi="Arial"/>
          <w:sz w:val="14"/>
          <w:szCs w:val="14"/>
          <w:b w:val="1"/>
          <w:bCs w:val="1"/>
          <w:color w:val="auto"/>
        </w:rPr>
        <w:t>Purpose of this Plan</w:t>
      </w:r>
    </w:p>
    <w:p>
      <w:pPr>
        <w:spacing w:after="0" w:line="71"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4"/>
          <w:szCs w:val="14"/>
          <w:color w:val="auto"/>
        </w:rPr>
        <w:t>The purpose of this 2003 Equity Incentive Plan of MacroGenics, Inc. is to enhance the long-term stockholder value of MacroGenics, Inc. by offering opportunities to eligible individuals to participate in the growth in value of the equity of MacroGenics, Inc. Although this Plan is intended to comply with Rule 701 under the Securities Act, the Company reserves the right, formally or informally, to establish a sub-plan from which grants can be made which are intended to rely on federal and state exemptions other than Rule 701.</w:t>
      </w:r>
    </w:p>
    <w:p>
      <w:pPr>
        <w:spacing w:after="0" w:line="200" w:lineRule="exact"/>
        <w:rPr>
          <w:sz w:val="20"/>
          <w:szCs w:val="20"/>
          <w:color w:val="auto"/>
        </w:rPr>
      </w:pPr>
    </w:p>
    <w:p>
      <w:pPr>
        <w:ind w:left="460" w:hanging="456"/>
        <w:spacing w:after="0"/>
        <w:tabs>
          <w:tab w:leader="none" w:pos="460" w:val="left"/>
        </w:tabs>
        <w:numPr>
          <w:ilvl w:val="0"/>
          <w:numId w:val="191"/>
        </w:numPr>
        <w:rPr>
          <w:rFonts w:ascii="Arial" w:cs="Arial" w:eastAsia="Arial" w:hAnsi="Arial"/>
          <w:sz w:val="14"/>
          <w:szCs w:val="14"/>
          <w:color w:val="auto"/>
        </w:rPr>
      </w:pPr>
      <w:r>
        <w:rPr>
          <w:rFonts w:ascii="Arial" w:cs="Arial" w:eastAsia="Arial" w:hAnsi="Arial"/>
          <w:sz w:val="14"/>
          <w:szCs w:val="14"/>
          <w:b w:val="1"/>
          <w:bCs w:val="1"/>
          <w:color w:val="auto"/>
        </w:rPr>
        <w:t>Definitions and Rules of Interpretation</w:t>
      </w:r>
    </w:p>
    <w:p>
      <w:pPr>
        <w:spacing w:after="0" w:line="6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Definitions</w:t>
      </w:r>
      <w:r>
        <w:rPr>
          <w:rFonts w:ascii="Arial" w:cs="Arial" w:eastAsia="Arial" w:hAnsi="Arial"/>
          <w:sz w:val="14"/>
          <w:szCs w:val="14"/>
          <w:color w:val="auto"/>
        </w:rPr>
        <w:t>. This Plan uses the following defined terms:</w:t>
      </w:r>
    </w:p>
    <w:p>
      <w:pPr>
        <w:spacing w:after="0" w:line="70" w:lineRule="exact"/>
        <w:rPr>
          <w:rFonts w:ascii="Arial" w:cs="Arial" w:eastAsia="Arial" w:hAnsi="Arial"/>
          <w:sz w:val="14"/>
          <w:szCs w:val="14"/>
          <w:color w:val="auto"/>
        </w:rPr>
      </w:pPr>
    </w:p>
    <w:p>
      <w:pPr>
        <w:ind w:left="1100" w:hanging="180"/>
        <w:spacing w:after="0"/>
        <w:tabs>
          <w:tab w:leader="none" w:pos="1100" w:val="left"/>
        </w:tabs>
        <w:numPr>
          <w:ilvl w:val="1"/>
          <w:numId w:val="19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“Administrator” </w:t>
      </w:r>
      <w:r>
        <w:rPr>
          <w:rFonts w:ascii="Arial" w:cs="Arial" w:eastAsia="Arial" w:hAnsi="Arial"/>
          <w:sz w:val="14"/>
          <w:szCs w:val="14"/>
          <w:color w:val="auto"/>
        </w:rPr>
        <w:t>means the Board, or the Committee.</w:t>
      </w:r>
    </w:p>
    <w:p>
      <w:pPr>
        <w:spacing w:after="0" w:line="131" w:lineRule="exact"/>
        <w:rPr>
          <w:rFonts w:ascii="Arial" w:cs="Arial" w:eastAsia="Arial" w:hAnsi="Arial"/>
          <w:sz w:val="14"/>
          <w:szCs w:val="14"/>
          <w:color w:val="auto"/>
        </w:rPr>
      </w:pPr>
    </w:p>
    <w:p>
      <w:pPr>
        <w:ind w:right="20" w:firstLine="920"/>
        <w:spacing w:after="0" w:line="267" w:lineRule="auto"/>
        <w:tabs>
          <w:tab w:leader="none" w:pos="1109" w:val="left"/>
        </w:tabs>
        <w:numPr>
          <w:ilvl w:val="1"/>
          <w:numId w:val="19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“Affiliate” </w:t>
      </w:r>
      <w:r>
        <w:rPr>
          <w:rFonts w:ascii="Arial" w:cs="Arial" w:eastAsia="Arial" w:hAnsi="Arial"/>
          <w:sz w:val="14"/>
          <w:szCs w:val="14"/>
          <w:color w:val="auto"/>
        </w:rPr>
        <w:t>means a “parent” or “subsidiary” (as each is defined in Section 424 of the Code) of the Company and any other entity that the Board or Committee designates as an “Affiliate”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purposes of this Plan.</w:t>
      </w:r>
    </w:p>
    <w:p>
      <w:pPr>
        <w:spacing w:after="0" w:line="101" w:lineRule="exact"/>
        <w:rPr>
          <w:rFonts w:ascii="Arial" w:cs="Arial" w:eastAsia="Arial" w:hAnsi="Arial"/>
          <w:sz w:val="14"/>
          <w:szCs w:val="14"/>
          <w:color w:val="auto"/>
        </w:rPr>
      </w:pPr>
    </w:p>
    <w:p>
      <w:pPr>
        <w:ind w:right="40" w:firstLine="920"/>
        <w:spacing w:after="0" w:line="351" w:lineRule="auto"/>
        <w:tabs>
          <w:tab w:leader="none" w:pos="1101" w:val="left"/>
        </w:tabs>
        <w:numPr>
          <w:ilvl w:val="1"/>
          <w:numId w:val="19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“Applicable Law” </w:t>
      </w:r>
      <w:r>
        <w:rPr>
          <w:rFonts w:ascii="Arial" w:cs="Arial" w:eastAsia="Arial" w:hAnsi="Arial"/>
          <w:sz w:val="12"/>
          <w:szCs w:val="12"/>
          <w:color w:val="auto"/>
        </w:rPr>
        <w:t>means any and all laws of whatever jurisdiction, within or without the United States, and the rules of any stock exchange or quotation system on which Shares are listed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quoted. applicable to the taking or refraining from taking of any action under this Plan, including the administration of this Plan and the issuance or transfer of Awards or Award Shares.</w:t>
      </w:r>
    </w:p>
    <w:p>
      <w:pPr>
        <w:spacing w:after="0" w:line="56" w:lineRule="exact"/>
        <w:rPr>
          <w:rFonts w:ascii="Arial" w:cs="Arial" w:eastAsia="Arial" w:hAnsi="Arial"/>
          <w:sz w:val="12"/>
          <w:szCs w:val="12"/>
          <w:color w:val="auto"/>
        </w:rPr>
      </w:pPr>
    </w:p>
    <w:p>
      <w:pPr>
        <w:ind w:left="1120" w:hanging="200"/>
        <w:spacing w:after="0"/>
        <w:tabs>
          <w:tab w:leader="none" w:pos="1120" w:val="left"/>
        </w:tabs>
        <w:numPr>
          <w:ilvl w:val="1"/>
          <w:numId w:val="19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“Award” </w:t>
      </w:r>
      <w:r>
        <w:rPr>
          <w:rFonts w:ascii="Arial" w:cs="Arial" w:eastAsia="Arial" w:hAnsi="Arial"/>
          <w:sz w:val="14"/>
          <w:szCs w:val="14"/>
          <w:color w:val="auto"/>
        </w:rPr>
        <w:t>means a Stock Award, SAR, Cash Award, or Option granted in accordance with the terms of the Plan.</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1"/>
          <w:numId w:val="19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“Award Agreement” </w:t>
      </w:r>
      <w:r>
        <w:rPr>
          <w:rFonts w:ascii="Arial" w:cs="Arial" w:eastAsia="Arial" w:hAnsi="Arial"/>
          <w:sz w:val="14"/>
          <w:szCs w:val="14"/>
          <w:color w:val="auto"/>
        </w:rPr>
        <w:t>means the document evidencing the grant of an Award.</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1"/>
          <w:numId w:val="19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“Award Shares” </w:t>
      </w:r>
      <w:r>
        <w:rPr>
          <w:rFonts w:ascii="Arial" w:cs="Arial" w:eastAsia="Arial" w:hAnsi="Arial"/>
          <w:sz w:val="14"/>
          <w:szCs w:val="14"/>
          <w:color w:val="auto"/>
        </w:rPr>
        <w:t>means Shares covered by an outstanding Award or purchased under an Award.</w:t>
      </w:r>
    </w:p>
    <w:p>
      <w:pPr>
        <w:spacing w:after="0" w:line="131" w:lineRule="exact"/>
        <w:rPr>
          <w:rFonts w:ascii="Arial" w:cs="Arial" w:eastAsia="Arial" w:hAnsi="Arial"/>
          <w:sz w:val="14"/>
          <w:szCs w:val="14"/>
          <w:color w:val="auto"/>
        </w:rPr>
      </w:pPr>
    </w:p>
    <w:p>
      <w:pPr>
        <w:ind w:right="240" w:firstLine="920"/>
        <w:spacing w:after="0" w:line="351" w:lineRule="auto"/>
        <w:tabs>
          <w:tab w:leader="none" w:pos="1109" w:val="left"/>
        </w:tabs>
        <w:numPr>
          <w:ilvl w:val="1"/>
          <w:numId w:val="19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“Awardee” </w:t>
      </w:r>
      <w:r>
        <w:rPr>
          <w:rFonts w:ascii="Arial" w:cs="Arial" w:eastAsia="Arial" w:hAnsi="Arial"/>
          <w:sz w:val="12"/>
          <w:szCs w:val="12"/>
          <w:color w:val="auto"/>
        </w:rPr>
        <w:t>means: (i) a person to whom an Award has been granted, including a holder of a Substitute Award, (ii) a person to whom an Award has been transferred in accordance with all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applicable requirements of Sections 6.5. 7(h). 8.1(d). 8.2(f) and 16, and (iii) a person who holds Award Shares subject to any right of repurchase under Section 15.2.</w:t>
      </w:r>
    </w:p>
    <w:p>
      <w:pPr>
        <w:sectPr>
          <w:pgSz w:w="11900" w:h="16838" w:orient="portrait"/>
          <w:cols w:equalWidth="0" w:num="1">
            <w:col w:w="11460"/>
          </w:cols>
          <w:pgMar w:left="220" w:top="245" w:right="219" w:bottom="1440" w:gutter="0" w:footer="0" w:header="0"/>
        </w:sectPr>
      </w:pPr>
    </w:p>
    <w:bookmarkStart w:id="296" w:name="page297"/>
    <w:bookmarkEnd w:id="296"/>
    <w:p>
      <w:pPr>
        <w:ind w:left="1100" w:hanging="200"/>
        <w:spacing w:after="0"/>
        <w:tabs>
          <w:tab w:leader="none" w:pos="1100" w:val="left"/>
        </w:tabs>
        <w:numPr>
          <w:ilvl w:val="0"/>
          <w:numId w:val="192"/>
        </w:numPr>
        <w:rPr>
          <w:rFonts w:ascii="Arial" w:cs="Arial" w:eastAsia="Arial" w:hAnsi="Arial"/>
          <w:sz w:val="14"/>
          <w:szCs w:val="14"/>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“Board” </w:t>
      </w:r>
      <w:r>
        <w:rPr>
          <w:rFonts w:ascii="Arial" w:cs="Arial" w:eastAsia="Arial" w:hAnsi="Arial"/>
          <w:sz w:val="14"/>
          <w:szCs w:val="14"/>
          <w:color w:val="auto"/>
        </w:rPr>
        <w:t>means the board of directors of the Company.</w:t>
      </w:r>
    </w:p>
    <w:p>
      <w:pPr>
        <w:spacing w:after="0" w:line="131" w:lineRule="exact"/>
        <w:rPr>
          <w:rFonts w:ascii="Arial" w:cs="Arial" w:eastAsia="Arial" w:hAnsi="Arial"/>
          <w:sz w:val="14"/>
          <w:szCs w:val="14"/>
          <w:color w:val="auto"/>
        </w:rPr>
      </w:pPr>
    </w:p>
    <w:p>
      <w:pPr>
        <w:ind w:left="1060" w:hanging="160"/>
        <w:spacing w:after="0"/>
        <w:tabs>
          <w:tab w:leader="none" w:pos="1060" w:val="left"/>
        </w:tabs>
        <w:numPr>
          <w:ilvl w:val="0"/>
          <w:numId w:val="19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“Cash Award” </w:t>
      </w:r>
      <w:r>
        <w:rPr>
          <w:rFonts w:ascii="Arial" w:cs="Arial" w:eastAsia="Arial" w:hAnsi="Arial"/>
          <w:sz w:val="14"/>
          <w:szCs w:val="14"/>
          <w:color w:val="auto"/>
        </w:rPr>
        <w:t>means the right to receive cash as described in Section 8.3.</w:t>
      </w:r>
    </w:p>
    <w:p>
      <w:pPr>
        <w:spacing w:after="0" w:line="131" w:lineRule="exact"/>
        <w:rPr>
          <w:rFonts w:ascii="Arial" w:cs="Arial" w:eastAsia="Arial" w:hAnsi="Arial"/>
          <w:sz w:val="14"/>
          <w:szCs w:val="14"/>
          <w:color w:val="auto"/>
        </w:rPr>
      </w:pPr>
    </w:p>
    <w:p>
      <w:pPr>
        <w:ind w:left="1060" w:hanging="160"/>
        <w:spacing w:after="0"/>
        <w:tabs>
          <w:tab w:leader="none" w:pos="1060" w:val="left"/>
        </w:tabs>
        <w:numPr>
          <w:ilvl w:val="0"/>
          <w:numId w:val="19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“Change of Control” </w:t>
      </w:r>
      <w:r>
        <w:rPr>
          <w:rFonts w:ascii="Arial" w:cs="Arial" w:eastAsia="Arial" w:hAnsi="Arial"/>
          <w:sz w:val="14"/>
          <w:szCs w:val="14"/>
          <w:color w:val="auto"/>
        </w:rPr>
        <w:t>means any transaction or event that the Board specifies as a Change of Control under Section 10.4.</w:t>
      </w:r>
    </w:p>
    <w:p>
      <w:pPr>
        <w:spacing w:after="0" w:line="131" w:lineRule="exact"/>
        <w:rPr>
          <w:rFonts w:ascii="Arial" w:cs="Arial" w:eastAsia="Arial" w:hAnsi="Arial"/>
          <w:sz w:val="14"/>
          <w:szCs w:val="14"/>
          <w:color w:val="auto"/>
        </w:rPr>
      </w:pPr>
    </w:p>
    <w:p>
      <w:pPr>
        <w:ind w:left="1100" w:hanging="200"/>
        <w:spacing w:after="0"/>
        <w:tabs>
          <w:tab w:leader="none" w:pos="1100" w:val="left"/>
        </w:tabs>
        <w:numPr>
          <w:ilvl w:val="0"/>
          <w:numId w:val="19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“Code” </w:t>
      </w:r>
      <w:r>
        <w:rPr>
          <w:rFonts w:ascii="Arial" w:cs="Arial" w:eastAsia="Arial" w:hAnsi="Arial"/>
          <w:sz w:val="14"/>
          <w:szCs w:val="14"/>
          <w:color w:val="auto"/>
        </w:rPr>
        <w:t>means the Internal Revenue Code of 1986.</w:t>
      </w:r>
    </w:p>
    <w:p>
      <w:pPr>
        <w:spacing w:after="0" w:line="132" w:lineRule="exact"/>
        <w:rPr>
          <w:sz w:val="20"/>
          <w:szCs w:val="20"/>
          <w:color w:val="auto"/>
        </w:rPr>
      </w:pPr>
    </w:p>
    <w:p>
      <w:pPr>
        <w:ind w:left="1100" w:hanging="200"/>
        <w:spacing w:after="0"/>
        <w:tabs>
          <w:tab w:leader="none" w:pos="1100" w:val="left"/>
        </w:tabs>
        <w:numPr>
          <w:ilvl w:val="0"/>
          <w:numId w:val="19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“Committee” </w:t>
      </w:r>
      <w:r>
        <w:rPr>
          <w:rFonts w:ascii="Arial" w:cs="Arial" w:eastAsia="Arial" w:hAnsi="Arial"/>
          <w:sz w:val="14"/>
          <w:szCs w:val="14"/>
          <w:color w:val="auto"/>
        </w:rPr>
        <w:t>means a committee composed of Company Directors appointed in accordance with the Company’s charter documents and Section 4.</w:t>
      </w:r>
    </w:p>
    <w:p>
      <w:pPr>
        <w:spacing w:after="0" w:line="131" w:lineRule="exact"/>
        <w:rPr>
          <w:rFonts w:ascii="Arial" w:cs="Arial" w:eastAsia="Arial" w:hAnsi="Arial"/>
          <w:sz w:val="14"/>
          <w:szCs w:val="14"/>
          <w:color w:val="auto"/>
        </w:rPr>
      </w:pPr>
    </w:p>
    <w:p>
      <w:pPr>
        <w:ind w:left="900"/>
        <w:spacing w:after="0"/>
        <w:rPr>
          <w:rFonts w:ascii="Arial" w:cs="Arial" w:eastAsia="Arial" w:hAnsi="Arial"/>
          <w:sz w:val="14"/>
          <w:szCs w:val="14"/>
          <w:color w:val="auto"/>
        </w:rPr>
      </w:pPr>
      <w:r>
        <w:rPr>
          <w:rFonts w:ascii="Arial" w:cs="Arial" w:eastAsia="Arial" w:hAnsi="Arial"/>
          <w:sz w:val="14"/>
          <w:szCs w:val="14"/>
          <w:color w:val="auto"/>
        </w:rPr>
        <w:t xml:space="preserve">(m)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means MacroGenics, Inc., a Delaware corporation.</w:t>
      </w:r>
    </w:p>
    <w:p>
      <w:pPr>
        <w:spacing w:after="0" w:line="131" w:lineRule="exact"/>
        <w:rPr>
          <w:rFonts w:ascii="Arial" w:cs="Arial" w:eastAsia="Arial" w:hAnsi="Arial"/>
          <w:sz w:val="14"/>
          <w:szCs w:val="14"/>
          <w:color w:val="auto"/>
        </w:rPr>
      </w:pPr>
    </w:p>
    <w:p>
      <w:pPr>
        <w:ind w:left="900"/>
        <w:spacing w:after="0"/>
        <w:rPr>
          <w:rFonts w:ascii="Arial" w:cs="Arial" w:eastAsia="Arial" w:hAnsi="Arial"/>
          <w:sz w:val="14"/>
          <w:szCs w:val="14"/>
          <w:color w:val="auto"/>
        </w:rPr>
      </w:pPr>
      <w:r>
        <w:rPr>
          <w:rFonts w:ascii="Arial" w:cs="Arial" w:eastAsia="Arial" w:hAnsi="Arial"/>
          <w:sz w:val="14"/>
          <w:szCs w:val="14"/>
          <w:color w:val="auto"/>
        </w:rPr>
        <w:t xml:space="preserve">(n) </w:t>
      </w:r>
      <w:r>
        <w:rPr>
          <w:rFonts w:ascii="Arial" w:cs="Arial" w:eastAsia="Arial" w:hAnsi="Arial"/>
          <w:sz w:val="14"/>
          <w:szCs w:val="14"/>
          <w:b w:val="1"/>
          <w:bCs w:val="1"/>
          <w:i w:val="1"/>
          <w:iCs w:val="1"/>
          <w:color w:val="auto"/>
        </w:rPr>
        <w:t>“Company Director”</w:t>
      </w:r>
      <w:r>
        <w:rPr>
          <w:rFonts w:ascii="Arial" w:cs="Arial" w:eastAsia="Arial" w:hAnsi="Arial"/>
          <w:sz w:val="14"/>
          <w:szCs w:val="14"/>
          <w:color w:val="auto"/>
        </w:rPr>
        <w:t xml:space="preserve"> means a member of the Board.</w:t>
      </w:r>
    </w:p>
    <w:p>
      <w:pPr>
        <w:spacing w:after="0" w:line="132" w:lineRule="exact"/>
        <w:rPr>
          <w:sz w:val="20"/>
          <w:szCs w:val="20"/>
          <w:color w:val="auto"/>
        </w:rPr>
      </w:pPr>
    </w:p>
    <w:p>
      <w:pPr>
        <w:ind w:left="-20" w:firstLine="920"/>
        <w:spacing w:after="0" w:line="258" w:lineRule="auto"/>
        <w:tabs>
          <w:tab w:leader="none" w:pos="1089" w:val="left"/>
        </w:tabs>
        <w:numPr>
          <w:ilvl w:val="0"/>
          <w:numId w:val="19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“Consultant” </w:t>
      </w:r>
      <w:r>
        <w:rPr>
          <w:rFonts w:ascii="Arial" w:cs="Arial" w:eastAsia="Arial" w:hAnsi="Arial"/>
          <w:sz w:val="14"/>
          <w:szCs w:val="14"/>
          <w:color w:val="auto"/>
        </w:rPr>
        <w:t>means an individual who, or an employee of any entity that, provides bona fide services to the Company or an Affiliate not in connection with the offer or sale of securities in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capital-raising transaction, but who is not an Employee. Notwithstanding the foregoing, no grant may be made to any entity unless the grant and exercise are made in reliance of federal and state securities exemptions other than Rule 701 under the Securities Act.</w:t>
      </w:r>
    </w:p>
    <w:p>
      <w:pPr>
        <w:spacing w:after="0" w:line="107" w:lineRule="exact"/>
        <w:rPr>
          <w:rFonts w:ascii="Arial" w:cs="Arial" w:eastAsia="Arial" w:hAnsi="Arial"/>
          <w:sz w:val="14"/>
          <w:szCs w:val="14"/>
          <w:color w:val="auto"/>
        </w:rPr>
      </w:pPr>
    </w:p>
    <w:p>
      <w:pPr>
        <w:ind w:left="1100" w:hanging="200"/>
        <w:spacing w:after="0"/>
        <w:tabs>
          <w:tab w:leader="none" w:pos="1100" w:val="left"/>
        </w:tabs>
        <w:numPr>
          <w:ilvl w:val="0"/>
          <w:numId w:val="19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“Director” </w:t>
      </w:r>
      <w:r>
        <w:rPr>
          <w:rFonts w:ascii="Arial" w:cs="Arial" w:eastAsia="Arial" w:hAnsi="Arial"/>
          <w:sz w:val="14"/>
          <w:szCs w:val="14"/>
          <w:color w:val="auto"/>
        </w:rPr>
        <w:t>means a member of the board of directors of the Company or an Affiliate.</w:t>
      </w:r>
    </w:p>
    <w:p>
      <w:pPr>
        <w:spacing w:after="0" w:line="131" w:lineRule="exact"/>
        <w:rPr>
          <w:rFonts w:ascii="Arial" w:cs="Arial" w:eastAsia="Arial" w:hAnsi="Arial"/>
          <w:sz w:val="14"/>
          <w:szCs w:val="14"/>
          <w:color w:val="auto"/>
        </w:rPr>
      </w:pPr>
    </w:p>
    <w:p>
      <w:pPr>
        <w:ind w:left="1100" w:hanging="200"/>
        <w:spacing w:after="0"/>
        <w:tabs>
          <w:tab w:leader="none" w:pos="1100" w:val="left"/>
        </w:tabs>
        <w:numPr>
          <w:ilvl w:val="0"/>
          <w:numId w:val="19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“Divestiture” </w:t>
      </w:r>
      <w:r>
        <w:rPr>
          <w:rFonts w:ascii="Arial" w:cs="Arial" w:eastAsia="Arial" w:hAnsi="Arial"/>
          <w:sz w:val="14"/>
          <w:szCs w:val="14"/>
          <w:color w:val="auto"/>
        </w:rPr>
        <w:t>means any transaction or event that the Board specifies as a Divestiture under Section 10.5.</w:t>
      </w:r>
    </w:p>
    <w:p>
      <w:pPr>
        <w:spacing w:after="0" w:line="131" w:lineRule="exact"/>
        <w:rPr>
          <w:rFonts w:ascii="Arial" w:cs="Arial" w:eastAsia="Arial" w:hAnsi="Arial"/>
          <w:sz w:val="14"/>
          <w:szCs w:val="14"/>
          <w:color w:val="auto"/>
        </w:rPr>
      </w:pPr>
    </w:p>
    <w:p>
      <w:pPr>
        <w:ind w:left="-20" w:right="180" w:firstLine="920"/>
        <w:spacing w:after="0" w:line="267" w:lineRule="auto"/>
        <w:tabs>
          <w:tab w:leader="none" w:pos="1066" w:val="left"/>
        </w:tabs>
        <w:numPr>
          <w:ilvl w:val="0"/>
          <w:numId w:val="19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“Domestic Relations Order” </w:t>
      </w:r>
      <w:r>
        <w:rPr>
          <w:rFonts w:ascii="Arial" w:cs="Arial" w:eastAsia="Arial" w:hAnsi="Arial"/>
          <w:sz w:val="14"/>
          <w:szCs w:val="14"/>
          <w:color w:val="auto"/>
        </w:rPr>
        <w:t>means a ‘domestic relations order” as defined in, and otherwise meeting the requirements of, Section 4.14(p) of the Code, except that reference to a “plan”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definition shall be to this Plan.</w:t>
      </w:r>
    </w:p>
    <w:p>
      <w:pPr>
        <w:spacing w:after="0" w:line="101" w:lineRule="exact"/>
        <w:rPr>
          <w:rFonts w:ascii="Arial" w:cs="Arial" w:eastAsia="Arial" w:hAnsi="Arial"/>
          <w:sz w:val="14"/>
          <w:szCs w:val="14"/>
          <w:color w:val="auto"/>
        </w:rPr>
      </w:pPr>
    </w:p>
    <w:p>
      <w:pPr>
        <w:ind w:left="-20" w:right="80" w:firstLine="920"/>
        <w:spacing w:after="0" w:line="255" w:lineRule="auto"/>
        <w:tabs>
          <w:tab w:leader="none" w:pos="1074" w:val="left"/>
        </w:tabs>
        <w:numPr>
          <w:ilvl w:val="0"/>
          <w:numId w:val="19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“Employee” </w:t>
      </w:r>
      <w:r>
        <w:rPr>
          <w:rFonts w:ascii="Arial" w:cs="Arial" w:eastAsia="Arial" w:hAnsi="Arial"/>
          <w:sz w:val="14"/>
          <w:szCs w:val="14"/>
          <w:color w:val="auto"/>
        </w:rPr>
        <w:t>means a regular employee of the Company or an Affiliate, including an officer or Director, who is treated as an employee in the personnel records of the Company or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Affiliate, but not individuals who are classified by the Company or an Affiliate as: (i) leased from or otherwise employed by a third party, (ii) independent contractors. or (iii) intermittent or temporary workers. The Company’s or an Affiliate’s classification of an individual as an “Employee” (or as not an ‘Employee”) for purposes of this Plan shall not be altered retroactively even if that classification is changed retroactively for another purpose as a result of an audit,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47" w:right="239" w:bottom="1440" w:gutter="0" w:footer="0" w:header="0"/>
        </w:sectPr>
      </w:pPr>
    </w:p>
    <w:bookmarkStart w:id="297" w:name="page298"/>
    <w:bookmarkEnd w:id="297"/>
    <w:p>
      <w:pPr>
        <w:ind w:right="20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litigation or otherwise. An Awardee shall not cease to be an Employee due to transfers between locations of the Company, or between the Company and an Affiliate, or to any successor to the Company or an Affiliate that assumes the Awardee’s Awards under Section 10. Neither service as a Director nor receipt of a director’s fee shall be sufficient to make a Director an “Employee.”</w:t>
      </w:r>
    </w:p>
    <w:p>
      <w:pPr>
        <w:spacing w:after="0" w:line="56" w:lineRule="exact"/>
        <w:rPr>
          <w:sz w:val="20"/>
          <w:szCs w:val="20"/>
          <w:color w:val="auto"/>
        </w:rPr>
      </w:pPr>
    </w:p>
    <w:p>
      <w:pPr>
        <w:ind w:left="1080" w:hanging="160"/>
        <w:spacing w:after="0"/>
        <w:tabs>
          <w:tab w:leader="none" w:pos="1080" w:val="left"/>
        </w:tabs>
        <w:numPr>
          <w:ilvl w:val="0"/>
          <w:numId w:val="19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“Exchange Act” </w:t>
      </w:r>
      <w:r>
        <w:rPr>
          <w:rFonts w:ascii="Arial" w:cs="Arial" w:eastAsia="Arial" w:hAnsi="Arial"/>
          <w:sz w:val="14"/>
          <w:szCs w:val="14"/>
          <w:color w:val="auto"/>
        </w:rPr>
        <w:t>means the Securities Exchange Act of 1934.</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19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“Executive” </w:t>
      </w:r>
      <w:r>
        <w:rPr>
          <w:rFonts w:ascii="Arial" w:cs="Arial" w:eastAsia="Arial" w:hAnsi="Arial"/>
          <w:sz w:val="12"/>
          <w:szCs w:val="12"/>
          <w:color w:val="auto"/>
        </w:rPr>
        <w:t>means any (i) Director, (ii) officer elected or appointed by the Board, or (iii) beneficial owner of more than 10% of any class of the Company’s equity securities.</w:t>
      </w:r>
    </w:p>
    <w:p>
      <w:pPr>
        <w:spacing w:after="0" w:line="154" w:lineRule="exact"/>
        <w:rPr>
          <w:rFonts w:ascii="Arial" w:cs="Arial" w:eastAsia="Arial" w:hAnsi="Arial"/>
          <w:sz w:val="12"/>
          <w:szCs w:val="12"/>
          <w:color w:val="auto"/>
        </w:rPr>
      </w:pPr>
    </w:p>
    <w:p>
      <w:pPr>
        <w:ind w:firstLine="920"/>
        <w:spacing w:after="0" w:line="351" w:lineRule="auto"/>
        <w:tabs>
          <w:tab w:leader="none" w:pos="1109" w:val="left"/>
        </w:tabs>
        <w:numPr>
          <w:ilvl w:val="0"/>
          <w:numId w:val="19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“Expiration Date” </w:t>
      </w:r>
      <w:r>
        <w:rPr>
          <w:rFonts w:ascii="Arial" w:cs="Arial" w:eastAsia="Arial" w:hAnsi="Arial"/>
          <w:sz w:val="12"/>
          <w:szCs w:val="12"/>
          <w:color w:val="auto"/>
        </w:rPr>
        <w:t>means, with respect to an Award, the date stated in the Award Agreement as the expiration date of the Award or, if no such date is stated in the Award Agreement. then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last day of the maximum exercise period for the Award, disregarding the effect of an Awardee’s Termination or any other event that would shorten that period.</w:t>
      </w:r>
    </w:p>
    <w:p>
      <w:pPr>
        <w:spacing w:after="0" w:line="56" w:lineRule="exact"/>
        <w:rPr>
          <w:rFonts w:ascii="Arial" w:cs="Arial" w:eastAsia="Arial" w:hAnsi="Arial"/>
          <w:sz w:val="12"/>
          <w:szCs w:val="12"/>
          <w:color w:val="auto"/>
        </w:rPr>
      </w:pPr>
    </w:p>
    <w:p>
      <w:pPr>
        <w:ind w:left="1140" w:hanging="220"/>
        <w:spacing w:after="0"/>
        <w:tabs>
          <w:tab w:leader="none" w:pos="1140" w:val="left"/>
        </w:tabs>
        <w:numPr>
          <w:ilvl w:val="0"/>
          <w:numId w:val="19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“Fair Market Value” </w:t>
      </w:r>
      <w:r>
        <w:rPr>
          <w:rFonts w:ascii="Arial" w:cs="Arial" w:eastAsia="Arial" w:hAnsi="Arial"/>
          <w:sz w:val="14"/>
          <w:szCs w:val="14"/>
          <w:color w:val="auto"/>
        </w:rPr>
        <w:t>means the value of Shares as determined under Section 17.2.</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19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“Fundamental Transaction” </w:t>
      </w:r>
      <w:r>
        <w:rPr>
          <w:rFonts w:ascii="Arial" w:cs="Arial" w:eastAsia="Arial" w:hAnsi="Arial"/>
          <w:sz w:val="14"/>
          <w:szCs w:val="14"/>
          <w:color w:val="auto"/>
        </w:rPr>
        <w:t>means any transaction or event described in Section 10.3.</w:t>
      </w:r>
    </w:p>
    <w:p>
      <w:pPr>
        <w:spacing w:after="0" w:line="131" w:lineRule="exact"/>
        <w:rPr>
          <w:rFonts w:ascii="Arial" w:cs="Arial" w:eastAsia="Arial" w:hAnsi="Arial"/>
          <w:sz w:val="14"/>
          <w:szCs w:val="14"/>
          <w:color w:val="auto"/>
        </w:rPr>
      </w:pPr>
    </w:p>
    <w:p>
      <w:pPr>
        <w:ind w:right="180" w:firstLine="920"/>
        <w:spacing w:after="0" w:line="267" w:lineRule="auto"/>
        <w:tabs>
          <w:tab w:leader="none" w:pos="1109" w:val="left"/>
        </w:tabs>
        <w:numPr>
          <w:ilvl w:val="0"/>
          <w:numId w:val="19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“Grant Date” </w:t>
      </w:r>
      <w:r>
        <w:rPr>
          <w:rFonts w:ascii="Arial" w:cs="Arial" w:eastAsia="Arial" w:hAnsi="Arial"/>
          <w:sz w:val="14"/>
          <w:szCs w:val="14"/>
          <w:color w:val="auto"/>
        </w:rPr>
        <w:t>means the date the Administrator approves the grant of an Award. However, if the Administrator specifies that an Award’s Grant Date is a future date or the date on which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condition is satisfied, the Grant Date for such Award is that future date or the date that the condition is satisfied.</w:t>
      </w:r>
    </w:p>
    <w:p>
      <w:pPr>
        <w:spacing w:after="0" w:line="101" w:lineRule="exact"/>
        <w:rPr>
          <w:rFonts w:ascii="Arial" w:cs="Arial" w:eastAsia="Arial" w:hAnsi="Arial"/>
          <w:sz w:val="14"/>
          <w:szCs w:val="14"/>
          <w:color w:val="auto"/>
        </w:rPr>
      </w:pPr>
    </w:p>
    <w:p>
      <w:pPr>
        <w:ind w:right="500" w:firstLine="920"/>
        <w:spacing w:after="0" w:line="267" w:lineRule="auto"/>
        <w:tabs>
          <w:tab w:leader="none" w:pos="1101" w:val="left"/>
        </w:tabs>
        <w:numPr>
          <w:ilvl w:val="0"/>
          <w:numId w:val="19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“Incentive Stock Option” </w:t>
      </w:r>
      <w:r>
        <w:rPr>
          <w:rFonts w:ascii="Arial" w:cs="Arial" w:eastAsia="Arial" w:hAnsi="Arial"/>
          <w:sz w:val="14"/>
          <w:szCs w:val="14"/>
          <w:color w:val="auto"/>
        </w:rPr>
        <w:t>means an Option intended to qualify as an incentive stock option under Section 422 of the Code and designated as an Incentive Stock Option in the Award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for that Option.</w:t>
      </w:r>
    </w:p>
    <w:p>
      <w:pPr>
        <w:spacing w:after="0" w:line="101" w:lineRule="exact"/>
        <w:rPr>
          <w:sz w:val="20"/>
          <w:szCs w:val="20"/>
          <w:color w:val="auto"/>
        </w:rPr>
      </w:pPr>
    </w:p>
    <w:p>
      <w:pPr>
        <w:ind w:left="1160" w:hanging="240"/>
        <w:spacing w:after="0"/>
        <w:tabs>
          <w:tab w:leader="none" w:pos="1160" w:val="left"/>
        </w:tabs>
        <w:numPr>
          <w:ilvl w:val="1"/>
          <w:numId w:val="19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“Nonstatutory Option” </w:t>
      </w:r>
      <w:r>
        <w:rPr>
          <w:rFonts w:ascii="Arial" w:cs="Arial" w:eastAsia="Arial" w:hAnsi="Arial"/>
          <w:sz w:val="12"/>
          <w:szCs w:val="12"/>
          <w:color w:val="auto"/>
        </w:rPr>
        <w:t>means any Option other than an Incentive Stock Option.</w:t>
      </w:r>
    </w:p>
    <w:p>
      <w:pPr>
        <w:spacing w:after="0" w:line="154" w:lineRule="exact"/>
        <w:rPr>
          <w:rFonts w:ascii="Arial" w:cs="Arial" w:eastAsia="Arial" w:hAnsi="Arial"/>
          <w:sz w:val="12"/>
          <w:szCs w:val="12"/>
          <w:color w:val="auto"/>
        </w:rPr>
      </w:pPr>
    </w:p>
    <w:p>
      <w:pPr>
        <w:ind w:right="40" w:firstLine="920"/>
        <w:spacing w:after="0" w:line="295" w:lineRule="auto"/>
        <w:tabs>
          <w:tab w:leader="none" w:pos="1177" w:val="left"/>
        </w:tabs>
        <w:numPr>
          <w:ilvl w:val="1"/>
          <w:numId w:val="19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“Objectively Determinable Performance Condition” </w:t>
      </w:r>
      <w:r>
        <w:rPr>
          <w:rFonts w:ascii="Arial" w:cs="Arial" w:eastAsia="Arial" w:hAnsi="Arial"/>
          <w:sz w:val="12"/>
          <w:szCs w:val="12"/>
          <w:color w:val="auto"/>
        </w:rPr>
        <w:t>shall mean a performance condition (i) that is established (x) at the time an Award is granted or (y) no later than the earlier of (1) 90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days after the beginning of the period of service to which it relates, or (2) before the elapse of 25% of the period of service to which it relates, (ii) that is uncertain of achievement at the time it is established, and</w:t>
      </w:r>
    </w:p>
    <w:p>
      <w:pPr>
        <w:ind w:right="240" w:firstLine="4"/>
        <w:spacing w:after="0" w:line="316" w:lineRule="auto"/>
        <w:tabs>
          <w:tab w:leader="none" w:pos="23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the achievement of which is determinable by a third party with knowledge of the relevant facts. Examples of measures that may be used in Objectively Determinable Performance Conditions include net order dollars, net profit dollars, net profit growth, net revenue dollars, revenue growth, individual performance, earnings per share, return on assets, return on equity, and other financial objectives, objective customer satisfaction indicators and efficiency measures, each with respect to the Company and/or an individual business unit.</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247" w:right="239" w:bottom="1440" w:gutter="0" w:footer="0" w:header="0"/>
        </w:sectPr>
      </w:pPr>
    </w:p>
    <w:bookmarkStart w:id="298" w:name="page299"/>
    <w:bookmarkEnd w:id="298"/>
    <w:p>
      <w:pPr>
        <w:ind w:left="1160" w:hanging="240"/>
        <w:spacing w:after="0"/>
        <w:tabs>
          <w:tab w:leader="none" w:pos="1160"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“Option” </w:t>
      </w:r>
      <w:r>
        <w:rPr>
          <w:rFonts w:ascii="Arial" w:cs="Arial" w:eastAsia="Arial" w:hAnsi="Arial"/>
          <w:sz w:val="14"/>
          <w:szCs w:val="14"/>
          <w:color w:val="auto"/>
        </w:rPr>
        <w:t>means a right to purchase Shares of the Company granted under this Plan.</w:t>
      </w:r>
    </w:p>
    <w:p>
      <w:pPr>
        <w:spacing w:after="0" w:line="131" w:lineRule="exact"/>
        <w:rPr>
          <w:rFonts w:ascii="Arial" w:cs="Arial" w:eastAsia="Arial" w:hAnsi="Arial"/>
          <w:sz w:val="14"/>
          <w:szCs w:val="14"/>
          <w:color w:val="auto"/>
        </w:rPr>
      </w:pPr>
    </w:p>
    <w:p>
      <w:pPr>
        <w:ind w:left="1180" w:hanging="260"/>
        <w:spacing w:after="0"/>
        <w:tabs>
          <w:tab w:leader="none" w:pos="1180"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“Option Price” </w:t>
      </w:r>
      <w:r>
        <w:rPr>
          <w:rFonts w:ascii="Arial" w:cs="Arial" w:eastAsia="Arial" w:hAnsi="Arial"/>
          <w:sz w:val="14"/>
          <w:szCs w:val="14"/>
          <w:color w:val="auto"/>
        </w:rPr>
        <w:t>means the price payable under an Option for Shares, not including any amount payable in respect of withholding or other taxes.</w:t>
      </w:r>
    </w:p>
    <w:p>
      <w:pPr>
        <w:spacing w:after="0" w:line="131" w:lineRule="exact"/>
        <w:rPr>
          <w:rFonts w:ascii="Arial" w:cs="Arial" w:eastAsia="Arial" w:hAnsi="Arial"/>
          <w:sz w:val="14"/>
          <w:szCs w:val="14"/>
          <w:color w:val="auto"/>
        </w:rPr>
      </w:pPr>
    </w:p>
    <w:p>
      <w:pPr>
        <w:ind w:left="1160" w:hanging="240"/>
        <w:spacing w:after="0"/>
        <w:tabs>
          <w:tab w:leader="none" w:pos="1160" w:val="left"/>
        </w:tabs>
        <w:numPr>
          <w:ilvl w:val="0"/>
          <w:numId w:val="19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“Option Shares” </w:t>
      </w:r>
      <w:r>
        <w:rPr>
          <w:rFonts w:ascii="Arial" w:cs="Arial" w:eastAsia="Arial" w:hAnsi="Arial"/>
          <w:sz w:val="12"/>
          <w:szCs w:val="12"/>
          <w:color w:val="auto"/>
        </w:rPr>
        <w:t>means Shares covered by an outstanding Option or purchased under an Option.</w:t>
      </w:r>
    </w:p>
    <w:p>
      <w:pPr>
        <w:spacing w:after="0" w:line="154" w:lineRule="exact"/>
        <w:rPr>
          <w:rFonts w:ascii="Arial" w:cs="Arial" w:eastAsia="Arial" w:hAnsi="Arial"/>
          <w:sz w:val="12"/>
          <w:szCs w:val="12"/>
          <w:color w:val="auto"/>
        </w:rPr>
      </w:pPr>
    </w:p>
    <w:p>
      <w:pPr>
        <w:ind w:left="1140" w:hanging="220"/>
        <w:spacing w:after="0"/>
        <w:tabs>
          <w:tab w:leader="none" w:pos="1140"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“Plan” </w:t>
      </w:r>
      <w:r>
        <w:rPr>
          <w:rFonts w:ascii="Arial" w:cs="Arial" w:eastAsia="Arial" w:hAnsi="Arial"/>
          <w:sz w:val="14"/>
          <w:szCs w:val="14"/>
          <w:color w:val="auto"/>
        </w:rPr>
        <w:t>means this 2003 Equity Incentive Plan of MacroGenics, Inc.</w:t>
      </w:r>
    </w:p>
    <w:p>
      <w:pPr>
        <w:spacing w:after="0" w:line="131" w:lineRule="exact"/>
        <w:rPr>
          <w:rFonts w:ascii="Arial" w:cs="Arial" w:eastAsia="Arial" w:hAnsi="Arial"/>
          <w:sz w:val="14"/>
          <w:szCs w:val="14"/>
          <w:color w:val="auto"/>
        </w:rPr>
      </w:pPr>
    </w:p>
    <w:p>
      <w:pPr>
        <w:ind w:left="1180" w:hanging="260"/>
        <w:spacing w:after="0"/>
        <w:tabs>
          <w:tab w:leader="none" w:pos="1180"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“Purchase Price” </w:t>
      </w:r>
      <w:r>
        <w:rPr>
          <w:rFonts w:ascii="Arial" w:cs="Arial" w:eastAsia="Arial" w:hAnsi="Arial"/>
          <w:sz w:val="14"/>
          <w:szCs w:val="14"/>
          <w:color w:val="auto"/>
        </w:rPr>
        <w:t>means the price payable under a Stock Award for Shares. not including any amount payable in respect of withholding or other taxes.</w:t>
      </w:r>
    </w:p>
    <w:p>
      <w:pPr>
        <w:spacing w:after="0" w:line="131" w:lineRule="exact"/>
        <w:rPr>
          <w:rFonts w:ascii="Arial" w:cs="Arial" w:eastAsia="Arial" w:hAnsi="Arial"/>
          <w:sz w:val="14"/>
          <w:szCs w:val="14"/>
          <w:color w:val="auto"/>
        </w:rPr>
      </w:pPr>
    </w:p>
    <w:p>
      <w:pPr>
        <w:jc w:val="both"/>
        <w:ind w:firstLine="920"/>
        <w:spacing w:after="0" w:line="311" w:lineRule="auto"/>
        <w:tabs>
          <w:tab w:leader="none" w:pos="1177" w:val="left"/>
        </w:tabs>
        <w:numPr>
          <w:ilvl w:val="0"/>
          <w:numId w:val="19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“Reverse Vesting” </w:t>
      </w:r>
      <w:r>
        <w:rPr>
          <w:rFonts w:ascii="Arial" w:cs="Arial" w:eastAsia="Arial" w:hAnsi="Arial"/>
          <w:sz w:val="12"/>
          <w:szCs w:val="12"/>
          <w:color w:val="auto"/>
        </w:rPr>
        <w:t>means that an Option is or was fully exercisable but that, subject to a “reverse” vesting schedule, the Company has a right to repurchase the Option Shares as specified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Section 15.2(a), with the Company’s right of repurchase expiring in accordance with a “forward” vesting schedule that would otherwise have applied to the Option under which the Option Shares were purchased or in accordance with some other vesting schedule described in the Award Agreement. With respect to a Stock Award, Reverse Vesting means that the Company has a right to repurchase the Award Shares purchased pursuant to the Stock Award, as specified in Section 15.2(a), with the Company’s right of repurchase expiring in accordance with the vesting schedule in the Award Agreement.</w:t>
      </w:r>
    </w:p>
    <w:p>
      <w:pPr>
        <w:spacing w:after="0" w:line="78" w:lineRule="exact"/>
        <w:rPr>
          <w:rFonts w:ascii="Arial" w:cs="Arial" w:eastAsia="Arial" w:hAnsi="Arial"/>
          <w:sz w:val="12"/>
          <w:szCs w:val="12"/>
          <w:color w:val="auto"/>
        </w:rPr>
      </w:pPr>
    </w:p>
    <w:p>
      <w:pPr>
        <w:ind w:right="520" w:firstLine="920"/>
        <w:spacing w:after="0" w:line="267" w:lineRule="auto"/>
        <w:tabs>
          <w:tab w:leader="none" w:pos="1117"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“SAR” or “Stock Appreciation Right” </w:t>
      </w:r>
      <w:r>
        <w:rPr>
          <w:rFonts w:ascii="Arial" w:cs="Arial" w:eastAsia="Arial" w:hAnsi="Arial"/>
          <w:sz w:val="14"/>
          <w:szCs w:val="14"/>
          <w:color w:val="auto"/>
        </w:rPr>
        <w:t>means a right to receive cash based on a change in the Fair Market Value of a specific number of Shares pursuant to an Award Agreement,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described in Section 8.1.</w:t>
      </w:r>
    </w:p>
    <w:p>
      <w:pPr>
        <w:spacing w:after="0" w:line="101" w:lineRule="exact"/>
        <w:rPr>
          <w:rFonts w:ascii="Arial" w:cs="Arial" w:eastAsia="Arial" w:hAnsi="Arial"/>
          <w:sz w:val="14"/>
          <w:szCs w:val="14"/>
          <w:color w:val="auto"/>
        </w:rPr>
      </w:pPr>
    </w:p>
    <w:p>
      <w:pPr>
        <w:ind w:left="1120" w:hanging="200"/>
        <w:spacing w:after="0"/>
        <w:tabs>
          <w:tab w:leader="none" w:pos="1120"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“Securities Act” </w:t>
      </w:r>
      <w:r>
        <w:rPr>
          <w:rFonts w:ascii="Arial" w:cs="Arial" w:eastAsia="Arial" w:hAnsi="Arial"/>
          <w:sz w:val="14"/>
          <w:szCs w:val="14"/>
          <w:color w:val="auto"/>
        </w:rPr>
        <w:t>means the Securities Act of 1933.</w:t>
      </w:r>
    </w:p>
    <w:p>
      <w:pPr>
        <w:spacing w:after="0" w:line="131" w:lineRule="exact"/>
        <w:rPr>
          <w:rFonts w:ascii="Arial" w:cs="Arial" w:eastAsia="Arial" w:hAnsi="Arial"/>
          <w:sz w:val="14"/>
          <w:szCs w:val="14"/>
          <w:color w:val="auto"/>
        </w:rPr>
      </w:pPr>
    </w:p>
    <w:p>
      <w:pPr>
        <w:ind w:left="1180" w:hanging="260"/>
        <w:spacing w:after="0"/>
        <w:tabs>
          <w:tab w:leader="none" w:pos="1180" w:val="left"/>
        </w:tabs>
        <w:numPr>
          <w:ilvl w:val="0"/>
          <w:numId w:val="19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“Share” </w:t>
      </w:r>
      <w:r>
        <w:rPr>
          <w:rFonts w:ascii="Arial" w:cs="Arial" w:eastAsia="Arial" w:hAnsi="Arial"/>
          <w:sz w:val="14"/>
          <w:szCs w:val="14"/>
          <w:color w:val="auto"/>
        </w:rPr>
        <w:t>means a share of the common stock of the Company or other securities substituted for the common stock under Section 10.</w:t>
      </w:r>
    </w:p>
    <w:p>
      <w:pPr>
        <w:spacing w:after="0" w:line="132" w:lineRule="exact"/>
        <w:rPr>
          <w:sz w:val="20"/>
          <w:szCs w:val="20"/>
          <w:color w:val="auto"/>
        </w:rPr>
      </w:pPr>
    </w:p>
    <w:p>
      <w:pPr>
        <w:ind w:left="920" w:right="1960"/>
        <w:spacing w:after="0" w:line="499" w:lineRule="auto"/>
        <w:tabs>
          <w:tab w:leader="none" w:pos="1175" w:val="left"/>
        </w:tabs>
        <w:numPr>
          <w:ilvl w:val="0"/>
          <w:numId w:val="19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“Stock Award” </w:t>
      </w:r>
      <w:r>
        <w:rPr>
          <w:rFonts w:ascii="Arial" w:cs="Arial" w:eastAsia="Arial" w:hAnsi="Arial"/>
          <w:sz w:val="12"/>
          <w:szCs w:val="12"/>
          <w:color w:val="auto"/>
        </w:rPr>
        <w:t>means an offer by the Company to sell shares subject to certain restrictions pursuant to the Award Agreement as described in Section 8.2.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(mm) </w:t>
      </w:r>
      <w:r>
        <w:rPr>
          <w:rFonts w:ascii="Arial" w:cs="Arial" w:eastAsia="Arial" w:hAnsi="Arial"/>
          <w:sz w:val="12"/>
          <w:szCs w:val="12"/>
          <w:b w:val="1"/>
          <w:bCs w:val="1"/>
          <w:i w:val="1"/>
          <w:iCs w:val="1"/>
          <w:color w:val="auto"/>
        </w:rPr>
        <w:t>“Substitute Award”</w:t>
      </w:r>
      <w:r>
        <w:rPr>
          <w:rFonts w:ascii="Arial" w:cs="Arial" w:eastAsia="Arial" w:hAnsi="Arial"/>
          <w:sz w:val="12"/>
          <w:szCs w:val="12"/>
          <w:color w:val="auto"/>
        </w:rPr>
        <w:t xml:space="preserve"> means a Substitute Option, Substitute SAR or Substitute Stock Award granted in accordance with the terms of the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47" w:right="219" w:bottom="1440" w:gutter="0" w:footer="0" w:header="0"/>
        </w:sectPr>
      </w:pPr>
    </w:p>
    <w:bookmarkStart w:id="299" w:name="page300"/>
    <w:bookmarkEnd w:id="299"/>
    <w:p>
      <w:pPr>
        <w:ind w:left="1180" w:hanging="260"/>
        <w:spacing w:after="0"/>
        <w:tabs>
          <w:tab w:leader="none" w:pos="1180" w:val="left"/>
        </w:tabs>
        <w:numPr>
          <w:ilvl w:val="0"/>
          <w:numId w:val="200"/>
        </w:numPr>
        <w:rPr>
          <w:rFonts w:ascii="Arial" w:cs="Arial" w:eastAsia="Arial" w:hAnsi="Arial"/>
          <w:sz w:val="12"/>
          <w:szCs w:val="12"/>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“Substitute Option” </w:t>
      </w:r>
      <w:r>
        <w:rPr>
          <w:rFonts w:ascii="Arial" w:cs="Arial" w:eastAsia="Arial" w:hAnsi="Arial"/>
          <w:sz w:val="12"/>
          <w:szCs w:val="12"/>
          <w:color w:val="auto"/>
        </w:rPr>
        <w:t>means an Option granted in substitution for, or upon the conversion of, an option granted by another entity to purchase equity securities in the granting entity.</w:t>
      </w:r>
    </w:p>
    <w:p>
      <w:pPr>
        <w:spacing w:after="0" w:line="154" w:lineRule="exact"/>
        <w:rPr>
          <w:rFonts w:ascii="Arial" w:cs="Arial" w:eastAsia="Arial" w:hAnsi="Arial"/>
          <w:sz w:val="12"/>
          <w:szCs w:val="12"/>
          <w:color w:val="auto"/>
        </w:rPr>
      </w:pPr>
    </w:p>
    <w:p>
      <w:pPr>
        <w:ind w:left="1180" w:hanging="260"/>
        <w:spacing w:after="0"/>
        <w:tabs>
          <w:tab w:leader="none" w:pos="1180" w:val="left"/>
        </w:tabs>
        <w:numPr>
          <w:ilvl w:val="0"/>
          <w:numId w:val="20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“Substitute SAR” </w:t>
      </w:r>
      <w:r>
        <w:rPr>
          <w:rFonts w:ascii="Arial" w:cs="Arial" w:eastAsia="Arial" w:hAnsi="Arial"/>
          <w:sz w:val="12"/>
          <w:szCs w:val="12"/>
          <w:color w:val="auto"/>
        </w:rPr>
        <w:t>means a SAR granted in substitution for, or upon the conversion of. a stock appreciation right granted by another entity with respect to equity securities in the granting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entity.</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(pp) </w:t>
      </w:r>
      <w:r>
        <w:rPr>
          <w:rFonts w:ascii="Arial" w:cs="Arial" w:eastAsia="Arial" w:hAnsi="Arial"/>
          <w:sz w:val="12"/>
          <w:szCs w:val="12"/>
          <w:b w:val="1"/>
          <w:bCs w:val="1"/>
          <w:i w:val="1"/>
          <w:iCs w:val="1"/>
          <w:color w:val="auto"/>
        </w:rPr>
        <w:t>“Substitute Stock Award”</w:t>
      </w:r>
      <w:r>
        <w:rPr>
          <w:rFonts w:ascii="Arial" w:cs="Arial" w:eastAsia="Arial" w:hAnsi="Arial"/>
          <w:sz w:val="12"/>
          <w:szCs w:val="12"/>
          <w:color w:val="auto"/>
        </w:rPr>
        <w:t xml:space="preserve"> means a Stock Award granted in substitution for, or upon the conversion of, a stock award granted by another entity to purchase equity securities in the granting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entity.</w:t>
      </w:r>
    </w:p>
    <w:p>
      <w:pPr>
        <w:spacing w:after="0" w:line="126" w:lineRule="exact"/>
        <w:rPr>
          <w:sz w:val="20"/>
          <w:szCs w:val="20"/>
          <w:color w:val="auto"/>
        </w:rPr>
      </w:pPr>
    </w:p>
    <w:p>
      <w:pPr>
        <w:ind w:right="180" w:firstLine="920"/>
        <w:spacing w:after="0" w:line="258" w:lineRule="auto"/>
        <w:tabs>
          <w:tab w:leader="none" w:pos="1177" w:val="left"/>
        </w:tabs>
        <w:numPr>
          <w:ilvl w:val="0"/>
          <w:numId w:val="20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“Termination” </w:t>
      </w:r>
      <w:r>
        <w:rPr>
          <w:rFonts w:ascii="Arial" w:cs="Arial" w:eastAsia="Arial" w:hAnsi="Arial"/>
          <w:sz w:val="14"/>
          <w:szCs w:val="14"/>
          <w:color w:val="auto"/>
        </w:rPr>
        <w:t>means that the Awardee has ceased to be, with or without any cause or reason, an Employee, Director or Consultant. However, unless so determined by the Administrator.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“Termination” shall not include a change in status from an Employee. Consultant or Director to another such status. An event that causes an Affiliate to cease being an Affiliate shall be treated as the “Termination” of that Affiliate’s Employees, Directors, and Consultants.</w:t>
      </w:r>
    </w:p>
    <w:p>
      <w:pPr>
        <w:spacing w:after="0" w:line="106" w:lineRule="exact"/>
        <w:rPr>
          <w:sz w:val="20"/>
          <w:szCs w:val="20"/>
          <w:color w:val="auto"/>
        </w:rPr>
      </w:pPr>
    </w:p>
    <w:p>
      <w:pPr>
        <w:ind w:right="40" w:firstLine="458"/>
        <w:spacing w:after="0" w:line="256"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Rules of Interpretation.</w:t>
      </w:r>
      <w:r>
        <w:rPr>
          <w:rFonts w:ascii="Arial" w:cs="Arial" w:eastAsia="Arial" w:hAnsi="Arial"/>
          <w:sz w:val="14"/>
          <w:szCs w:val="14"/>
          <w:color w:val="auto"/>
        </w:rPr>
        <w:t xml:space="preserve"> Any reference to a “Section,” without more, is to a Section of this Plan. Captions and titles are used for convenience in this Plan and shall not, by themselves, determine the meaning of this Plan. Except when otherwise indicated by the context, the singular includes the plural and vice versa. Any reference to a statute is also a reference to the applicable rules and regulations adopted under that statute. Any reference to a statute, rule or regulation, or to a section of a statute, rule or regulation, is a reference to that statute, rule, regulation, or section as amended from time to time, both before and after the effective date of this Plan and including any successor provisions.</w:t>
      </w:r>
    </w:p>
    <w:p>
      <w:pPr>
        <w:spacing w:after="0" w:line="138" w:lineRule="exact"/>
        <w:rPr>
          <w:sz w:val="20"/>
          <w:szCs w:val="20"/>
          <w:color w:val="auto"/>
        </w:rPr>
      </w:pPr>
    </w:p>
    <w:p>
      <w:pPr>
        <w:ind w:left="460" w:hanging="456"/>
        <w:spacing w:after="0"/>
        <w:tabs>
          <w:tab w:leader="none" w:pos="460" w:val="left"/>
        </w:tabs>
        <w:numPr>
          <w:ilvl w:val="0"/>
          <w:numId w:val="202"/>
        </w:numPr>
        <w:rPr>
          <w:rFonts w:ascii="Arial" w:cs="Arial" w:eastAsia="Arial" w:hAnsi="Arial"/>
          <w:sz w:val="14"/>
          <w:szCs w:val="14"/>
          <w:color w:val="auto"/>
        </w:rPr>
      </w:pPr>
      <w:r>
        <w:rPr>
          <w:rFonts w:ascii="Arial" w:cs="Arial" w:eastAsia="Arial" w:hAnsi="Arial"/>
          <w:sz w:val="14"/>
          <w:szCs w:val="14"/>
          <w:b w:val="1"/>
          <w:bCs w:val="1"/>
          <w:color w:val="auto"/>
        </w:rPr>
        <w:t>Shares Subject to this Plan; Term of this Plan</w:t>
      </w:r>
    </w:p>
    <w:p>
      <w:pPr>
        <w:spacing w:after="0" w:line="69" w:lineRule="exact"/>
        <w:rPr>
          <w:sz w:val="20"/>
          <w:szCs w:val="20"/>
          <w:color w:val="auto"/>
        </w:rPr>
      </w:pPr>
    </w:p>
    <w:p>
      <w:pPr>
        <w:ind w:firstLine="458"/>
        <w:spacing w:after="0" w:line="256"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Number of Award Shares.</w:t>
      </w:r>
      <w:r>
        <w:rPr>
          <w:rFonts w:ascii="Arial" w:cs="Arial" w:eastAsia="Arial" w:hAnsi="Arial"/>
          <w:sz w:val="14"/>
          <w:szCs w:val="14"/>
          <w:color w:val="auto"/>
        </w:rPr>
        <w:t xml:space="preserve"> Subject to adjustment under Section 10, the maximum number of Shares that may be issued under this Plan is 12.617,978. When an Award is granted. the maximum number of Shares that may be issued under this Plan shall be reduced by the number of Shares covered by that Award. However, if an Award later terminates or expires without having been exercised in full, the maximum number of Shares that may be issued under this Plan shall be increased by the number of Shares that were covered by, but not purchased under, that Award. By contrast, the repurchase of Shares by the Company shall not increase the maximum number of Shares that may be issued under this Plan.</w:t>
      </w:r>
    </w:p>
    <w:p>
      <w:pPr>
        <w:spacing w:after="0" w:line="107"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Source of Shares.</w:t>
      </w:r>
      <w:r>
        <w:rPr>
          <w:rFonts w:ascii="Arial" w:cs="Arial" w:eastAsia="Arial" w:hAnsi="Arial"/>
          <w:sz w:val="14"/>
          <w:szCs w:val="14"/>
          <w:color w:val="auto"/>
        </w:rPr>
        <w:t xml:space="preserve"> Award Shares may be: (a) Shares that have never been issued, (b) Shares that have been issued but are no longer outstanding, or (c) Shares that are outstanding and are acquired to discharge the Company’s obligation to deliver Award Shares.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47" w:right="219" w:bottom="1440" w:gutter="0" w:footer="0" w:header="0"/>
        </w:sectPr>
      </w:pPr>
    </w:p>
    <w:bookmarkStart w:id="300" w:name="page301"/>
    <w:bookmarkEnd w:id="30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3.3 </w:t>
      </w:r>
      <w:r>
        <w:rPr>
          <w:rFonts w:ascii="Arial" w:cs="Arial" w:eastAsia="Arial" w:hAnsi="Arial"/>
          <w:sz w:val="14"/>
          <w:szCs w:val="14"/>
          <w:b w:val="1"/>
          <w:bCs w:val="1"/>
          <w:color w:val="auto"/>
        </w:rPr>
        <w:t>Term of this Plan</w:t>
      </w:r>
    </w:p>
    <w:p>
      <w:pPr>
        <w:spacing w:after="0" w:line="71" w:lineRule="exact"/>
        <w:rPr>
          <w:sz w:val="20"/>
          <w:szCs w:val="20"/>
          <w:color w:val="auto"/>
        </w:rPr>
      </w:pPr>
    </w:p>
    <w:p>
      <w:pPr>
        <w:ind w:right="120" w:firstLine="920"/>
        <w:spacing w:after="0" w:line="267" w:lineRule="auto"/>
        <w:tabs>
          <w:tab w:leader="none" w:pos="1101" w:val="left"/>
        </w:tabs>
        <w:numPr>
          <w:ilvl w:val="1"/>
          <w:numId w:val="203"/>
        </w:numPr>
        <w:rPr>
          <w:rFonts w:ascii="Arial" w:cs="Arial" w:eastAsia="Arial" w:hAnsi="Arial"/>
          <w:sz w:val="14"/>
          <w:szCs w:val="14"/>
          <w:color w:val="auto"/>
        </w:rPr>
      </w:pPr>
      <w:r>
        <w:rPr>
          <w:rFonts w:ascii="Arial" w:cs="Arial" w:eastAsia="Arial" w:hAnsi="Arial"/>
          <w:sz w:val="14"/>
          <w:szCs w:val="14"/>
          <w:color w:val="auto"/>
        </w:rPr>
        <w:t>This Plan shall be effective on, and Awards may be granted under this Plan after, the date it is approved by the Board. However, no Option may be exercised unless and until the Company’s stockholders approve this Plan within 12 months after the Board approves this Plan.</w:t>
      </w:r>
    </w:p>
    <w:p>
      <w:pPr>
        <w:spacing w:after="0" w:line="101" w:lineRule="exact"/>
        <w:rPr>
          <w:rFonts w:ascii="Arial" w:cs="Arial" w:eastAsia="Arial" w:hAnsi="Arial"/>
          <w:sz w:val="14"/>
          <w:szCs w:val="14"/>
          <w:color w:val="auto"/>
        </w:rPr>
      </w:pPr>
    </w:p>
    <w:p>
      <w:pPr>
        <w:ind w:right="500" w:firstLine="920"/>
        <w:spacing w:after="0" w:line="267" w:lineRule="auto"/>
        <w:tabs>
          <w:tab w:leader="none" w:pos="1109" w:val="left"/>
        </w:tabs>
        <w:numPr>
          <w:ilvl w:val="1"/>
          <w:numId w:val="203"/>
        </w:numPr>
        <w:rPr>
          <w:rFonts w:ascii="Arial" w:cs="Arial" w:eastAsia="Arial" w:hAnsi="Arial"/>
          <w:sz w:val="14"/>
          <w:szCs w:val="14"/>
          <w:color w:val="auto"/>
        </w:rPr>
      </w:pPr>
      <w:r>
        <w:rPr>
          <w:rFonts w:ascii="Arial" w:cs="Arial" w:eastAsia="Arial" w:hAnsi="Arial"/>
          <w:sz w:val="14"/>
          <w:szCs w:val="14"/>
          <w:color w:val="auto"/>
        </w:rPr>
        <w:t>Subject to Section 13, Awards may be granted under this Plan for a period of ten years from the earlier of the date on which the Board approves this Plan and the date the Company’s stockholders approve this Plan. Accordingly, Awards may not be granted under the Plan after the earlier of those dates.</w:t>
      </w:r>
    </w:p>
    <w:p>
      <w:pPr>
        <w:spacing w:after="0" w:line="193" w:lineRule="exact"/>
        <w:rPr>
          <w:rFonts w:ascii="Arial" w:cs="Arial" w:eastAsia="Arial" w:hAnsi="Arial"/>
          <w:sz w:val="14"/>
          <w:szCs w:val="14"/>
          <w:color w:val="auto"/>
        </w:rPr>
      </w:pPr>
    </w:p>
    <w:p>
      <w:pPr>
        <w:ind w:left="460" w:hanging="456"/>
        <w:spacing w:after="0"/>
        <w:tabs>
          <w:tab w:leader="none" w:pos="460" w:val="left"/>
        </w:tabs>
        <w:numPr>
          <w:ilvl w:val="0"/>
          <w:numId w:val="204"/>
        </w:numPr>
        <w:rPr>
          <w:rFonts w:ascii="Arial" w:cs="Arial" w:eastAsia="Arial" w:hAnsi="Arial"/>
          <w:sz w:val="14"/>
          <w:szCs w:val="14"/>
          <w:color w:val="auto"/>
        </w:rPr>
      </w:pPr>
      <w:r>
        <w:rPr>
          <w:rFonts w:ascii="Arial" w:cs="Arial" w:eastAsia="Arial" w:hAnsi="Arial"/>
          <w:sz w:val="14"/>
          <w:szCs w:val="14"/>
          <w:b w:val="1"/>
          <w:bCs w:val="1"/>
          <w:color w:val="auto"/>
        </w:rPr>
        <w:t>Administration</w:t>
      </w:r>
    </w:p>
    <w:p>
      <w:pPr>
        <w:spacing w:after="0" w:line="6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2"/>
          <w:szCs w:val="12"/>
          <w:color w:val="auto"/>
        </w:rPr>
        <w:t xml:space="preserve">4.1 </w:t>
      </w:r>
      <w:r>
        <w:rPr>
          <w:rFonts w:ascii="Arial" w:cs="Arial" w:eastAsia="Arial" w:hAnsi="Arial"/>
          <w:sz w:val="12"/>
          <w:szCs w:val="12"/>
          <w:b w:val="1"/>
          <w:bCs w:val="1"/>
          <w:color w:val="auto"/>
        </w:rPr>
        <w:t>General.</w:t>
      </w:r>
      <w:r>
        <w:rPr>
          <w:rFonts w:ascii="Arial" w:cs="Arial" w:eastAsia="Arial" w:hAnsi="Arial"/>
          <w:sz w:val="12"/>
          <w:szCs w:val="12"/>
          <w:color w:val="auto"/>
        </w:rPr>
        <w:t xml:space="preserve"> The Board shall have ultimate responsibility for administering this Plan. The Board may delegate certain of its responsibilities to a Committee, which shall consist of at least two members</w:t>
      </w:r>
    </w:p>
    <w:p>
      <w:pPr>
        <w:spacing w:after="0" w:line="37"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of the Board. Where this Plan specifies that an action is to be taken or a determination made by the Board, only the Board may take that action or make that determination. Where this Plan specifies that an action is to be taken or a determination made by the Committee, only the Committee may take that action or make that determination. Where this Plan references the “Administrator.” the action may be taken or determination made by the Board or the Committee. All actions and determinations by any Administrator are subject to the provisions of this Plan.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Authority of Administrator.</w:t>
      </w:r>
      <w:r>
        <w:rPr>
          <w:rFonts w:ascii="Arial" w:cs="Arial" w:eastAsia="Arial" w:hAnsi="Arial"/>
          <w:sz w:val="14"/>
          <w:szCs w:val="14"/>
          <w:color w:val="auto"/>
        </w:rPr>
        <w:t xml:space="preserve"> Subject to the other provisions of this Plan, the Administrator shall have the authority to:</w:t>
      </w:r>
    </w:p>
    <w:p>
      <w:pPr>
        <w:spacing w:after="0" w:line="71" w:lineRule="exact"/>
        <w:rPr>
          <w:sz w:val="20"/>
          <w:szCs w:val="20"/>
          <w:color w:val="auto"/>
        </w:rPr>
      </w:pPr>
    </w:p>
    <w:p>
      <w:pPr>
        <w:ind w:left="1100" w:hanging="180"/>
        <w:spacing w:after="0"/>
        <w:tabs>
          <w:tab w:leader="none" w:pos="11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grant Awards, including Substitute Awards;</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determine the Fair Market Value of Shares;</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determine the Option Price and the Purchase Price of Awards;</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select the Awardees;</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determine the times Awards are granted;</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determine the number of Shares subject to each Award;</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determine the types of payment that may be used to purchase Award Shares;</w:t>
      </w:r>
    </w:p>
    <w:p>
      <w:pPr>
        <w:spacing w:after="0" w:line="131" w:lineRule="exact"/>
        <w:rPr>
          <w:rFonts w:ascii="Arial" w:cs="Arial" w:eastAsia="Arial" w:hAnsi="Arial"/>
          <w:sz w:val="14"/>
          <w:szCs w:val="14"/>
          <w:color w:val="auto"/>
        </w:rPr>
      </w:pPr>
    </w:p>
    <w:p>
      <w:pPr>
        <w:ind w:left="5700" w:right="5600" w:hanging="4780"/>
        <w:spacing w:after="0" w:line="395" w:lineRule="auto"/>
        <w:tabs>
          <w:tab w:leader="none" w:pos="1113" w:val="left"/>
        </w:tabs>
        <w:numPr>
          <w:ilvl w:val="0"/>
          <w:numId w:val="205"/>
        </w:numPr>
        <w:rPr>
          <w:rFonts w:ascii="Arial" w:cs="Arial" w:eastAsia="Arial" w:hAnsi="Arial"/>
          <w:sz w:val="12"/>
          <w:szCs w:val="12"/>
          <w:color w:val="auto"/>
        </w:rPr>
      </w:pPr>
      <w:r>
        <w:rPr>
          <w:rFonts w:ascii="Arial" w:cs="Arial" w:eastAsia="Arial" w:hAnsi="Arial"/>
          <w:sz w:val="12"/>
          <w:szCs w:val="12"/>
          <w:color w:val="auto"/>
        </w:rPr>
        <w:t>determine the types of payment that may be used to satisfy withholding tax obligations; 6</w:t>
      </w:r>
    </w:p>
    <w:p>
      <w:pPr>
        <w:sectPr>
          <w:pgSz w:w="11900" w:h="16838" w:orient="portrait"/>
          <w:cols w:equalWidth="0" w:num="1">
            <w:col w:w="11460"/>
          </w:cols>
          <w:pgMar w:left="220" w:top="245" w:right="219" w:bottom="1440" w:gutter="0" w:footer="0" w:header="0"/>
        </w:sectPr>
      </w:pPr>
    </w:p>
    <w:bookmarkStart w:id="301" w:name="page302"/>
    <w:bookmarkEnd w:id="301"/>
    <w:p>
      <w:pPr>
        <w:ind w:right="220" w:firstLine="920"/>
        <w:spacing w:after="0" w:line="267" w:lineRule="auto"/>
        <w:tabs>
          <w:tab w:leader="none" w:pos="1079" w:val="left"/>
        </w:tabs>
        <w:numPr>
          <w:ilvl w:val="0"/>
          <w:numId w:val="20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determine the other terms of each Award, including but not limited to the time or times at which Awards may be exercised, whether and under what conditions an Award is assignable, and whether an Option is a Nonstatutory Option or an Incentive Stock Option;</w:t>
      </w:r>
    </w:p>
    <w:p>
      <w:pPr>
        <w:spacing w:after="0" w:line="101" w:lineRule="exact"/>
        <w:rPr>
          <w:rFonts w:ascii="Arial" w:cs="Arial" w:eastAsia="Arial" w:hAnsi="Arial"/>
          <w:sz w:val="14"/>
          <w:szCs w:val="14"/>
          <w:color w:val="auto"/>
        </w:rPr>
      </w:pPr>
    </w:p>
    <w:p>
      <w:pPr>
        <w:ind w:left="1080" w:hanging="160"/>
        <w:spacing w:after="0"/>
        <w:tabs>
          <w:tab w:leader="none" w:pos="10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modify or amend any Award;</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authorize any person to sign any Award Agreement or other document related to this Plan on behalf of the Company;</w:t>
      </w:r>
    </w:p>
    <w:p>
      <w:pPr>
        <w:spacing w:after="0" w:line="132" w:lineRule="exact"/>
        <w:rPr>
          <w:sz w:val="20"/>
          <w:szCs w:val="20"/>
          <w:color w:val="auto"/>
        </w:rPr>
      </w:pPr>
    </w:p>
    <w:p>
      <w:pPr>
        <w:ind w:left="1120" w:hanging="200"/>
        <w:spacing w:after="0"/>
        <w:tabs>
          <w:tab w:leader="none" w:pos="112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determine the form of any Award Agreement or other document related to this Plan, and whether that document, including signatures, may be in electronic form;</w:t>
      </w:r>
    </w:p>
    <w:p>
      <w:pPr>
        <w:spacing w:after="0" w:line="131"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(m) interpret this Plan and any Award Agreement or document related to this Plan;</w:t>
      </w:r>
    </w:p>
    <w:p>
      <w:pPr>
        <w:spacing w:after="0" w:line="131"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(n) correct any defect, remedy any omission, or reconcile any inconsistency in this Plan, any Award Agreement or any other document related to this Plan;</w:t>
      </w:r>
    </w:p>
    <w:p>
      <w:pPr>
        <w:spacing w:after="0" w:line="131"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(o) adopt, amend, and revoke rules and regulations under this Plan, including rules and regulations relating to sub-plans and Plan addenda;</w:t>
      </w:r>
    </w:p>
    <w:p>
      <w:pPr>
        <w:spacing w:after="0" w:line="132" w:lineRule="exact"/>
        <w:rPr>
          <w:sz w:val="20"/>
          <w:szCs w:val="20"/>
          <w:color w:val="auto"/>
        </w:rPr>
      </w:pPr>
    </w:p>
    <w:p>
      <w:pPr>
        <w:ind w:firstLine="920"/>
        <w:spacing w:after="0" w:line="321" w:lineRule="auto"/>
        <w:tabs>
          <w:tab w:leader="none" w:pos="1109"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adopt, amend, and revoke special rules and procedures which may be inconsistent with the terms of this Plan, set forth (if the Administrator so chooses) in sub-plans regarding (for example) the operation and administration of this Plan and the terms of Awards, if and to the extent necessary or useful to accommodate non-U.S. Applicable Laws and practices as they apply to Awards and Option Shares held by, or granted or issued to, persons working or resident outside of the United States or employed by Affiliates incorporated outside the United States;</w:t>
      </w:r>
    </w:p>
    <w:p>
      <w:pPr>
        <w:spacing w:after="0" w:line="73" w:lineRule="exact"/>
        <w:rPr>
          <w:rFonts w:ascii="Arial" w:cs="Arial" w:eastAsia="Arial" w:hAnsi="Arial"/>
          <w:sz w:val="12"/>
          <w:szCs w:val="12"/>
          <w:color w:val="auto"/>
        </w:rPr>
      </w:pPr>
    </w:p>
    <w:p>
      <w:pPr>
        <w:ind w:left="1120" w:hanging="200"/>
        <w:spacing w:after="0"/>
        <w:tabs>
          <w:tab w:leader="none" w:pos="112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determine whether a transaction or event should be treated as a Change of Control, a Divestiture or neither;</w:t>
      </w:r>
    </w:p>
    <w:p>
      <w:pPr>
        <w:spacing w:after="0" w:line="131" w:lineRule="exact"/>
        <w:rPr>
          <w:rFonts w:ascii="Arial" w:cs="Arial" w:eastAsia="Arial" w:hAnsi="Arial"/>
          <w:sz w:val="14"/>
          <w:szCs w:val="14"/>
          <w:color w:val="auto"/>
        </w:rPr>
      </w:pPr>
    </w:p>
    <w:p>
      <w:pPr>
        <w:ind w:right="260" w:firstLine="920"/>
        <w:spacing w:after="0" w:line="267" w:lineRule="auto"/>
        <w:tabs>
          <w:tab w:leader="none" w:pos="1086" w:val="left"/>
        </w:tabs>
        <w:numPr>
          <w:ilvl w:val="0"/>
          <w:numId w:val="208"/>
        </w:numPr>
        <w:rPr>
          <w:rFonts w:ascii="Arial" w:cs="Arial" w:eastAsia="Arial" w:hAnsi="Arial"/>
          <w:sz w:val="14"/>
          <w:szCs w:val="14"/>
          <w:color w:val="auto"/>
        </w:rPr>
      </w:pPr>
      <w:r>
        <w:rPr>
          <w:rFonts w:ascii="Arial" w:cs="Arial" w:eastAsia="Arial" w:hAnsi="Arial"/>
          <w:sz w:val="14"/>
          <w:szCs w:val="14"/>
          <w:color w:val="auto"/>
        </w:rPr>
        <w:t>determine the effect of a Fundamental Transaction and, if the Board determines that a transaction or event should be treated as a Change of Control or a Divestiture, then the effect of that Change of Control or Divestiture; and</w:t>
      </w:r>
    </w:p>
    <w:p>
      <w:pPr>
        <w:spacing w:after="0" w:line="101" w:lineRule="exact"/>
        <w:rPr>
          <w:rFonts w:ascii="Arial" w:cs="Arial" w:eastAsia="Arial" w:hAnsi="Arial"/>
          <w:sz w:val="14"/>
          <w:szCs w:val="14"/>
          <w:color w:val="auto"/>
        </w:rPr>
      </w:pPr>
    </w:p>
    <w:p>
      <w:pPr>
        <w:ind w:left="1100" w:hanging="180"/>
        <w:spacing w:after="0"/>
        <w:tabs>
          <w:tab w:leader="none" w:pos="110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make all other determinations the Administrator deems necessary or advisable for the administration of this Plan.</w:t>
      </w:r>
    </w:p>
    <w:p>
      <w:pPr>
        <w:spacing w:after="0" w:line="130"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Scope of Discretion.</w:t>
      </w:r>
      <w:r>
        <w:rPr>
          <w:rFonts w:ascii="Arial" w:cs="Arial" w:eastAsia="Arial" w:hAnsi="Arial"/>
          <w:sz w:val="14"/>
          <w:szCs w:val="14"/>
          <w:color w:val="auto"/>
        </w:rPr>
        <w:t xml:space="preserve"> Subject to the last sentence of this Section 4.3, on all matters for which this Plan confers the authority, right or power on the Board or the Committee, that body may make those decisions in its sole and absolute discretion.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247" w:right="219" w:bottom="1440" w:gutter="0" w:footer="0" w:header="0"/>
        </w:sectPr>
      </w:pPr>
    </w:p>
    <w:bookmarkStart w:id="302" w:name="page303"/>
    <w:bookmarkEnd w:id="302"/>
    <w:p>
      <w:pPr>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Those decisions will be final, binding and conclusive. Moreover, but again subject to the last sentence of this Section 4.3, in making those decisions the Board or Committee need not treat all persons eligible to receive Awards, all Awardees, all Awards or all Award Shares the same way. However, except as provided in Section 13.3, the discretion of the Board or Committee is subject to the specific provisions and specific limitations of this Plan, as well as all rights conferred on specific Awardees by Award Agreements and other agreements.</w:t>
      </w:r>
    </w:p>
    <w:p>
      <w:pPr>
        <w:spacing w:after="0" w:line="200" w:lineRule="exact"/>
        <w:rPr>
          <w:sz w:val="20"/>
          <w:szCs w:val="20"/>
          <w:color w:val="auto"/>
        </w:rPr>
      </w:pPr>
    </w:p>
    <w:p>
      <w:pPr>
        <w:ind w:left="460" w:hanging="456"/>
        <w:spacing w:after="0"/>
        <w:tabs>
          <w:tab w:leader="none" w:pos="460" w:val="left"/>
        </w:tabs>
        <w:numPr>
          <w:ilvl w:val="0"/>
          <w:numId w:val="209"/>
        </w:numPr>
        <w:rPr>
          <w:rFonts w:ascii="Arial" w:cs="Arial" w:eastAsia="Arial" w:hAnsi="Arial"/>
          <w:sz w:val="14"/>
          <w:szCs w:val="14"/>
          <w:color w:val="auto"/>
        </w:rPr>
      </w:pPr>
      <w:r>
        <w:rPr>
          <w:rFonts w:ascii="Arial" w:cs="Arial" w:eastAsia="Arial" w:hAnsi="Arial"/>
          <w:sz w:val="14"/>
          <w:szCs w:val="14"/>
          <w:b w:val="1"/>
          <w:bCs w:val="1"/>
          <w:color w:val="auto"/>
        </w:rPr>
        <w:t>Persons Eligible to Receive Awards</w:t>
      </w:r>
    </w:p>
    <w:p>
      <w:pPr>
        <w:spacing w:after="0" w:line="69" w:lineRule="exact"/>
        <w:rPr>
          <w:sz w:val="20"/>
          <w:szCs w:val="20"/>
          <w:color w:val="auto"/>
        </w:rPr>
      </w:pPr>
    </w:p>
    <w:p>
      <w:pPr>
        <w:ind w:right="160" w:firstLine="458"/>
        <w:spacing w:after="0" w:line="355"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b w:val="1"/>
          <w:bCs w:val="1"/>
          <w:color w:val="auto"/>
        </w:rPr>
        <w:t>Eligible Individuals.</w:t>
      </w:r>
      <w:r>
        <w:rPr>
          <w:rFonts w:ascii="Arial" w:cs="Arial" w:eastAsia="Arial" w:hAnsi="Arial"/>
          <w:sz w:val="12"/>
          <w:szCs w:val="12"/>
          <w:color w:val="auto"/>
        </w:rPr>
        <w:t xml:space="preserve"> Awards (including Substitute Awards) may be granted to, and only to. Employees, Directors and Consultants, including to prospective Employees, Directors and Consultants conditioned on the beginning of their service for the Company or an Affiliate. However, Incentive Stock Options may only be granted to Employees as provided in Section 7(g).</w:t>
      </w:r>
    </w:p>
    <w:p>
      <w:pPr>
        <w:spacing w:after="0" w:line="145" w:lineRule="exact"/>
        <w:rPr>
          <w:sz w:val="20"/>
          <w:szCs w:val="20"/>
          <w:color w:val="auto"/>
        </w:rPr>
      </w:pPr>
    </w:p>
    <w:p>
      <w:pPr>
        <w:ind w:left="460" w:hanging="456"/>
        <w:spacing w:after="0"/>
        <w:tabs>
          <w:tab w:leader="none" w:pos="460" w:val="left"/>
        </w:tabs>
        <w:numPr>
          <w:ilvl w:val="0"/>
          <w:numId w:val="210"/>
        </w:numPr>
        <w:rPr>
          <w:rFonts w:ascii="Arial" w:cs="Arial" w:eastAsia="Arial" w:hAnsi="Arial"/>
          <w:sz w:val="14"/>
          <w:szCs w:val="14"/>
          <w:color w:val="auto"/>
        </w:rPr>
      </w:pPr>
      <w:r>
        <w:rPr>
          <w:rFonts w:ascii="Arial" w:cs="Arial" w:eastAsia="Arial" w:hAnsi="Arial"/>
          <w:sz w:val="14"/>
          <w:szCs w:val="14"/>
          <w:b w:val="1"/>
          <w:bCs w:val="1"/>
          <w:color w:val="auto"/>
        </w:rPr>
        <w:t>Terms and Conditions of Options</w:t>
      </w:r>
    </w:p>
    <w:p>
      <w:pPr>
        <w:spacing w:after="0" w:line="70"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The following rules apply to all Options:</w:t>
      </w:r>
    </w:p>
    <w:p>
      <w:pPr>
        <w:spacing w:after="0" w:line="6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Price.</w:t>
      </w:r>
      <w:r>
        <w:rPr>
          <w:rFonts w:ascii="Arial" w:cs="Arial" w:eastAsia="Arial" w:hAnsi="Arial"/>
          <w:sz w:val="14"/>
          <w:szCs w:val="14"/>
          <w:color w:val="auto"/>
        </w:rPr>
        <w:t xml:space="preserve"> If an Option is granted to a person who, at the Grant Date, owns more than 10% of the voting power of the Company or any corporate Affiliate, that Option shall have an Option Price equal to or greater than 110% of the Fair Market Value of the Shares on the Grant Date. In no event will the Option Price of any Option be less than the par value of the Shares issuable under the Option if that is required by Applicable Law. The Option Price of an Incentive Stock Option shall be subject to Section 7(f).</w:t>
      </w:r>
    </w:p>
    <w:p>
      <w:pPr>
        <w:spacing w:after="0" w:line="106"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Term.</w:t>
      </w:r>
      <w:r>
        <w:rPr>
          <w:rFonts w:ascii="Arial" w:cs="Arial" w:eastAsia="Arial" w:hAnsi="Arial"/>
          <w:sz w:val="14"/>
          <w:szCs w:val="14"/>
          <w:color w:val="auto"/>
        </w:rPr>
        <w:t xml:space="preserve"> No Option shall be exercisable after its Expiration Date. No Option may have an Expiration Date that is more than ten years after its Grant Date. Additional provisions regarding the term of Incentive Stock Options are provided in Sections 7(a) and 7(e).</w:t>
      </w:r>
    </w:p>
    <w:p>
      <w:pPr>
        <w:spacing w:after="0" w:line="97" w:lineRule="exact"/>
        <w:rPr>
          <w:sz w:val="20"/>
          <w:szCs w:val="20"/>
          <w:color w:val="auto"/>
        </w:rPr>
      </w:pPr>
    </w:p>
    <w:p>
      <w:pPr>
        <w:ind w:right="120" w:firstLine="458"/>
        <w:spacing w:after="0" w:line="259"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color w:val="auto"/>
        </w:rPr>
        <w:t>Vesting.</w:t>
      </w:r>
      <w:r>
        <w:rPr>
          <w:rFonts w:ascii="Arial" w:cs="Arial" w:eastAsia="Arial" w:hAnsi="Arial"/>
          <w:sz w:val="14"/>
          <w:szCs w:val="14"/>
          <w:color w:val="auto"/>
        </w:rPr>
        <w:t xml:space="preserve"> Options shall be exercisable: (a) on the Grant Date, or (b) in accordance with a schedule related to the Grant Date. the date the Optionee’s directorship, employment or consultancy begins, or a different date specified in the Option Agreement. If so provided in the Award Agreement, an Option may be exercisable subject to the application of Reverse Vesting to the Option Shares. Additional provisions regarding the vesting of Incentive Stock Options are provided in Section 7(c).</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20" w:top="247" w:right="239" w:bottom="1440" w:gutter="0" w:footer="0" w:header="0"/>
        </w:sectPr>
      </w:pPr>
    </w:p>
    <w:bookmarkStart w:id="303" w:name="page304"/>
    <w:bookmarkEnd w:id="303"/>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6.4 </w:t>
      </w:r>
      <w:r>
        <w:rPr>
          <w:rFonts w:ascii="Arial" w:cs="Arial" w:eastAsia="Arial" w:hAnsi="Arial"/>
          <w:sz w:val="14"/>
          <w:szCs w:val="14"/>
          <w:b w:val="1"/>
          <w:bCs w:val="1"/>
          <w:color w:val="auto"/>
        </w:rPr>
        <w:t>Form of Payment.</w:t>
      </w:r>
    </w:p>
    <w:p>
      <w:pPr>
        <w:spacing w:after="0" w:line="134" w:lineRule="exact"/>
        <w:rPr>
          <w:sz w:val="20"/>
          <w:szCs w:val="20"/>
          <w:color w:val="auto"/>
        </w:rPr>
      </w:pPr>
    </w:p>
    <w:p>
      <w:pPr>
        <w:ind w:left="1100" w:hanging="180"/>
        <w:spacing w:after="0"/>
        <w:tabs>
          <w:tab w:leader="none" w:pos="110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Administrator shall determine the acceptable form and method of payment for exercising an Option.</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Acceptable forms of payment for all Option Shares are cash, check or wire transfer, denominated in U.S. dollars except as specified by the Administrator for non-U.S. Employees or non-U.S.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sub-plans.</w:t>
      </w:r>
    </w:p>
    <w:p>
      <w:pPr>
        <w:spacing w:after="0" w:line="126" w:lineRule="exact"/>
        <w:rPr>
          <w:sz w:val="20"/>
          <w:szCs w:val="20"/>
          <w:color w:val="auto"/>
        </w:rPr>
      </w:pPr>
    </w:p>
    <w:p>
      <w:pPr>
        <w:ind w:left="1100" w:hanging="180"/>
        <w:spacing w:after="0"/>
        <w:tabs>
          <w:tab w:leader="none" w:pos="110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In addition, the Administrator may permit payment to be made by any of the following methods:</w:t>
      </w:r>
    </w:p>
    <w:p>
      <w:pPr>
        <w:spacing w:after="0" w:line="68" w:lineRule="exact"/>
        <w:rPr>
          <w:rFonts w:ascii="Arial" w:cs="Arial" w:eastAsia="Arial" w:hAnsi="Arial"/>
          <w:sz w:val="14"/>
          <w:szCs w:val="14"/>
          <w:color w:val="auto"/>
        </w:rPr>
      </w:pPr>
    </w:p>
    <w:p>
      <w:pPr>
        <w:ind w:left="920" w:right="60" w:firstLine="422"/>
        <w:spacing w:after="0" w:line="258" w:lineRule="auto"/>
        <w:tabs>
          <w:tab w:leader="none" w:pos="1504" w:val="left"/>
        </w:tabs>
        <w:numPr>
          <w:ilvl w:val="1"/>
          <w:numId w:val="212"/>
        </w:numPr>
        <w:rPr>
          <w:rFonts w:ascii="Arial" w:cs="Arial" w:eastAsia="Arial" w:hAnsi="Arial"/>
          <w:sz w:val="14"/>
          <w:szCs w:val="14"/>
          <w:color w:val="auto"/>
        </w:rPr>
      </w:pPr>
      <w:r>
        <w:rPr>
          <w:rFonts w:ascii="Arial" w:cs="Arial" w:eastAsia="Arial" w:hAnsi="Arial"/>
          <w:sz w:val="14"/>
          <w:szCs w:val="14"/>
          <w:color w:val="auto"/>
        </w:rPr>
        <w:t>other Shares, or the designation of other Shares, which (A) are “mature” shares for purposes of avoiding variable accounting treatment under generally accepted accounting principles (generally mature shares are those that have been owned by the Optionee for more than six months on the date of surrender), and (B) have a Fair Market Value on the date of surrender equal to the Option Price of the Shares as to which the Option is being exercised;</w:t>
      </w:r>
    </w:p>
    <w:p>
      <w:pPr>
        <w:spacing w:after="0" w:line="107" w:lineRule="exact"/>
        <w:rPr>
          <w:rFonts w:ascii="Arial" w:cs="Arial" w:eastAsia="Arial" w:hAnsi="Arial"/>
          <w:sz w:val="14"/>
          <w:szCs w:val="14"/>
          <w:color w:val="auto"/>
        </w:rPr>
      </w:pPr>
    </w:p>
    <w:p>
      <w:pPr>
        <w:ind w:left="920" w:right="260" w:firstLine="422"/>
        <w:spacing w:after="0" w:line="321" w:lineRule="auto"/>
        <w:tabs>
          <w:tab w:leader="none" w:pos="1542" w:val="left"/>
        </w:tabs>
        <w:numPr>
          <w:ilvl w:val="1"/>
          <w:numId w:val="212"/>
        </w:numPr>
        <w:rPr>
          <w:rFonts w:ascii="Arial" w:cs="Arial" w:eastAsia="Arial" w:hAnsi="Arial"/>
          <w:sz w:val="12"/>
          <w:szCs w:val="12"/>
          <w:color w:val="auto"/>
        </w:rPr>
      </w:pPr>
      <w:r>
        <w:rPr>
          <w:rFonts w:ascii="Arial" w:cs="Arial" w:eastAsia="Arial" w:hAnsi="Arial"/>
          <w:sz w:val="12"/>
          <w:szCs w:val="12"/>
          <w:color w:val="auto"/>
        </w:rPr>
        <w:t xml:space="preserve">provided that a public market exists for the Shares, consideration received by the Company under a procedure under which a broker-dealer that is a member of the National Association of Securities Dealers advances funds on behalf of an Optionee or sells Option Shares on behalf of an Optionee (a </w:t>
      </w:r>
      <w:r>
        <w:rPr>
          <w:rFonts w:ascii="Arial" w:cs="Arial" w:eastAsia="Arial" w:hAnsi="Arial"/>
          <w:sz w:val="12"/>
          <w:szCs w:val="12"/>
          <w:b w:val="1"/>
          <w:bCs w:val="1"/>
          <w:i w:val="1"/>
          <w:iCs w:val="1"/>
          <w:color w:val="auto"/>
        </w:rPr>
        <w:t>“cashless Exercise Procedure”</w:t>
      </w:r>
      <w:r>
        <w:rPr>
          <w:rFonts w:ascii="Arial" w:cs="Arial" w:eastAsia="Arial" w:hAnsi="Arial"/>
          <w:sz w:val="12"/>
          <w:szCs w:val="12"/>
          <w:color w:val="auto"/>
        </w:rPr>
        <w:t>), provided that if the Company extends or arranges for the extension of credit to an Optionee under any Cashless Exercise Procedure, no Officer or Director may participate in that Cashless Exercise Procedure;</w:t>
      </w:r>
    </w:p>
    <w:p>
      <w:pPr>
        <w:spacing w:after="0" w:line="73" w:lineRule="exact"/>
        <w:rPr>
          <w:rFonts w:ascii="Arial" w:cs="Arial" w:eastAsia="Arial" w:hAnsi="Arial"/>
          <w:sz w:val="12"/>
          <w:szCs w:val="12"/>
          <w:color w:val="auto"/>
        </w:rPr>
      </w:pPr>
    </w:p>
    <w:p>
      <w:pPr>
        <w:ind w:left="1580" w:hanging="238"/>
        <w:spacing w:after="0"/>
        <w:tabs>
          <w:tab w:leader="none" w:pos="1580" w:val="left"/>
        </w:tabs>
        <w:numPr>
          <w:ilvl w:val="1"/>
          <w:numId w:val="212"/>
        </w:numPr>
        <w:rPr>
          <w:rFonts w:ascii="Arial" w:cs="Arial" w:eastAsia="Arial" w:hAnsi="Arial"/>
          <w:sz w:val="14"/>
          <w:szCs w:val="14"/>
          <w:color w:val="auto"/>
        </w:rPr>
      </w:pPr>
      <w:r>
        <w:rPr>
          <w:rFonts w:ascii="Arial" w:cs="Arial" w:eastAsia="Arial" w:hAnsi="Arial"/>
          <w:sz w:val="14"/>
          <w:szCs w:val="14"/>
          <w:color w:val="auto"/>
        </w:rPr>
        <w:t>one or more promissory notes meeting the requirements of Section 6.4(e);</w:t>
      </w:r>
    </w:p>
    <w:p>
      <w:pPr>
        <w:spacing w:after="0" w:line="131" w:lineRule="exact"/>
        <w:rPr>
          <w:rFonts w:ascii="Arial" w:cs="Arial" w:eastAsia="Arial" w:hAnsi="Arial"/>
          <w:sz w:val="14"/>
          <w:szCs w:val="14"/>
          <w:color w:val="auto"/>
        </w:rPr>
      </w:pPr>
    </w:p>
    <w:p>
      <w:pPr>
        <w:ind w:left="920" w:right="260" w:firstLine="422"/>
        <w:spacing w:after="0" w:line="267" w:lineRule="auto"/>
        <w:tabs>
          <w:tab w:leader="none" w:pos="1572" w:val="left"/>
        </w:tabs>
        <w:numPr>
          <w:ilvl w:val="1"/>
          <w:numId w:val="212"/>
        </w:numPr>
        <w:rPr>
          <w:rFonts w:ascii="Arial" w:cs="Arial" w:eastAsia="Arial" w:hAnsi="Arial"/>
          <w:sz w:val="14"/>
          <w:szCs w:val="14"/>
          <w:color w:val="auto"/>
        </w:rPr>
      </w:pPr>
      <w:r>
        <w:rPr>
          <w:rFonts w:ascii="Arial" w:cs="Arial" w:eastAsia="Arial" w:hAnsi="Arial"/>
          <w:sz w:val="14"/>
          <w:szCs w:val="14"/>
          <w:color w:val="auto"/>
        </w:rPr>
        <w:t>cancellation of any debt owed by the Company or any Affiliate to the Optionee by the Company including without limitation waiver of compensation due or accrued for services previously rendered to the Company; and</w:t>
      </w:r>
    </w:p>
    <w:p>
      <w:pPr>
        <w:spacing w:after="0" w:line="101" w:lineRule="exact"/>
        <w:rPr>
          <w:rFonts w:ascii="Arial" w:cs="Arial" w:eastAsia="Arial" w:hAnsi="Arial"/>
          <w:sz w:val="14"/>
          <w:szCs w:val="14"/>
          <w:color w:val="auto"/>
        </w:rPr>
      </w:pPr>
    </w:p>
    <w:p>
      <w:pPr>
        <w:ind w:left="1540" w:hanging="198"/>
        <w:spacing w:after="0"/>
        <w:tabs>
          <w:tab w:leader="none" w:pos="1540" w:val="left"/>
        </w:tabs>
        <w:numPr>
          <w:ilvl w:val="1"/>
          <w:numId w:val="212"/>
        </w:numPr>
        <w:rPr>
          <w:rFonts w:ascii="Arial" w:cs="Arial" w:eastAsia="Arial" w:hAnsi="Arial"/>
          <w:sz w:val="14"/>
          <w:szCs w:val="14"/>
          <w:color w:val="auto"/>
        </w:rPr>
      </w:pPr>
      <w:r>
        <w:rPr>
          <w:rFonts w:ascii="Arial" w:cs="Arial" w:eastAsia="Arial" w:hAnsi="Arial"/>
          <w:sz w:val="14"/>
          <w:szCs w:val="14"/>
          <w:color w:val="auto"/>
        </w:rPr>
        <w:t>any combination of the methods of payment permitted by any paragraph of this Section 6.4.</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Administrator may also permit any other form or method of payment for Option Shares permitted by Applicable Law.</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promissory notes referred to in Section 6.4(c)(iii) must be full recourse. Unless the Administrator specifies otherwise after taking into account 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45" w:right="219" w:bottom="1440" w:gutter="0" w:footer="0" w:header="0"/>
        </w:sectPr>
      </w:pPr>
    </w:p>
    <w:bookmarkStart w:id="304" w:name="page305"/>
    <w:bookmarkEnd w:id="304"/>
    <w:p>
      <w:pPr>
        <w:ind w:right="8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relevant accounting issues, the notes shall bear interest at a fair market value rate when the Option is exercised. Interest on the notes shall also be at least sufficient to avoid imputation of interest under Sections 483, 1274, and 7872 of the Code. The notes and their administration shall at all times comply with any applicable margin rules of the Federal Reserve. Consultants may not purchase Option Shares with a note unless the note is adequately secured by collateral other than the Option Shares. The portion of the Option Price equal to the par value of the Option Shares shall in all events be paid in cash. The notes may also include such other terms as the Administrator specifies. Payment may not be made by promissory note by Officers or Directors if Shares are registered under Section 12 of the Exchange Act.</w:t>
      </w:r>
    </w:p>
    <w:p>
      <w:pPr>
        <w:spacing w:after="0" w:line="7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color w:val="auto"/>
        </w:rPr>
        <w:t>Nonassignability of Options.</w:t>
      </w:r>
      <w:r>
        <w:rPr>
          <w:rFonts w:ascii="Arial" w:cs="Arial" w:eastAsia="Arial" w:hAnsi="Arial"/>
          <w:sz w:val="14"/>
          <w:szCs w:val="14"/>
          <w:color w:val="auto"/>
        </w:rPr>
        <w:t xml:space="preserve"> Except as set forth in any Award Agreement or determined by the Administrator, no Option shall be assignable or otherwise transferable by the Optionee except by will or by the laws of descent and distribution. However, Options may be transferred and exercised in accordance with a Domestic Relations Order and may be exercised by a guardian or conservator appointed to act for the Optionee. Incentive Stock Options may only be assigned in compliance with Section 7(h).</w:t>
      </w:r>
    </w:p>
    <w:p>
      <w:pPr>
        <w:spacing w:after="0" w:line="106" w:lineRule="exact"/>
        <w:rPr>
          <w:sz w:val="20"/>
          <w:szCs w:val="20"/>
          <w:color w:val="auto"/>
        </w:rPr>
      </w:pPr>
    </w:p>
    <w:p>
      <w:pPr>
        <w:ind w:right="40" w:firstLine="458"/>
        <w:spacing w:after="0" w:line="312" w:lineRule="auto"/>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b w:val="1"/>
          <w:bCs w:val="1"/>
          <w:color w:val="auto"/>
        </w:rPr>
        <w:t>Substitute Options.</w:t>
      </w:r>
      <w:r>
        <w:rPr>
          <w:rFonts w:ascii="Arial" w:cs="Arial" w:eastAsia="Arial" w:hAnsi="Arial"/>
          <w:sz w:val="12"/>
          <w:szCs w:val="12"/>
          <w:color w:val="auto"/>
        </w:rPr>
        <w:t xml:space="preserve"> The Board may cause the Company to grant Substitute Options in connection with the acquisition by the Company or an Affiliate of equity securities of any entity (including by merger, tender offer, or other similar transaction) or of all or a portion of the assets of any entity. Any such substitution shall be effective when the acquisition closes. Substitute Options may be Nonstatutory Options or Incentive Stock Options. Unless and to the extent specified otherwise by the Board, Substitute Options shall have the same terms and conditions as the options they replace, except that (subject to Section 10) Substitute Options shall be Options to purchase Shares rather than equity securities of the granting entity and shall have an Option Price determined by the Board.</w:t>
      </w:r>
    </w:p>
    <w:p>
      <w:pPr>
        <w:spacing w:after="0" w:line="170" w:lineRule="exact"/>
        <w:rPr>
          <w:sz w:val="20"/>
          <w:szCs w:val="20"/>
          <w:color w:val="auto"/>
        </w:rPr>
      </w:pPr>
    </w:p>
    <w:p>
      <w:pPr>
        <w:ind w:left="460" w:hanging="456"/>
        <w:spacing w:after="0"/>
        <w:tabs>
          <w:tab w:leader="none" w:pos="460" w:val="left"/>
        </w:tabs>
        <w:numPr>
          <w:ilvl w:val="0"/>
          <w:numId w:val="213"/>
        </w:numPr>
        <w:rPr>
          <w:rFonts w:ascii="Arial" w:cs="Arial" w:eastAsia="Arial" w:hAnsi="Arial"/>
          <w:sz w:val="14"/>
          <w:szCs w:val="14"/>
          <w:color w:val="auto"/>
        </w:rPr>
      </w:pPr>
      <w:r>
        <w:rPr>
          <w:rFonts w:ascii="Arial" w:cs="Arial" w:eastAsia="Arial" w:hAnsi="Arial"/>
          <w:sz w:val="14"/>
          <w:szCs w:val="14"/>
          <w:b w:val="1"/>
          <w:bCs w:val="1"/>
          <w:color w:val="auto"/>
        </w:rPr>
        <w:t>Incentive Stock Options</w:t>
      </w:r>
    </w:p>
    <w:p>
      <w:pPr>
        <w:spacing w:after="0" w:line="71" w:lineRule="exact"/>
        <w:rPr>
          <w:sz w:val="20"/>
          <w:szCs w:val="20"/>
          <w:color w:val="auto"/>
        </w:rPr>
      </w:pPr>
    </w:p>
    <w:p>
      <w:pPr>
        <w:ind w:right="40" w:firstLine="458"/>
        <w:spacing w:after="0" w:line="258" w:lineRule="auto"/>
        <w:rPr>
          <w:sz w:val="20"/>
          <w:szCs w:val="20"/>
          <w:color w:val="auto"/>
        </w:rPr>
      </w:pPr>
      <w:r>
        <w:rPr>
          <w:rFonts w:ascii="Arial" w:cs="Arial" w:eastAsia="Arial" w:hAnsi="Arial"/>
          <w:sz w:val="14"/>
          <w:szCs w:val="14"/>
          <w:color w:val="auto"/>
        </w:rPr>
        <w:t>The following rules apply only to Incentive Stock Options and only to the extent these rules are more restrictive than the rules that would otherwise apply under this Plan. With the consent of the Optionee, or where this Plan provides that an action may be taken notwithstanding any other provision of this Plan, the Administrator may deviate from the requirements of this Section, notwithstanding that any Incentive Stock Option modified by the Administrator will thereafter be treated as a Nonstatutory Option.</w:t>
      </w:r>
    </w:p>
    <w:p>
      <w:pPr>
        <w:spacing w:after="0" w:line="108" w:lineRule="exact"/>
        <w:rPr>
          <w:sz w:val="20"/>
          <w:szCs w:val="20"/>
          <w:color w:val="auto"/>
        </w:rPr>
      </w:pPr>
    </w:p>
    <w:p>
      <w:pPr>
        <w:ind w:right="80" w:firstLine="920"/>
        <w:spacing w:after="0" w:line="267" w:lineRule="auto"/>
        <w:tabs>
          <w:tab w:leader="none" w:pos="1101"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Expiration Date of an Incentive Stock Option shall not be later than ten years from its Grant Date, with the result that no Incentive Stock Option may be exercised after the expiration of ten years from its Grant Date.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47" w:right="219" w:bottom="1440" w:gutter="0" w:footer="0" w:header="0"/>
        </w:sectPr>
      </w:pPr>
    </w:p>
    <w:bookmarkStart w:id="305" w:name="page306"/>
    <w:bookmarkEnd w:id="305"/>
    <w:p>
      <w:pPr>
        <w:ind w:left="1120" w:hanging="200"/>
        <w:spacing w:after="0"/>
        <w:tabs>
          <w:tab w:leader="none" w:pos="1120" w:val="left"/>
        </w:tabs>
        <w:numPr>
          <w:ilvl w:val="0"/>
          <w:numId w:val="21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No Incentive Stock Option may be granted more than ten years from the date this Plan was approved by the Board.</w:t>
      </w:r>
    </w:p>
    <w:p>
      <w:pPr>
        <w:spacing w:after="0" w:line="131" w:lineRule="exact"/>
        <w:rPr>
          <w:rFonts w:ascii="Arial" w:cs="Arial" w:eastAsia="Arial" w:hAnsi="Arial"/>
          <w:sz w:val="14"/>
          <w:szCs w:val="14"/>
          <w:color w:val="auto"/>
        </w:rPr>
      </w:pPr>
    </w:p>
    <w:p>
      <w:pPr>
        <w:ind w:firstLine="920"/>
        <w:spacing w:after="0" w:line="300" w:lineRule="auto"/>
        <w:tabs>
          <w:tab w:leader="none" w:pos="1101" w:val="left"/>
        </w:tabs>
        <w:numPr>
          <w:ilvl w:val="0"/>
          <w:numId w:val="215"/>
        </w:numPr>
        <w:rPr>
          <w:rFonts w:ascii="Arial" w:cs="Arial" w:eastAsia="Arial" w:hAnsi="Arial"/>
          <w:sz w:val="12"/>
          <w:szCs w:val="12"/>
          <w:color w:val="auto"/>
        </w:rPr>
      </w:pPr>
      <w:r>
        <w:rPr>
          <w:rFonts w:ascii="Arial" w:cs="Arial" w:eastAsia="Arial" w:hAnsi="Arial"/>
          <w:sz w:val="12"/>
          <w:szCs w:val="12"/>
          <w:color w:val="auto"/>
        </w:rPr>
        <w:t>Options intended to be incentive stock options under Section 422 of the Code that are granted to any single Optionee under all incentive stock option plans of the Company and its Affiliates, including Incentive Stock Options granted under this Plan, may not vest at a rate of more than $100,000 in Fair Market Value of stock (measured on the grant dates of the options) during any calendar year. For this purpose, an option vests with respect to a given share of stock the first time its holder may purchase that share, notwithstanding any right of the Company to repurchase that share. Unless the administrator of that option plan specifies otherwise in the related agreement governing the option. this vesting limitation shall be applied by, to the extent necessary to satisfy this $100,000 rule, treating certain stock options that were intended to be incentive stock options under Section 422 of the Code as Nonstatutory Options. The stock options or portions of stock options to be reclassified as Nonstatutory Options are those with the highest option prices, whether granted under this Plan or any other equity compensation plan of the Company or any Affiliate that permits that treatment. This Section 7(c) shall not cause an Incentive Stock Option to vest before its original vesting date or cause an Incentive Stock Option that has already vested to cease to be vested.</w:t>
      </w:r>
    </w:p>
    <w:p>
      <w:pPr>
        <w:spacing w:after="0" w:line="88" w:lineRule="exact"/>
        <w:rPr>
          <w:rFonts w:ascii="Arial" w:cs="Arial" w:eastAsia="Arial" w:hAnsi="Arial"/>
          <w:sz w:val="12"/>
          <w:szCs w:val="12"/>
          <w:color w:val="auto"/>
        </w:rPr>
      </w:pPr>
    </w:p>
    <w:p>
      <w:pPr>
        <w:ind w:right="480" w:firstLine="920"/>
        <w:spacing w:after="0" w:line="267" w:lineRule="auto"/>
        <w:tabs>
          <w:tab w:leader="none" w:pos="1109" w:val="left"/>
        </w:tabs>
        <w:numPr>
          <w:ilvl w:val="0"/>
          <w:numId w:val="215"/>
        </w:numPr>
        <w:rPr>
          <w:rFonts w:ascii="Arial" w:cs="Arial" w:eastAsia="Arial" w:hAnsi="Arial"/>
          <w:sz w:val="14"/>
          <w:szCs w:val="14"/>
          <w:color w:val="auto"/>
        </w:rPr>
      </w:pPr>
      <w:r>
        <w:rPr>
          <w:rFonts w:ascii="Arial" w:cs="Arial" w:eastAsia="Arial" w:hAnsi="Arial"/>
          <w:sz w:val="14"/>
          <w:szCs w:val="14"/>
          <w:color w:val="auto"/>
        </w:rPr>
        <w:t>In order for an Incentive Stock Option to be exercised for any form of payment other than those described in Section 6.4(b), that right must be stated at the time of grant in the Award Agreement relating to that Incentive Stock Option.</w:t>
      </w:r>
    </w:p>
    <w:p>
      <w:pPr>
        <w:spacing w:after="0" w:line="101" w:lineRule="exact"/>
        <w:rPr>
          <w:rFonts w:ascii="Arial" w:cs="Arial" w:eastAsia="Arial" w:hAnsi="Arial"/>
          <w:sz w:val="14"/>
          <w:szCs w:val="14"/>
          <w:color w:val="auto"/>
        </w:rPr>
      </w:pPr>
    </w:p>
    <w:p>
      <w:pPr>
        <w:ind w:right="20" w:firstLine="920"/>
        <w:spacing w:after="0" w:line="258" w:lineRule="auto"/>
        <w:tabs>
          <w:tab w:leader="none" w:pos="1101" w:val="left"/>
        </w:tabs>
        <w:numPr>
          <w:ilvl w:val="0"/>
          <w:numId w:val="215"/>
        </w:numPr>
        <w:rPr>
          <w:rFonts w:ascii="Arial" w:cs="Arial" w:eastAsia="Arial" w:hAnsi="Arial"/>
          <w:sz w:val="14"/>
          <w:szCs w:val="14"/>
          <w:color w:val="auto"/>
        </w:rPr>
      </w:pPr>
      <w:r>
        <w:rPr>
          <w:rFonts w:ascii="Arial" w:cs="Arial" w:eastAsia="Arial" w:hAnsi="Arial"/>
          <w:sz w:val="14"/>
          <w:szCs w:val="14"/>
          <w:color w:val="auto"/>
        </w:rPr>
        <w:t xml:space="preserve">Any Incentive Stock Option granted to a Ten Percent Stockholder, must have an Expiration Date that is not later than five years from its Grant Date, with the result that no such Option may be exercised after the expiration of five years from the Grant Date. A </w:t>
      </w:r>
      <w:r>
        <w:rPr>
          <w:rFonts w:ascii="Arial" w:cs="Arial" w:eastAsia="Arial" w:hAnsi="Arial"/>
          <w:sz w:val="14"/>
          <w:szCs w:val="14"/>
          <w:b w:val="1"/>
          <w:bCs w:val="1"/>
          <w:i w:val="1"/>
          <w:iCs w:val="1"/>
          <w:color w:val="auto"/>
        </w:rPr>
        <w:t>“Ten Percent Stockholder”</w:t>
      </w:r>
      <w:r>
        <w:rPr>
          <w:rFonts w:ascii="Arial" w:cs="Arial" w:eastAsia="Arial" w:hAnsi="Arial"/>
          <w:sz w:val="14"/>
          <w:szCs w:val="14"/>
          <w:color w:val="auto"/>
        </w:rPr>
        <w:t xml:space="preserve"> is any person who, directly or by attribution under Section 424(d) of the Code, owns stock possessing more than ten percent of the total combined voting power of all classes of stock of the Company or of any Affiliate on the Grant Date.</w:t>
      </w:r>
    </w:p>
    <w:p>
      <w:pPr>
        <w:spacing w:after="0" w:line="107" w:lineRule="exact"/>
        <w:rPr>
          <w:rFonts w:ascii="Arial" w:cs="Arial" w:eastAsia="Arial" w:hAnsi="Arial"/>
          <w:sz w:val="14"/>
          <w:szCs w:val="14"/>
          <w:color w:val="auto"/>
        </w:rPr>
      </w:pPr>
    </w:p>
    <w:p>
      <w:pPr>
        <w:ind w:right="140" w:firstLine="920"/>
        <w:spacing w:after="0" w:line="267" w:lineRule="auto"/>
        <w:tabs>
          <w:tab w:leader="none" w:pos="1086" w:val="left"/>
        </w:tabs>
        <w:numPr>
          <w:ilvl w:val="0"/>
          <w:numId w:val="215"/>
        </w:numPr>
        <w:rPr>
          <w:rFonts w:ascii="Arial" w:cs="Arial" w:eastAsia="Arial" w:hAnsi="Arial"/>
          <w:sz w:val="14"/>
          <w:szCs w:val="14"/>
          <w:color w:val="auto"/>
        </w:rPr>
      </w:pPr>
      <w:r>
        <w:rPr>
          <w:rFonts w:ascii="Arial" w:cs="Arial" w:eastAsia="Arial" w:hAnsi="Arial"/>
          <w:sz w:val="14"/>
          <w:szCs w:val="14"/>
          <w:color w:val="auto"/>
        </w:rPr>
        <w:t>The Option Price of an Incentive Stock Option shall never be less than the Fair Market Value of the Shares at the Grant Date. The Option Price for the Shares covered by an Incentive Stock Option granted to a Ten Percent Stockholder shall never be less than 110% of the Fair Market Value of the Shares at the Grant Date.</w:t>
      </w:r>
    </w:p>
    <w:p>
      <w:pPr>
        <w:spacing w:after="0" w:line="101" w:lineRule="exact"/>
        <w:rPr>
          <w:rFonts w:ascii="Arial" w:cs="Arial" w:eastAsia="Arial" w:hAnsi="Arial"/>
          <w:sz w:val="14"/>
          <w:szCs w:val="14"/>
          <w:color w:val="auto"/>
        </w:rPr>
      </w:pPr>
    </w:p>
    <w:p>
      <w:pPr>
        <w:ind w:right="100" w:firstLine="920"/>
        <w:spacing w:after="0" w:line="267" w:lineRule="auto"/>
        <w:tabs>
          <w:tab w:leader="none" w:pos="1109" w:val="left"/>
        </w:tabs>
        <w:numPr>
          <w:ilvl w:val="0"/>
          <w:numId w:val="215"/>
        </w:numPr>
        <w:rPr>
          <w:rFonts w:ascii="Arial" w:cs="Arial" w:eastAsia="Arial" w:hAnsi="Arial"/>
          <w:sz w:val="14"/>
          <w:szCs w:val="14"/>
          <w:color w:val="auto"/>
        </w:rPr>
      </w:pPr>
      <w:r>
        <w:rPr>
          <w:rFonts w:ascii="Arial" w:cs="Arial" w:eastAsia="Arial" w:hAnsi="Arial"/>
          <w:sz w:val="14"/>
          <w:szCs w:val="14"/>
          <w:color w:val="auto"/>
        </w:rPr>
        <w:t>Incentive Stock Options may be granted only to Employees. If an Optionee changes status from an Employee to a Consultant, that Optionee’s Incentive Stock Options become Nonstatutory Options if not exercised within the time period described in Section 7(i).</w:t>
      </w:r>
    </w:p>
    <w:p>
      <w:pPr>
        <w:spacing w:after="0" w:line="101" w:lineRule="exact"/>
        <w:rPr>
          <w:rFonts w:ascii="Arial" w:cs="Arial" w:eastAsia="Arial" w:hAnsi="Arial"/>
          <w:sz w:val="14"/>
          <w:szCs w:val="14"/>
          <w:color w:val="auto"/>
        </w:rPr>
      </w:pPr>
    </w:p>
    <w:p>
      <w:pPr>
        <w:ind w:left="1120" w:hanging="200"/>
        <w:spacing w:after="0"/>
        <w:tabs>
          <w:tab w:leader="none" w:pos="112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No rights under an Incentive Stock Option may be transferred by the Optionee, other than by will or the laws of descent and distribution. During the life of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47" w:right="219" w:bottom="1440" w:gutter="0" w:footer="0" w:header="0"/>
        </w:sectPr>
      </w:pPr>
    </w:p>
    <w:bookmarkStart w:id="306" w:name="page307"/>
    <w:bookmarkEnd w:id="306"/>
    <w:p>
      <w:pPr>
        <w:ind w:right="4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Optionee, an Incentive Stock Option may be exercised only by the Optionee. The Company’s compliance with a Domestic Relations Order, or the exercise of an Incentive Stock Option by a guardian or conservator appointed to act for the Optionee, shall not violate this Section 7(h).</w:t>
      </w:r>
    </w:p>
    <w:p>
      <w:pPr>
        <w:spacing w:after="0" w:line="101" w:lineRule="exact"/>
        <w:rPr>
          <w:sz w:val="20"/>
          <w:szCs w:val="20"/>
          <w:color w:val="auto"/>
        </w:rPr>
      </w:pPr>
    </w:p>
    <w:p>
      <w:pPr>
        <w:ind w:firstLine="920"/>
        <w:spacing w:after="0" w:line="311" w:lineRule="auto"/>
        <w:tabs>
          <w:tab w:leader="none" w:pos="1079" w:val="left"/>
        </w:tabs>
        <w:numPr>
          <w:ilvl w:val="1"/>
          <w:numId w:val="216"/>
        </w:numPr>
        <w:rPr>
          <w:rFonts w:ascii="Arial" w:cs="Arial" w:eastAsia="Arial" w:hAnsi="Arial"/>
          <w:sz w:val="12"/>
          <w:szCs w:val="12"/>
          <w:color w:val="auto"/>
        </w:rPr>
      </w:pPr>
      <w:r>
        <w:rPr>
          <w:rFonts w:ascii="Arial" w:cs="Arial" w:eastAsia="Arial" w:hAnsi="Arial"/>
          <w:sz w:val="12"/>
          <w:szCs w:val="12"/>
          <w:color w:val="auto"/>
        </w:rPr>
        <w:t>An Incentive Stock Option shall be treated as a Nonstatutory Option if it remains exercisable after, and is not exercised within, the three-month period beginning with the Optionee’s Termination for any reason other than the Optionee’s death or disability (as defined in Section 22(c) of the Code). In the case of Termination due to death, an Incentive Stock Option shall continue to be treated as an Incentive Stock Option if it remains exercisable after, and is not exercised within, the three-month period after the Optionee’s Termination provided it is exercised before the Expiration Date. In the case of Termination due to disability, an Incentive Stock Option shall be treated as a Nonstatutory Option if it remains exercisable after, and is not exercised within, one year after the Optionee’s Termination.</w:t>
      </w:r>
    </w:p>
    <w:p>
      <w:pPr>
        <w:spacing w:after="0" w:line="78" w:lineRule="exact"/>
        <w:rPr>
          <w:rFonts w:ascii="Arial" w:cs="Arial" w:eastAsia="Arial" w:hAnsi="Arial"/>
          <w:sz w:val="12"/>
          <w:szCs w:val="12"/>
          <w:color w:val="auto"/>
        </w:rPr>
      </w:pPr>
    </w:p>
    <w:p>
      <w:pPr>
        <w:ind w:left="1080" w:hanging="160"/>
        <w:spacing w:after="0"/>
        <w:tabs>
          <w:tab w:leader="none" w:pos="1080" w:val="left"/>
        </w:tabs>
        <w:numPr>
          <w:ilvl w:val="1"/>
          <w:numId w:val="216"/>
        </w:numPr>
        <w:rPr>
          <w:rFonts w:ascii="Arial" w:cs="Arial" w:eastAsia="Arial" w:hAnsi="Arial"/>
          <w:sz w:val="14"/>
          <w:szCs w:val="14"/>
          <w:color w:val="auto"/>
        </w:rPr>
      </w:pPr>
      <w:r>
        <w:rPr>
          <w:rFonts w:ascii="Arial" w:cs="Arial" w:eastAsia="Arial" w:hAnsi="Arial"/>
          <w:sz w:val="14"/>
          <w:szCs w:val="14"/>
          <w:color w:val="auto"/>
        </w:rPr>
        <w:t>An Incentive Stock Option may only be modified by the Board.</w:t>
      </w:r>
    </w:p>
    <w:p>
      <w:pPr>
        <w:spacing w:after="0" w:line="223" w:lineRule="exact"/>
        <w:rPr>
          <w:rFonts w:ascii="Arial" w:cs="Arial" w:eastAsia="Arial" w:hAnsi="Arial"/>
          <w:sz w:val="14"/>
          <w:szCs w:val="14"/>
          <w:color w:val="auto"/>
        </w:rPr>
      </w:pPr>
    </w:p>
    <w:p>
      <w:pPr>
        <w:ind w:left="460" w:hanging="456"/>
        <w:spacing w:after="0"/>
        <w:tabs>
          <w:tab w:leader="none" w:pos="460" w:val="left"/>
        </w:tabs>
        <w:numPr>
          <w:ilvl w:val="0"/>
          <w:numId w:val="217"/>
        </w:numPr>
        <w:rPr>
          <w:rFonts w:ascii="Arial" w:cs="Arial" w:eastAsia="Arial" w:hAnsi="Arial"/>
          <w:sz w:val="14"/>
          <w:szCs w:val="14"/>
          <w:color w:val="auto"/>
        </w:rPr>
      </w:pPr>
      <w:r>
        <w:rPr>
          <w:rFonts w:ascii="Arial" w:cs="Arial" w:eastAsia="Arial" w:hAnsi="Arial"/>
          <w:sz w:val="14"/>
          <w:szCs w:val="14"/>
          <w:b w:val="1"/>
          <w:bCs w:val="1"/>
          <w:color w:val="auto"/>
        </w:rPr>
        <w:t>Stock Appreciation Rights, Stock Awards and Cash Awards</w:t>
      </w:r>
    </w:p>
    <w:p>
      <w:pPr>
        <w:spacing w:after="0" w:line="6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Stock Appreciation Rights.</w:t>
      </w:r>
      <w:r>
        <w:rPr>
          <w:rFonts w:ascii="Arial" w:cs="Arial" w:eastAsia="Arial" w:hAnsi="Arial"/>
          <w:sz w:val="14"/>
          <w:szCs w:val="14"/>
          <w:color w:val="auto"/>
        </w:rPr>
        <w:t xml:space="preserve"> The following rules apply to SARs:</w:t>
      </w:r>
    </w:p>
    <w:p>
      <w:pPr>
        <w:spacing w:after="0" w:line="68" w:lineRule="exact"/>
        <w:rPr>
          <w:rFonts w:ascii="Arial" w:cs="Arial" w:eastAsia="Arial" w:hAnsi="Arial"/>
          <w:sz w:val="14"/>
          <w:szCs w:val="14"/>
          <w:color w:val="auto"/>
        </w:rPr>
      </w:pPr>
    </w:p>
    <w:p>
      <w:pPr>
        <w:ind w:left="1100" w:hanging="180"/>
        <w:spacing w:after="0"/>
        <w:tabs>
          <w:tab w:leader="none" w:pos="1100" w:val="left"/>
        </w:tabs>
        <w:numPr>
          <w:ilvl w:val="1"/>
          <w:numId w:val="217"/>
        </w:numPr>
        <w:rPr>
          <w:rFonts w:ascii="Arial" w:cs="Arial" w:eastAsia="Arial" w:hAnsi="Arial"/>
          <w:sz w:val="14"/>
          <w:szCs w:val="14"/>
          <w:color w:val="auto"/>
        </w:rPr>
      </w:pPr>
      <w:r>
        <w:rPr>
          <w:rFonts w:ascii="Arial" w:cs="Arial" w:eastAsia="Arial" w:hAnsi="Arial"/>
          <w:sz w:val="14"/>
          <w:szCs w:val="14"/>
          <w:b w:val="1"/>
          <w:bCs w:val="1"/>
          <w:color w:val="auto"/>
        </w:rPr>
        <w:t xml:space="preserve">Term. </w:t>
      </w:r>
      <w:r>
        <w:rPr>
          <w:rFonts w:ascii="Arial" w:cs="Arial" w:eastAsia="Arial" w:hAnsi="Arial"/>
          <w:sz w:val="14"/>
          <w:szCs w:val="14"/>
          <w:color w:val="auto"/>
        </w:rPr>
        <w:t>No SAR shall be exercisable after its Expiration Date. No SAR may have an Expiration Date that is more than ten years after its Grant Date.</w:t>
      </w:r>
    </w:p>
    <w:p>
      <w:pPr>
        <w:spacing w:after="0" w:line="131" w:lineRule="exact"/>
        <w:rPr>
          <w:rFonts w:ascii="Arial" w:cs="Arial" w:eastAsia="Arial" w:hAnsi="Arial"/>
          <w:sz w:val="14"/>
          <w:szCs w:val="14"/>
          <w:color w:val="auto"/>
        </w:rPr>
      </w:pPr>
    </w:p>
    <w:p>
      <w:pPr>
        <w:ind w:right="340" w:firstLine="920"/>
        <w:spacing w:after="0" w:line="270" w:lineRule="auto"/>
        <w:tabs>
          <w:tab w:leader="none" w:pos="1109" w:val="left"/>
        </w:tabs>
        <w:numPr>
          <w:ilvl w:val="1"/>
          <w:numId w:val="217"/>
        </w:numPr>
        <w:rPr>
          <w:rFonts w:ascii="Arial" w:cs="Arial" w:eastAsia="Arial" w:hAnsi="Arial"/>
          <w:sz w:val="14"/>
          <w:szCs w:val="14"/>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SARs shall be exercisable: (a) on the Grant Date, (b) in accordance with a schedule related to the Grant Date, the date the Awardee’s directorship, employment or consultancy</w:t>
      </w:r>
      <w:r>
        <w:rPr>
          <w:rFonts w:ascii="Arial" w:cs="Arial" w:eastAsia="Arial" w:hAnsi="Arial"/>
          <w:sz w:val="14"/>
          <w:szCs w:val="14"/>
          <w:b w:val="1"/>
          <w:bCs w:val="1"/>
          <w:color w:val="auto"/>
        </w:rPr>
        <w:t xml:space="preserve"> </w:t>
      </w:r>
      <w:r>
        <w:rPr>
          <w:rFonts w:ascii="Arial" w:cs="Arial" w:eastAsia="Arial" w:hAnsi="Arial"/>
          <w:sz w:val="14"/>
          <w:szCs w:val="14"/>
          <w:color w:val="auto"/>
        </w:rPr>
        <w:t>begins, or a different date specified in the Award Agreement, or (c) or upon the achievement of Objectively Determinable Performance Conditions.</w:t>
      </w:r>
    </w:p>
    <w:p>
      <w:pPr>
        <w:spacing w:after="0" w:line="97" w:lineRule="exact"/>
        <w:rPr>
          <w:rFonts w:ascii="Arial" w:cs="Arial" w:eastAsia="Arial" w:hAnsi="Arial"/>
          <w:sz w:val="14"/>
          <w:szCs w:val="14"/>
          <w:color w:val="auto"/>
        </w:rPr>
      </w:pPr>
    </w:p>
    <w:p>
      <w:pPr>
        <w:ind w:right="60" w:firstLine="920"/>
        <w:spacing w:after="0" w:line="306" w:lineRule="auto"/>
        <w:tabs>
          <w:tab w:leader="none" w:pos="1101" w:val="left"/>
        </w:tabs>
        <w:numPr>
          <w:ilvl w:val="1"/>
          <w:numId w:val="217"/>
        </w:numPr>
        <w:rPr>
          <w:rFonts w:ascii="Arial" w:cs="Arial" w:eastAsia="Arial" w:hAnsi="Arial"/>
          <w:sz w:val="12"/>
          <w:szCs w:val="12"/>
          <w:color w:val="auto"/>
        </w:rPr>
      </w:pPr>
      <w:r>
        <w:rPr>
          <w:rFonts w:ascii="Arial" w:cs="Arial" w:eastAsia="Arial" w:hAnsi="Arial"/>
          <w:sz w:val="12"/>
          <w:szCs w:val="12"/>
          <w:b w:val="1"/>
          <w:bCs w:val="1"/>
          <w:color w:val="auto"/>
        </w:rPr>
        <w:t xml:space="preserve">Exercise of SARs. </w:t>
      </w:r>
      <w:r>
        <w:rPr>
          <w:rFonts w:ascii="Arial" w:cs="Arial" w:eastAsia="Arial" w:hAnsi="Arial"/>
          <w:sz w:val="12"/>
          <w:szCs w:val="12"/>
          <w:color w:val="auto"/>
        </w:rPr>
        <w:t>Upon the exercise of an SAR, in whole or in part, an Awardee shall be entitled to a payment in an amount equal to the excess of the Fair Market Value of a fixed number</w:t>
      </w:r>
      <w:r>
        <w:rPr>
          <w:rFonts w:ascii="Arial" w:cs="Arial" w:eastAsia="Arial" w:hAnsi="Arial"/>
          <w:sz w:val="12"/>
          <w:szCs w:val="12"/>
          <w:b w:val="1"/>
          <w:bCs w:val="1"/>
          <w:color w:val="auto"/>
        </w:rPr>
        <w:t xml:space="preserve"> </w:t>
      </w:r>
      <w:r>
        <w:rPr>
          <w:rFonts w:ascii="Arial" w:cs="Arial" w:eastAsia="Arial" w:hAnsi="Arial"/>
          <w:sz w:val="12"/>
          <w:szCs w:val="12"/>
          <w:color w:val="auto"/>
        </w:rPr>
        <w:t>of Shares covered by the exercised portion of the SAR on the date of exercise, over the Fair Market Value of the Shares covered by the exercised portion of the SAR on the Grant Date. The amount due to the Awardee the exercise of a SAR will be paid in cash or Shares over the period or periods specified in the Award Agreement. An Award Agreement may place limits on the amount that may be paid over any specified period or periods upon the exercise of a SAR, on an aggregate basis or as to any Awardee. A SAR shall be considered exercised when the Company receives written notice of exercise in accordance with the terms of the Award Agreement from the person entitled to exercise the SAR.</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20" w:top="247" w:right="279" w:bottom="1440" w:gutter="0" w:footer="0" w:header="0"/>
        </w:sectPr>
      </w:pPr>
    </w:p>
    <w:bookmarkStart w:id="307" w:name="page308"/>
    <w:bookmarkEnd w:id="307"/>
    <w:p>
      <w:pPr>
        <w:ind w:left="-40" w:right="40" w:firstLine="920"/>
        <w:spacing w:after="0" w:line="270" w:lineRule="auto"/>
        <w:tabs>
          <w:tab w:leader="none" w:pos="1069" w:val="left"/>
        </w:tabs>
        <w:numPr>
          <w:ilvl w:val="0"/>
          <w:numId w:val="218"/>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Nonassignability of SARS. </w:t>
      </w:r>
      <w:r>
        <w:rPr>
          <w:rFonts w:ascii="Arial" w:cs="Arial" w:eastAsia="Arial" w:hAnsi="Arial"/>
          <w:sz w:val="14"/>
          <w:szCs w:val="14"/>
          <w:color w:val="auto"/>
        </w:rPr>
        <w:t>Except as set forth in any Award Agreement or determined by the Administrator, no SAR shall be assignable or otherwise transferable by the Awardee except by</w:t>
      </w:r>
      <w:r>
        <w:rPr>
          <w:rFonts w:ascii="Arial" w:cs="Arial" w:eastAsia="Arial" w:hAnsi="Arial"/>
          <w:sz w:val="14"/>
          <w:szCs w:val="14"/>
          <w:b w:val="1"/>
          <w:bCs w:val="1"/>
          <w:color w:val="auto"/>
        </w:rPr>
        <w:t xml:space="preserve"> </w:t>
      </w:r>
      <w:r>
        <w:rPr>
          <w:rFonts w:ascii="Arial" w:cs="Arial" w:eastAsia="Arial" w:hAnsi="Arial"/>
          <w:sz w:val="14"/>
          <w:szCs w:val="14"/>
          <w:color w:val="auto"/>
        </w:rPr>
        <w:t>will or by the laws of descent and distribution. However, SARs may be transferred and exercised in accordance with a Domestic Relations Order.</w:t>
      </w:r>
    </w:p>
    <w:p>
      <w:pPr>
        <w:spacing w:after="0" w:line="97" w:lineRule="exact"/>
        <w:rPr>
          <w:rFonts w:ascii="Arial" w:cs="Arial" w:eastAsia="Arial" w:hAnsi="Arial"/>
          <w:sz w:val="14"/>
          <w:szCs w:val="14"/>
          <w:color w:val="auto"/>
        </w:rPr>
      </w:pPr>
    </w:p>
    <w:p>
      <w:pPr>
        <w:ind w:left="-40" w:firstLine="920"/>
        <w:spacing w:after="0" w:line="312" w:lineRule="auto"/>
        <w:tabs>
          <w:tab w:leader="none" w:pos="1061" w:val="left"/>
        </w:tabs>
        <w:numPr>
          <w:ilvl w:val="0"/>
          <w:numId w:val="218"/>
        </w:numPr>
        <w:rPr>
          <w:rFonts w:ascii="Arial" w:cs="Arial" w:eastAsia="Arial" w:hAnsi="Arial"/>
          <w:sz w:val="12"/>
          <w:szCs w:val="12"/>
          <w:color w:val="auto"/>
        </w:rPr>
      </w:pPr>
      <w:r>
        <w:rPr>
          <w:rFonts w:ascii="Arial" w:cs="Arial" w:eastAsia="Arial" w:hAnsi="Arial"/>
          <w:sz w:val="12"/>
          <w:szCs w:val="12"/>
          <w:b w:val="1"/>
          <w:bCs w:val="1"/>
          <w:color w:val="auto"/>
        </w:rPr>
        <w:t xml:space="preserve">Substitute SARs. </w:t>
      </w:r>
      <w:r>
        <w:rPr>
          <w:rFonts w:ascii="Arial" w:cs="Arial" w:eastAsia="Arial" w:hAnsi="Arial"/>
          <w:sz w:val="12"/>
          <w:szCs w:val="12"/>
          <w:color w:val="auto"/>
        </w:rPr>
        <w:t>The Board may cause the Company to grant Substitute SARs in connection with the acquisition by the Company or an Affiliate of equity securities of any entity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by merger) or all or a portion of the assets of any entity. Any such substitution shall be effective when the acquisition closes. Unless and to the extent specified otherwise by the Board, Substitute SARs shall have the same terms and conditions as the options they replace, except that (subject to Section 10) Substitute SARs shall be exercisable with respect to the Fair Market Value of Shares rather than equity securities of the granting entity and shall be on terms that, as determined by the Board in its sole and absolute discretion, properly reflects the substitution.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Stock Awards.</w:t>
      </w:r>
      <w:r>
        <w:rPr>
          <w:rFonts w:ascii="Arial" w:cs="Arial" w:eastAsia="Arial" w:hAnsi="Arial"/>
          <w:sz w:val="14"/>
          <w:szCs w:val="14"/>
          <w:color w:val="auto"/>
        </w:rPr>
        <w:t xml:space="preserve"> The following rules apply to all Stock Awards:</w:t>
      </w:r>
    </w:p>
    <w:p>
      <w:pPr>
        <w:spacing w:after="0" w:line="69" w:lineRule="exact"/>
        <w:rPr>
          <w:sz w:val="20"/>
          <w:szCs w:val="20"/>
          <w:color w:val="auto"/>
        </w:rPr>
      </w:pPr>
    </w:p>
    <w:p>
      <w:pPr>
        <w:ind w:left="1060" w:hanging="180"/>
        <w:spacing w:after="0"/>
        <w:tabs>
          <w:tab w:leader="none" w:pos="1060" w:val="left"/>
        </w:tabs>
        <w:numPr>
          <w:ilvl w:val="0"/>
          <w:numId w:val="219"/>
        </w:numPr>
        <w:rPr>
          <w:rFonts w:ascii="Arial" w:cs="Arial" w:eastAsia="Arial" w:hAnsi="Arial"/>
          <w:sz w:val="12"/>
          <w:szCs w:val="12"/>
          <w:color w:val="auto"/>
        </w:rPr>
      </w:pPr>
      <w:r>
        <w:rPr>
          <w:rFonts w:ascii="Arial" w:cs="Arial" w:eastAsia="Arial" w:hAnsi="Arial"/>
          <w:sz w:val="12"/>
          <w:szCs w:val="12"/>
          <w:b w:val="1"/>
          <w:bCs w:val="1"/>
          <w:color w:val="auto"/>
        </w:rPr>
        <w:t xml:space="preserve">Price. </w:t>
      </w:r>
      <w:r>
        <w:rPr>
          <w:rFonts w:ascii="Arial" w:cs="Arial" w:eastAsia="Arial" w:hAnsi="Arial"/>
          <w:sz w:val="12"/>
          <w:szCs w:val="12"/>
          <w:color w:val="auto"/>
        </w:rPr>
        <w:t>In no event will the Purchase Price of any Stock Award be less than the par value of the Shares issuable under the Stock Award if that is required by Applicable Law.</w:t>
      </w:r>
    </w:p>
    <w:p>
      <w:pPr>
        <w:spacing w:after="0" w:line="154" w:lineRule="exact"/>
        <w:rPr>
          <w:rFonts w:ascii="Arial" w:cs="Arial" w:eastAsia="Arial" w:hAnsi="Arial"/>
          <w:sz w:val="12"/>
          <w:szCs w:val="12"/>
          <w:color w:val="auto"/>
        </w:rPr>
      </w:pPr>
    </w:p>
    <w:p>
      <w:pPr>
        <w:ind w:left="1080" w:hanging="200"/>
        <w:spacing w:after="0"/>
        <w:tabs>
          <w:tab w:leader="none" w:pos="1080" w:val="left"/>
        </w:tabs>
        <w:numPr>
          <w:ilvl w:val="0"/>
          <w:numId w:val="219"/>
        </w:numPr>
        <w:rPr>
          <w:rFonts w:ascii="Arial" w:cs="Arial" w:eastAsia="Arial" w:hAnsi="Arial"/>
          <w:sz w:val="14"/>
          <w:szCs w:val="14"/>
          <w:color w:val="auto"/>
        </w:rPr>
      </w:pPr>
      <w:r>
        <w:rPr>
          <w:rFonts w:ascii="Arial" w:cs="Arial" w:eastAsia="Arial" w:hAnsi="Arial"/>
          <w:sz w:val="14"/>
          <w:szCs w:val="14"/>
          <w:b w:val="1"/>
          <w:bCs w:val="1"/>
          <w:color w:val="auto"/>
        </w:rPr>
        <w:t xml:space="preserve">Term. </w:t>
      </w:r>
      <w:r>
        <w:rPr>
          <w:rFonts w:ascii="Arial" w:cs="Arial" w:eastAsia="Arial" w:hAnsi="Arial"/>
          <w:sz w:val="14"/>
          <w:szCs w:val="14"/>
          <w:color w:val="auto"/>
        </w:rPr>
        <w:t>No Stock Award shall be exercisable after its Expiration Date. No Stock Award may have an Expiration Date that is more than ten years after its Grant Date.</w:t>
      </w:r>
    </w:p>
    <w:p>
      <w:pPr>
        <w:spacing w:after="0" w:line="131" w:lineRule="exact"/>
        <w:rPr>
          <w:rFonts w:ascii="Arial" w:cs="Arial" w:eastAsia="Arial" w:hAnsi="Arial"/>
          <w:sz w:val="14"/>
          <w:szCs w:val="14"/>
          <w:color w:val="auto"/>
        </w:rPr>
      </w:pPr>
    </w:p>
    <w:p>
      <w:pPr>
        <w:ind w:left="-40" w:right="480" w:firstLine="920"/>
        <w:spacing w:after="0" w:line="270" w:lineRule="auto"/>
        <w:tabs>
          <w:tab w:leader="none" w:pos="1061" w:val="left"/>
        </w:tabs>
        <w:numPr>
          <w:ilvl w:val="0"/>
          <w:numId w:val="219"/>
        </w:numPr>
        <w:rPr>
          <w:rFonts w:ascii="Arial" w:cs="Arial" w:eastAsia="Arial" w:hAnsi="Arial"/>
          <w:sz w:val="14"/>
          <w:szCs w:val="14"/>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Stock Awards shall be exercisable: (a) on the Grant Date, or (b) in accordance with a schedule related to the Grant Date, the date the Awardee’s directorship, employment or</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consultancy begins, or a different date specified in the Award Agreement.</w:t>
      </w:r>
    </w:p>
    <w:p>
      <w:pPr>
        <w:spacing w:after="0" w:line="97" w:lineRule="exact"/>
        <w:rPr>
          <w:rFonts w:ascii="Arial" w:cs="Arial" w:eastAsia="Arial" w:hAnsi="Arial"/>
          <w:sz w:val="14"/>
          <w:szCs w:val="14"/>
          <w:color w:val="auto"/>
        </w:rPr>
      </w:pPr>
    </w:p>
    <w:p>
      <w:pPr>
        <w:ind w:left="1080" w:hanging="200"/>
        <w:spacing w:after="0"/>
        <w:tabs>
          <w:tab w:leader="none" w:pos="1080" w:val="left"/>
        </w:tabs>
        <w:numPr>
          <w:ilvl w:val="0"/>
          <w:numId w:val="219"/>
        </w:numPr>
        <w:rPr>
          <w:rFonts w:ascii="Arial" w:cs="Arial" w:eastAsia="Arial" w:hAnsi="Arial"/>
          <w:sz w:val="14"/>
          <w:szCs w:val="14"/>
          <w:color w:val="auto"/>
        </w:rPr>
      </w:pPr>
      <w:r>
        <w:rPr>
          <w:rFonts w:ascii="Arial" w:cs="Arial" w:eastAsia="Arial" w:hAnsi="Arial"/>
          <w:sz w:val="14"/>
          <w:szCs w:val="14"/>
          <w:b w:val="1"/>
          <w:bCs w:val="1"/>
          <w:color w:val="auto"/>
        </w:rPr>
        <w:t xml:space="preserve">Right of Repurchase. </w:t>
      </w:r>
      <w:r>
        <w:rPr>
          <w:rFonts w:ascii="Arial" w:cs="Arial" w:eastAsia="Arial" w:hAnsi="Arial"/>
          <w:sz w:val="14"/>
          <w:szCs w:val="14"/>
          <w:color w:val="auto"/>
        </w:rPr>
        <w:t>If so provided in the Award Agreement, Award Shares acquired pursuant to a Stock Award may be subject to Reverse Vesting.</w:t>
      </w:r>
    </w:p>
    <w:p>
      <w:pPr>
        <w:spacing w:after="0" w:line="131" w:lineRule="exact"/>
        <w:rPr>
          <w:rFonts w:ascii="Arial" w:cs="Arial" w:eastAsia="Arial" w:hAnsi="Arial"/>
          <w:sz w:val="14"/>
          <w:szCs w:val="14"/>
          <w:color w:val="auto"/>
        </w:rPr>
      </w:pPr>
    </w:p>
    <w:p>
      <w:pPr>
        <w:ind w:left="1060" w:hanging="180"/>
        <w:spacing w:after="0"/>
        <w:tabs>
          <w:tab w:leader="none" w:pos="1060" w:val="left"/>
        </w:tabs>
        <w:numPr>
          <w:ilvl w:val="0"/>
          <w:numId w:val="219"/>
        </w:numPr>
        <w:rPr>
          <w:rFonts w:ascii="Arial" w:cs="Arial" w:eastAsia="Arial" w:hAnsi="Arial"/>
          <w:sz w:val="14"/>
          <w:szCs w:val="14"/>
          <w:color w:val="auto"/>
        </w:rPr>
      </w:pPr>
      <w:r>
        <w:rPr>
          <w:rFonts w:ascii="Arial" w:cs="Arial" w:eastAsia="Arial" w:hAnsi="Arial"/>
          <w:sz w:val="14"/>
          <w:szCs w:val="14"/>
          <w:b w:val="1"/>
          <w:bCs w:val="1"/>
          <w:color w:val="auto"/>
        </w:rPr>
        <w:t xml:space="preserve">Form of Payment. </w:t>
      </w:r>
      <w:r>
        <w:rPr>
          <w:rFonts w:ascii="Arial" w:cs="Arial" w:eastAsia="Arial" w:hAnsi="Arial"/>
          <w:sz w:val="14"/>
          <w:szCs w:val="14"/>
          <w:color w:val="auto"/>
        </w:rPr>
        <w:t>The Administrator shall determine the acceptable form and method of payment for exercising a Stock Award.</w:t>
      </w:r>
    </w:p>
    <w:p>
      <w:pPr>
        <w:spacing w:after="0" w:line="70" w:lineRule="exact"/>
        <w:rPr>
          <w:rFonts w:ascii="Arial" w:cs="Arial" w:eastAsia="Arial" w:hAnsi="Arial"/>
          <w:sz w:val="14"/>
          <w:szCs w:val="14"/>
          <w:color w:val="auto"/>
        </w:rPr>
      </w:pPr>
    </w:p>
    <w:p>
      <w:pPr>
        <w:ind w:left="880" w:right="140" w:firstLine="422"/>
        <w:spacing w:after="0" w:line="267" w:lineRule="auto"/>
        <w:tabs>
          <w:tab w:leader="none" w:pos="1464" w:val="left"/>
        </w:tabs>
        <w:numPr>
          <w:ilvl w:val="1"/>
          <w:numId w:val="219"/>
        </w:numPr>
        <w:rPr>
          <w:rFonts w:ascii="Arial" w:cs="Arial" w:eastAsia="Arial" w:hAnsi="Arial"/>
          <w:sz w:val="14"/>
          <w:szCs w:val="14"/>
          <w:color w:val="auto"/>
        </w:rPr>
      </w:pPr>
      <w:r>
        <w:rPr>
          <w:rFonts w:ascii="Arial" w:cs="Arial" w:eastAsia="Arial" w:hAnsi="Arial"/>
          <w:sz w:val="14"/>
          <w:szCs w:val="14"/>
          <w:color w:val="auto"/>
        </w:rPr>
        <w:t>Acceptable forms of payment for all Award Shares are cash, check or wire transfer, denominated in U.S. dollars except as specified by the Administrator for non-U.S. Employees or non-U.S. sub-plans.</w:t>
      </w:r>
    </w:p>
    <w:p>
      <w:pPr>
        <w:spacing w:after="0" w:line="38" w:lineRule="exact"/>
        <w:rPr>
          <w:rFonts w:ascii="Arial" w:cs="Arial" w:eastAsia="Arial" w:hAnsi="Arial"/>
          <w:sz w:val="14"/>
          <w:szCs w:val="14"/>
          <w:color w:val="auto"/>
        </w:rPr>
      </w:pPr>
    </w:p>
    <w:p>
      <w:pPr>
        <w:ind w:left="1500" w:hanging="198"/>
        <w:spacing w:after="0"/>
        <w:tabs>
          <w:tab w:leader="none" w:pos="1500" w:val="left"/>
        </w:tabs>
        <w:numPr>
          <w:ilvl w:val="1"/>
          <w:numId w:val="219"/>
        </w:numPr>
        <w:rPr>
          <w:rFonts w:ascii="Arial" w:cs="Arial" w:eastAsia="Arial" w:hAnsi="Arial"/>
          <w:sz w:val="14"/>
          <w:szCs w:val="14"/>
          <w:color w:val="auto"/>
        </w:rPr>
      </w:pPr>
      <w:r>
        <w:rPr>
          <w:rFonts w:ascii="Arial" w:cs="Arial" w:eastAsia="Arial" w:hAnsi="Arial"/>
          <w:sz w:val="14"/>
          <w:szCs w:val="14"/>
          <w:color w:val="auto"/>
        </w:rPr>
        <w:t>In addition, the Administrator may permit payment to be made by any of the methods permitted with respect to the exercise of Options pursuant to Section 6.4.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00"/>
          </w:cols>
          <w:pgMar w:left="260" w:top="245" w:right="239" w:bottom="1440" w:gutter="0" w:footer="0" w:header="0"/>
        </w:sectPr>
      </w:pPr>
    </w:p>
    <w:bookmarkStart w:id="308" w:name="page309"/>
    <w:bookmarkEnd w:id="308"/>
    <w:p>
      <w:pPr>
        <w:ind w:left="-4" w:right="260" w:firstLine="920"/>
        <w:spacing w:after="0" w:line="355" w:lineRule="auto"/>
        <w:tabs>
          <w:tab w:leader="none" w:pos="1083" w:val="left"/>
        </w:tabs>
        <w:numPr>
          <w:ilvl w:val="0"/>
          <w:numId w:val="220"/>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Nonassignability of Stock Awards. </w:t>
      </w:r>
      <w:r>
        <w:rPr>
          <w:rFonts w:ascii="Arial" w:cs="Arial" w:eastAsia="Arial" w:hAnsi="Arial"/>
          <w:sz w:val="12"/>
          <w:szCs w:val="12"/>
          <w:color w:val="auto"/>
        </w:rPr>
        <w:t>Except as set forth in any Award Agreement or determined by the Administrator, no Stock Award shall be assignable or otherwise transferable by the</w:t>
      </w:r>
      <w:r>
        <w:rPr>
          <w:rFonts w:ascii="Arial" w:cs="Arial" w:eastAsia="Arial" w:hAnsi="Arial"/>
          <w:sz w:val="12"/>
          <w:szCs w:val="12"/>
          <w:b w:val="1"/>
          <w:bCs w:val="1"/>
          <w:color w:val="auto"/>
        </w:rPr>
        <w:t xml:space="preserve"> </w:t>
      </w:r>
      <w:r>
        <w:rPr>
          <w:rFonts w:ascii="Arial" w:cs="Arial" w:eastAsia="Arial" w:hAnsi="Arial"/>
          <w:sz w:val="12"/>
          <w:szCs w:val="12"/>
          <w:color w:val="auto"/>
        </w:rPr>
        <w:t>Awardee except by will or by the laws of descent and distribution. However, Options may be transferred and exercised in accordance with a Domestic Relations Order.</w:t>
      </w:r>
    </w:p>
    <w:p>
      <w:pPr>
        <w:spacing w:after="0" w:line="51" w:lineRule="exact"/>
        <w:rPr>
          <w:rFonts w:ascii="Arial" w:cs="Arial" w:eastAsia="Arial" w:hAnsi="Arial"/>
          <w:sz w:val="12"/>
          <w:szCs w:val="12"/>
          <w:color w:val="auto"/>
        </w:rPr>
      </w:pPr>
    </w:p>
    <w:p>
      <w:pPr>
        <w:ind w:left="-4" w:right="60" w:firstLine="920"/>
        <w:spacing w:after="0" w:line="256" w:lineRule="auto"/>
        <w:tabs>
          <w:tab w:leader="none" w:pos="1105" w:val="left"/>
        </w:tabs>
        <w:numPr>
          <w:ilvl w:val="0"/>
          <w:numId w:val="220"/>
        </w:numPr>
        <w:rPr>
          <w:rFonts w:ascii="Arial" w:cs="Arial" w:eastAsia="Arial" w:hAnsi="Arial"/>
          <w:sz w:val="14"/>
          <w:szCs w:val="14"/>
          <w:color w:val="auto"/>
        </w:rPr>
      </w:pPr>
      <w:r>
        <w:rPr>
          <w:rFonts w:ascii="Arial" w:cs="Arial" w:eastAsia="Arial" w:hAnsi="Arial"/>
          <w:sz w:val="14"/>
          <w:szCs w:val="14"/>
          <w:b w:val="1"/>
          <w:bCs w:val="1"/>
          <w:color w:val="auto"/>
        </w:rPr>
        <w:t xml:space="preserve">Substitute Stock Award. </w:t>
      </w:r>
      <w:r>
        <w:rPr>
          <w:rFonts w:ascii="Arial" w:cs="Arial" w:eastAsia="Arial" w:hAnsi="Arial"/>
          <w:sz w:val="14"/>
          <w:szCs w:val="14"/>
          <w:color w:val="auto"/>
        </w:rPr>
        <w:t>The Board may cause the Company to grant Substitute Stock Awards in connection with the acquisition by the Company or an Affiliate of equity securities of any</w:t>
      </w:r>
      <w:r>
        <w:rPr>
          <w:rFonts w:ascii="Arial" w:cs="Arial" w:eastAsia="Arial" w:hAnsi="Arial"/>
          <w:sz w:val="14"/>
          <w:szCs w:val="14"/>
          <w:b w:val="1"/>
          <w:bCs w:val="1"/>
          <w:color w:val="auto"/>
        </w:rPr>
        <w:t xml:space="preserve"> </w:t>
      </w:r>
      <w:r>
        <w:rPr>
          <w:rFonts w:ascii="Arial" w:cs="Arial" w:eastAsia="Arial" w:hAnsi="Arial"/>
          <w:sz w:val="14"/>
          <w:szCs w:val="14"/>
          <w:color w:val="auto"/>
        </w:rPr>
        <w:t>entity (including by merger) or all or a portion of the assets of any entity. Unless and to the extent specified otherwise by the Board, Substitute Stock Awards shall have the same terms and conditions as the options they replace, except that (subject to Section 10) Substitute Stock Awards shall be Stock Awards to purchase Shares rather than equity securities of the granting entity and shall have a Purchase Price that, as determined by the Board in its sole and absolute discretion, properly reflects the substitution.</w:t>
      </w:r>
    </w:p>
    <w:p>
      <w:pPr>
        <w:spacing w:after="0" w:line="107"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Cash Awards.</w:t>
      </w:r>
      <w:r>
        <w:rPr>
          <w:rFonts w:ascii="Arial" w:cs="Arial" w:eastAsia="Arial" w:hAnsi="Arial"/>
          <w:sz w:val="14"/>
          <w:szCs w:val="14"/>
          <w:color w:val="auto"/>
        </w:rPr>
        <w:t xml:space="preserve"> The following rules apply to all Cash Awards:</w:t>
      </w:r>
    </w:p>
    <w:p>
      <w:pPr>
        <w:spacing w:after="0" w:line="69" w:lineRule="exact"/>
        <w:rPr>
          <w:sz w:val="20"/>
          <w:szCs w:val="20"/>
          <w:color w:val="auto"/>
        </w:rPr>
      </w:pPr>
    </w:p>
    <w:p>
      <w:pPr>
        <w:ind w:left="1096" w:hanging="180"/>
        <w:spacing w:after="0"/>
        <w:tabs>
          <w:tab w:leader="none" w:pos="1096" w:val="left"/>
        </w:tabs>
        <w:numPr>
          <w:ilvl w:val="1"/>
          <w:numId w:val="221"/>
        </w:numPr>
        <w:rPr>
          <w:rFonts w:ascii="Arial" w:cs="Arial" w:eastAsia="Arial" w:hAnsi="Arial"/>
          <w:sz w:val="14"/>
          <w:szCs w:val="14"/>
          <w:color w:val="auto"/>
        </w:rPr>
      </w:pPr>
      <w:r>
        <w:rPr>
          <w:rFonts w:ascii="Arial" w:cs="Arial" w:eastAsia="Arial" w:hAnsi="Arial"/>
          <w:sz w:val="14"/>
          <w:szCs w:val="14"/>
          <w:b w:val="1"/>
          <w:bCs w:val="1"/>
          <w:color w:val="auto"/>
        </w:rPr>
        <w:t xml:space="preserve">Term. </w:t>
      </w:r>
      <w:r>
        <w:rPr>
          <w:rFonts w:ascii="Arial" w:cs="Arial" w:eastAsia="Arial" w:hAnsi="Arial"/>
          <w:sz w:val="14"/>
          <w:szCs w:val="14"/>
          <w:color w:val="auto"/>
        </w:rPr>
        <w:t>No Cash Award shall be payable after its Expiration Date. No Cash Award may have an Expiration Date that is more than ten years after its Grant Date.</w:t>
      </w:r>
    </w:p>
    <w:p>
      <w:pPr>
        <w:spacing w:after="0" w:line="68" w:lineRule="exact"/>
        <w:rPr>
          <w:rFonts w:ascii="Arial" w:cs="Arial" w:eastAsia="Arial" w:hAnsi="Arial"/>
          <w:sz w:val="14"/>
          <w:szCs w:val="14"/>
          <w:color w:val="auto"/>
        </w:rPr>
      </w:pPr>
    </w:p>
    <w:p>
      <w:pPr>
        <w:ind w:left="-4" w:right="180" w:firstLine="920"/>
        <w:spacing w:after="0" w:line="270" w:lineRule="auto"/>
        <w:tabs>
          <w:tab w:leader="none" w:pos="1105" w:val="left"/>
        </w:tabs>
        <w:numPr>
          <w:ilvl w:val="1"/>
          <w:numId w:val="221"/>
        </w:numPr>
        <w:rPr>
          <w:rFonts w:ascii="Arial" w:cs="Arial" w:eastAsia="Arial" w:hAnsi="Arial"/>
          <w:sz w:val="14"/>
          <w:szCs w:val="14"/>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Cash Awards shall be payable: (a) on the Grant Date, (b) in accordance with a schedule related to the Grant Date, the date the Awardee’s directorship, employment or consultancy</w:t>
      </w:r>
      <w:r>
        <w:rPr>
          <w:rFonts w:ascii="Arial" w:cs="Arial" w:eastAsia="Arial" w:hAnsi="Arial"/>
          <w:sz w:val="14"/>
          <w:szCs w:val="14"/>
          <w:b w:val="1"/>
          <w:bCs w:val="1"/>
          <w:color w:val="auto"/>
        </w:rPr>
        <w:t xml:space="preserve"> </w:t>
      </w:r>
      <w:r>
        <w:rPr>
          <w:rFonts w:ascii="Arial" w:cs="Arial" w:eastAsia="Arial" w:hAnsi="Arial"/>
          <w:sz w:val="14"/>
          <w:szCs w:val="14"/>
          <w:color w:val="auto"/>
        </w:rPr>
        <w:t>begins, or a different date specified in the Award Agreement, or (c) or upon the achievement of Objectively Determinable Performance Conditions.</w:t>
      </w:r>
    </w:p>
    <w:p>
      <w:pPr>
        <w:spacing w:after="0" w:line="191" w:lineRule="exact"/>
        <w:rPr>
          <w:rFonts w:ascii="Arial" w:cs="Arial" w:eastAsia="Arial" w:hAnsi="Arial"/>
          <w:sz w:val="14"/>
          <w:szCs w:val="14"/>
          <w:color w:val="auto"/>
        </w:rPr>
      </w:pPr>
    </w:p>
    <w:p>
      <w:pPr>
        <w:ind w:left="456" w:hanging="456"/>
        <w:spacing w:after="0"/>
        <w:tabs>
          <w:tab w:leader="none" w:pos="456" w:val="left"/>
        </w:tabs>
        <w:numPr>
          <w:ilvl w:val="0"/>
          <w:numId w:val="222"/>
        </w:numPr>
        <w:rPr>
          <w:rFonts w:ascii="Arial" w:cs="Arial" w:eastAsia="Arial" w:hAnsi="Arial"/>
          <w:sz w:val="14"/>
          <w:szCs w:val="14"/>
          <w:color w:val="auto"/>
        </w:rPr>
      </w:pPr>
      <w:r>
        <w:rPr>
          <w:rFonts w:ascii="Arial" w:cs="Arial" w:eastAsia="Arial" w:hAnsi="Arial"/>
          <w:sz w:val="14"/>
          <w:szCs w:val="14"/>
          <w:b w:val="1"/>
          <w:bCs w:val="1"/>
          <w:color w:val="auto"/>
        </w:rPr>
        <w:t>Exercise of Awards</w:t>
      </w:r>
    </w:p>
    <w:p>
      <w:pPr>
        <w:spacing w:after="0" w:line="68" w:lineRule="exact"/>
        <w:rPr>
          <w:rFonts w:ascii="Arial" w:cs="Arial" w:eastAsia="Arial" w:hAnsi="Arial"/>
          <w:sz w:val="14"/>
          <w:szCs w:val="14"/>
          <w:color w:val="auto"/>
        </w:rPr>
      </w:pPr>
    </w:p>
    <w:p>
      <w:pPr>
        <w:ind w:left="456"/>
        <w:spacing w:after="0"/>
        <w:rPr>
          <w:rFonts w:ascii="Arial" w:cs="Arial" w:eastAsia="Arial" w:hAnsi="Arial"/>
          <w:sz w:val="14"/>
          <w:szCs w:val="14"/>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In General.</w:t>
      </w:r>
      <w:r>
        <w:rPr>
          <w:rFonts w:ascii="Arial" w:cs="Arial" w:eastAsia="Arial" w:hAnsi="Arial"/>
          <w:sz w:val="14"/>
          <w:szCs w:val="14"/>
          <w:color w:val="auto"/>
        </w:rPr>
        <w:t xml:space="preserve"> An Award shall be exercisable in accordance with this Plan, the Award Agreement under which it is granted.</w:t>
      </w:r>
    </w:p>
    <w:p>
      <w:pPr>
        <w:spacing w:after="0" w:line="131" w:lineRule="exact"/>
        <w:rPr>
          <w:rFonts w:ascii="Arial" w:cs="Arial" w:eastAsia="Arial" w:hAnsi="Arial"/>
          <w:sz w:val="14"/>
          <w:szCs w:val="14"/>
          <w:color w:val="auto"/>
        </w:rPr>
      </w:pPr>
    </w:p>
    <w:p>
      <w:pPr>
        <w:ind w:left="456"/>
        <w:spacing w:after="0"/>
        <w:rPr>
          <w:rFonts w:ascii="Arial" w:cs="Arial" w:eastAsia="Arial" w:hAnsi="Arial"/>
          <w:sz w:val="14"/>
          <w:szCs w:val="14"/>
          <w:color w:val="auto"/>
        </w:rPr>
      </w:pPr>
      <w:r>
        <w:rPr>
          <w:rFonts w:ascii="Arial" w:cs="Arial" w:eastAsia="Arial" w:hAnsi="Arial"/>
          <w:sz w:val="12"/>
          <w:szCs w:val="12"/>
          <w:color w:val="auto"/>
        </w:rPr>
        <w:t xml:space="preserve">9.2 </w:t>
      </w:r>
      <w:r>
        <w:rPr>
          <w:rFonts w:ascii="Arial" w:cs="Arial" w:eastAsia="Arial" w:hAnsi="Arial"/>
          <w:sz w:val="12"/>
          <w:szCs w:val="12"/>
          <w:b w:val="1"/>
          <w:bCs w:val="1"/>
          <w:color w:val="auto"/>
        </w:rPr>
        <w:t>Time of Exercise.</w:t>
      </w:r>
      <w:r>
        <w:rPr>
          <w:rFonts w:ascii="Arial" w:cs="Arial" w:eastAsia="Arial" w:hAnsi="Arial"/>
          <w:sz w:val="12"/>
          <w:szCs w:val="12"/>
          <w:color w:val="auto"/>
        </w:rPr>
        <w:t xml:space="preserve"> Options and Stock Awards shall be considered exercised when the Company receives: (a) written notice of exercise from the person entitled to exercise the Option or Stock Award,</w:t>
      </w:r>
    </w:p>
    <w:p>
      <w:pPr>
        <w:spacing w:after="0" w:line="37" w:lineRule="exact"/>
        <w:rPr>
          <w:sz w:val="20"/>
          <w:szCs w:val="20"/>
          <w:color w:val="auto"/>
        </w:rPr>
      </w:pPr>
    </w:p>
    <w:p>
      <w:pPr>
        <w:ind w:left="-4" w:right="100" w:firstLine="4"/>
        <w:spacing w:after="0" w:line="316" w:lineRule="auto"/>
        <w:tabs>
          <w:tab w:leader="none" w:pos="189" w:val="left"/>
        </w:tabs>
        <w:numPr>
          <w:ilvl w:val="0"/>
          <w:numId w:val="223"/>
        </w:numPr>
        <w:rPr>
          <w:rFonts w:ascii="Arial" w:cs="Arial" w:eastAsia="Arial" w:hAnsi="Arial"/>
          <w:sz w:val="12"/>
          <w:szCs w:val="12"/>
          <w:color w:val="auto"/>
        </w:rPr>
      </w:pPr>
      <w:r>
        <w:rPr>
          <w:rFonts w:ascii="Arial" w:cs="Arial" w:eastAsia="Arial" w:hAnsi="Arial"/>
          <w:sz w:val="12"/>
          <w:szCs w:val="12"/>
          <w:color w:val="auto"/>
        </w:rPr>
        <w:t>full payment, or provision for payment. in a form and method approved by the Administrator, for the Shares for which the Option or Stock Award is being exercised, and (c) with respect to Nonstatutory Options, payment, or provision for payment, in a form approved by the Administrator, of all applicable withholding taxes due upon exercise. An Award may not be exercised for a fraction of a Share. SARs and Cash Awards shall be considered exercised when the Company receives written notice of the exercise from the person entitled to exercise the SAR or Cash Award.</w:t>
      </w:r>
    </w:p>
    <w:p>
      <w:pPr>
        <w:spacing w:after="0" w:line="6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56"/>
          </w:cols>
          <w:pgMar w:left="224" w:top="244" w:right="219" w:bottom="1440" w:gutter="0" w:footer="0" w:header="0"/>
        </w:sectPr>
      </w:pPr>
    </w:p>
    <w:bookmarkStart w:id="309" w:name="page310"/>
    <w:bookmarkEnd w:id="309"/>
    <w:p>
      <w:pPr>
        <w:ind w:firstLine="458"/>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9.3 </w:t>
      </w:r>
      <w:r>
        <w:rPr>
          <w:rFonts w:ascii="Arial" w:cs="Arial" w:eastAsia="Arial" w:hAnsi="Arial"/>
          <w:sz w:val="14"/>
          <w:szCs w:val="14"/>
          <w:b w:val="1"/>
          <w:bCs w:val="1"/>
          <w:color w:val="auto"/>
        </w:rPr>
        <w:t>Issuance of Award Shares.</w:t>
      </w:r>
      <w:r>
        <w:rPr>
          <w:rFonts w:ascii="Arial" w:cs="Arial" w:eastAsia="Arial" w:hAnsi="Arial"/>
          <w:sz w:val="14"/>
          <w:szCs w:val="14"/>
          <w:color w:val="auto"/>
        </w:rPr>
        <w:t xml:space="preserve"> The Company shall issue Award Shares in the name of the person properly exercising the Award. If the Awardee is that person and so requests, the Award Shares shall be issued in the name of the Awardee and the Awardee’s spouse. The Company shall endeavor to issue Award Shares promptly after an Award is exercised. However, until Award Shares are actually issued, as evidenced by the appropriate entry on the stock books of the Company or its transfer agent, the Awardee will not have the rights of a stockholder with respect to those Option Shares, even though the Awardee has completed all the steps necessary to exercise the Award. No adjustment shall be made for any dividend, distribution, or other right for which the record date precedes the date the Award Shares are issued, except as provided in Section 10.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b w:val="1"/>
          <w:bCs w:val="1"/>
          <w:color w:val="auto"/>
        </w:rPr>
        <w:t>Termination</w:t>
      </w:r>
    </w:p>
    <w:p>
      <w:pPr>
        <w:spacing w:after="0" w:line="71" w:lineRule="exact"/>
        <w:rPr>
          <w:sz w:val="20"/>
          <w:szCs w:val="20"/>
          <w:color w:val="auto"/>
        </w:rPr>
      </w:pPr>
    </w:p>
    <w:p>
      <w:pPr>
        <w:ind w:firstLine="920"/>
        <w:spacing w:after="0" w:line="321" w:lineRule="auto"/>
        <w:tabs>
          <w:tab w:leader="none" w:pos="1101" w:val="left"/>
        </w:tabs>
        <w:numPr>
          <w:ilvl w:val="0"/>
          <w:numId w:val="22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 General. </w:t>
      </w:r>
      <w:r>
        <w:rPr>
          <w:rFonts w:ascii="Arial" w:cs="Arial" w:eastAsia="Arial" w:hAnsi="Arial"/>
          <w:sz w:val="12"/>
          <w:szCs w:val="12"/>
          <w:color w:val="auto"/>
        </w:rPr>
        <w:t>Except as provided in an Award Agreement or in writing by the Administrator and as otherwise provided in Sections 9.4(b), (c), (d), (e), (f), (g) and (h). after an Awardee’s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Termination the Awardee’s Awards shall be exercisable to the extent (but only to the extent) they are vested on the date of that Termination and only during the three months after the Termination, but in no event after the Expiration Date. To the extent the Awardee does not exercise an Award within the time specified for exercise, the Award shall automatically terminate.</w:t>
      </w:r>
    </w:p>
    <w:p>
      <w:pPr>
        <w:spacing w:after="0" w:line="73" w:lineRule="exact"/>
        <w:rPr>
          <w:rFonts w:ascii="Arial" w:cs="Arial" w:eastAsia="Arial" w:hAnsi="Arial"/>
          <w:sz w:val="12"/>
          <w:szCs w:val="12"/>
          <w:color w:val="auto"/>
        </w:rPr>
      </w:pPr>
    </w:p>
    <w:p>
      <w:pPr>
        <w:ind w:right="80" w:firstLine="920"/>
        <w:spacing w:after="0" w:line="321" w:lineRule="auto"/>
        <w:tabs>
          <w:tab w:leader="none" w:pos="1109" w:val="left"/>
        </w:tabs>
        <w:numPr>
          <w:ilvl w:val="0"/>
          <w:numId w:val="22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Leaves of Absence. </w:t>
      </w:r>
      <w:r>
        <w:rPr>
          <w:rFonts w:ascii="Arial" w:cs="Arial" w:eastAsia="Arial" w:hAnsi="Arial"/>
          <w:sz w:val="12"/>
          <w:szCs w:val="12"/>
          <w:color w:val="auto"/>
        </w:rPr>
        <w:t>Unless otherwise provided in the Award Agreement, no Award may be exercised more than three months after the beginning of a leave of absence, other than a personal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or medical leave approved in writing by an authorized representative of the Company with employment guaranteed upon return by such written approval. Awards shall not continue to vest during a leave of absence, unless such leave of absence has been approved in writing by the Administrator and such written approval provides otherwise.</w:t>
      </w:r>
    </w:p>
    <w:p>
      <w:pPr>
        <w:spacing w:after="0" w:line="73" w:lineRule="exact"/>
        <w:rPr>
          <w:rFonts w:ascii="Arial" w:cs="Arial" w:eastAsia="Arial" w:hAnsi="Arial"/>
          <w:sz w:val="12"/>
          <w:szCs w:val="12"/>
          <w:color w:val="auto"/>
        </w:rPr>
      </w:pPr>
    </w:p>
    <w:p>
      <w:pPr>
        <w:ind w:right="120" w:firstLine="920"/>
        <w:spacing w:after="0" w:line="302" w:lineRule="auto"/>
        <w:tabs>
          <w:tab w:leader="none" w:pos="1101" w:val="left"/>
        </w:tabs>
        <w:numPr>
          <w:ilvl w:val="0"/>
          <w:numId w:val="22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Death or Disability. </w:t>
      </w:r>
      <w:r>
        <w:rPr>
          <w:rFonts w:ascii="Arial" w:cs="Arial" w:eastAsia="Arial" w:hAnsi="Arial"/>
          <w:sz w:val="12"/>
          <w:szCs w:val="12"/>
          <w:color w:val="auto"/>
        </w:rPr>
        <w:t>Unless otherwise provided by the Administrator or in the Award Agreement. if an Awardee’s Termination is due to death or disability (as determined by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Administrator with respect to all Awards other than Incentive Stock Options and as defined by Section 22(e) of the Code with respect to Incentive Stock Options). all Awards of that Awardee to the extent exercisable at the date of that Termination may be exercised for one year after that Termination, but in no event after the Expiration Date. In the case of Termination due to death, an Award may be exercised as provided in Section 16. In the case of Termination due to disability, if a guardian or conservator has been appointed to act for the Awardee and been granted this authority as part of that appointment, that guardian or conservator may exercise the Award on behalf of the Awardee. Death or disability occurring after an Awardee’s Termination shall not cause the Termination to be treated as having occurred due to death or disability. To the extent an Award is not so exercised within the time specified for its exercise, the Award shall automatically terminate.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244" w:right="239" w:bottom="1440" w:gutter="0" w:footer="0" w:header="0"/>
        </w:sectPr>
      </w:pPr>
    </w:p>
    <w:bookmarkStart w:id="310" w:name="page311"/>
    <w:bookmarkEnd w:id="310"/>
    <w:p>
      <w:pPr>
        <w:ind w:left="1116" w:hanging="200"/>
        <w:spacing w:after="0"/>
        <w:tabs>
          <w:tab w:leader="none" w:pos="1116" w:val="left"/>
        </w:tabs>
        <w:numPr>
          <w:ilvl w:val="1"/>
          <w:numId w:val="225"/>
        </w:numPr>
        <w:rPr>
          <w:rFonts w:ascii="Arial" w:cs="Arial" w:eastAsia="Arial" w:hAnsi="Arial"/>
          <w:sz w:val="12"/>
          <w:szCs w:val="12"/>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Divestiture. </w:t>
      </w:r>
      <w:r>
        <w:rPr>
          <w:rFonts w:ascii="Arial" w:cs="Arial" w:eastAsia="Arial" w:hAnsi="Arial"/>
          <w:sz w:val="12"/>
          <w:szCs w:val="12"/>
          <w:color w:val="auto"/>
        </w:rPr>
        <w:t>If an Awardee’s Termination is due to a Divestiture, the Board may take any one or more of the actions described in Section 10.3 or 10.4 with respect to the Awardee’s Awards.</w:t>
      </w:r>
    </w:p>
    <w:p>
      <w:pPr>
        <w:spacing w:after="0" w:line="154" w:lineRule="exact"/>
        <w:rPr>
          <w:rFonts w:ascii="Arial" w:cs="Arial" w:eastAsia="Arial" w:hAnsi="Arial"/>
          <w:sz w:val="12"/>
          <w:szCs w:val="12"/>
          <w:color w:val="auto"/>
        </w:rPr>
      </w:pPr>
    </w:p>
    <w:p>
      <w:pPr>
        <w:ind w:left="-4" w:right="40" w:firstLine="920"/>
        <w:spacing w:after="0" w:line="321" w:lineRule="auto"/>
        <w:tabs>
          <w:tab w:leader="none" w:pos="1098" w:val="left"/>
        </w:tabs>
        <w:numPr>
          <w:ilvl w:val="1"/>
          <w:numId w:val="22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Retirement. </w:t>
      </w:r>
      <w:r>
        <w:rPr>
          <w:rFonts w:ascii="Arial" w:cs="Arial" w:eastAsia="Arial" w:hAnsi="Arial"/>
          <w:sz w:val="12"/>
          <w:szCs w:val="12"/>
          <w:color w:val="auto"/>
        </w:rPr>
        <w:t>Unless otherwise provided in the Award Agreement or determined by the Administrator, if an Awardee’s Termination is due to the Awardee’s retirement in accordance with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Company’s or an Affiliate’s retirement policy, all Awards of that Awardee to the extent exercisable at the Awardee’s date of retirement may be exercised for one year after the Awardee’s date of retirement, but in no event after the Expiration Date. To the extent the Awardee does not exercise an Option within the time specified for exercise, the Award shall automatically terminate.</w:t>
      </w:r>
    </w:p>
    <w:p>
      <w:pPr>
        <w:spacing w:after="0" w:line="73" w:lineRule="exact"/>
        <w:rPr>
          <w:rFonts w:ascii="Arial" w:cs="Arial" w:eastAsia="Arial" w:hAnsi="Arial"/>
          <w:sz w:val="12"/>
          <w:szCs w:val="12"/>
          <w:color w:val="auto"/>
        </w:rPr>
      </w:pPr>
    </w:p>
    <w:p>
      <w:pPr>
        <w:ind w:left="-4" w:firstLine="920"/>
        <w:spacing w:after="0" w:line="321" w:lineRule="auto"/>
        <w:tabs>
          <w:tab w:leader="none" w:pos="1083" w:val="left"/>
        </w:tabs>
        <w:numPr>
          <w:ilvl w:val="1"/>
          <w:numId w:val="22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Severance Programs. </w:t>
      </w:r>
      <w:r>
        <w:rPr>
          <w:rFonts w:ascii="Arial" w:cs="Arial" w:eastAsia="Arial" w:hAnsi="Arial"/>
          <w:sz w:val="12"/>
          <w:szCs w:val="12"/>
          <w:color w:val="auto"/>
        </w:rPr>
        <w:t>Unless otherwise provided in the Award Agreement or determined by the Administrator, if an Awardee’s Termination results from participation in a voluntary severance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incentive program of the Company or an Affiliate approved by the Board, all Awards of that Employee to the extent exercisable at the time of that Termination shall be exercisable for one year after the Awardee’s Termination, but in no event after the Expiration Date. If the Awardee does not exercise an Award within the time specified for exercise, the Award shall automatically terminate.</w:t>
      </w:r>
    </w:p>
    <w:p>
      <w:pPr>
        <w:spacing w:after="0" w:line="73" w:lineRule="exact"/>
        <w:rPr>
          <w:rFonts w:ascii="Arial" w:cs="Arial" w:eastAsia="Arial" w:hAnsi="Arial"/>
          <w:sz w:val="12"/>
          <w:szCs w:val="12"/>
          <w:color w:val="auto"/>
        </w:rPr>
      </w:pPr>
    </w:p>
    <w:p>
      <w:pPr>
        <w:ind w:left="-4" w:firstLine="920"/>
        <w:spacing w:after="0" w:line="302" w:lineRule="auto"/>
        <w:tabs>
          <w:tab w:leader="none" w:pos="1105" w:val="left"/>
        </w:tabs>
        <w:numPr>
          <w:ilvl w:val="1"/>
          <w:numId w:val="22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Termination for Cause. </w:t>
      </w:r>
      <w:r>
        <w:rPr>
          <w:rFonts w:ascii="Arial" w:cs="Arial" w:eastAsia="Arial" w:hAnsi="Arial"/>
          <w:sz w:val="12"/>
          <w:szCs w:val="12"/>
          <w:color w:val="auto"/>
        </w:rPr>
        <w:t>If an Awardee’s Termination is due to Cause, all of the Awardee’s Awards shall automatically terminate and cease to be exercisable at the time of Termination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Administrator may rescind any and all exercises of Awards by the Awardee that occurred after the first event constituting Cause. “</w:t>
      </w:r>
      <w:r>
        <w:rPr>
          <w:rFonts w:ascii="Arial" w:cs="Arial" w:eastAsia="Arial" w:hAnsi="Arial"/>
          <w:sz w:val="12"/>
          <w:szCs w:val="12"/>
          <w:b w:val="1"/>
          <w:bCs w:val="1"/>
          <w:i w:val="1"/>
          <w:iCs w:val="1"/>
          <w:color w:val="auto"/>
        </w:rPr>
        <w:t>Cause</w:t>
      </w:r>
      <w:r>
        <w:rPr>
          <w:rFonts w:ascii="Arial" w:cs="Arial" w:eastAsia="Arial" w:hAnsi="Arial"/>
          <w:sz w:val="12"/>
          <w:szCs w:val="12"/>
          <w:color w:val="auto"/>
        </w:rPr>
        <w:t>” means employment-related dishonesty, fraud, misconduct, disclosure or misuse of confidential information or other employment-related conduct that is likely to cause significant injury to the Company, an Affiliate or any of their respective employees, officers or directors (including, without limitation, commission of a felony or similar offense). in each case as determined by the Administrator. “Cause” shall not require that a civil judgment or criminal conviction have been entered against or guilty plea shall have been made by the Awardee regarding any of the matters referred to in the previous sentence. Accordingly, the Administrator shall be entitled to determine “Cause” based on the Administrator’s good faith belief. If the Awardee is criminally charged with a felony or similar offense, that shall be a sufficient, but not a necessary, basis for such a belief.</w:t>
      </w:r>
    </w:p>
    <w:p>
      <w:pPr>
        <w:spacing w:after="0" w:line="86" w:lineRule="exact"/>
        <w:rPr>
          <w:rFonts w:ascii="Arial" w:cs="Arial" w:eastAsia="Arial" w:hAnsi="Arial"/>
          <w:sz w:val="12"/>
          <w:szCs w:val="12"/>
          <w:color w:val="auto"/>
        </w:rPr>
      </w:pPr>
    </w:p>
    <w:p>
      <w:pPr>
        <w:ind w:left="1116" w:hanging="200"/>
        <w:spacing w:after="0"/>
        <w:tabs>
          <w:tab w:leader="none" w:pos="1116" w:val="left"/>
        </w:tabs>
        <w:numPr>
          <w:ilvl w:val="1"/>
          <w:numId w:val="22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Consulting or Employment Relationship. </w:t>
      </w:r>
      <w:r>
        <w:rPr>
          <w:rFonts w:ascii="Arial" w:cs="Arial" w:eastAsia="Arial" w:hAnsi="Arial"/>
          <w:sz w:val="12"/>
          <w:szCs w:val="12"/>
          <w:color w:val="auto"/>
        </w:rPr>
        <w:t>Nothing in this Plan or in any Award Agreement, and no Award or the fact that Award Shares remain subject to repurchase rights, shall:</w:t>
      </w:r>
    </w:p>
    <w:p>
      <w:pPr>
        <w:spacing w:after="0" w:line="35" w:lineRule="exact"/>
        <w:rPr>
          <w:rFonts w:ascii="Arial" w:cs="Arial" w:eastAsia="Arial" w:hAnsi="Arial"/>
          <w:sz w:val="12"/>
          <w:szCs w:val="12"/>
          <w:color w:val="auto"/>
        </w:rPr>
      </w:pPr>
    </w:p>
    <w:p>
      <w:pPr>
        <w:ind w:left="-4" w:right="20" w:firstLine="4"/>
        <w:spacing w:after="0" w:line="253" w:lineRule="auto"/>
        <w:tabs>
          <w:tab w:leader="none" w:pos="219" w:val="left"/>
        </w:tabs>
        <w:numPr>
          <w:ilvl w:val="0"/>
          <w:numId w:val="226"/>
        </w:numPr>
        <w:rPr>
          <w:rFonts w:ascii="Arial" w:cs="Arial" w:eastAsia="Arial" w:hAnsi="Arial"/>
          <w:sz w:val="14"/>
          <w:szCs w:val="14"/>
          <w:color w:val="auto"/>
        </w:rPr>
      </w:pPr>
      <w:r>
        <w:rPr>
          <w:rFonts w:ascii="Arial" w:cs="Arial" w:eastAsia="Arial" w:hAnsi="Arial"/>
          <w:sz w:val="14"/>
          <w:szCs w:val="14"/>
          <w:color w:val="auto"/>
        </w:rPr>
        <w:t>interfere with or limit the right of the Company or any Affiliate to terminate the employment or consultancy of any Awardee at any time, whether with or without cause or reason, and with or without the payment of severance or any other compensation or payment, or (B) interfere with the application of any provision in any of the Company’s or any Affiliate’s charter documents or Applicable Law relating to the election, appointment, term of office, or removal of a Director.</w:t>
      </w:r>
    </w:p>
    <w:p>
      <w:pPr>
        <w:spacing w:after="0" w:line="10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56"/>
          </w:cols>
          <w:pgMar w:left="224" w:top="247" w:right="219" w:bottom="1440" w:gutter="0" w:footer="0" w:header="0"/>
        </w:sectPr>
      </w:pPr>
    </w:p>
    <w:bookmarkStart w:id="311" w:name="page312"/>
    <w:bookmarkEnd w:id="311"/>
    <w:p>
      <w:pPr>
        <w:ind w:left="460" w:hanging="456"/>
        <w:spacing w:after="0"/>
        <w:tabs>
          <w:tab w:leader="none" w:pos="460" w:val="left"/>
        </w:tabs>
        <w:numPr>
          <w:ilvl w:val="0"/>
          <w:numId w:val="227"/>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Certain Transactions and Events</w:t>
      </w:r>
    </w:p>
    <w:p>
      <w:pPr>
        <w:spacing w:after="0" w:line="69"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In General.</w:t>
      </w:r>
      <w:r>
        <w:rPr>
          <w:rFonts w:ascii="Arial" w:cs="Arial" w:eastAsia="Arial" w:hAnsi="Arial"/>
          <w:sz w:val="14"/>
          <w:szCs w:val="14"/>
          <w:color w:val="auto"/>
        </w:rPr>
        <w:t xml:space="preserve"> Except as provided in this Section 10, no change in the capital structure of the Company, merger, sale or other disposition of assets or a subsidiary, change of control, issuance by the Company of shares of any class of securities convertible into shares of any class, conversion of securities, or other transaction or event shall require or be the occasion for any adjustments of the type described in this Section 10. Additional provisions with respect to the foregoing transactions are set forth in Section 13.3.</w:t>
      </w:r>
    </w:p>
    <w:p>
      <w:pPr>
        <w:spacing w:after="0" w:line="106" w:lineRule="exact"/>
        <w:rPr>
          <w:sz w:val="20"/>
          <w:szCs w:val="20"/>
          <w:color w:val="auto"/>
        </w:rPr>
      </w:pPr>
    </w:p>
    <w:p>
      <w:pPr>
        <w:ind w:right="20" w:firstLine="458"/>
        <w:spacing w:after="0" w:line="303"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b w:val="1"/>
          <w:bCs w:val="1"/>
          <w:color w:val="auto"/>
        </w:rPr>
        <w:t>Changes in Capital Structure.</w:t>
      </w:r>
      <w:r>
        <w:rPr>
          <w:rFonts w:ascii="Arial" w:cs="Arial" w:eastAsia="Arial" w:hAnsi="Arial"/>
          <w:sz w:val="12"/>
          <w:szCs w:val="12"/>
          <w:color w:val="auto"/>
        </w:rPr>
        <w:t xml:space="preserve"> In the event of any stock split, reverse stock split, recapitalization. combination or reclassification of stock, stock dividend, spin-off, or similar change to the capital structure of the Company (not including a Fundamental Transaction or Change of Control). the Board shall make whatever adjustments it concludes are appropriate to: (a) the number and type of Awards that may be granted under this Plan, (b) the number and type of Options that may be granted to any individual under this Plan. (c) the Terms of any SAR, (d) the Purchase Price of any Stock Award. (e) the Option Price and number and class of securities issuable under each outstanding Option. and (f) the repurchase price of any securities substituted for Option Shares that are subject to repurchase rights. The specific adjustments shall be determined by the Board in its sole and absolute discretion. Unless the Board specifies otherwise, any securities issuable as a result of any such adjustment shall be rounded to the next lower whole security. The Board need not adopt the same rules for each Award or each Awardee.</w:t>
      </w:r>
    </w:p>
    <w:p>
      <w:pPr>
        <w:spacing w:after="0" w:line="83" w:lineRule="exact"/>
        <w:rPr>
          <w:sz w:val="20"/>
          <w:szCs w:val="20"/>
          <w:color w:val="auto"/>
        </w:rPr>
      </w:pPr>
    </w:p>
    <w:p>
      <w:pPr>
        <w:ind w:right="120" w:firstLine="458"/>
        <w:spacing w:after="0" w:line="294" w:lineRule="auto"/>
        <w:rPr>
          <w:sz w:val="20"/>
          <w:szCs w:val="20"/>
          <w:color w:val="auto"/>
        </w:rPr>
      </w:pPr>
      <w:r>
        <w:rPr>
          <w:rFonts w:ascii="Arial" w:cs="Arial" w:eastAsia="Arial" w:hAnsi="Arial"/>
          <w:sz w:val="12"/>
          <w:szCs w:val="12"/>
          <w:color w:val="auto"/>
        </w:rPr>
        <w:t xml:space="preserve">10.3 </w:t>
      </w:r>
      <w:r>
        <w:rPr>
          <w:rFonts w:ascii="Arial" w:cs="Arial" w:eastAsia="Arial" w:hAnsi="Arial"/>
          <w:sz w:val="12"/>
          <w:szCs w:val="12"/>
          <w:b w:val="1"/>
          <w:bCs w:val="1"/>
          <w:color w:val="auto"/>
        </w:rPr>
        <w:t>Fundamental Transactions.</w:t>
      </w:r>
      <w:r>
        <w:rPr>
          <w:rFonts w:ascii="Arial" w:cs="Arial" w:eastAsia="Arial" w:hAnsi="Arial"/>
          <w:sz w:val="12"/>
          <w:szCs w:val="12"/>
          <w:color w:val="auto"/>
        </w:rPr>
        <w:t xml:space="preserve"> If the Company merges with another entity in a transaction in which the Company is not the surviving entity or if, as a result of any other transaction or event, other securities are substituted for the Shares or Shares may no longer be issued (each a “</w:t>
      </w:r>
      <w:r>
        <w:rPr>
          <w:rFonts w:ascii="Arial" w:cs="Arial" w:eastAsia="Arial" w:hAnsi="Arial"/>
          <w:sz w:val="12"/>
          <w:szCs w:val="12"/>
          <w:b w:val="1"/>
          <w:bCs w:val="1"/>
          <w:i w:val="1"/>
          <w:iCs w:val="1"/>
          <w:color w:val="auto"/>
        </w:rPr>
        <w:t>Fundamental Transaction</w:t>
      </w:r>
      <w:r>
        <w:rPr>
          <w:rFonts w:ascii="Arial" w:cs="Arial" w:eastAsia="Arial" w:hAnsi="Arial"/>
          <w:sz w:val="12"/>
          <w:szCs w:val="12"/>
          <w:color w:val="auto"/>
        </w:rPr>
        <w:t>”), then, notwithstanding any other provision of this Plan. the Board shall accelerate the vesting of any outstanding Incentive Stock Option by a period of twenty-four (24) months. It is intended that the foregoing acceleration shall not in any way suspend the operation of any vesting schedule. but rather the effect of such acceleration shall be to deem the Employee to have (only for the purposes of determining the number of shares for which an Incentive Stock Option is exercisable) an additional twenty-four</w:t>
      </w:r>
    </w:p>
    <w:p>
      <w:pPr>
        <w:ind w:right="20" w:firstLine="4"/>
        <w:spacing w:after="0" w:line="290" w:lineRule="auto"/>
        <w:tabs>
          <w:tab w:leader="none" w:pos="26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 xml:space="preserve">months of service with the Company from and after the date of consummation of a Fundamental Transaction. In addition to the foregoing acceleration, in the event the Employee’s employment with the Company or the acquiring or surviving entity following the consummation of a Fundamental Transaction is terminated without Cause or terminates his or her employment for Good Reason (as defined below), then the Incentive Stock Option shall be exercisable in full without regard to the vesting schedule. For purposes of this Section 10.3, </w:t>
      </w:r>
      <w:r>
        <w:rPr>
          <w:rFonts w:ascii="Arial" w:cs="Arial" w:eastAsia="Arial" w:hAnsi="Arial"/>
          <w:sz w:val="12"/>
          <w:szCs w:val="12"/>
          <w:b w:val="1"/>
          <w:bCs w:val="1"/>
          <w:i w:val="1"/>
          <w:iCs w:val="1"/>
          <w:color w:val="auto"/>
        </w:rPr>
        <w:t>“Good Reason”</w:t>
      </w:r>
      <w:r>
        <w:rPr>
          <w:rFonts w:ascii="Arial" w:cs="Arial" w:eastAsia="Arial" w:hAnsi="Arial"/>
          <w:sz w:val="12"/>
          <w:szCs w:val="12"/>
          <w:color w:val="auto"/>
        </w:rPr>
        <w:t xml:space="preserve"> shall mean, without the Employee’s express written consent,</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(i) any significant diminution in the Employee’s responsibilities as they exist immediately prior to the date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245" w:right="219" w:bottom="1440" w:gutter="0" w:footer="0" w:header="0"/>
        </w:sectPr>
      </w:pPr>
    </w:p>
    <w:bookmarkStart w:id="312" w:name="page313"/>
    <w:bookmarkEnd w:id="312"/>
    <w:p>
      <w:pPr>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of consummation of a Fundamental Transaction or (ii) a requirement that (A) the location in which the Employee perform his principal duties for the Company be changed to a new location that is outside a radius of 50 miles from the Employee’s principal residence as of the date of consummation of a Fundamental Transaction or (B) the Employee significantly increases his level of employment-related travel after the date of consummation of a Fundamental Transaction.</w:t>
      </w:r>
    </w:p>
    <w:p>
      <w:pPr>
        <w:spacing w:after="0" w:line="108" w:lineRule="exact"/>
        <w:rPr>
          <w:sz w:val="20"/>
          <w:szCs w:val="20"/>
          <w:color w:val="auto"/>
        </w:rPr>
      </w:pPr>
    </w:p>
    <w:p>
      <w:pPr>
        <w:ind w:firstLine="458"/>
        <w:spacing w:after="0" w:line="252" w:lineRule="auto"/>
        <w:rPr>
          <w:sz w:val="20"/>
          <w:szCs w:val="20"/>
          <w:color w:val="auto"/>
        </w:rPr>
      </w:pPr>
      <w:r>
        <w:rPr>
          <w:rFonts w:ascii="Arial" w:cs="Arial" w:eastAsia="Arial" w:hAnsi="Arial"/>
          <w:sz w:val="14"/>
          <w:szCs w:val="14"/>
          <w:color w:val="auto"/>
        </w:rPr>
        <w:t>In addition, the Board may also do one or more of the following contingent on the closing or completion of the Fundamental Transaction: (a) arrange for the substitution, in exchange for Awards, of options to purchase equity securities other than Shares (including, if appropriate, equity securities of an entity other than the Company) (an “assumption” of Awards) on such terms and conditions as the Board determines are appropriate, (b) accelerate the vesting and termination of outstanding Awards, in whole or in part. so that Awards can be exercised before or otherwise in connection with the closing or completion of the Fundamental Transaction or event but then terminate, (c) cancel or arrange for the cancellation of Awards in exchange for cash payments to Awardees, and (d) either arrange for any repurchase rights of the Company with respect to Award Shares to apply to the securities issued in substitution for Shares or terminate repurchase rights on Award Shares. The Board need not adopt the same rules for each Award or each Awardee.</w:t>
      </w:r>
    </w:p>
    <w:p>
      <w:pPr>
        <w:spacing w:after="0" w:line="112" w:lineRule="exact"/>
        <w:rPr>
          <w:sz w:val="20"/>
          <w:szCs w:val="20"/>
          <w:color w:val="auto"/>
        </w:rPr>
      </w:pPr>
    </w:p>
    <w:p>
      <w:pPr>
        <w:ind w:right="140" w:firstLine="458"/>
        <w:spacing w:after="0" w:line="301"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b w:val="1"/>
          <w:bCs w:val="1"/>
          <w:color w:val="auto"/>
        </w:rPr>
        <w:t>Changes of Control.</w:t>
      </w:r>
      <w:r>
        <w:rPr>
          <w:rFonts w:ascii="Arial" w:cs="Arial" w:eastAsia="Arial" w:hAnsi="Arial"/>
          <w:sz w:val="12"/>
          <w:szCs w:val="12"/>
          <w:color w:val="auto"/>
        </w:rPr>
        <w:t xml:space="preserve"> The Board may also, but need not, specify that other transactions or events constitute a </w:t>
      </w:r>
      <w:r>
        <w:rPr>
          <w:rFonts w:ascii="Arial" w:cs="Arial" w:eastAsia="Arial" w:hAnsi="Arial"/>
          <w:sz w:val="12"/>
          <w:szCs w:val="12"/>
          <w:b w:val="1"/>
          <w:bCs w:val="1"/>
          <w:i w:val="1"/>
          <w:iCs w:val="1"/>
          <w:color w:val="auto"/>
        </w:rPr>
        <w:t>“Change of Control”</w:t>
      </w:r>
      <w:r>
        <w:rPr>
          <w:rFonts w:ascii="Arial" w:cs="Arial" w:eastAsia="Arial" w:hAnsi="Arial"/>
          <w:sz w:val="12"/>
          <w:szCs w:val="12"/>
          <w:color w:val="auto"/>
        </w:rPr>
        <w:t>. The Board may do that either before or after the transaction or event occurs. Examples of transactions or events that the Board may treat as Changes of Control are: (a) the Company or an Affiliate is a party to a merger, consolidation, amalgamation, or other transaction in which the beneficial stockholders of the Company, immediately before the transaction, beneficially own securities representing 50% or less of the total combined voting power or value of the Company immediately after the transaction, (b) any person or entity, including a “group” as contemplated by Section 13(d)(3) of the Exchange Act, acquires securities holding 30% or more of the total combined voting power or value of the Company, or (c) as a result of or in connection with a contested election of Company Directors, the persons who were Company Directors immediately before the election cease to constitute a majority of the Board. In connection with a Change of Control, notwithstanding any other provision of this Plan, the Board may take any one or more of the actions described in Section 10.3. In addition, the Board may extend the date for the exercise of Awards (but not beyond their original Expiration Date). The Board need not adopt the same rules for each Award or each Awardee.</w:t>
      </w:r>
    </w:p>
    <w:p>
      <w:pPr>
        <w:spacing w:after="0" w:line="84"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Divestiture.</w:t>
      </w:r>
      <w:r>
        <w:rPr>
          <w:rFonts w:ascii="Arial" w:cs="Arial" w:eastAsia="Arial" w:hAnsi="Arial"/>
          <w:sz w:val="14"/>
          <w:szCs w:val="14"/>
          <w:color w:val="auto"/>
        </w:rPr>
        <w:t xml:space="preserve"> If the Company or an Affiliate sells or otherwise transfers equity securities of an Affiliate to a person or entity other than the Company or an Affiliate, or leases, exchanges or transfers all or any portion of its assets to such a person or entity, then the Board may specify that such transaction or event constitutes a</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247" w:right="219" w:bottom="1440" w:gutter="0" w:footer="0" w:header="0"/>
        </w:sectPr>
      </w:pPr>
    </w:p>
    <w:bookmarkStart w:id="313" w:name="page314"/>
    <w:bookmarkEnd w:id="313"/>
    <w:p>
      <w:pPr>
        <w:ind w:right="100"/>
        <w:spacing w:after="0" w:line="351" w:lineRule="auto"/>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“Divestiture”</w:t>
      </w:r>
      <w:r>
        <w:rPr>
          <w:rFonts w:ascii="Arial" w:cs="Arial" w:eastAsia="Arial" w:hAnsi="Arial"/>
          <w:sz w:val="12"/>
          <w:szCs w:val="12"/>
          <w:color w:val="auto"/>
        </w:rPr>
        <w:t>. In connection with a Divestiture, notwithstanding any other provision of this Plan, the Board may take one or more of the actions described in Section 10.3 or 10.4 with respect to Awards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Award Shares held by, for example, Employees, Directors or Consultants for whom that transaction or event results in a Termination. The Board need not adopt the same rules for each Award or each Awardee.</w:t>
      </w:r>
    </w:p>
    <w:p>
      <w:pPr>
        <w:spacing w:after="0" w:line="54" w:lineRule="exact"/>
        <w:rPr>
          <w:sz w:val="20"/>
          <w:szCs w:val="20"/>
          <w:color w:val="auto"/>
        </w:rPr>
      </w:pPr>
    </w:p>
    <w:p>
      <w:pPr>
        <w:jc w:val="both"/>
        <w:ind w:right="260" w:firstLine="458"/>
        <w:spacing w:after="0" w:line="322" w:lineRule="auto"/>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b w:val="1"/>
          <w:bCs w:val="1"/>
          <w:color w:val="auto"/>
        </w:rPr>
        <w:t>Dissolution.</w:t>
      </w:r>
      <w:r>
        <w:rPr>
          <w:rFonts w:ascii="Arial" w:cs="Arial" w:eastAsia="Arial" w:hAnsi="Arial"/>
          <w:sz w:val="12"/>
          <w:szCs w:val="12"/>
          <w:color w:val="auto"/>
        </w:rPr>
        <w:t xml:space="preserve"> If the Company adopts a plan of dissolution, the Board cause Awards to be fully vested and exercisable (but not after their Expiration Date) before the dissolution is completed but contingent on its completion and may cause the Company’s repurchase rights on Award Shares to lapse upon completion of the dissolution. The Board need not adopt the same rules for each Award or each Awardee. However, to the extent not exercised before the earlier of the completion of the dissolution or their Expiration Date, Awards shall terminate just before the dissolution is completed.</w:t>
      </w:r>
    </w:p>
    <w:p>
      <w:pPr>
        <w:spacing w:after="0" w:line="71" w:lineRule="exact"/>
        <w:rPr>
          <w:sz w:val="20"/>
          <w:szCs w:val="20"/>
          <w:color w:val="auto"/>
        </w:rPr>
      </w:pPr>
    </w:p>
    <w:p>
      <w:pPr>
        <w:jc w:val="both"/>
        <w:ind w:right="40" w:firstLine="458"/>
        <w:spacing w:after="0" w:line="322"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b w:val="1"/>
          <w:bCs w:val="1"/>
          <w:color w:val="auto"/>
        </w:rPr>
        <w:t>Cut-Back to Preserve Benefits.</w:t>
      </w:r>
      <w:r>
        <w:rPr>
          <w:rFonts w:ascii="Arial" w:cs="Arial" w:eastAsia="Arial" w:hAnsi="Arial"/>
          <w:sz w:val="12"/>
          <w:szCs w:val="12"/>
          <w:color w:val="auto"/>
        </w:rPr>
        <w:t xml:space="preserve"> If the Administrator determines that the net after-tax amount to be realized by any Awardee, taking into account any accelerated vesting, termination of repurchase rights, or cash payments to that Awardee in connection with any transaction or event addressed in this Section 10 would be greater if one or more of those steps were not taken or payments were not made with respect to that Awardee’s Awards or Award Shares, then and to that extent one or more of those steps shall not be taken and payments shall not be made.</w:t>
      </w:r>
    </w:p>
    <w:p>
      <w:pPr>
        <w:spacing w:after="0" w:line="165" w:lineRule="exact"/>
        <w:rPr>
          <w:sz w:val="20"/>
          <w:szCs w:val="20"/>
          <w:color w:val="auto"/>
        </w:rPr>
      </w:pPr>
    </w:p>
    <w:p>
      <w:pPr>
        <w:ind w:left="460" w:hanging="456"/>
        <w:spacing w:after="0"/>
        <w:tabs>
          <w:tab w:leader="none" w:pos="460" w:val="left"/>
        </w:tabs>
        <w:numPr>
          <w:ilvl w:val="0"/>
          <w:numId w:val="229"/>
        </w:numPr>
        <w:rPr>
          <w:rFonts w:ascii="Arial" w:cs="Arial" w:eastAsia="Arial" w:hAnsi="Arial"/>
          <w:sz w:val="14"/>
          <w:szCs w:val="14"/>
          <w:color w:val="auto"/>
        </w:rPr>
      </w:pPr>
      <w:r>
        <w:rPr>
          <w:rFonts w:ascii="Arial" w:cs="Arial" w:eastAsia="Arial" w:hAnsi="Arial"/>
          <w:sz w:val="14"/>
          <w:szCs w:val="14"/>
          <w:b w:val="1"/>
          <w:bCs w:val="1"/>
          <w:color w:val="auto"/>
        </w:rPr>
        <w:t>Withholding and Tax Reporting</w:t>
      </w:r>
    </w:p>
    <w:p>
      <w:pPr>
        <w:spacing w:after="0" w:line="6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 xml:space="preserve">11.1 </w:t>
      </w:r>
      <w:r>
        <w:rPr>
          <w:rFonts w:ascii="Arial" w:cs="Arial" w:eastAsia="Arial" w:hAnsi="Arial"/>
          <w:sz w:val="14"/>
          <w:szCs w:val="14"/>
          <w:b w:val="1"/>
          <w:bCs w:val="1"/>
          <w:color w:val="auto"/>
        </w:rPr>
        <w:t>Tax Withholding Alternatives</w:t>
      </w:r>
    </w:p>
    <w:p>
      <w:pPr>
        <w:spacing w:after="0" w:line="70" w:lineRule="exact"/>
        <w:rPr>
          <w:rFonts w:ascii="Arial" w:cs="Arial" w:eastAsia="Arial" w:hAnsi="Arial"/>
          <w:sz w:val="14"/>
          <w:szCs w:val="14"/>
          <w:color w:val="auto"/>
        </w:rPr>
      </w:pPr>
    </w:p>
    <w:p>
      <w:pPr>
        <w:jc w:val="both"/>
        <w:ind w:firstLine="920"/>
        <w:spacing w:after="0" w:line="255" w:lineRule="auto"/>
        <w:tabs>
          <w:tab w:leader="none" w:pos="1101" w:val="left"/>
        </w:tabs>
        <w:numPr>
          <w:ilvl w:val="1"/>
          <w:numId w:val="22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General. </w:t>
      </w:r>
      <w:r>
        <w:rPr>
          <w:rFonts w:ascii="Arial" w:cs="Arial" w:eastAsia="Arial" w:hAnsi="Arial"/>
          <w:sz w:val="14"/>
          <w:szCs w:val="14"/>
          <w:color w:val="auto"/>
        </w:rPr>
        <w:t>Whenever Award Shares are issued or become free of restrictions, the Company may require the Awardee to remit to the Company an amount sufficient to satisfy any applicable tax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withholding requirement, whether the related tax is imposed on the Awardee or the Company. The Company shall have no obligation to deliver Award Shares or release Award Shares from an escrow or permit a transfer of Option Shares until the Awardee has satisfied those tax withholding obligations. Whenever payment in satisfaction of Awards is made in cash, the payment will be reduced by an amount sufficient to satisfy all tax withholding requirements.</w:t>
      </w:r>
    </w:p>
    <w:p>
      <w:pPr>
        <w:spacing w:after="0" w:line="109" w:lineRule="exact"/>
        <w:rPr>
          <w:rFonts w:ascii="Arial" w:cs="Arial" w:eastAsia="Arial" w:hAnsi="Arial"/>
          <w:sz w:val="14"/>
          <w:szCs w:val="14"/>
          <w:color w:val="auto"/>
        </w:rPr>
      </w:pPr>
    </w:p>
    <w:p>
      <w:pPr>
        <w:ind w:right="100" w:firstLine="920"/>
        <w:spacing w:after="0" w:line="255" w:lineRule="auto"/>
        <w:tabs>
          <w:tab w:leader="none" w:pos="1109" w:val="left"/>
        </w:tabs>
        <w:numPr>
          <w:ilvl w:val="1"/>
          <w:numId w:val="22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Method of Payment. </w:t>
      </w:r>
      <w:r>
        <w:rPr>
          <w:rFonts w:ascii="Arial" w:cs="Arial" w:eastAsia="Arial" w:hAnsi="Arial"/>
          <w:sz w:val="14"/>
          <w:szCs w:val="14"/>
          <w:color w:val="auto"/>
        </w:rPr>
        <w:t>The Awardee shall pay any required withholding using the forms of consideration described in Section 6.4(b), except that, in the discretion of the Administrator,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may also permit the Awardee to use any of the forms of payment described in Section 6.4(c). The Administrator may also permit Award Shares to be withheld to pay required withholding. If the Administrator permits Award Shares to be withheld, the Fair Market Value of the Award Shares withheld. as determined as of the date of withholding, shall not exceed the amount determined by the applicable minimum statutory withholding rates.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20" w:top="247" w:right="259" w:bottom="1440" w:gutter="0" w:footer="0" w:header="0"/>
        </w:sectPr>
      </w:pPr>
    </w:p>
    <w:bookmarkStart w:id="314" w:name="page315"/>
    <w:bookmarkEnd w:id="314"/>
    <w:p>
      <w:pPr>
        <w:ind w:firstLine="458"/>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11.2 </w:t>
      </w:r>
      <w:r>
        <w:rPr>
          <w:rFonts w:ascii="Arial" w:cs="Arial" w:eastAsia="Arial" w:hAnsi="Arial"/>
          <w:sz w:val="14"/>
          <w:szCs w:val="14"/>
          <w:b w:val="1"/>
          <w:bCs w:val="1"/>
          <w:color w:val="auto"/>
        </w:rPr>
        <w:t>Reporting of Dispositions.</w:t>
      </w:r>
      <w:r>
        <w:rPr>
          <w:rFonts w:ascii="Arial" w:cs="Arial" w:eastAsia="Arial" w:hAnsi="Arial"/>
          <w:sz w:val="14"/>
          <w:szCs w:val="14"/>
          <w:color w:val="auto"/>
        </w:rPr>
        <w:t xml:space="preserve"> Any holder of Option Shares acquired under an Incentive Stock Option shall promptly notify the Administrator, following such procedures as the Administrator may require, of the sale or other disposition of any of those Option Shares if the disposition occurs during: (a) the longer of two years after the Grant Date of the Incentive Stock Option and one year after the date the Incentive Stock Option was exercised, or (b) such other period as the Administrator has established.</w:t>
      </w:r>
    </w:p>
    <w:p>
      <w:pPr>
        <w:spacing w:after="0" w:line="200" w:lineRule="exact"/>
        <w:rPr>
          <w:sz w:val="20"/>
          <w:szCs w:val="20"/>
          <w:color w:val="auto"/>
        </w:rPr>
      </w:pPr>
    </w:p>
    <w:p>
      <w:pPr>
        <w:ind w:left="460" w:hanging="456"/>
        <w:spacing w:after="0"/>
        <w:tabs>
          <w:tab w:leader="none" w:pos="460" w:val="left"/>
        </w:tabs>
        <w:numPr>
          <w:ilvl w:val="0"/>
          <w:numId w:val="230"/>
        </w:numPr>
        <w:rPr>
          <w:rFonts w:ascii="Arial" w:cs="Arial" w:eastAsia="Arial" w:hAnsi="Arial"/>
          <w:sz w:val="14"/>
          <w:szCs w:val="14"/>
          <w:color w:val="auto"/>
        </w:rPr>
      </w:pPr>
      <w:r>
        <w:rPr>
          <w:rFonts w:ascii="Arial" w:cs="Arial" w:eastAsia="Arial" w:hAnsi="Arial"/>
          <w:sz w:val="14"/>
          <w:szCs w:val="14"/>
          <w:b w:val="1"/>
          <w:bCs w:val="1"/>
          <w:color w:val="auto"/>
        </w:rPr>
        <w:t>Compliance with Law</w:t>
      </w:r>
    </w:p>
    <w:p>
      <w:pPr>
        <w:spacing w:after="0" w:line="69" w:lineRule="exact"/>
        <w:rPr>
          <w:sz w:val="20"/>
          <w:szCs w:val="20"/>
          <w:color w:val="auto"/>
        </w:rPr>
      </w:pPr>
    </w:p>
    <w:p>
      <w:pPr>
        <w:ind w:right="40" w:firstLine="458"/>
        <w:spacing w:after="0" w:line="301" w:lineRule="auto"/>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b w:val="1"/>
          <w:bCs w:val="1"/>
          <w:color w:val="auto"/>
        </w:rPr>
        <w:t>Applicable Law.</w:t>
      </w:r>
      <w:r>
        <w:rPr>
          <w:rFonts w:ascii="Arial" w:cs="Arial" w:eastAsia="Arial" w:hAnsi="Arial"/>
          <w:sz w:val="12"/>
          <w:szCs w:val="12"/>
          <w:color w:val="auto"/>
        </w:rPr>
        <w:t xml:space="preserve"> The grant of Awards and the issuance and subsequent transfer of Award Shares shall be subject to compliance with all Applicable Law, including all applicable securities laws. Awards may not be exercised, and Award Shares may not be transferred, in violation of Applicable Law. Thus, for example, Awards may not be exercised unless: (a) a registration statement under the Securities Act is then in effect with respect to the related Award Shares, or (b) in the opinion of legal counsel to the Company, those Award Shares may be issued in accordance with an applicable exemption from the registration requirements of the Securities Act and any other applicable securities laws. The failure or inability of the Company to obtain from any regulatory body the authority considered by the Company’s legal counsel to be necessary or useful for the lawful issuance of any Award Shares or their subsequent transfer shall relieve the Company of any liability for failing to issue those Award Shares or permitting their transfer. As a condition to the exercise of any Award or the transfer of any Award Shares, the Company may require the Awardee to satisfy any requirements or qualifications that may be necessary or appropriate to comply with or evidence compliance with any Applicable Law.</w:t>
      </w:r>
    </w:p>
    <w:p>
      <w:pPr>
        <w:spacing w:after="0" w:line="178" w:lineRule="exact"/>
        <w:rPr>
          <w:sz w:val="20"/>
          <w:szCs w:val="20"/>
          <w:color w:val="auto"/>
        </w:rPr>
      </w:pPr>
    </w:p>
    <w:p>
      <w:pPr>
        <w:ind w:left="460" w:hanging="456"/>
        <w:spacing w:after="0"/>
        <w:tabs>
          <w:tab w:leader="none" w:pos="460" w:val="left"/>
        </w:tabs>
        <w:numPr>
          <w:ilvl w:val="0"/>
          <w:numId w:val="231"/>
        </w:numPr>
        <w:rPr>
          <w:rFonts w:ascii="Arial" w:cs="Arial" w:eastAsia="Arial" w:hAnsi="Arial"/>
          <w:sz w:val="14"/>
          <w:szCs w:val="14"/>
          <w:color w:val="auto"/>
        </w:rPr>
      </w:pPr>
      <w:r>
        <w:rPr>
          <w:rFonts w:ascii="Arial" w:cs="Arial" w:eastAsia="Arial" w:hAnsi="Arial"/>
          <w:sz w:val="14"/>
          <w:szCs w:val="14"/>
          <w:b w:val="1"/>
          <w:bCs w:val="1"/>
          <w:color w:val="auto"/>
        </w:rPr>
        <w:t>Amendment or Termination of this Plan or Outstanding Awards</w:t>
      </w:r>
    </w:p>
    <w:p>
      <w:pPr>
        <w:spacing w:after="0" w:line="6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 xml:space="preserve">13.1 </w:t>
      </w:r>
      <w:r>
        <w:rPr>
          <w:rFonts w:ascii="Arial" w:cs="Arial" w:eastAsia="Arial" w:hAnsi="Arial"/>
          <w:sz w:val="14"/>
          <w:szCs w:val="14"/>
          <w:b w:val="1"/>
          <w:bCs w:val="1"/>
          <w:color w:val="auto"/>
        </w:rPr>
        <w:t>Amendment and Termination.</w:t>
      </w:r>
      <w:r>
        <w:rPr>
          <w:rFonts w:ascii="Arial" w:cs="Arial" w:eastAsia="Arial" w:hAnsi="Arial"/>
          <w:sz w:val="14"/>
          <w:szCs w:val="14"/>
          <w:color w:val="auto"/>
        </w:rPr>
        <w:t xml:space="preserve"> The Board may at any time amend, suspend, or terminate this Plan.</w:t>
      </w:r>
    </w:p>
    <w:p>
      <w:pPr>
        <w:spacing w:after="0" w:line="132"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Stockholder Approval.</w:t>
      </w:r>
      <w:r>
        <w:rPr>
          <w:rFonts w:ascii="Arial" w:cs="Arial" w:eastAsia="Arial" w:hAnsi="Arial"/>
          <w:sz w:val="14"/>
          <w:szCs w:val="14"/>
          <w:color w:val="auto"/>
        </w:rPr>
        <w:t xml:space="preserve"> The Company shall obtain the approval of the Company’s stockholders for any amendment to this Plan if stockholder approval is necessary or desirable to comply with any Applicable Law or with the requirements applicable to the grant of Awards intended to be Incentive Stock Options. The Board may also, but need not, require that the Company’s stockholders approve any other amendments to this Plan.</w:t>
      </w:r>
    </w:p>
    <w:p>
      <w:pPr>
        <w:spacing w:after="0" w:line="106" w:lineRule="exact"/>
        <w:rPr>
          <w:sz w:val="20"/>
          <w:szCs w:val="20"/>
          <w:color w:val="auto"/>
        </w:rPr>
      </w:pPr>
    </w:p>
    <w:p>
      <w:pPr>
        <w:ind w:right="40" w:firstLine="458"/>
        <w:spacing w:after="0" w:line="259"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Effect.</w:t>
      </w:r>
      <w:r>
        <w:rPr>
          <w:rFonts w:ascii="Arial" w:cs="Arial" w:eastAsia="Arial" w:hAnsi="Arial"/>
          <w:sz w:val="14"/>
          <w:szCs w:val="14"/>
          <w:color w:val="auto"/>
        </w:rPr>
        <w:t xml:space="preserve"> No amendment, suspension, or termination of this Plan, and no modification of any Award even in the absence of an amendment, suspension, or termination of this Plan, shall impair any existing contractual rights of any Awardee unless the affected Awardee consents to the amendment, suspension, termination, or modification. However, no such consent shall be required if the Board determines in its sole and absolute discretion that the amendment, suspension, termination, 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20" w:top="245" w:right="259" w:bottom="1440" w:gutter="0" w:footer="0" w:header="0"/>
        </w:sectPr>
      </w:pPr>
    </w:p>
    <w:bookmarkStart w:id="315" w:name="page316"/>
    <w:bookmarkEnd w:id="315"/>
    <w:p>
      <w:pPr>
        <w:ind w:right="6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modification: (a) is required or advisable in order for the Company, the Plan or the Award to satisfy Applicable Law, to meet the requirements of any accounting standard or to avoid any adverse accounting treatment, or (b) in connection with any transaction or event described in Section 10, is in the best interests of the Company or its stockholders. The Board may. but need not, take the tax consequences to affected Awardees into consideration in acting under the preceding sentence. Those decisions will be final, binding and conclusive. Termination of this Plan shall not affect the Administrator’s ability to exercise the powers granted to it under this Plan with respect to Awards granted before the termination, or Award Shares issued under such Awards, even if those Award Shares are issued after the termination.</w:t>
      </w:r>
    </w:p>
    <w:p>
      <w:pPr>
        <w:spacing w:after="0" w:line="171" w:lineRule="exact"/>
        <w:rPr>
          <w:sz w:val="20"/>
          <w:szCs w:val="20"/>
          <w:color w:val="auto"/>
        </w:rPr>
      </w:pPr>
    </w:p>
    <w:p>
      <w:pPr>
        <w:ind w:left="460" w:hanging="456"/>
        <w:spacing w:after="0"/>
        <w:tabs>
          <w:tab w:leader="none" w:pos="460" w:val="left"/>
        </w:tabs>
        <w:numPr>
          <w:ilvl w:val="0"/>
          <w:numId w:val="232"/>
        </w:numPr>
        <w:rPr>
          <w:rFonts w:ascii="Arial" w:cs="Arial" w:eastAsia="Arial" w:hAnsi="Arial"/>
          <w:sz w:val="14"/>
          <w:szCs w:val="14"/>
          <w:color w:val="auto"/>
        </w:rPr>
      </w:pPr>
      <w:r>
        <w:rPr>
          <w:rFonts w:ascii="Arial" w:cs="Arial" w:eastAsia="Arial" w:hAnsi="Arial"/>
          <w:sz w:val="14"/>
          <w:szCs w:val="14"/>
          <w:b w:val="1"/>
          <w:bCs w:val="1"/>
          <w:color w:val="auto"/>
        </w:rPr>
        <w:t>Reserved Rights</w:t>
      </w:r>
    </w:p>
    <w:p>
      <w:pPr>
        <w:spacing w:after="0" w:line="69" w:lineRule="exact"/>
        <w:rPr>
          <w:sz w:val="20"/>
          <w:szCs w:val="20"/>
          <w:color w:val="auto"/>
        </w:rPr>
      </w:pPr>
    </w:p>
    <w:p>
      <w:pPr>
        <w:ind w:right="440" w:firstLine="458"/>
        <w:spacing w:after="0" w:line="270" w:lineRule="auto"/>
        <w:rPr>
          <w:sz w:val="20"/>
          <w:szCs w:val="20"/>
          <w:color w:val="auto"/>
        </w:rPr>
      </w:pPr>
      <w:r>
        <w:rPr>
          <w:rFonts w:ascii="Arial" w:cs="Arial" w:eastAsia="Arial" w:hAnsi="Arial"/>
          <w:sz w:val="14"/>
          <w:szCs w:val="14"/>
          <w:color w:val="auto"/>
        </w:rPr>
        <w:t xml:space="preserve">14.1 </w:t>
      </w:r>
      <w:r>
        <w:rPr>
          <w:rFonts w:ascii="Arial" w:cs="Arial" w:eastAsia="Arial" w:hAnsi="Arial"/>
          <w:sz w:val="14"/>
          <w:szCs w:val="14"/>
          <w:b w:val="1"/>
          <w:bCs w:val="1"/>
          <w:color w:val="auto"/>
        </w:rPr>
        <w:t>Nonexclusivity of this Plan.</w:t>
      </w:r>
      <w:r>
        <w:rPr>
          <w:rFonts w:ascii="Arial" w:cs="Arial" w:eastAsia="Arial" w:hAnsi="Arial"/>
          <w:sz w:val="14"/>
          <w:szCs w:val="14"/>
          <w:color w:val="auto"/>
        </w:rPr>
        <w:t xml:space="preserve"> This Plan shall not limit the power of the Company or any Affiliate to adopt other incentive arrangements including, for example, the grant or issuance of stock options, stock, or other equity-based rights under other plans or independently of any plan.</w:t>
      </w:r>
    </w:p>
    <w:p>
      <w:pPr>
        <w:spacing w:after="0" w:line="97" w:lineRule="exact"/>
        <w:rPr>
          <w:sz w:val="20"/>
          <w:szCs w:val="20"/>
          <w:color w:val="auto"/>
        </w:rPr>
      </w:pPr>
    </w:p>
    <w:p>
      <w:pPr>
        <w:ind w:right="20" w:firstLine="458"/>
        <w:spacing w:after="0" w:line="254" w:lineRule="auto"/>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Unfunded Plan.</w:t>
      </w:r>
      <w:r>
        <w:rPr>
          <w:rFonts w:ascii="Arial" w:cs="Arial" w:eastAsia="Arial" w:hAnsi="Arial"/>
          <w:sz w:val="14"/>
          <w:szCs w:val="14"/>
          <w:color w:val="auto"/>
        </w:rPr>
        <w:t xml:space="preserve"> This Plan shall be unfunded. Although bookkeeping accounts may be established with respect to Awardees, any such accounts will be used merely as a convenience. The Company shall not be required to segregate any assets on account of this Plan. the grant of Awards, or the issuance of Award Shares. The Company and the Administrator shall not be deemed to be a trustee of stock or cash to be awarded under this Plan. Any obligations of the Company to any Awardee shall be based solely upon contracts entered into under this Plan. such as Award Agreements. No such obligations shall be deemed to be secured by any pledge or other encumbrance on any assets of the Company. Neither the Company nor the Administrator shall be required to give any security or bond for the performance of any such obligations.</w:t>
      </w:r>
    </w:p>
    <w:p>
      <w:pPr>
        <w:spacing w:after="0" w:line="203" w:lineRule="exact"/>
        <w:rPr>
          <w:sz w:val="20"/>
          <w:szCs w:val="20"/>
          <w:color w:val="auto"/>
        </w:rPr>
      </w:pPr>
    </w:p>
    <w:p>
      <w:pPr>
        <w:ind w:left="460" w:hanging="456"/>
        <w:spacing w:after="0"/>
        <w:tabs>
          <w:tab w:leader="none" w:pos="460" w:val="left"/>
        </w:tabs>
        <w:numPr>
          <w:ilvl w:val="0"/>
          <w:numId w:val="233"/>
        </w:numPr>
        <w:rPr>
          <w:rFonts w:ascii="Arial" w:cs="Arial" w:eastAsia="Arial" w:hAnsi="Arial"/>
          <w:sz w:val="14"/>
          <w:szCs w:val="14"/>
          <w:color w:val="auto"/>
        </w:rPr>
      </w:pPr>
      <w:r>
        <w:rPr>
          <w:rFonts w:ascii="Arial" w:cs="Arial" w:eastAsia="Arial" w:hAnsi="Arial"/>
          <w:sz w:val="14"/>
          <w:szCs w:val="14"/>
          <w:b w:val="1"/>
          <w:bCs w:val="1"/>
          <w:color w:val="auto"/>
        </w:rPr>
        <w:t>Special Arrangements Regarding Award Shares</w:t>
      </w:r>
    </w:p>
    <w:p>
      <w:pPr>
        <w:spacing w:after="0" w:line="69"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Escrows and Pledges.</w:t>
      </w:r>
      <w:r>
        <w:rPr>
          <w:rFonts w:ascii="Arial" w:cs="Arial" w:eastAsia="Arial" w:hAnsi="Arial"/>
          <w:sz w:val="14"/>
          <w:szCs w:val="14"/>
          <w:color w:val="auto"/>
        </w:rPr>
        <w:t xml:space="preserve"> To enforce any restrictions on Award Shares including restrictions related to Reverse Vesting, the Administrator may require their holder to deposit the certificates representing Award Shares, with stock powers or other transfer instruments approved by the Administrator endorsed in blank, with the Company or an agent of the Company to hold in escrow until the restrictions have lapsed or terminated. The Administrator may also cause a legend or legends referencing the restrictions to be placed on the certificates. Any Awardee who delivers a promissory note as partial or full consideration for the purchase of Award Shares will be required to pledge and deposit with the Company some or all of the Award Shares as collateral to secure the payment of the note. However, the Administrator may require or accept other or additional forms of collateral to secure the note and, in any event, the Company will have full recourse against the maker of the note, notwithstanding any pledge or other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247" w:right="219" w:bottom="1440" w:gutter="0" w:footer="0" w:header="0"/>
        </w:sectPr>
      </w:pPr>
    </w:p>
    <w:bookmarkStart w:id="316" w:name="page317"/>
    <w:bookmarkEnd w:id="316"/>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15.2 </w:t>
      </w:r>
      <w:r>
        <w:rPr>
          <w:rFonts w:ascii="Arial" w:cs="Arial" w:eastAsia="Arial" w:hAnsi="Arial"/>
          <w:sz w:val="14"/>
          <w:szCs w:val="14"/>
          <w:b w:val="1"/>
          <w:bCs w:val="1"/>
          <w:color w:val="auto"/>
        </w:rPr>
        <w:t>Repurchase Rights</w:t>
      </w:r>
    </w:p>
    <w:p>
      <w:pPr>
        <w:spacing w:after="0" w:line="71" w:lineRule="exact"/>
        <w:rPr>
          <w:sz w:val="20"/>
          <w:szCs w:val="20"/>
          <w:color w:val="auto"/>
        </w:rPr>
      </w:pPr>
    </w:p>
    <w:p>
      <w:pPr>
        <w:ind w:right="40" w:firstLine="920"/>
        <w:spacing w:after="0" w:line="321" w:lineRule="auto"/>
        <w:tabs>
          <w:tab w:leader="none" w:pos="1101" w:val="left"/>
        </w:tabs>
        <w:numPr>
          <w:ilvl w:val="0"/>
          <w:numId w:val="23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Reverse Vesting. </w:t>
      </w:r>
      <w:r>
        <w:rPr>
          <w:rFonts w:ascii="Arial" w:cs="Arial" w:eastAsia="Arial" w:hAnsi="Arial"/>
          <w:sz w:val="12"/>
          <w:szCs w:val="12"/>
          <w:color w:val="auto"/>
        </w:rPr>
        <w:t>If an Option or Stock Award is subject to Reverse Vesting, the Company shall have the right, during the 90 days after the Awardee’s Termination, to repurchase any or all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Award Shares that were unvested as of the date of that Termination at the initial purchase price. The repurchase price shall be paid in cash or, if the Option Shares were purchased in whole or in part with a promissory note. cancellation of indebtedness under that note, or a combination of those means. The Company may assign this right of repurchase.</w:t>
      </w:r>
    </w:p>
    <w:p>
      <w:pPr>
        <w:spacing w:after="0" w:line="73" w:lineRule="exact"/>
        <w:rPr>
          <w:rFonts w:ascii="Arial" w:cs="Arial" w:eastAsia="Arial" w:hAnsi="Arial"/>
          <w:sz w:val="12"/>
          <w:szCs w:val="12"/>
          <w:color w:val="auto"/>
        </w:rPr>
      </w:pPr>
    </w:p>
    <w:p>
      <w:pPr>
        <w:ind w:firstLine="920"/>
        <w:spacing w:after="0" w:line="258" w:lineRule="auto"/>
        <w:tabs>
          <w:tab w:leader="none" w:pos="1109" w:val="left"/>
        </w:tabs>
        <w:numPr>
          <w:ilvl w:val="0"/>
          <w:numId w:val="2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Procedure. </w:t>
      </w:r>
      <w:r>
        <w:rPr>
          <w:rFonts w:ascii="Arial" w:cs="Arial" w:eastAsia="Arial" w:hAnsi="Arial"/>
          <w:sz w:val="14"/>
          <w:szCs w:val="14"/>
          <w:color w:val="auto"/>
        </w:rPr>
        <w:t>The Company may, in it sole discretion, exercise any of its repurchase rights under Section 15.2. The Company or its assignee may choose to give the Awardee a written notice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exercise of its repurchase rights under this Section 15.2. However, the Company’s failure to give such a notice shall not affect its rights to repurchase Award Shares. The Company must, however, tender the repurchase price during the period specified in this Section 15.2 for exercising its repurchase rights in order to exercise such rights.</w:t>
      </w:r>
    </w:p>
    <w:p>
      <w:pPr>
        <w:spacing w:after="0" w:line="106" w:lineRule="exact"/>
        <w:rPr>
          <w:sz w:val="20"/>
          <w:szCs w:val="20"/>
          <w:color w:val="auto"/>
        </w:rPr>
      </w:pPr>
    </w:p>
    <w:p>
      <w:pPr>
        <w:ind w:right="20" w:firstLine="458"/>
        <w:spacing w:after="0" w:line="259"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b w:val="1"/>
          <w:bCs w:val="1"/>
          <w:color w:val="auto"/>
        </w:rPr>
        <w:t>Market Standoff.</w:t>
      </w:r>
      <w:r>
        <w:rPr>
          <w:rFonts w:ascii="Arial" w:cs="Arial" w:eastAsia="Arial" w:hAnsi="Arial"/>
          <w:sz w:val="14"/>
          <w:szCs w:val="14"/>
          <w:color w:val="auto"/>
        </w:rPr>
        <w:t xml:space="preserve"> If requested by the Company or a representative of its underwriters in connection with a registration of any securities of the Company under the Securities Act. Awardees or certain Awardees shall be prohibited from selling some or all of their Award Shares during a period not to exceed 180 days after the effective date of a registration statement filed with respect to the initial public offering of the Company.</w:t>
      </w:r>
    </w:p>
    <w:p>
      <w:pPr>
        <w:spacing w:after="0" w:line="106" w:lineRule="exact"/>
        <w:rPr>
          <w:sz w:val="20"/>
          <w:szCs w:val="20"/>
          <w:color w:val="auto"/>
        </w:rPr>
      </w:pPr>
    </w:p>
    <w:p>
      <w:pPr>
        <w:ind w:right="300" w:firstLine="458"/>
        <w:spacing w:after="0" w:line="270" w:lineRule="auto"/>
        <w:rPr>
          <w:sz w:val="20"/>
          <w:szCs w:val="20"/>
          <w:color w:val="auto"/>
        </w:rPr>
      </w:pPr>
      <w:r>
        <w:rPr>
          <w:rFonts w:ascii="Arial" w:cs="Arial" w:eastAsia="Arial" w:hAnsi="Arial"/>
          <w:sz w:val="14"/>
          <w:szCs w:val="14"/>
          <w:color w:val="auto"/>
        </w:rPr>
        <w:t xml:space="preserve">15.4 </w:t>
      </w:r>
      <w:r>
        <w:rPr>
          <w:rFonts w:ascii="Arial" w:cs="Arial" w:eastAsia="Arial" w:hAnsi="Arial"/>
          <w:sz w:val="14"/>
          <w:szCs w:val="14"/>
          <w:b w:val="1"/>
          <w:bCs w:val="1"/>
          <w:color w:val="auto"/>
        </w:rPr>
        <w:t>Dividends.</w:t>
      </w:r>
      <w:r>
        <w:rPr>
          <w:rFonts w:ascii="Arial" w:cs="Arial" w:eastAsia="Arial" w:hAnsi="Arial"/>
          <w:sz w:val="14"/>
          <w:szCs w:val="14"/>
          <w:color w:val="auto"/>
        </w:rPr>
        <w:t xml:space="preserve"> Dividends on Award Shares that are subject to any restrictions, including Reverse Vesting, shall be subject to the same restriction, including those set forth in this Section 15, as the Award Shares on which the dividends were paid.</w:t>
      </w:r>
    </w:p>
    <w:p>
      <w:pPr>
        <w:spacing w:after="0" w:line="191" w:lineRule="exact"/>
        <w:rPr>
          <w:sz w:val="20"/>
          <w:szCs w:val="20"/>
          <w:color w:val="auto"/>
        </w:rPr>
      </w:pPr>
    </w:p>
    <w:p>
      <w:pPr>
        <w:ind w:left="460" w:hanging="456"/>
        <w:spacing w:after="0"/>
        <w:tabs>
          <w:tab w:leader="none" w:pos="460" w:val="left"/>
        </w:tabs>
        <w:numPr>
          <w:ilvl w:val="0"/>
          <w:numId w:val="235"/>
        </w:numPr>
        <w:rPr>
          <w:rFonts w:ascii="Arial" w:cs="Arial" w:eastAsia="Arial" w:hAnsi="Arial"/>
          <w:sz w:val="14"/>
          <w:szCs w:val="14"/>
          <w:color w:val="auto"/>
        </w:rPr>
      </w:pPr>
      <w:r>
        <w:rPr>
          <w:rFonts w:ascii="Arial" w:cs="Arial" w:eastAsia="Arial" w:hAnsi="Arial"/>
          <w:sz w:val="14"/>
          <w:szCs w:val="14"/>
          <w:b w:val="1"/>
          <w:bCs w:val="1"/>
          <w:color w:val="auto"/>
        </w:rPr>
        <w:t>Beneficiaries</w:t>
      </w:r>
    </w:p>
    <w:p>
      <w:pPr>
        <w:spacing w:after="0" w:line="71" w:lineRule="exact"/>
        <w:rPr>
          <w:sz w:val="20"/>
          <w:szCs w:val="20"/>
          <w:color w:val="auto"/>
        </w:rPr>
      </w:pPr>
    </w:p>
    <w:p>
      <w:pPr>
        <w:ind w:right="80" w:firstLine="458"/>
        <w:spacing w:after="0" w:line="311" w:lineRule="auto"/>
        <w:rPr>
          <w:sz w:val="20"/>
          <w:szCs w:val="20"/>
          <w:color w:val="auto"/>
        </w:rPr>
      </w:pPr>
      <w:r>
        <w:rPr>
          <w:rFonts w:ascii="Arial" w:cs="Arial" w:eastAsia="Arial" w:hAnsi="Arial"/>
          <w:sz w:val="12"/>
          <w:szCs w:val="12"/>
          <w:color w:val="auto"/>
        </w:rPr>
        <w:t>An Awardee may file a written designation of one or more beneficiaries who are to receive the Awardee’s rights under the Awardee’s Awards after the Awardee’s death. An Awardee may change such a designation at any time by written notice. If an Awardee designates a beneficiary, the beneficiary may exercise the Awardee’s Awards after the Awardee’s death. If an Awardee dies when the Awardee has no living beneficiary designated under this Plan, the Company shall allow the executor or administrator of the Awardee’s estate to exercise the Award or, if there is none, the person entitled to exercise the Option under the Awardee’s will or the laws of descent and distribution. In any case. no Award may be exercised after its Expiration Date.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40"/>
          </w:cols>
          <w:pgMar w:left="220" w:top="244" w:right="239" w:bottom="1440" w:gutter="0" w:footer="0" w:header="0"/>
        </w:sectPr>
      </w:pPr>
    </w:p>
    <w:bookmarkStart w:id="317" w:name="page318"/>
    <w:bookmarkEnd w:id="317"/>
    <w:p>
      <w:pPr>
        <w:ind w:left="460" w:hanging="456"/>
        <w:spacing w:after="0"/>
        <w:tabs>
          <w:tab w:leader="none" w:pos="460" w:val="left"/>
        </w:tabs>
        <w:numPr>
          <w:ilvl w:val="0"/>
          <w:numId w:val="236"/>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Miscellaneous</w:t>
      </w:r>
    </w:p>
    <w:p>
      <w:pPr>
        <w:spacing w:after="0" w:line="6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b w:val="1"/>
          <w:bCs w:val="1"/>
          <w:color w:val="auto"/>
        </w:rPr>
        <w:t>Governing Law.</w:t>
      </w:r>
      <w:r>
        <w:rPr>
          <w:rFonts w:ascii="Arial" w:cs="Arial" w:eastAsia="Arial" w:hAnsi="Arial"/>
          <w:sz w:val="14"/>
          <w:szCs w:val="14"/>
          <w:color w:val="auto"/>
        </w:rPr>
        <w:t xml:space="preserve"> This Plan, the Award Agreements, and all other agreements entered into under this Plan, and all actions taken under this Plan or in connection with Awards or Award Shares shall be governed by the substantive laws, but not the choice of law rules, of the State of Delaware.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17.2 </w:t>
      </w:r>
      <w:r>
        <w:rPr>
          <w:rFonts w:ascii="Arial" w:cs="Arial" w:eastAsia="Arial" w:hAnsi="Arial"/>
          <w:sz w:val="14"/>
          <w:szCs w:val="14"/>
          <w:b w:val="1"/>
          <w:bCs w:val="1"/>
          <w:color w:val="auto"/>
        </w:rPr>
        <w:t>Determination of Value.</w:t>
      </w:r>
      <w:r>
        <w:rPr>
          <w:rFonts w:ascii="Arial" w:cs="Arial" w:eastAsia="Arial" w:hAnsi="Arial"/>
          <w:sz w:val="14"/>
          <w:szCs w:val="14"/>
          <w:color w:val="auto"/>
        </w:rPr>
        <w:t xml:space="preserve"> Fair Market Value shall be determined as follows:</w:t>
      </w:r>
    </w:p>
    <w:p>
      <w:pPr>
        <w:spacing w:after="0" w:line="71" w:lineRule="exact"/>
        <w:rPr>
          <w:sz w:val="20"/>
          <w:szCs w:val="20"/>
          <w:color w:val="auto"/>
        </w:rPr>
      </w:pPr>
    </w:p>
    <w:p>
      <w:pPr>
        <w:jc w:val="both"/>
        <w:ind w:right="80" w:firstLine="920"/>
        <w:spacing w:after="0" w:line="305" w:lineRule="auto"/>
        <w:tabs>
          <w:tab w:leader="none" w:pos="1101" w:val="left"/>
        </w:tabs>
        <w:numPr>
          <w:ilvl w:val="0"/>
          <w:numId w:val="23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No Established Market. </w:t>
      </w:r>
      <w:r>
        <w:rPr>
          <w:rFonts w:ascii="Arial" w:cs="Arial" w:eastAsia="Arial" w:hAnsi="Arial"/>
          <w:sz w:val="12"/>
          <w:szCs w:val="12"/>
          <w:color w:val="auto"/>
        </w:rPr>
        <w:t>If Shares are not traded on any established stock exchange or quoted on a national market system and are not quoted by a recognized securities dealer, the Board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Committee will determine Fair Market Value in good faith. The Board or Committee will consider the following factors, and any others it considers significant, in determining Fair Market Value: (i) the price at which other securities of the Company have been issued to purchasers other than Employees. Directors, or Consultants, (ii) the Company’s net worth, prospective earning power, dividend paying capacity, and non-operating assets, if any, and (iii) any other relevant factors, including the economic outlook for the Company and the Company’s industry, the Company’s position in that industry, the Company’s goodwill and intellectual property, and the values of securities of other businesses in the same industry.</w:t>
      </w:r>
    </w:p>
    <w:p>
      <w:pPr>
        <w:spacing w:after="0" w:line="84" w:lineRule="exact"/>
        <w:rPr>
          <w:rFonts w:ascii="Arial" w:cs="Arial" w:eastAsia="Arial" w:hAnsi="Arial"/>
          <w:sz w:val="12"/>
          <w:szCs w:val="12"/>
          <w:color w:val="auto"/>
        </w:rPr>
      </w:pPr>
    </w:p>
    <w:p>
      <w:pPr>
        <w:ind w:firstLine="920"/>
        <w:spacing w:after="0" w:line="305" w:lineRule="auto"/>
        <w:tabs>
          <w:tab w:leader="none" w:pos="1109" w:val="left"/>
        </w:tabs>
        <w:numPr>
          <w:ilvl w:val="0"/>
          <w:numId w:val="23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Listed Stock. </w:t>
      </w:r>
      <w:r>
        <w:rPr>
          <w:rFonts w:ascii="Arial" w:cs="Arial" w:eastAsia="Arial" w:hAnsi="Arial"/>
          <w:sz w:val="12"/>
          <w:szCs w:val="12"/>
          <w:color w:val="auto"/>
        </w:rPr>
        <w:t>If the Shares are traded on any established stock exchange or quoted on a national market system, Fair Market Value shall be the closing sales price for the Shares as quoted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that stock exchange or system for the date the value is to be determined (the </w:t>
      </w:r>
      <w:r>
        <w:rPr>
          <w:rFonts w:ascii="Arial" w:cs="Arial" w:eastAsia="Arial" w:hAnsi="Arial"/>
          <w:sz w:val="12"/>
          <w:szCs w:val="12"/>
          <w:b w:val="1"/>
          <w:bCs w:val="1"/>
          <w:i w:val="1"/>
          <w:iCs w:val="1"/>
          <w:color w:val="auto"/>
        </w:rPr>
        <w:t>“Value Date”</w:t>
      </w:r>
      <w:r>
        <w:rPr>
          <w:rFonts w:ascii="Arial" w:cs="Arial" w:eastAsia="Arial" w:hAnsi="Arial"/>
          <w:sz w:val="12"/>
          <w:szCs w:val="12"/>
          <w:color w:val="auto"/>
        </w:rPr>
        <w:t xml:space="preserve">)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a similar publication. If no sales are reported as having occurred on the Value Date, Fair Market Value shall be that closing sales price for the last preceding trading day on which sales of Shares are reported as having occurred. If no sales are reported as having occurred during the five trading days before the Value Date, Fair Market Value shall be the closing bid for Shares on the Value Date. If Shares are listed on multiple exchanges or systems, Fair Market Value shall be based on sales or bids on the primary exchange or system on which Shares are traded or quoted.</w:t>
      </w:r>
    </w:p>
    <w:p>
      <w:pPr>
        <w:spacing w:after="0" w:line="84" w:lineRule="exact"/>
        <w:rPr>
          <w:rFonts w:ascii="Arial" w:cs="Arial" w:eastAsia="Arial" w:hAnsi="Arial"/>
          <w:sz w:val="12"/>
          <w:szCs w:val="12"/>
          <w:color w:val="auto"/>
        </w:rPr>
      </w:pPr>
    </w:p>
    <w:p>
      <w:pPr>
        <w:ind w:right="360" w:firstLine="920"/>
        <w:spacing w:after="0" w:line="321" w:lineRule="auto"/>
        <w:tabs>
          <w:tab w:leader="none" w:pos="1101" w:val="left"/>
        </w:tabs>
        <w:numPr>
          <w:ilvl w:val="0"/>
          <w:numId w:val="23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Stock Quoted by Securities Dealer. </w:t>
      </w:r>
      <w:r>
        <w:rPr>
          <w:rFonts w:ascii="Arial" w:cs="Arial" w:eastAsia="Arial" w:hAnsi="Arial"/>
          <w:sz w:val="12"/>
          <w:szCs w:val="12"/>
          <w:color w:val="auto"/>
        </w:rPr>
        <w:t>If Shares are regularly quoted by a recognized securities dealer but selling prices are not reported on any established stock exchange or quoted on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national market system, Fair Market Value shall be the mean between the high bid and low asked prices on the Value Date. If no prices are quoted for the Value Date, Fair Market Value shall be the mean between the high bid and low asked prices on the last preceding trading day on which any bid and asked prices were quoted.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0"/>
          </w:cols>
          <w:pgMar w:left="220" w:top="244" w:right="239" w:bottom="1440" w:gutter="0" w:footer="0" w:header="0"/>
        </w:sectPr>
      </w:pPr>
    </w:p>
    <w:bookmarkStart w:id="318" w:name="page319"/>
    <w:bookmarkEnd w:id="318"/>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(d) </w:t>
      </w:r>
      <w:r>
        <w:rPr>
          <w:rFonts w:ascii="Arial" w:cs="Arial" w:eastAsia="Arial" w:hAnsi="Arial"/>
          <w:sz w:val="12"/>
          <w:szCs w:val="12"/>
          <w:b w:val="1"/>
          <w:bCs w:val="1"/>
          <w:i w:val="1"/>
          <w:iCs w:val="1"/>
          <w:color w:val="auto"/>
        </w:rPr>
        <w:t>Initial Public Offering.</w:t>
      </w:r>
      <w:r>
        <w:rPr>
          <w:rFonts w:ascii="Arial" w:cs="Arial" w:eastAsia="Arial" w:hAnsi="Arial"/>
          <w:sz w:val="12"/>
          <w:szCs w:val="12"/>
          <w:color w:val="auto"/>
        </w:rPr>
        <w:t xml:space="preserve"> The Fair Market Value of Shares on the date, if any, that the Company makes an initial public offering of Shares shall be the price at which Shares are first offered to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public.</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b w:val="1"/>
          <w:bCs w:val="1"/>
          <w:color w:val="auto"/>
        </w:rPr>
        <w:t>Reservation of Shares.</w:t>
      </w:r>
      <w:r>
        <w:rPr>
          <w:rFonts w:ascii="Arial" w:cs="Arial" w:eastAsia="Arial" w:hAnsi="Arial"/>
          <w:sz w:val="14"/>
          <w:szCs w:val="14"/>
          <w:color w:val="auto"/>
        </w:rPr>
        <w:t xml:space="preserve"> During the term of this Plan, the Company will at all times reserve and keep available such number of Shares as are still issuable under this Plan.</w:t>
      </w:r>
    </w:p>
    <w:p>
      <w:pPr>
        <w:spacing w:after="0" w:line="132"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17.4 </w:t>
      </w:r>
      <w:r>
        <w:rPr>
          <w:rFonts w:ascii="Arial" w:cs="Arial" w:eastAsia="Arial" w:hAnsi="Arial"/>
          <w:sz w:val="14"/>
          <w:szCs w:val="14"/>
          <w:b w:val="1"/>
          <w:bCs w:val="1"/>
          <w:color w:val="auto"/>
        </w:rPr>
        <w:t>Electronic Communications.</w:t>
      </w:r>
      <w:r>
        <w:rPr>
          <w:rFonts w:ascii="Arial" w:cs="Arial" w:eastAsia="Arial" w:hAnsi="Arial"/>
          <w:sz w:val="14"/>
          <w:szCs w:val="14"/>
          <w:color w:val="auto"/>
        </w:rPr>
        <w:t xml:space="preserve"> Any Award Agreement, notice of exercise of an Award, or other document required or permitted by this Plan may be delivered in writing or, to the extent determined by the Administrator, electronically. Signatures may also be electronic if permitted by the Administrator.</w:t>
      </w:r>
    </w:p>
    <w:p>
      <w:pPr>
        <w:spacing w:after="0" w:line="97" w:lineRule="exact"/>
        <w:rPr>
          <w:sz w:val="20"/>
          <w:szCs w:val="20"/>
          <w:color w:val="auto"/>
        </w:rPr>
      </w:pPr>
    </w:p>
    <w:p>
      <w:pPr>
        <w:ind w:right="480" w:firstLine="458"/>
        <w:spacing w:after="0" w:line="355" w:lineRule="auto"/>
        <w:rPr>
          <w:sz w:val="20"/>
          <w:szCs w:val="20"/>
          <w:color w:val="auto"/>
        </w:rPr>
      </w:pPr>
      <w:r>
        <w:rPr>
          <w:rFonts w:ascii="Arial" w:cs="Arial" w:eastAsia="Arial" w:hAnsi="Arial"/>
          <w:sz w:val="12"/>
          <w:szCs w:val="12"/>
          <w:color w:val="auto"/>
        </w:rPr>
        <w:t xml:space="preserve">17.5 </w:t>
      </w:r>
      <w:r>
        <w:rPr>
          <w:rFonts w:ascii="Arial" w:cs="Arial" w:eastAsia="Arial" w:hAnsi="Arial"/>
          <w:sz w:val="12"/>
          <w:szCs w:val="12"/>
          <w:b w:val="1"/>
          <w:bCs w:val="1"/>
          <w:color w:val="auto"/>
        </w:rPr>
        <w:t>Notices.</w:t>
      </w:r>
      <w:r>
        <w:rPr>
          <w:rFonts w:ascii="Arial" w:cs="Arial" w:eastAsia="Arial" w:hAnsi="Arial"/>
          <w:sz w:val="12"/>
          <w:szCs w:val="12"/>
          <w:color w:val="auto"/>
        </w:rPr>
        <w:t xml:space="preserve"> Unless the Administrator specifies otherwise, any notice to the Company under any Option Agreement or with respect to any Awards or Award Shares shall be in writing (or, if so authorized by Section 17.4, communicated electronically), shall be addressed to the Secretary of the Company. and shall only be effective when received by the Secretary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Adopted by the Board on: January 23, 2003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20"/>
                <w:szCs w:val="20"/>
                <w:color w:val="auto"/>
              </w:rPr>
            </w:pPr>
            <w:r>
              <w:rPr>
                <w:rFonts w:ascii="Arial" w:cs="Arial" w:eastAsia="Arial" w:hAnsi="Arial"/>
                <w:sz w:val="14"/>
                <w:szCs w:val="14"/>
                <w:color w:val="auto"/>
              </w:rPr>
              <w:t>Approved by the stockholders on:</w:t>
            </w:r>
          </w:p>
        </w:tc>
        <w:tc>
          <w:tcPr>
            <w:tcW w:w="720" w:type="dxa"/>
            <w:vAlign w:val="bottom"/>
          </w:tcPr>
          <w:p>
            <w:pPr>
              <w:jc w:val="right"/>
              <w:spacing w:after="0"/>
              <w:rPr>
                <w:sz w:val="20"/>
                <w:szCs w:val="20"/>
                <w:color w:val="auto"/>
              </w:rPr>
            </w:pPr>
            <w:r>
              <w:rPr>
                <w:rFonts w:ascii="Arial" w:cs="Arial" w:eastAsia="Arial" w:hAnsi="Arial"/>
                <w:sz w:val="14"/>
                <w:szCs w:val="14"/>
                <w:color w:val="auto"/>
              </w:rPr>
              <w:t>, 2003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Effective date of this Plan: February 21, 2003 (Exemption from registration approved by Maryland Attorney General (Securities Division)).</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00"/>
          </w:cols>
          <w:pgMar w:left="220" w:top="246" w:right="279" w:bottom="1440" w:gutter="0" w:footer="0" w:header="0"/>
        </w:sectPr>
      </w:pPr>
    </w:p>
    <w:bookmarkStart w:id="319" w:name="page320"/>
    <w:bookmarkEnd w:id="319"/>
    <w:p>
      <w:pPr>
        <w:jc w:val="right"/>
        <w:spacing w:after="0"/>
        <w:rPr>
          <w:sz w:val="20"/>
          <w:szCs w:val="20"/>
          <w:color w:val="auto"/>
        </w:rPr>
      </w:pPr>
      <w:r>
        <w:rPr>
          <w:rFonts w:ascii="Arial" w:cs="Arial" w:eastAsia="Arial" w:hAnsi="Arial"/>
          <w:sz w:val="14"/>
          <w:szCs w:val="14"/>
          <w:b w:val="1"/>
          <w:bCs w:val="1"/>
          <w:color w:val="auto"/>
        </w:rPr>
        <w:t>Exhibit 10.4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360" w:type="dxa"/>
            <w:vAlign w:val="bottom"/>
            <w:gridSpan w:val="7"/>
          </w:tcPr>
          <w:p>
            <w:pPr>
              <w:ind w:left="1440"/>
              <w:spacing w:after="0"/>
              <w:rPr>
                <w:sz w:val="20"/>
                <w:szCs w:val="20"/>
                <w:color w:val="auto"/>
              </w:rPr>
            </w:pPr>
            <w:r>
              <w:rPr>
                <w:rFonts w:ascii="Arial" w:cs="Arial" w:eastAsia="Arial" w:hAnsi="Arial"/>
                <w:sz w:val="14"/>
                <w:szCs w:val="14"/>
                <w:b w:val="1"/>
                <w:bCs w:val="1"/>
                <w:color w:val="auto"/>
              </w:rPr>
              <w:t>MacroGenics, Inc.</w:t>
            </w:r>
          </w:p>
        </w:tc>
      </w:tr>
      <w:tr>
        <w:trPr>
          <w:trHeight w:val="293"/>
        </w:trPr>
        <w:tc>
          <w:tcPr>
            <w:tcW w:w="3760" w:type="dxa"/>
            <w:vAlign w:val="bottom"/>
            <w:gridSpan w:val="6"/>
          </w:tcPr>
          <w:p>
            <w:pPr>
              <w:spacing w:after="0"/>
              <w:rPr>
                <w:sz w:val="20"/>
                <w:szCs w:val="20"/>
                <w:color w:val="auto"/>
              </w:rPr>
            </w:pPr>
            <w:r>
              <w:rPr>
                <w:rFonts w:ascii="Arial" w:cs="Arial" w:eastAsia="Arial" w:hAnsi="Arial"/>
                <w:sz w:val="14"/>
                <w:szCs w:val="14"/>
                <w:b w:val="1"/>
                <w:bCs w:val="1"/>
                <w:color w:val="auto"/>
              </w:rPr>
              <w:t>November 19, 2012</w:t>
            </w: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3760" w:type="dxa"/>
            <w:vAlign w:val="bottom"/>
            <w:gridSpan w:val="6"/>
          </w:tcPr>
          <w:p>
            <w:pPr>
              <w:spacing w:after="0"/>
              <w:rPr>
                <w:sz w:val="20"/>
                <w:szCs w:val="20"/>
                <w:color w:val="auto"/>
              </w:rPr>
            </w:pPr>
            <w:r>
              <w:rPr>
                <w:rFonts w:ascii="Arial" w:cs="Arial" w:eastAsia="Arial" w:hAnsi="Arial"/>
                <w:sz w:val="14"/>
                <w:szCs w:val="14"/>
                <w:b w:val="1"/>
                <w:bCs w:val="1"/>
                <w:color w:val="auto"/>
              </w:rPr>
              <w:t>«FirstName» «LastName»</w:t>
            </w: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4"/>
                <w:szCs w:val="14"/>
                <w:b w:val="1"/>
                <w:bCs w:val="1"/>
                <w:color w:val="auto"/>
              </w:rPr>
              <w:t>Re:</w:t>
            </w:r>
          </w:p>
        </w:tc>
        <w:tc>
          <w:tcPr>
            <w:tcW w:w="34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Grant of Incentive Stock Option</w:t>
            </w: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4"/>
          </w:tcPr>
          <w:p>
            <w:pPr>
              <w:spacing w:after="0"/>
              <w:rPr>
                <w:sz w:val="20"/>
                <w:szCs w:val="20"/>
                <w:color w:val="auto"/>
              </w:rPr>
            </w:pPr>
            <w:r>
              <w:rPr>
                <w:rFonts w:ascii="Arial" w:cs="Arial" w:eastAsia="Arial" w:hAnsi="Arial"/>
                <w:sz w:val="14"/>
                <w:szCs w:val="14"/>
                <w:color w:val="auto"/>
              </w:rPr>
              <w:t>Option Shares: «Optionshares»</w:t>
            </w:r>
          </w:p>
        </w:tc>
        <w:tc>
          <w:tcPr>
            <w:tcW w:w="4360" w:type="dxa"/>
            <w:vAlign w:val="bottom"/>
            <w:gridSpan w:val="7"/>
          </w:tcPr>
          <w:p>
            <w:pPr>
              <w:ind w:left="2280"/>
              <w:spacing w:after="0"/>
              <w:rPr>
                <w:sz w:val="20"/>
                <w:szCs w:val="20"/>
                <w:color w:val="auto"/>
              </w:rPr>
            </w:pPr>
            <w:r>
              <w:rPr>
                <w:rFonts w:ascii="Arial" w:cs="Arial" w:eastAsia="Arial" w:hAnsi="Arial"/>
                <w:sz w:val="14"/>
                <w:szCs w:val="14"/>
                <w:color w:val="auto"/>
              </w:rPr>
              <w:t>Grant Date: «Grantdate»</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spacing w:after="0"/>
              <w:rPr>
                <w:sz w:val="20"/>
                <w:szCs w:val="20"/>
                <w:color w:val="auto"/>
              </w:rPr>
            </w:pPr>
            <w:r>
              <w:rPr>
                <w:rFonts w:ascii="Arial" w:cs="Arial" w:eastAsia="Arial" w:hAnsi="Arial"/>
                <w:sz w:val="14"/>
                <w:szCs w:val="14"/>
                <w:color w:val="auto"/>
              </w:rPr>
              <w:t>Price per share: «Pricepershare»</w:t>
            </w:r>
          </w:p>
        </w:tc>
        <w:tc>
          <w:tcPr>
            <w:tcW w:w="4360" w:type="dxa"/>
            <w:vAlign w:val="bottom"/>
            <w:gridSpan w:val="7"/>
          </w:tcPr>
          <w:p>
            <w:pPr>
              <w:ind w:left="2280"/>
              <w:spacing w:after="0"/>
              <w:rPr>
                <w:sz w:val="20"/>
                <w:szCs w:val="20"/>
                <w:color w:val="auto"/>
              </w:rPr>
            </w:pPr>
            <w:r>
              <w:rPr>
                <w:rFonts w:ascii="Arial" w:cs="Arial" w:eastAsia="Arial" w:hAnsi="Arial"/>
                <w:sz w:val="14"/>
                <w:szCs w:val="14"/>
                <w:color w:val="auto"/>
                <w:w w:val="84"/>
              </w:rPr>
              <w:t>Vesting Base Date: «Vestingbasedate»</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0" w:type="dxa"/>
            <w:vAlign w:val="bottom"/>
            <w:tcBorders>
              <w:left w:val="single" w:sz="8" w:color="auto"/>
            </w:tcBorders>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60" w:type="dxa"/>
            <w:vAlign w:val="bottom"/>
            <w:gridSpan w:val="7"/>
          </w:tcPr>
          <w:p>
            <w:pPr>
              <w:ind w:left="2280"/>
              <w:spacing w:after="0"/>
              <w:rPr>
                <w:sz w:val="20"/>
                <w:szCs w:val="20"/>
                <w:color w:val="auto"/>
              </w:rPr>
            </w:pPr>
            <w:r>
              <w:rPr>
                <w:rFonts w:ascii="Arial" w:cs="Arial" w:eastAsia="Arial" w:hAnsi="Arial"/>
                <w:sz w:val="14"/>
                <w:szCs w:val="14"/>
                <w:color w:val="auto"/>
                <w:w w:val="88"/>
              </w:rPr>
              <w:t>Fully-Vested Date: «Fullyvesteddate»</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spacing w:after="0"/>
              <w:rPr>
                <w:sz w:val="20"/>
                <w:szCs w:val="20"/>
                <w:color w:val="auto"/>
              </w:rPr>
            </w:pPr>
            <w:r>
              <w:rPr>
                <w:rFonts w:ascii="Arial" w:cs="Arial" w:eastAsia="Arial" w:hAnsi="Arial"/>
                <w:sz w:val="14"/>
                <w:szCs w:val="14"/>
                <w:color w:val="auto"/>
              </w:rPr>
              <w:t>Option control no.:</w:t>
            </w:r>
          </w:p>
        </w:tc>
        <w:tc>
          <w:tcPr>
            <w:tcW w:w="4360" w:type="dxa"/>
            <w:vAlign w:val="bottom"/>
            <w:gridSpan w:val="7"/>
          </w:tcPr>
          <w:p>
            <w:pPr>
              <w:ind w:left="2280"/>
              <w:spacing w:after="0"/>
              <w:rPr>
                <w:sz w:val="20"/>
                <w:szCs w:val="20"/>
                <w:color w:val="auto"/>
              </w:rPr>
            </w:pPr>
            <w:r>
              <w:rPr>
                <w:rFonts w:ascii="Arial" w:cs="Arial" w:eastAsia="Arial" w:hAnsi="Arial"/>
                <w:sz w:val="14"/>
                <w:szCs w:val="14"/>
                <w:color w:val="auto"/>
                <w:w w:val="98"/>
              </w:rPr>
              <w:t>Expiration Date: «Expirationdate»</w:t>
            </w:r>
          </w:p>
        </w:tc>
      </w:tr>
      <w:tr>
        <w:trPr>
          <w:trHeight w:val="147"/>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2"/>
          </w:tcPr>
          <w:p>
            <w:pPr>
              <w:spacing w:after="0" w:line="147" w:lineRule="exact"/>
              <w:rPr>
                <w:sz w:val="20"/>
                <w:szCs w:val="20"/>
                <w:color w:val="auto"/>
              </w:rPr>
            </w:pPr>
            <w:r>
              <w:rPr>
                <w:rFonts w:ascii="Arial" w:cs="Arial" w:eastAsia="Arial" w:hAnsi="Arial"/>
                <w:sz w:val="14"/>
                <w:szCs w:val="14"/>
                <w:color w:val="auto"/>
                <w:w w:val="89"/>
              </w:rPr>
              <w:t>«Optioncontrolno»</w:t>
            </w:r>
          </w:p>
        </w:tc>
        <w:tc>
          <w:tcPr>
            <w:tcW w:w="2260" w:type="dxa"/>
            <w:vAlign w:val="bottom"/>
            <w:gridSpan w:val="2"/>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119380</wp:posOffset>
            </wp:positionV>
            <wp:extent cx="669353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693535" cy="635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Dear «FirstName»:</w:t>
      </w:r>
    </w:p>
    <w:p>
      <w:pPr>
        <w:spacing w:after="0" w:line="132"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I am pleased to confirm that the Company has granted you an option to purchase shares of our common stock under the MacroGenics, Inc. 2003 Equity Incentive Plan. To accept your stock option, please sign the enclosed copy of this letter and return it to Lynn Cilinski.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terms</w:t>
      </w:r>
    </w:p>
    <w:p>
      <w:pPr>
        <w:spacing w:after="0" w:line="134" w:lineRule="exact"/>
        <w:rPr>
          <w:sz w:val="20"/>
          <w:szCs w:val="20"/>
          <w:color w:val="auto"/>
        </w:rPr>
      </w:pPr>
    </w:p>
    <w:p>
      <w:pPr>
        <w:ind w:right="100"/>
        <w:spacing w:after="0" w:line="351" w:lineRule="auto"/>
        <w:rPr>
          <w:sz w:val="20"/>
          <w:szCs w:val="20"/>
          <w:color w:val="auto"/>
        </w:rPr>
      </w:pPr>
      <w:r>
        <w:rPr>
          <w:rFonts w:ascii="Arial" w:cs="Arial" w:eastAsia="Arial" w:hAnsi="Arial"/>
          <w:sz w:val="12"/>
          <w:szCs w:val="12"/>
          <w:color w:val="auto"/>
        </w:rPr>
        <w:t>Your option is intended to be an incentive option. The basic terms of your option grant are identified in the information block at the top of this offer letter, but other important terms and conditions are described in the plan. We encourage you to carefully review the plan, which can be found on the MacroGenics intranet under the Finance Department’s shared documents.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Purchase and payment</w:t>
      </w:r>
    </w:p>
    <w:p>
      <w:pPr>
        <w:spacing w:after="0" w:line="134"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Subject to the plan, your option vests (becomes exercisable) as follows: (i) with regard to 12.5% of the Option Shares, six months after the Vesting Base Date; and (ii) with regard to the balance of the Option Shares, in fourteen (14) equal quarterly installments commencing six (6) months after the Vesting Base Date (or, if no Vesting Base Date is specified, the Grant Date) and continuing on the last day of the fourteen (14) quarterly periods thereafter (subject to adjustment of the last quarterly installment to prevent vesting of fractional shares throughout the vesting period), so that all shares will become purchasable on the Fully-Vested Date shown above.</w:t>
      </w:r>
    </w:p>
    <w:p>
      <w:pPr>
        <w:spacing w:after="0" w:line="110" w:lineRule="exact"/>
        <w:rPr>
          <w:sz w:val="20"/>
          <w:szCs w:val="20"/>
          <w:color w:val="auto"/>
        </w:rPr>
      </w:pPr>
    </w:p>
    <w:p>
      <w:pPr>
        <w:ind w:right="20"/>
        <w:spacing w:after="0" w:line="351" w:lineRule="auto"/>
        <w:rPr>
          <w:sz w:val="20"/>
          <w:szCs w:val="20"/>
          <w:color w:val="auto"/>
        </w:rPr>
      </w:pPr>
      <w:r>
        <w:rPr>
          <w:rFonts w:ascii="Arial" w:cs="Arial" w:eastAsia="Arial" w:hAnsi="Arial"/>
          <w:sz w:val="12"/>
          <w:szCs w:val="12"/>
          <w:color w:val="auto"/>
        </w:rPr>
        <w:t>If you decide to purchase shares under this option, you will be required to submit a completed exercise agreement on a form approved by the Company, together with payment for the shares. You may pay for the shares (plus any associated withholding taxes) using cash, a check, a wire transfer or any other form of payment. Shares available under this option must be purchased, if at all, no later than the Expiration Date.</w:t>
      </w:r>
    </w:p>
    <w:p>
      <w:pPr>
        <w:sectPr>
          <w:pgSz w:w="11900" w:h="16838" w:orient="portrait"/>
          <w:cols w:equalWidth="0" w:num="1">
            <w:col w:w="11460"/>
          </w:cols>
          <w:pgMar w:left="220" w:top="130" w:right="219"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Grant of Incentive Stock Option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November 19, 2012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Page 2 of 2</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Restrictions on the Shares</w:t>
      </w:r>
    </w:p>
    <w:p>
      <w:pPr>
        <w:spacing w:after="0" w:line="134"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As you know, the shares of the Company have not been registered with the Securities and Exchange Commission, and are not publicly traded. In accepting this option, you agree that your rights to purchase or resell the option shares are expressly conditioned upon compliance with applicable U.S. federal and state securities laws, and agree to cooperate with the Company to achieve compliance with those laws.</w:t>
      </w:r>
    </w:p>
    <w:p>
      <w:pPr>
        <w:spacing w:after="0" w:line="5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 xml:space="preserve">Shares you purchase under this option may be subject to other repurchase rights and resale restrictions, including market standoff requirements. Those rights and restrictions are set forth in section 15.2 of the plan </w:t>
      </w:r>
      <w:r>
        <w:rPr>
          <w:rFonts w:ascii="Arial" w:cs="Arial" w:eastAsia="Arial" w:hAnsi="Arial"/>
          <w:sz w:val="14"/>
          <w:szCs w:val="14"/>
          <w:i w:val="1"/>
          <w:iCs w:val="1"/>
          <w:color w:val="auto"/>
        </w:rPr>
        <w:t>or</w:t>
      </w:r>
      <w:r>
        <w:rPr>
          <w:rFonts w:ascii="Arial" w:cs="Arial" w:eastAsia="Arial" w:hAnsi="Arial"/>
          <w:sz w:val="14"/>
          <w:szCs w:val="14"/>
          <w:color w:val="auto"/>
        </w:rPr>
        <w:t xml:space="preserve"> the company’s standard form of option exercise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We value your efforts and look forward to your continued contribution.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Scott Koenig, M.D., Ph.D.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accept this option and agree to the terms of this offer letter and the plan.</w:t>
      </w:r>
    </w:p>
    <w:p>
      <w:pPr>
        <w:spacing w:after="0" w:line="165"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20421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04210" cy="6350"/>
                    </a:xfrm>
                    <a:prstGeom prst="rect">
                      <a:avLst/>
                    </a:prstGeom>
                    <a:noFill/>
                  </pic:spPr>
                </pic:pic>
              </a:graphicData>
            </a:graphic>
          </wp:anchor>
        </w:drawing>
      </w:r>
    </w:p>
    <w:p>
      <w:pPr>
        <w:spacing w:after="0" w:line="7" w:lineRule="exact"/>
        <w:rPr>
          <w:sz w:val="20"/>
          <w:szCs w:val="20"/>
          <w:color w:val="auto"/>
        </w:rPr>
      </w:pPr>
    </w:p>
    <w:p>
      <w:pPr>
        <w:spacing w:after="0"/>
        <w:tabs>
          <w:tab w:leader="none" w:pos="6620" w:val="left"/>
        </w:tabs>
        <w:rPr>
          <w:sz w:val="20"/>
          <w:szCs w:val="20"/>
          <w:color w:val="auto"/>
        </w:rPr>
      </w:pPr>
      <w:r>
        <w:rPr>
          <w:rFonts w:ascii="Arial" w:cs="Arial" w:eastAsia="Arial" w:hAnsi="Arial"/>
          <w:sz w:val="14"/>
          <w:szCs w:val="14"/>
          <w:color w:val="auto"/>
        </w:rPr>
        <w:t>Optionee signature</w:t>
      </w:r>
      <w:r>
        <w:rPr>
          <w:sz w:val="20"/>
          <w:szCs w:val="20"/>
          <w:color w:val="auto"/>
        </w:rPr>
        <w:tab/>
      </w:r>
      <w:r>
        <w:rPr>
          <w:rFonts w:ascii="Arial" w:cs="Arial" w:eastAsia="Arial" w:hAnsi="Arial"/>
          <w:sz w:val="12"/>
          <w:szCs w:val="12"/>
          <w:color w:val="auto"/>
        </w:rPr>
        <w:t>Date</w:t>
      </w:r>
    </w:p>
    <w:p>
      <w:pPr>
        <w:sectPr>
          <w:pgSz w:w="11900" w:h="16838" w:orient="portrait"/>
          <w:cols w:equalWidth="0" w:num="1">
            <w:col w:w="11300"/>
          </w:cols>
          <w:pgMar w:left="220" w:top="247" w:right="379" w:bottom="1440" w:gutter="0" w:footer="0" w:header="0"/>
        </w:sectPr>
      </w:pPr>
    </w:p>
    <w:bookmarkStart w:id="321" w:name="page322"/>
    <w:bookmarkEnd w:id="321"/>
    <w:p>
      <w:pPr>
        <w:jc w:val="right"/>
        <w:spacing w:after="0"/>
        <w:rPr>
          <w:sz w:val="20"/>
          <w:szCs w:val="20"/>
          <w:color w:val="auto"/>
        </w:rPr>
      </w:pPr>
      <w:r>
        <w:rPr>
          <w:rFonts w:ascii="Arial" w:cs="Arial" w:eastAsia="Arial" w:hAnsi="Arial"/>
          <w:sz w:val="14"/>
          <w:szCs w:val="14"/>
          <w:b w:val="1"/>
          <w:bCs w:val="1"/>
          <w:color w:val="auto"/>
        </w:rPr>
        <w:t>Exhibit 10.8</w:t>
      </w:r>
    </w:p>
    <w:p>
      <w:pPr>
        <w:spacing w:after="0" w:line="132"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MACROGENICS, INC.</w:t>
      </w:r>
    </w:p>
    <w:p>
      <w:pPr>
        <w:spacing w:after="0" w:line="6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LEASE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THIS LEASE AGREEMENT, made this 31</w:t>
      </w:r>
      <w:r>
        <w:rPr>
          <w:rFonts w:ascii="Arial" w:cs="Arial" w:eastAsia="Arial" w:hAnsi="Arial"/>
          <w:sz w:val="8"/>
          <w:szCs w:val="8"/>
          <w:color w:val="auto"/>
        </w:rPr>
        <w:t>st</w:t>
      </w:r>
      <w:r>
        <w:rPr>
          <w:rFonts w:ascii="Arial" w:cs="Arial" w:eastAsia="Arial" w:hAnsi="Arial"/>
          <w:sz w:val="14"/>
          <w:szCs w:val="14"/>
          <w:color w:val="auto"/>
        </w:rPr>
        <w:t xml:space="preserve"> day of May, 2011, by and between RED GATE III LLC (“LANDLORD”) and MACROGENICS, INC. (“TENANT”).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 I T N E S S E T H:</w:t>
      </w:r>
    </w:p>
    <w:p>
      <w:pPr>
        <w:spacing w:after="0" w:line="163" w:lineRule="exact"/>
        <w:rPr>
          <w:sz w:val="20"/>
          <w:szCs w:val="20"/>
          <w:color w:val="auto"/>
        </w:rPr>
      </w:pPr>
    </w:p>
    <w:p>
      <w:pPr>
        <w:ind w:left="460" w:hanging="456"/>
        <w:spacing w:after="0"/>
        <w:tabs>
          <w:tab w:leader="none" w:pos="460" w:val="left"/>
        </w:tabs>
        <w:numPr>
          <w:ilvl w:val="0"/>
          <w:numId w:val="238"/>
        </w:numPr>
        <w:rPr>
          <w:rFonts w:ascii="Arial" w:cs="Arial" w:eastAsia="Arial" w:hAnsi="Arial"/>
          <w:sz w:val="14"/>
          <w:szCs w:val="14"/>
          <w:b w:val="1"/>
          <w:bCs w:val="1"/>
          <w:color w:val="auto"/>
        </w:rPr>
      </w:pPr>
      <w:r>
        <w:rPr>
          <w:rFonts w:ascii="Arial" w:cs="Arial" w:eastAsia="Arial" w:hAnsi="Arial"/>
          <w:sz w:val="14"/>
          <w:szCs w:val="14"/>
          <w:b w:val="1"/>
          <w:bCs w:val="1"/>
          <w:color w:val="auto"/>
        </w:rPr>
        <w:t>DEMISE OF PREMISES</w:t>
      </w:r>
    </w:p>
    <w:p>
      <w:pPr>
        <w:spacing w:after="0" w:line="70" w:lineRule="exact"/>
        <w:rPr>
          <w:rFonts w:ascii="Arial" w:cs="Arial" w:eastAsia="Arial" w:hAnsi="Arial"/>
          <w:sz w:val="14"/>
          <w:szCs w:val="14"/>
          <w:b w:val="1"/>
          <w:bCs w:val="1"/>
          <w:color w:val="auto"/>
        </w:rPr>
      </w:pPr>
    </w:p>
    <w:p>
      <w:pPr>
        <w:ind w:left="460" w:right="140"/>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Landlord hereby demises unto Tenant, and Tenant hereby leases from Landlord for the term and upon the terms and conditions set forth in this Lease approximately 41,886 square feet of space in the building located at 9640 Medical Center Drive, Rockville, Maryland (the “Building”), as set forth on Exhibit A, hereto attached, said space being referred to as the “Premises”. Landlord shall maintain the Building, as required, in accordance with all applicable laws, including, but not limited to the Americans with Disabilities Act of 1990, as amended (the “ADA”). Landlord hereby represents and warrants that the Building is in full compliance, as required, with the ADA as of the date of this Lease and the Lease Commencement Date.</w:t>
      </w:r>
    </w:p>
    <w:p>
      <w:pPr>
        <w:spacing w:after="0" w:line="170" w:lineRule="exact"/>
        <w:rPr>
          <w:rFonts w:ascii="Arial" w:cs="Arial" w:eastAsia="Arial" w:hAnsi="Arial"/>
          <w:sz w:val="14"/>
          <w:szCs w:val="14"/>
          <w:b w:val="1"/>
          <w:bCs w:val="1"/>
          <w:color w:val="auto"/>
        </w:rPr>
      </w:pPr>
    </w:p>
    <w:p>
      <w:pPr>
        <w:ind w:left="460" w:hanging="456"/>
        <w:spacing w:after="0"/>
        <w:tabs>
          <w:tab w:leader="none" w:pos="460" w:val="left"/>
        </w:tabs>
        <w:numPr>
          <w:ilvl w:val="0"/>
          <w:numId w:val="238"/>
        </w:numPr>
        <w:rPr>
          <w:rFonts w:ascii="Arial" w:cs="Arial" w:eastAsia="Arial" w:hAnsi="Arial"/>
          <w:sz w:val="14"/>
          <w:szCs w:val="14"/>
          <w:b w:val="1"/>
          <w:bCs w:val="1"/>
          <w:color w:val="auto"/>
        </w:rPr>
      </w:pPr>
      <w:r>
        <w:rPr>
          <w:rFonts w:ascii="Arial" w:cs="Arial" w:eastAsia="Arial" w:hAnsi="Arial"/>
          <w:sz w:val="14"/>
          <w:szCs w:val="14"/>
          <w:b w:val="1"/>
          <w:bCs w:val="1"/>
          <w:color w:val="auto"/>
        </w:rPr>
        <w:t>TERM</w:t>
      </w:r>
    </w:p>
    <w:p>
      <w:pPr>
        <w:spacing w:after="0" w:line="70" w:lineRule="exact"/>
        <w:rPr>
          <w:rFonts w:ascii="Arial" w:cs="Arial" w:eastAsia="Arial" w:hAnsi="Arial"/>
          <w:sz w:val="14"/>
          <w:szCs w:val="14"/>
          <w:b w:val="1"/>
          <w:bCs w:val="1"/>
          <w:color w:val="auto"/>
        </w:rPr>
      </w:pPr>
    </w:p>
    <w:p>
      <w:pPr>
        <w:ind w:left="460" w:right="20"/>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The term of this Lease shall be for a period of six (6) years and four (4) months, commencing on the 1</w:t>
      </w:r>
      <w:r>
        <w:rPr>
          <w:rFonts w:ascii="Arial" w:cs="Arial" w:eastAsia="Arial" w:hAnsi="Arial"/>
          <w:sz w:val="7"/>
          <w:szCs w:val="7"/>
          <w:color w:val="auto"/>
        </w:rPr>
        <w:t>st</w:t>
      </w:r>
      <w:r>
        <w:rPr>
          <w:rFonts w:ascii="Arial" w:cs="Arial" w:eastAsia="Arial" w:hAnsi="Arial"/>
          <w:sz w:val="12"/>
          <w:szCs w:val="12"/>
          <w:color w:val="auto"/>
        </w:rPr>
        <w:t xml:space="preserve"> day of December 2011 (“Commencement Date”), and terminating on the 31</w:t>
      </w:r>
      <w:r>
        <w:rPr>
          <w:rFonts w:ascii="Arial" w:cs="Arial" w:eastAsia="Arial" w:hAnsi="Arial"/>
          <w:sz w:val="7"/>
          <w:szCs w:val="7"/>
          <w:color w:val="auto"/>
        </w:rPr>
        <w:t>st</w:t>
      </w:r>
      <w:r>
        <w:rPr>
          <w:rFonts w:ascii="Arial" w:cs="Arial" w:eastAsia="Arial" w:hAnsi="Arial"/>
          <w:sz w:val="12"/>
          <w:szCs w:val="12"/>
          <w:color w:val="auto"/>
        </w:rPr>
        <w:t xml:space="preserve"> day of March 2018 (“Expiration Date”), with an option for an additional five (5) years at a Minimum Rent (hereinafter defined) equal to 103% of the Minimum Rent payable by Tenant during the last year of the initial term (with the Minimum Rent thereafter escalating annually at 3%), and on the same other terms and conditions in this Lease, provided that Tenant shall have given the Landlord written notice of Tenant’s intention to do so at least nine (9) months prior to the expiration of this Lease and that Tenant is not in default under this Lease beyond any applicable notice and cure period.</w:t>
      </w:r>
    </w:p>
    <w:p>
      <w:pPr>
        <w:spacing w:after="0" w:line="16" w:lineRule="exact"/>
        <w:rPr>
          <w:rFonts w:ascii="Arial" w:cs="Arial" w:eastAsia="Arial" w:hAnsi="Arial"/>
          <w:sz w:val="14"/>
          <w:szCs w:val="14"/>
          <w:b w:val="1"/>
          <w:bCs w:val="1"/>
          <w:color w:val="auto"/>
        </w:rPr>
      </w:pPr>
    </w:p>
    <w:p>
      <w:pPr>
        <w:ind w:left="460" w:right="120"/>
        <w:spacing w:after="0" w:line="294" w:lineRule="auto"/>
        <w:rPr>
          <w:rFonts w:ascii="Arial" w:cs="Arial" w:eastAsia="Arial" w:hAnsi="Arial"/>
          <w:sz w:val="14"/>
          <w:szCs w:val="14"/>
          <w:b w:val="1"/>
          <w:bCs w:val="1"/>
          <w:color w:val="auto"/>
        </w:rPr>
      </w:pPr>
      <w:r>
        <w:rPr>
          <w:rFonts w:ascii="Arial" w:cs="Arial" w:eastAsia="Arial" w:hAnsi="Arial"/>
          <w:sz w:val="12"/>
          <w:szCs w:val="12"/>
          <w:color w:val="auto"/>
        </w:rPr>
        <w:t>Landlord agrees to deliver possession to Tenant of (i) the entire basement of the Building (“Lower Level”) on or before August 1, 2011; (ii) the portion of the Premises located on the third (3</w:t>
      </w:r>
      <w:r>
        <w:rPr>
          <w:rFonts w:ascii="Arial" w:cs="Arial" w:eastAsia="Arial" w:hAnsi="Arial"/>
          <w:sz w:val="7"/>
          <w:szCs w:val="7"/>
          <w:color w:val="auto"/>
        </w:rPr>
        <w:t>rd</w:t>
      </w:r>
      <w:r>
        <w:rPr>
          <w:rFonts w:ascii="Arial" w:cs="Arial" w:eastAsia="Arial" w:hAnsi="Arial"/>
          <w:sz w:val="12"/>
          <w:szCs w:val="12"/>
          <w:color w:val="auto"/>
        </w:rPr>
        <w:t>) floor of the Building (3</w:t>
      </w:r>
      <w:r>
        <w:rPr>
          <w:rFonts w:ascii="Arial" w:cs="Arial" w:eastAsia="Arial" w:hAnsi="Arial"/>
          <w:sz w:val="7"/>
          <w:szCs w:val="7"/>
          <w:color w:val="auto"/>
        </w:rPr>
        <w:t>rd</w:t>
      </w:r>
      <w:r>
        <w:rPr>
          <w:rFonts w:ascii="Arial" w:cs="Arial" w:eastAsia="Arial" w:hAnsi="Arial"/>
          <w:sz w:val="12"/>
          <w:szCs w:val="12"/>
          <w:color w:val="auto"/>
        </w:rPr>
        <w:t xml:space="preserve"> Floor Space”) on or before September 1, 2011; and (iii) the portion of the Premises located on the first (1</w:t>
      </w:r>
      <w:r>
        <w:rPr>
          <w:rFonts w:ascii="Arial" w:cs="Arial" w:eastAsia="Arial" w:hAnsi="Arial"/>
          <w:sz w:val="7"/>
          <w:szCs w:val="7"/>
          <w:color w:val="auto"/>
        </w:rPr>
        <w:t>st</w:t>
      </w:r>
      <w:r>
        <w:rPr>
          <w:rFonts w:ascii="Arial" w:cs="Arial" w:eastAsia="Arial" w:hAnsi="Arial"/>
          <w:sz w:val="12"/>
          <w:szCs w:val="12"/>
          <w:color w:val="auto"/>
        </w:rPr>
        <w:t>) and second (2</w:t>
      </w:r>
      <w:r>
        <w:rPr>
          <w:rFonts w:ascii="Arial" w:cs="Arial" w:eastAsia="Arial" w:hAnsi="Arial"/>
          <w:sz w:val="7"/>
          <w:szCs w:val="7"/>
          <w:color w:val="auto"/>
        </w:rPr>
        <w:t>nd</w:t>
      </w:r>
      <w:r>
        <w:rPr>
          <w:rFonts w:ascii="Arial" w:cs="Arial" w:eastAsia="Arial" w:hAnsi="Arial"/>
          <w:sz w:val="12"/>
          <w:szCs w:val="12"/>
          <w:color w:val="auto"/>
        </w:rPr>
        <w:t>) floors of the Building (“1</w:t>
      </w:r>
      <w:r>
        <w:rPr>
          <w:rFonts w:ascii="Arial" w:cs="Arial" w:eastAsia="Arial" w:hAnsi="Arial"/>
          <w:sz w:val="7"/>
          <w:szCs w:val="7"/>
          <w:color w:val="auto"/>
        </w:rPr>
        <w:t>st</w:t>
      </w:r>
      <w:r>
        <w:rPr>
          <w:rFonts w:ascii="Arial" w:cs="Arial" w:eastAsia="Arial" w:hAnsi="Arial"/>
          <w:sz w:val="12"/>
          <w:szCs w:val="12"/>
          <w:color w:val="auto"/>
        </w:rPr>
        <w:t xml:space="preserve"> and 2</w:t>
      </w:r>
      <w:r>
        <w:rPr>
          <w:rFonts w:ascii="Arial" w:cs="Arial" w:eastAsia="Arial" w:hAnsi="Arial"/>
          <w:sz w:val="7"/>
          <w:szCs w:val="7"/>
          <w:color w:val="auto"/>
        </w:rPr>
        <w:t>nd</w:t>
      </w:r>
      <w:r>
        <w:rPr>
          <w:rFonts w:ascii="Arial" w:cs="Arial" w:eastAsia="Arial" w:hAnsi="Arial"/>
          <w:sz w:val="12"/>
          <w:szCs w:val="12"/>
          <w:color w:val="auto"/>
        </w:rPr>
        <w:t xml:space="preserve"> Floor Space”) on or before October 1, 2011 (each, respectively, an “Early Delivery Date”). In the event the Landlord is not able to deliver possession to Tenant of (x) the Lower Level on or before August 1, 2011, and/or</w:t>
      </w:r>
    </w:p>
    <w:p>
      <w:pPr>
        <w:ind w:left="460" w:right="340"/>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(y) the 3</w:t>
      </w:r>
      <w:r>
        <w:rPr>
          <w:rFonts w:ascii="Arial" w:cs="Arial" w:eastAsia="Arial" w:hAnsi="Arial"/>
          <w:sz w:val="8"/>
          <w:szCs w:val="8"/>
          <w:color w:val="auto"/>
        </w:rPr>
        <w:t>rd</w:t>
      </w:r>
      <w:r>
        <w:rPr>
          <w:rFonts w:ascii="Arial" w:cs="Arial" w:eastAsia="Arial" w:hAnsi="Arial"/>
          <w:sz w:val="14"/>
          <w:szCs w:val="14"/>
          <w:color w:val="auto"/>
        </w:rPr>
        <w:t xml:space="preserve"> Floor Space on or before September 1, 2011, and/or (z) the 1</w:t>
      </w:r>
      <w:r>
        <w:rPr>
          <w:rFonts w:ascii="Arial" w:cs="Arial" w:eastAsia="Arial" w:hAnsi="Arial"/>
          <w:sz w:val="8"/>
          <w:szCs w:val="8"/>
          <w:color w:val="auto"/>
        </w:rPr>
        <w:t>st</w:t>
      </w:r>
      <w:r>
        <w:rPr>
          <w:rFonts w:ascii="Arial" w:cs="Arial" w:eastAsia="Arial" w:hAnsi="Arial"/>
          <w:sz w:val="14"/>
          <w:szCs w:val="14"/>
          <w:color w:val="auto"/>
        </w:rPr>
        <w:t xml:space="preserve"> and 2</w:t>
      </w:r>
      <w:r>
        <w:rPr>
          <w:rFonts w:ascii="Arial" w:cs="Arial" w:eastAsia="Arial" w:hAnsi="Arial"/>
          <w:sz w:val="8"/>
          <w:szCs w:val="8"/>
          <w:color w:val="auto"/>
        </w:rPr>
        <w:t>nd</w:t>
      </w:r>
      <w:r>
        <w:rPr>
          <w:rFonts w:ascii="Arial" w:cs="Arial" w:eastAsia="Arial" w:hAnsi="Arial"/>
          <w:sz w:val="14"/>
          <w:szCs w:val="14"/>
          <w:color w:val="auto"/>
        </w:rPr>
        <w:t xml:space="preserve"> Floor Space on or before October 1, 2011, because Landlord has not substantially completed the Landlord’s Work (hereinafter defined) to be performed in such space, the Early Delivery Date for such space shall be extended to the date Landlord’s Work is substantially completed and, if any Early Delivery Date occurs after December 1, 2011, the Commencement Date and Expiration Date shall be similarly extended.</w:t>
      </w:r>
    </w:p>
    <w:p>
      <w:pPr>
        <w:sectPr>
          <w:pgSz w:w="11900" w:h="16838" w:orient="portrait"/>
          <w:cols w:equalWidth="0" w:num="1">
            <w:col w:w="11460"/>
          </w:cols>
          <w:pgMar w:left="220" w:top="130" w:right="219"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 of 23</w:t>
      </w:r>
    </w:p>
    <w:p>
      <w:pPr>
        <w:sectPr>
          <w:pgSz w:w="11900" w:h="16838" w:orient="portrait"/>
          <w:cols w:equalWidth="0" w:num="2">
            <w:col w:w="9800" w:space="720"/>
            <w:col w:w="940"/>
          </w:cols>
          <w:pgMar w:left="220" w:top="130" w:right="219" w:bottom="1440" w:gutter="0" w:footer="0" w:header="0"/>
          <w:type w:val="continuous"/>
        </w:sectPr>
      </w:pPr>
    </w:p>
    <w:bookmarkStart w:id="322" w:name="page323"/>
    <w:bookmarkEnd w:id="322"/>
    <w:p>
      <w:pPr>
        <w:jc w:val="both"/>
        <w:ind w:left="460" w:right="10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date of substantial completion of Landlord’s Work for any space shall be that date on which all required improvements to be furnished by Landlord in such space as stated in Exhibit “B” have been substantially completed except for punch list items not interfering with Tenant’s use of such space. Rent shall be pro-rated for any portion of the initial month in which Tenant is required to commence rental payments hereunder, which does not commence with the first day thereof. Tenant shall be responsible for the payment of its pro rata share (based upon the portion of the Premises occupied after each respective Early Delivery Date and prior to the Commencement Date), taking into account any portion of the Premises previously so occupied by Tenant, of all Operating Expenses (as defined in Section 5.A. below) incurred by Landlord during such period(s). Additionally, Tenant shall be required to maintain insurance in accordance with the requirements of this Lease after the Early Delivery Date of the Lower Level for all occupied portions of the Premises.</w:t>
      </w:r>
    </w:p>
    <w:p>
      <w:pPr>
        <w:spacing w:after="0" w:line="24" w:lineRule="exact"/>
        <w:rPr>
          <w:sz w:val="20"/>
          <w:szCs w:val="20"/>
          <w:color w:val="auto"/>
        </w:rPr>
      </w:pPr>
    </w:p>
    <w:p>
      <w:pPr>
        <w:ind w:left="460"/>
        <w:spacing w:after="0" w:line="253" w:lineRule="auto"/>
        <w:rPr>
          <w:sz w:val="20"/>
          <w:szCs w:val="20"/>
          <w:color w:val="auto"/>
        </w:rPr>
      </w:pPr>
      <w:r>
        <w:rPr>
          <w:rFonts w:ascii="Arial" w:cs="Arial" w:eastAsia="Arial" w:hAnsi="Arial"/>
          <w:sz w:val="14"/>
          <w:szCs w:val="14"/>
          <w:color w:val="auto"/>
        </w:rPr>
        <w:t>If such inability of Landlord to deliver possession of the Premises extends the Commencement Date beyond December 31, 2011 and causes Tenant to incur a holdover premium i) Landlord shall for the period beginning on December 1, 2011, and ending on the date on which the entire Premises have been delivered to Tenant with the Landlord’s Work substantially completed, abate, or cause to be abated to the extent of the holdover premium incurred by Tenant, in the rent (however described) payable by Tenant under that certain Lease dated January 29, 2008, by and between Tenant and Landlord, whereby Tenant leases space in that certain building located at 4 Research Court, Rockville, Maryland 20850; and (ii) Landlord shall waive and shall cause Landlord’s affiliates which are landlords of Tenant in other leased facilities to waive, all such holdover premiums.</w:t>
      </w:r>
    </w:p>
    <w:p>
      <w:pPr>
        <w:spacing w:after="0" w:line="50" w:lineRule="exact"/>
        <w:rPr>
          <w:sz w:val="20"/>
          <w:szCs w:val="20"/>
          <w:color w:val="auto"/>
        </w:rPr>
      </w:pPr>
    </w:p>
    <w:p>
      <w:pPr>
        <w:ind w:left="460" w:right="320"/>
        <w:spacing w:after="0" w:line="351" w:lineRule="auto"/>
        <w:rPr>
          <w:sz w:val="20"/>
          <w:szCs w:val="20"/>
          <w:color w:val="auto"/>
        </w:rPr>
      </w:pPr>
      <w:r>
        <w:rPr>
          <w:rFonts w:ascii="Arial" w:cs="Arial" w:eastAsia="Arial" w:hAnsi="Arial"/>
          <w:sz w:val="12"/>
          <w:szCs w:val="12"/>
          <w:color w:val="auto"/>
        </w:rPr>
        <w:t>At any time prior to the Early Delivery Date, Tenant shall have the right to enter upon the Premises for the purpose of taking measurements and planning for activities and tasks to be undertaken by Tenant after the Early Delivery Date, provided such entry does not unreasonably interfere with or obstruct the progress of work being done by the Landlord.</w:t>
      </w:r>
    </w:p>
    <w:p>
      <w:pPr>
        <w:spacing w:after="0" w:line="148" w:lineRule="exact"/>
        <w:rPr>
          <w:sz w:val="20"/>
          <w:szCs w:val="20"/>
          <w:color w:val="auto"/>
        </w:rPr>
      </w:pPr>
    </w:p>
    <w:p>
      <w:pPr>
        <w:ind w:left="460" w:hanging="456"/>
        <w:spacing w:after="0"/>
        <w:tabs>
          <w:tab w:leader="none" w:pos="460" w:val="left"/>
        </w:tabs>
        <w:numPr>
          <w:ilvl w:val="0"/>
          <w:numId w:val="239"/>
        </w:numPr>
        <w:rPr>
          <w:rFonts w:ascii="Arial" w:cs="Arial" w:eastAsia="Arial" w:hAnsi="Arial"/>
          <w:sz w:val="14"/>
          <w:szCs w:val="14"/>
          <w:b w:val="1"/>
          <w:bCs w:val="1"/>
          <w:color w:val="auto"/>
        </w:rPr>
      </w:pPr>
      <w:r>
        <w:rPr>
          <w:rFonts w:ascii="Arial" w:cs="Arial" w:eastAsia="Arial" w:hAnsi="Arial"/>
          <w:sz w:val="14"/>
          <w:szCs w:val="14"/>
          <w:b w:val="1"/>
          <w:bCs w:val="1"/>
          <w:color w:val="auto"/>
        </w:rPr>
        <w:t>RENT</w:t>
      </w:r>
    </w:p>
    <w:p>
      <w:pPr>
        <w:spacing w:after="0" w:line="70" w:lineRule="exact"/>
        <w:rPr>
          <w:rFonts w:ascii="Arial" w:cs="Arial" w:eastAsia="Arial" w:hAnsi="Arial"/>
          <w:sz w:val="14"/>
          <w:szCs w:val="14"/>
          <w:b w:val="1"/>
          <w:bCs w:val="1"/>
          <w:color w:val="auto"/>
        </w:rPr>
      </w:pPr>
    </w:p>
    <w:p>
      <w:pPr>
        <w:ind w:left="460" w:right="2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The Tenant shall pay to the Landlord an annual rental (herein called “Minimum Rent”) in the amount of Eight Hundred Forty-Four Thousand Two and 90/100 Dollars ($844,002.90), subject to adjustment as hereinafter set forth, payable without deduction or set off in equal monthly installments of Seventy Thousand Three Hundred Thirty-Three and 58/100 Dollars ($70,333.58) in advance, the first monthly installment of which is due and payable upon signing of the Lease and upon commencement of the term all subsequent monthly installments due and payable on the first day of each calendar month thereafter during the term of the Lease until the total rent provided for herein is paid. No payment by Tenant or receipt of Landlord of a lesser amount than a monthly installment of rent herein stipulated, or endorsement or statement on any check or any letter accompanying any check for payment as rent be deemed an accord and satisfaction, and Landlord may accept such check for payment without prejudice to Landlord’s right to recover the balance of such rent or pursue any other remedy provided for in this Lease.</w:t>
      </w:r>
    </w:p>
    <w:p>
      <w:pPr>
        <w:sectPr>
          <w:pgSz w:w="11900" w:h="16838" w:orient="portrait"/>
          <w:cols w:equalWidth="0" w:num="1">
            <w:col w:w="11460"/>
          </w:cols>
          <w:pgMar w:left="220" w:top="247" w:right="2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 of 23</w:t>
      </w:r>
    </w:p>
    <w:p>
      <w:pPr>
        <w:sectPr>
          <w:pgSz w:w="11900" w:h="16838" w:orient="portrait"/>
          <w:cols w:equalWidth="0" w:num="2">
            <w:col w:w="9800" w:space="720"/>
            <w:col w:w="940"/>
          </w:cols>
          <w:pgMar w:left="220" w:top="247" w:right="219" w:bottom="1440" w:gutter="0" w:footer="0" w:header="0"/>
          <w:type w:val="continuous"/>
        </w:sectPr>
      </w:pPr>
    </w:p>
    <w:bookmarkStart w:id="323" w:name="page324"/>
    <w:bookmarkEnd w:id="323"/>
    <w:p>
      <w:pPr>
        <w:ind w:left="460" w:hanging="456"/>
        <w:spacing w:after="0"/>
        <w:tabs>
          <w:tab w:leader="none" w:pos="460" w:val="left"/>
        </w:tabs>
        <w:numPr>
          <w:ilvl w:val="0"/>
          <w:numId w:val="240"/>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ABATEMENT</w:t>
      </w:r>
    </w:p>
    <w:p>
      <w:pPr>
        <w:spacing w:after="0" w:line="70" w:lineRule="exact"/>
        <w:rPr>
          <w:rFonts w:ascii="Arial" w:cs="Arial" w:eastAsia="Arial" w:hAnsi="Arial"/>
          <w:sz w:val="14"/>
          <w:szCs w:val="14"/>
          <w:b w:val="1"/>
          <w:bCs w:val="1"/>
          <w:color w:val="auto"/>
        </w:rPr>
      </w:pPr>
    </w:p>
    <w:p>
      <w:pPr>
        <w:ind w:left="460" w:right="4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 xml:space="preserve">Tenant shall receive a rent abatement totaling Two Hundred Eighty Seven Thousand Four Hundred Ninety Two and 62/100 Dollars ($287,492.63). Such abatement shall be applied to the Minimum Rent payable by Tenant for the first four and one half (4 </w:t>
      </w:r>
      <w:r>
        <w:rPr>
          <w:rFonts w:ascii="Arial" w:cs="Arial" w:eastAsia="Arial" w:hAnsi="Arial"/>
          <w:sz w:val="8"/>
          <w:szCs w:val="8"/>
          <w:color w:val="auto"/>
        </w:rPr>
        <w:t>1</w:t>
      </w:r>
      <w:r>
        <w:rPr>
          <w:rFonts w:ascii="Arial" w:cs="Arial" w:eastAsia="Arial" w:hAnsi="Arial"/>
          <w:sz w:val="14"/>
          <w:szCs w:val="14"/>
          <w:color w:val="auto"/>
        </w:rPr>
        <w:t>/</w:t>
      </w:r>
      <w:r>
        <w:rPr>
          <w:rFonts w:ascii="Arial" w:cs="Arial" w:eastAsia="Arial" w:hAnsi="Arial"/>
          <w:sz w:val="8"/>
          <w:szCs w:val="8"/>
          <w:color w:val="auto"/>
        </w:rPr>
        <w:t>2</w:t>
      </w:r>
      <w:r>
        <w:rPr>
          <w:rFonts w:ascii="Arial" w:cs="Arial" w:eastAsia="Arial" w:hAnsi="Arial"/>
          <w:sz w:val="14"/>
          <w:szCs w:val="14"/>
          <w:color w:val="auto"/>
        </w:rPr>
        <w:t>) months of initial term (i.e. (assuming that the Commencement Date remains December 1, 2011), December 2011, January, February, March and one-half of April 2012).</w:t>
      </w:r>
    </w:p>
    <w:p>
      <w:pPr>
        <w:spacing w:after="0" w:line="44" w:lineRule="exact"/>
        <w:rPr>
          <w:rFonts w:ascii="Arial" w:cs="Arial" w:eastAsia="Arial" w:hAnsi="Arial"/>
          <w:sz w:val="14"/>
          <w:szCs w:val="14"/>
          <w:b w:val="1"/>
          <w:bCs w:val="1"/>
          <w:color w:val="auto"/>
        </w:rPr>
      </w:pPr>
    </w:p>
    <w:p>
      <w:pPr>
        <w:ind w:left="460" w:right="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 xml:space="preserve">Additionally, Tenant shall receive a further rent abatement totaling Fifty-Four Thousand Seven Hundred Ninety-Three Dollars and 73/100 ($54,793.73). Such abatement shall be applied to the Minimum Rent payable by Tenant for the first eight and one-half (8 </w:t>
      </w:r>
      <w:r>
        <w:rPr>
          <w:rFonts w:ascii="Arial" w:cs="Arial" w:eastAsia="Arial" w:hAnsi="Arial"/>
          <w:sz w:val="8"/>
          <w:szCs w:val="8"/>
          <w:color w:val="auto"/>
        </w:rPr>
        <w:t>1</w:t>
      </w:r>
      <w:r>
        <w:rPr>
          <w:rFonts w:ascii="Arial" w:cs="Arial" w:eastAsia="Arial" w:hAnsi="Arial"/>
          <w:sz w:val="14"/>
          <w:szCs w:val="14"/>
          <w:color w:val="auto"/>
        </w:rPr>
        <w:t>/</w:t>
      </w:r>
      <w:r>
        <w:rPr>
          <w:rFonts w:ascii="Arial" w:cs="Arial" w:eastAsia="Arial" w:hAnsi="Arial"/>
          <w:sz w:val="8"/>
          <w:szCs w:val="8"/>
          <w:color w:val="auto"/>
        </w:rPr>
        <w:t>2</w:t>
      </w:r>
      <w:r>
        <w:rPr>
          <w:rFonts w:ascii="Arial" w:cs="Arial" w:eastAsia="Arial" w:hAnsi="Arial"/>
          <w:sz w:val="14"/>
          <w:szCs w:val="14"/>
          <w:color w:val="auto"/>
        </w:rPr>
        <w:t>) months of initial term (i.e. (assuming that the Commencement Date remains December 1, 2011), December 2011 through July 2012, and one-half of August 2012.</w:t>
      </w:r>
    </w:p>
    <w:p>
      <w:pPr>
        <w:spacing w:after="0" w:line="199" w:lineRule="exact"/>
        <w:rPr>
          <w:rFonts w:ascii="Arial" w:cs="Arial" w:eastAsia="Arial" w:hAnsi="Arial"/>
          <w:sz w:val="14"/>
          <w:szCs w:val="14"/>
          <w:b w:val="1"/>
          <w:bCs w:val="1"/>
          <w:color w:val="auto"/>
        </w:rPr>
      </w:pPr>
    </w:p>
    <w:p>
      <w:pPr>
        <w:ind w:left="460" w:hanging="456"/>
        <w:spacing w:after="0"/>
        <w:tabs>
          <w:tab w:leader="none" w:pos="460" w:val="left"/>
        </w:tabs>
        <w:numPr>
          <w:ilvl w:val="0"/>
          <w:numId w:val="240"/>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 OF MINIMUM RENT</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A. The Minimum Rent shall be increased at the end of each lease year during the term hereof by three percent (3%) of the rent then being paid.</w:t>
      </w:r>
    </w:p>
    <w:p>
      <w:pPr>
        <w:spacing w:after="0" w:line="69" w:lineRule="exact"/>
        <w:rPr>
          <w:sz w:val="20"/>
          <w:szCs w:val="20"/>
          <w:color w:val="auto"/>
        </w:rPr>
      </w:pPr>
    </w:p>
    <w:p>
      <w:pPr>
        <w:ind w:left="460" w:right="20"/>
        <w:spacing w:after="0" w:line="267" w:lineRule="auto"/>
        <w:rPr>
          <w:sz w:val="20"/>
          <w:szCs w:val="20"/>
          <w:color w:val="auto"/>
        </w:rPr>
      </w:pPr>
      <w:r>
        <w:rPr>
          <w:rFonts w:ascii="Arial" w:cs="Arial" w:eastAsia="Arial" w:hAnsi="Arial"/>
          <w:sz w:val="14"/>
          <w:szCs w:val="14"/>
          <w:color w:val="auto"/>
        </w:rPr>
        <w:t>Additionally Tenant shall pay its pro rata share (94.22%) of the Building insurance and common area maintenance charges (collectively, “Operating Expenses”) in addition to its pro rata share of the real estate taxes as defined in Section 6. Operating Expenses shall not include:</w:t>
      </w:r>
    </w:p>
    <w:p>
      <w:pPr>
        <w:spacing w:after="0" w:line="39" w:lineRule="exact"/>
        <w:rPr>
          <w:sz w:val="20"/>
          <w:szCs w:val="20"/>
          <w:color w:val="auto"/>
        </w:rPr>
      </w:pPr>
    </w:p>
    <w:p>
      <w:pPr>
        <w:ind w:left="900" w:hanging="447"/>
        <w:spacing w:after="0"/>
        <w:tabs>
          <w:tab w:leader="none" w:pos="90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Ground rent or other rental payments made under any ground lease or underlying lease or loan payments made on account of any loan;</w:t>
      </w:r>
    </w:p>
    <w:p>
      <w:pPr>
        <w:spacing w:after="0" w:line="68" w:lineRule="exact"/>
        <w:rPr>
          <w:rFonts w:ascii="Arial" w:cs="Arial" w:eastAsia="Arial" w:hAnsi="Arial"/>
          <w:sz w:val="14"/>
          <w:szCs w:val="14"/>
          <w:color w:val="auto"/>
        </w:rPr>
      </w:pPr>
    </w:p>
    <w:p>
      <w:pPr>
        <w:ind w:left="900" w:right="200" w:hanging="447"/>
        <w:spacing w:after="0" w:line="267" w:lineRule="auto"/>
        <w:tabs>
          <w:tab w:leader="none" w:pos="90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Costs of expanding the Building or the Project and costs of structural repairs, improvements or replacements to the Building or the Project, including structural repairs to the walls, foundation and floor slabs and the maintenance, repair or replacement of the roof;</w:t>
      </w:r>
    </w:p>
    <w:p>
      <w:pPr>
        <w:spacing w:after="0" w:line="38" w:lineRule="exact"/>
        <w:rPr>
          <w:rFonts w:ascii="Arial" w:cs="Arial" w:eastAsia="Arial" w:hAnsi="Arial"/>
          <w:sz w:val="14"/>
          <w:szCs w:val="14"/>
          <w:color w:val="auto"/>
        </w:rPr>
      </w:pPr>
    </w:p>
    <w:p>
      <w:pPr>
        <w:ind w:left="900" w:right="260" w:hanging="447"/>
        <w:spacing w:after="0" w:line="267" w:lineRule="auto"/>
        <w:tabs>
          <w:tab w:leader="none" w:pos="90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Costs of leasing commissions, legal, space planning, construction and other expenses incurred in procuring or retaining tenants for the Building or solely with respect to individual tenants or occupants of the Building;</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Costs of painting, redecorating or other services or work performed solely for the benefit of another tenant, prospective tenant or occupant (other than for the Common Area);</w:t>
      </w:r>
    </w:p>
    <w:p>
      <w:pPr>
        <w:spacing w:after="0" w:line="91" w:lineRule="exact"/>
        <w:rPr>
          <w:rFonts w:ascii="Arial" w:cs="Arial" w:eastAsia="Arial" w:hAnsi="Arial"/>
          <w:sz w:val="12"/>
          <w:szCs w:val="12"/>
          <w:color w:val="auto"/>
        </w:rPr>
      </w:pPr>
    </w:p>
    <w:p>
      <w:pPr>
        <w:ind w:left="900" w:hanging="447"/>
        <w:spacing w:after="0"/>
        <w:tabs>
          <w:tab w:leader="none" w:pos="90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Salaries, wages, or other compensation paid to officers or executives of Landlord above the level of Building Manager;</w:t>
      </w:r>
    </w:p>
    <w:p>
      <w:pPr>
        <w:sectPr>
          <w:pgSz w:w="11900" w:h="16838" w:orient="portrait"/>
          <w:cols w:equalWidth="0" w:num="1">
            <w:col w:w="11460"/>
          </w:cols>
          <w:pgMar w:left="220" w:top="245" w:right="2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23</w:t>
      </w:r>
    </w:p>
    <w:p>
      <w:pPr>
        <w:sectPr>
          <w:pgSz w:w="11900" w:h="16838" w:orient="portrait"/>
          <w:cols w:equalWidth="0" w:num="2">
            <w:col w:w="9800" w:space="720"/>
            <w:col w:w="940"/>
          </w:cols>
          <w:pgMar w:left="220" w:top="245" w:right="219" w:bottom="1440" w:gutter="0" w:footer="0" w:header="0"/>
          <w:type w:val="continuous"/>
        </w:sectPr>
      </w:pPr>
    </w:p>
    <w:bookmarkStart w:id="324" w:name="page325"/>
    <w:bookmarkEnd w:id="324"/>
    <w:p>
      <w:pPr>
        <w:jc w:val="both"/>
        <w:ind w:left="900" w:right="260" w:hanging="447"/>
        <w:spacing w:after="0" w:line="258" w:lineRule="auto"/>
        <w:tabs>
          <w:tab w:leader="none" w:pos="900" w:val="left"/>
        </w:tabs>
        <w:numPr>
          <w:ilvl w:val="0"/>
          <w:numId w:val="24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the case of any offsite or other employees who are not assigned full time to the operation, management, maintenance or repair of the Common Area, Landlord shall reasonably allocate the compensation paid for the wages, salary, or other compensation or benefits paid to such employees among the properties to which such employees are assigned and Operating Expenses shall exclude the portion of such compensation not reasonably allocated to the Building.</w:t>
      </w:r>
    </w:p>
    <w:p>
      <w:pPr>
        <w:spacing w:after="0" w:line="44" w:lineRule="exact"/>
        <w:rPr>
          <w:rFonts w:ascii="Arial" w:cs="Arial" w:eastAsia="Arial" w:hAnsi="Arial"/>
          <w:sz w:val="14"/>
          <w:szCs w:val="14"/>
          <w:color w:val="auto"/>
        </w:rPr>
      </w:pPr>
    </w:p>
    <w:p>
      <w:pPr>
        <w:ind w:left="900" w:hanging="447"/>
        <w:spacing w:after="0"/>
        <w:tabs>
          <w:tab w:leader="none" w:pos="90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Costs of advertising and public relations and promotional costs associated with the leasing of the Building;</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Any costs, fines or penalties incurred due to the violation by Landlord of any governmental rule or authority;</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Any expenses for which Landlord actually receives reimbursement from insurance, other tenants or any other source;</w:t>
      </w:r>
    </w:p>
    <w:p>
      <w:pPr>
        <w:spacing w:after="0" w:line="68" w:lineRule="exact"/>
        <w:rPr>
          <w:rFonts w:ascii="Arial" w:cs="Arial" w:eastAsia="Arial" w:hAnsi="Arial"/>
          <w:sz w:val="14"/>
          <w:szCs w:val="14"/>
          <w:color w:val="auto"/>
        </w:rPr>
      </w:pPr>
    </w:p>
    <w:p>
      <w:pPr>
        <w:ind w:left="900" w:right="560" w:hanging="447"/>
        <w:spacing w:after="0" w:line="267" w:lineRule="auto"/>
        <w:tabs>
          <w:tab w:leader="none" w:pos="90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Costs of repairs, restoration, replacements or other work occasioned by (A) fire, flood, windstorm or other casualty (whether such destruction be total or partial) and (B) the exercise by governmental authorities of the right of eminent domain (whether such taking be total or partial);</w:t>
      </w:r>
    </w:p>
    <w:p>
      <w:pPr>
        <w:spacing w:after="0" w:line="38" w:lineRule="exact"/>
        <w:rPr>
          <w:rFonts w:ascii="Arial" w:cs="Arial" w:eastAsia="Arial" w:hAnsi="Arial"/>
          <w:sz w:val="14"/>
          <w:szCs w:val="14"/>
          <w:color w:val="auto"/>
        </w:rPr>
      </w:pPr>
    </w:p>
    <w:p>
      <w:pPr>
        <w:ind w:left="900" w:right="380" w:hanging="447"/>
        <w:spacing w:after="0" w:line="267" w:lineRule="auto"/>
        <w:tabs>
          <w:tab w:leader="none" w:pos="90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Costs incurred in connection with disputes with tenants, other occupants or prospective tenants, or costs and expenses incurred in connection with negotiations or disputes with employees, consultants, management agents, leasing agents, purchasers or mortgagees of the Building;</w:t>
      </w:r>
    </w:p>
    <w:p>
      <w:pPr>
        <w:spacing w:after="0" w:line="39" w:lineRule="exact"/>
        <w:rPr>
          <w:sz w:val="20"/>
          <w:szCs w:val="20"/>
          <w:color w:val="auto"/>
        </w:rPr>
      </w:pPr>
    </w:p>
    <w:p>
      <w:pPr>
        <w:ind w:left="900" w:right="180" w:hanging="447"/>
        <w:spacing w:after="0" w:line="345" w:lineRule="auto"/>
        <w:tabs>
          <w:tab w:leader="none" w:pos="90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Costs incurred in connection with the original construction of the Building or in connection with any change in the Building including but not limited to construction, alteration, improvement, consultation, architectural or engineering reconfiguration associated with compliance with the Americans With Disabilities Act and the Clean Air Act;</w:t>
      </w:r>
    </w:p>
    <w:p>
      <w:pPr>
        <w:ind w:left="900" w:right="320" w:hanging="447"/>
        <w:spacing w:after="0" w:line="345" w:lineRule="auto"/>
        <w:tabs>
          <w:tab w:leader="none" w:pos="90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Costs of repairing, replacing or otherwise correcting defects (including latent defects) in or inadequacies of (but not the costs of ordinary and customary repair for normal wear and tear) the initial design or construction of the Building or the costs of repairing, replacing or correcting defects in the initial design or construction of any tenant improvements;</w:t>
      </w:r>
    </w:p>
    <w:p>
      <w:pPr>
        <w:ind w:left="900" w:right="120" w:hanging="447"/>
        <w:spacing w:after="0" w:line="321" w:lineRule="auto"/>
        <w:tabs>
          <w:tab w:leader="none" w:pos="90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Costs relating to another tenant’s or occupant’s space which (A) were incurred in rendering any service or benefit to such tenant that Landlord was not required to provide, or were for a service in excess of the service that the Landlord was required to provide to Tenant hereunder or (B) were otherwise in excess of the Building standard services then being provided by Landlord to all tenants or other occupants in the Building, whether or not such other tenant or occupant is actually charged therefor by Landlord;</w:t>
      </w:r>
    </w:p>
    <w:p>
      <w:pPr>
        <w:sectPr>
          <w:pgSz w:w="11900" w:h="16838" w:orient="portrait"/>
          <w:cols w:equalWidth="0" w:num="1">
            <w:col w:w="11460"/>
          </w:cols>
          <w:pgMar w:left="220" w:top="247" w:right="21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23</w:t>
      </w:r>
    </w:p>
    <w:p>
      <w:pPr>
        <w:sectPr>
          <w:pgSz w:w="11900" w:h="16838" w:orient="portrait"/>
          <w:cols w:equalWidth="0" w:num="2">
            <w:col w:w="9800" w:space="720"/>
            <w:col w:w="940"/>
          </w:cols>
          <w:pgMar w:left="220" w:top="247" w:right="219" w:bottom="1440" w:gutter="0" w:footer="0" w:header="0"/>
          <w:type w:val="continuous"/>
        </w:sectPr>
      </w:pPr>
    </w:p>
    <w:bookmarkStart w:id="325" w:name="page326"/>
    <w:bookmarkEnd w:id="325"/>
    <w:p>
      <w:pPr>
        <w:ind w:left="900" w:right="440" w:hanging="447"/>
        <w:spacing w:after="0" w:line="267" w:lineRule="auto"/>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Costs incurred in connection with the sale, financing, refinancing, mortgaging, selling or change of ownership of the Building, including, but not limited to, attorneys’ fees, title insurance premiums, and transfer and recording costs;</w:t>
      </w:r>
    </w:p>
    <w:p>
      <w:pPr>
        <w:spacing w:after="0" w:line="38" w:lineRule="exact"/>
        <w:rPr>
          <w:rFonts w:ascii="Arial" w:cs="Arial" w:eastAsia="Arial" w:hAnsi="Arial"/>
          <w:sz w:val="14"/>
          <w:szCs w:val="14"/>
          <w:color w:val="auto"/>
        </w:rPr>
      </w:pPr>
    </w:p>
    <w:p>
      <w:pPr>
        <w:ind w:left="900" w:right="200" w:hanging="447"/>
        <w:spacing w:after="0" w:line="267" w:lineRule="auto"/>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Costs, fines, interest, penalties, legal fees or costs of litigation incurred due to the late payments of loan payments, taxes and utility bills and other costs incurred by Landlord’s failure to make such payments when due;</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General overhead and general administrative expenses and accounting, record-keeping and clerical support of Landlord;</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Fees for management of the Building or the Project in excess of five percent (5%) of gross collected rents of the Building;</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Increased insurance premiums caused by Landlord’s or any other tenant’s hazardous acts and insurance of leasehold improvements in the premises leased or to be leased to other tenants;</w:t>
      </w:r>
    </w:p>
    <w:p>
      <w:pPr>
        <w:spacing w:after="0" w:line="91" w:lineRule="exact"/>
        <w:rPr>
          <w:rFonts w:ascii="Arial" w:cs="Arial" w:eastAsia="Arial" w:hAnsi="Arial"/>
          <w:sz w:val="12"/>
          <w:szCs w:val="12"/>
          <w:color w:val="auto"/>
        </w:rPr>
      </w:pPr>
    </w:p>
    <w:p>
      <w:pPr>
        <w:ind w:left="900" w:hanging="447"/>
        <w:spacing w:after="0"/>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Costs incurred for any items to the extent covered by a manufacturer’s, materialman’s, vendor’s or contractor’s warranty;</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Interest on capital invested, bad debt losses, rent losses and reserves for such losses;</w:t>
      </w:r>
    </w:p>
    <w:p>
      <w:pPr>
        <w:spacing w:after="0" w:line="68" w:lineRule="exact"/>
        <w:rPr>
          <w:rFonts w:ascii="Arial" w:cs="Arial" w:eastAsia="Arial" w:hAnsi="Arial"/>
          <w:sz w:val="14"/>
          <w:szCs w:val="14"/>
          <w:color w:val="auto"/>
        </w:rPr>
      </w:pPr>
    </w:p>
    <w:p>
      <w:pPr>
        <w:ind w:left="900" w:right="40" w:hanging="447"/>
        <w:spacing w:after="0" w:line="258" w:lineRule="auto"/>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Costs incurred by Landlord which are associated with the operation of the business of the legal entity which constitutes Landlord as the same is separate and apart from the costs of the operation of the Building, including legal entity formation and maintenance charges, legal entity accounting (excluding the incremental accounting fees relating to the operation of the Building) and legal fees (other than with respect to Building operations);</w:t>
      </w:r>
    </w:p>
    <w:p>
      <w:pPr>
        <w:spacing w:after="0" w:line="44" w:lineRule="exact"/>
        <w:rPr>
          <w:rFonts w:ascii="Arial" w:cs="Arial" w:eastAsia="Arial" w:hAnsi="Arial"/>
          <w:sz w:val="14"/>
          <w:szCs w:val="14"/>
          <w:color w:val="auto"/>
        </w:rPr>
      </w:pPr>
    </w:p>
    <w:p>
      <w:pPr>
        <w:ind w:left="900" w:right="80" w:hanging="447"/>
        <w:spacing w:after="0" w:line="267" w:lineRule="auto"/>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All amounts which would otherwise be included in Operating Expenses which are paid to any affiliate or subsidiary of Landlord to the extent the cost of such services exceed the market rate for similar services;</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Costs or expenses necessitated by or resulting from the gross negligence, misconduct or illegal conduct of Landlord, its agents, or employees; and</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Depreciation and amortization, and costs which under GAAP are capitalized.</w:t>
      </w:r>
    </w:p>
    <w:p>
      <w:pPr>
        <w:spacing w:after="0" w:line="69" w:lineRule="exact"/>
        <w:rPr>
          <w:sz w:val="20"/>
          <w:szCs w:val="20"/>
          <w:color w:val="auto"/>
        </w:rPr>
      </w:pPr>
    </w:p>
    <w:p>
      <w:pPr>
        <w:ind w:left="460" w:right="100"/>
        <w:spacing w:after="0" w:line="267" w:lineRule="auto"/>
        <w:rPr>
          <w:sz w:val="20"/>
          <w:szCs w:val="20"/>
          <w:color w:val="auto"/>
        </w:rPr>
      </w:pPr>
      <w:r>
        <w:rPr>
          <w:rFonts w:ascii="Arial" w:cs="Arial" w:eastAsia="Arial" w:hAnsi="Arial"/>
          <w:sz w:val="14"/>
          <w:szCs w:val="14"/>
          <w:color w:val="auto"/>
        </w:rPr>
        <w:t>In no event will controllable Operating Expenses (i.e., all such charges excluding costs of utilities, insurance, repairs and snow removal) for any year during the term increase by more than four percent (4%) over the amount of such controllable costs incurred by Landlord during the prior twelve (12)-month period.</w:t>
      </w:r>
    </w:p>
    <w:p>
      <w:pPr>
        <w:sectPr>
          <w:pgSz w:w="11900" w:h="16838" w:orient="portrait"/>
          <w:cols w:equalWidth="0" w:num="1">
            <w:col w:w="11460"/>
          </w:cols>
          <w:pgMar w:left="220" w:top="247" w:right="21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23</w:t>
      </w:r>
    </w:p>
    <w:p>
      <w:pPr>
        <w:sectPr>
          <w:pgSz w:w="11900" w:h="16838" w:orient="portrait"/>
          <w:cols w:equalWidth="0" w:num="2">
            <w:col w:w="9800" w:space="720"/>
            <w:col w:w="940"/>
          </w:cols>
          <w:pgMar w:left="220" w:top="247" w:right="219" w:bottom="1440" w:gutter="0" w:footer="0" w:header="0"/>
          <w:type w:val="continuous"/>
        </w:sectPr>
      </w:pPr>
    </w:p>
    <w:bookmarkStart w:id="326" w:name="page327"/>
    <w:bookmarkEnd w:id="326"/>
    <w:p>
      <w:pPr>
        <w:ind w:left="900" w:hanging="447"/>
        <w:spacing w:after="0"/>
        <w:tabs>
          <w:tab w:leader="none" w:pos="900"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Additional Rent Estimates and Adjustments</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460" w:firstLine="442"/>
        <w:spacing w:after="0" w:line="305" w:lineRule="auto"/>
        <w:tabs>
          <w:tab w:leader="none" w:pos="1062" w:val="left"/>
        </w:tabs>
        <w:numPr>
          <w:ilvl w:val="1"/>
          <w:numId w:val="246"/>
        </w:numPr>
        <w:rPr>
          <w:rFonts w:ascii="Arial" w:cs="Arial" w:eastAsia="Arial" w:hAnsi="Arial"/>
          <w:sz w:val="12"/>
          <w:szCs w:val="12"/>
          <w:color w:val="auto"/>
        </w:rPr>
      </w:pPr>
      <w:r>
        <w:rPr>
          <w:rFonts w:ascii="Arial" w:cs="Arial" w:eastAsia="Arial" w:hAnsi="Arial"/>
          <w:sz w:val="12"/>
          <w:szCs w:val="12"/>
          <w:color w:val="auto"/>
        </w:rPr>
        <w:t>In order to provide for current monthly payments of Additional Rent, Landlord shall provide Tenant with the Landlord’s estimate of the amount of the charges described in Section 5.A. above, together with the amount of Tenant’s Additional Rent which is estimated to result from such charges. Tenant shall pay each month during the term of this lease one-twelfth (1/12</w:t>
      </w:r>
      <w:r>
        <w:rPr>
          <w:rFonts w:ascii="Arial" w:cs="Arial" w:eastAsia="Arial" w:hAnsi="Arial"/>
          <w:sz w:val="7"/>
          <w:szCs w:val="7"/>
          <w:color w:val="auto"/>
        </w:rPr>
        <w:t>th</w:t>
      </w:r>
      <w:r>
        <w:rPr>
          <w:rFonts w:ascii="Arial" w:cs="Arial" w:eastAsia="Arial" w:hAnsi="Arial"/>
          <w:sz w:val="12"/>
          <w:szCs w:val="12"/>
          <w:color w:val="auto"/>
        </w:rPr>
        <w:t>) of Tenant’s pro rata share of Landlord’s estimate of the Operating Expenses. Landlord may revise its estimate of Operating Expenses at any time during a calendar year by written notice to Tenant, setting forth such revised estimate and Tenant’s pro rata share thereof. In such event, all monthly payments made by Tenant after such notice shall be in an amount calculated on the basis of such revised estimate. Tenant shall, in all cases, continue to make monthly payments of Operating Expenses based on the last estimate received from Landlord until it receives a revised or updated estimate.</w:t>
      </w:r>
    </w:p>
    <w:p>
      <w:pPr>
        <w:spacing w:after="0" w:line="21" w:lineRule="exact"/>
        <w:rPr>
          <w:rFonts w:ascii="Arial" w:cs="Arial" w:eastAsia="Arial" w:hAnsi="Arial"/>
          <w:sz w:val="12"/>
          <w:szCs w:val="12"/>
          <w:color w:val="auto"/>
        </w:rPr>
      </w:pPr>
    </w:p>
    <w:p>
      <w:pPr>
        <w:ind w:left="460" w:right="340" w:firstLine="442"/>
        <w:spacing w:after="0" w:line="321" w:lineRule="auto"/>
        <w:tabs>
          <w:tab w:leader="none" w:pos="1100" w:val="left"/>
        </w:tabs>
        <w:numPr>
          <w:ilvl w:val="1"/>
          <w:numId w:val="246"/>
        </w:numPr>
        <w:rPr>
          <w:rFonts w:ascii="Arial" w:cs="Arial" w:eastAsia="Arial" w:hAnsi="Arial"/>
          <w:sz w:val="12"/>
          <w:szCs w:val="12"/>
          <w:color w:val="auto"/>
        </w:rPr>
      </w:pPr>
      <w:r>
        <w:rPr>
          <w:rFonts w:ascii="Arial" w:cs="Arial" w:eastAsia="Arial" w:hAnsi="Arial"/>
          <w:sz w:val="12"/>
          <w:szCs w:val="12"/>
          <w:color w:val="auto"/>
        </w:rPr>
        <w:t>If payment of Additional Rent begins on a date other than January 1</w:t>
      </w:r>
      <w:r>
        <w:rPr>
          <w:rFonts w:ascii="Arial" w:cs="Arial" w:eastAsia="Arial" w:hAnsi="Arial"/>
          <w:sz w:val="7"/>
          <w:szCs w:val="7"/>
          <w:color w:val="auto"/>
        </w:rPr>
        <w:t>st</w:t>
      </w:r>
      <w:r>
        <w:rPr>
          <w:rFonts w:ascii="Arial" w:cs="Arial" w:eastAsia="Arial" w:hAnsi="Arial"/>
          <w:sz w:val="12"/>
          <w:szCs w:val="12"/>
          <w:color w:val="auto"/>
        </w:rPr>
        <w:t xml:space="preserve"> under this Lease, in order to provide for current payments of Additional Rent through December 31</w:t>
      </w:r>
      <w:r>
        <w:rPr>
          <w:rFonts w:ascii="Arial" w:cs="Arial" w:eastAsia="Arial" w:hAnsi="Arial"/>
          <w:sz w:val="7"/>
          <w:szCs w:val="7"/>
          <w:color w:val="auto"/>
        </w:rPr>
        <w:t>st</w:t>
      </w:r>
      <w:r>
        <w:rPr>
          <w:rFonts w:ascii="Arial" w:cs="Arial" w:eastAsia="Arial" w:hAnsi="Arial"/>
          <w:sz w:val="12"/>
          <w:szCs w:val="12"/>
          <w:color w:val="auto"/>
        </w:rPr>
        <w:t xml:space="preserve"> of that partial calendar year, Landlord shall provide Tenant with the Landlord’s estimate of Tenant’s Additional Rent for that partial year, stated in monthly increments, resulting from the charges described in Section 5(c)(i) above. Tenant shall make the monthly incremental payments of estimated Additional Rent together with its installments of Minimum Rent.</w:t>
      </w:r>
    </w:p>
    <w:p>
      <w:pPr>
        <w:spacing w:after="0" w:line="10" w:lineRule="exact"/>
        <w:rPr>
          <w:rFonts w:ascii="Arial" w:cs="Arial" w:eastAsia="Arial" w:hAnsi="Arial"/>
          <w:sz w:val="12"/>
          <w:szCs w:val="12"/>
          <w:color w:val="auto"/>
        </w:rPr>
      </w:pPr>
    </w:p>
    <w:p>
      <w:pPr>
        <w:ind w:left="460" w:firstLine="442"/>
        <w:spacing w:after="0" w:line="302" w:lineRule="auto"/>
        <w:tabs>
          <w:tab w:leader="none" w:pos="1138" w:val="left"/>
        </w:tabs>
        <w:numPr>
          <w:ilvl w:val="1"/>
          <w:numId w:val="246"/>
        </w:numPr>
        <w:rPr>
          <w:rFonts w:ascii="Arial" w:cs="Arial" w:eastAsia="Arial" w:hAnsi="Arial"/>
          <w:sz w:val="12"/>
          <w:szCs w:val="12"/>
          <w:color w:val="auto"/>
        </w:rPr>
      </w:pPr>
      <w:r>
        <w:rPr>
          <w:rFonts w:ascii="Arial" w:cs="Arial" w:eastAsia="Arial" w:hAnsi="Arial"/>
          <w:sz w:val="12"/>
          <w:szCs w:val="12"/>
          <w:color w:val="auto"/>
        </w:rPr>
        <w:t>After the end of each calendar year, Landlord will as soon as practicable submit to Tenant a statement of the actual Operating Expenses for the preceding calendar year. Tenant shall pay Landlord, within thirty (30) days of Tenant’s receipt of such statement, the excess, if any, of Tenant’s pro rata share of actual Operating Expenses over the amount paid by Tenant during the previous year as its share of such charges. If the amount paid by Tenant during the previous year exceeded Tenant’s pro rata share of actual Operating Expenses for the year, the excess shall be credited toward payment of the next monthly installment of Minimum Rent to be paid by Tenant after Tenant receives said statement from Landlord. If the amount paid by Tenant during the last calendar year of the Lease Term exceeds Tenant’s pro rata share of actual Operating Expenses for such year, Landlord shall pay Tenant the excess amount within thirty (30) days after Landlord’s submission to Tenant of the aforesaid Operating Expenses statement for such calendar year.</w:t>
      </w:r>
    </w:p>
    <w:p>
      <w:pPr>
        <w:spacing w:after="0" w:line="23" w:lineRule="exact"/>
        <w:rPr>
          <w:rFonts w:ascii="Arial" w:cs="Arial" w:eastAsia="Arial" w:hAnsi="Arial"/>
          <w:sz w:val="12"/>
          <w:szCs w:val="12"/>
          <w:color w:val="auto"/>
        </w:rPr>
      </w:pPr>
    </w:p>
    <w:p>
      <w:pPr>
        <w:ind w:left="460" w:right="260" w:firstLine="442"/>
        <w:spacing w:after="0" w:line="267" w:lineRule="auto"/>
        <w:tabs>
          <w:tab w:leader="none" w:pos="1130" w:val="left"/>
        </w:tabs>
        <w:numPr>
          <w:ilvl w:val="1"/>
          <w:numId w:val="246"/>
        </w:numPr>
        <w:rPr>
          <w:rFonts w:ascii="Arial" w:cs="Arial" w:eastAsia="Arial" w:hAnsi="Arial"/>
          <w:sz w:val="14"/>
          <w:szCs w:val="14"/>
          <w:color w:val="auto"/>
        </w:rPr>
      </w:pPr>
      <w:r>
        <w:rPr>
          <w:rFonts w:ascii="Arial" w:cs="Arial" w:eastAsia="Arial" w:hAnsi="Arial"/>
          <w:sz w:val="14"/>
          <w:szCs w:val="14"/>
          <w:color w:val="auto"/>
        </w:rPr>
        <w:t>Landlord’s failure or delay in rendering any statement contemplated by this Section shall not constitute a waiver of Landlord’s right thereafter and during the term of this Lease to render such statement.</w:t>
      </w:r>
    </w:p>
    <w:p>
      <w:pPr>
        <w:spacing w:after="0" w:line="101" w:lineRule="exact"/>
        <w:rPr>
          <w:rFonts w:ascii="Arial" w:cs="Arial" w:eastAsia="Arial" w:hAnsi="Arial"/>
          <w:sz w:val="14"/>
          <w:szCs w:val="14"/>
          <w:color w:val="auto"/>
        </w:rPr>
      </w:pPr>
    </w:p>
    <w:p>
      <w:pPr>
        <w:ind w:right="160" w:firstLine="462"/>
        <w:spacing w:after="0" w:line="255" w:lineRule="auto"/>
        <w:tabs>
          <w:tab w:leader="none" w:pos="61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Within ten (10) business days after receipt of Landlord’s statement showing actual figures for the year, Tenant shall have the right to request a detailed statement of Operating Expenses prepared by Landlord and copies of Real Estate Tax bills, which shall be supplied to Tenant within a reasonable time after Tenant’s written request. No such request shall extend the time for payments as set forth in Section 5.A. or Section 6. Unless Tenant asserts specific error(s) and supports such errors, in writing, within thirty (30) days after Landlord has complied with Tenant’s request, Tenant shall waive the right to contest the statement of actual</w:t>
      </w:r>
    </w:p>
    <w:p>
      <w:pPr>
        <w:sectPr>
          <w:pgSz w:w="11900" w:h="16838" w:orient="portrait"/>
          <w:cols w:equalWidth="0" w:num="1">
            <w:col w:w="11460"/>
          </w:cols>
          <w:pgMar w:left="220" w:top="247" w:right="21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 of 23</w:t>
      </w:r>
    </w:p>
    <w:p>
      <w:pPr>
        <w:sectPr>
          <w:pgSz w:w="11900" w:h="16838" w:orient="portrait"/>
          <w:cols w:equalWidth="0" w:num="2">
            <w:col w:w="9800" w:space="720"/>
            <w:col w:w="940"/>
          </w:cols>
          <w:pgMar w:left="220" w:top="247" w:right="219" w:bottom="1440" w:gutter="0" w:footer="0" w:header="0"/>
          <w:type w:val="continuous"/>
        </w:sectPr>
      </w:pPr>
    </w:p>
    <w:bookmarkStart w:id="327" w:name="page328"/>
    <w:bookmarkEnd w:id="327"/>
    <w:p>
      <w:pPr>
        <w:ind w:right="22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figures for the year submitted by Landlord. If it shall be determined that there is an error in Landlord’s statement, Tenant shall be entitled to a credit for any overpayment. Any payment, refund or credit made pursuant to Section 5.A. or Section 6 shall be made without prejudice to any right of Tenant to dispute, or of Landlord to correct, any item(s) as billed pursuant to the provision hereof.</w:t>
      </w:r>
    </w:p>
    <w:p>
      <w:pPr>
        <w:spacing w:after="0" w:line="148" w:lineRule="exact"/>
        <w:rPr>
          <w:sz w:val="20"/>
          <w:szCs w:val="20"/>
          <w:color w:val="auto"/>
        </w:rPr>
      </w:pPr>
    </w:p>
    <w:p>
      <w:pPr>
        <w:ind w:left="460" w:hanging="456"/>
        <w:spacing w:after="0"/>
        <w:tabs>
          <w:tab w:leader="none" w:pos="460" w:val="left"/>
        </w:tabs>
        <w:numPr>
          <w:ilvl w:val="0"/>
          <w:numId w:val="247"/>
        </w:numPr>
        <w:rPr>
          <w:rFonts w:ascii="Arial" w:cs="Arial" w:eastAsia="Arial" w:hAnsi="Arial"/>
          <w:sz w:val="14"/>
          <w:szCs w:val="14"/>
          <w:b w:val="1"/>
          <w:bCs w:val="1"/>
          <w:color w:val="auto"/>
        </w:rPr>
      </w:pPr>
      <w:r>
        <w:rPr>
          <w:rFonts w:ascii="Arial" w:cs="Arial" w:eastAsia="Arial" w:hAnsi="Arial"/>
          <w:sz w:val="14"/>
          <w:szCs w:val="14"/>
          <w:b w:val="1"/>
          <w:bCs w:val="1"/>
          <w:color w:val="auto"/>
        </w:rPr>
        <w:t>REAL ESTATE TAXES</w:t>
      </w:r>
    </w:p>
    <w:p>
      <w:pPr>
        <w:spacing w:after="0" w:line="70" w:lineRule="exact"/>
        <w:rPr>
          <w:rFonts w:ascii="Arial" w:cs="Arial" w:eastAsia="Arial" w:hAnsi="Arial"/>
          <w:sz w:val="14"/>
          <w:szCs w:val="14"/>
          <w:b w:val="1"/>
          <w:bCs w:val="1"/>
          <w:color w:val="auto"/>
        </w:rPr>
      </w:pPr>
    </w:p>
    <w:p>
      <w:pPr>
        <w:ind w:left="460" w:right="8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Tenant is responsible for pro rata share of real estate taxes. The Tenant shall pay, within fifteen (15) days after submission of the bill to Tenant real estate taxes, as additional rent, its proportionate share, which proportionate share shall be computed at 94.22% of the taxes, but shall exclude any fine, penalty, or interest for late or non-payment of taxes by Landlord. Upon Tenant’s request, Landlord shall provide Tenant with a copy of each tax bill received by Landlord.</w:t>
      </w:r>
    </w:p>
    <w:p>
      <w:pPr>
        <w:spacing w:after="0" w:line="44" w:lineRule="exact"/>
        <w:rPr>
          <w:rFonts w:ascii="Arial" w:cs="Arial" w:eastAsia="Arial" w:hAnsi="Arial"/>
          <w:sz w:val="14"/>
          <w:szCs w:val="14"/>
          <w:b w:val="1"/>
          <w:bCs w:val="1"/>
          <w:color w:val="auto"/>
        </w:rPr>
      </w:pPr>
    </w:p>
    <w:p>
      <w:pPr>
        <w:ind w:left="460" w:right="80"/>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Any reasonable expense incurred by Landlord (including counsel fees) in contesting any tax increase shall be included as an item of taxes for the purpose of computing additional rent due Landlord and Tenant’s proportionate share of any refund received by Landlord for tax years or portions thereof falling within the term shall promptly be refunded to Tenant. Landlord, however, shall be under no obligation to contest any tax increase, but if Tenant requests in writing that Landlord appeal an increased assessment or tax and Landlord elects not to do so, Tenant may contest such at Tenant’s sole cost, such cost to be reimbursed to Tenant by adding such cost to Tenant’s proportionate share of such refund.</w:t>
      </w:r>
    </w:p>
    <w:p>
      <w:pPr>
        <w:spacing w:after="0" w:line="170" w:lineRule="exact"/>
        <w:rPr>
          <w:rFonts w:ascii="Arial" w:cs="Arial" w:eastAsia="Arial" w:hAnsi="Arial"/>
          <w:sz w:val="14"/>
          <w:szCs w:val="14"/>
          <w:b w:val="1"/>
          <w:bCs w:val="1"/>
          <w:color w:val="auto"/>
        </w:rPr>
      </w:pPr>
    </w:p>
    <w:p>
      <w:pPr>
        <w:ind w:left="460" w:hanging="456"/>
        <w:spacing w:after="0"/>
        <w:tabs>
          <w:tab w:leader="none" w:pos="460" w:val="left"/>
        </w:tabs>
        <w:numPr>
          <w:ilvl w:val="0"/>
          <w:numId w:val="247"/>
        </w:numPr>
        <w:rPr>
          <w:rFonts w:ascii="Arial" w:cs="Arial" w:eastAsia="Arial" w:hAnsi="Arial"/>
          <w:sz w:val="14"/>
          <w:szCs w:val="14"/>
          <w:b w:val="1"/>
          <w:bCs w:val="1"/>
          <w:color w:val="auto"/>
        </w:rPr>
      </w:pPr>
      <w:r>
        <w:rPr>
          <w:rFonts w:ascii="Arial" w:cs="Arial" w:eastAsia="Arial" w:hAnsi="Arial"/>
          <w:sz w:val="14"/>
          <w:szCs w:val="14"/>
          <w:b w:val="1"/>
          <w:bCs w:val="1"/>
          <w:color w:val="auto"/>
        </w:rPr>
        <w:t>UTILITIES</w:t>
      </w:r>
    </w:p>
    <w:p>
      <w:pPr>
        <w:spacing w:after="0" w:line="70" w:lineRule="exact"/>
        <w:rPr>
          <w:rFonts w:ascii="Arial" w:cs="Arial" w:eastAsia="Arial" w:hAnsi="Arial"/>
          <w:sz w:val="14"/>
          <w:szCs w:val="14"/>
          <w:b w:val="1"/>
          <w:bCs w:val="1"/>
          <w:color w:val="auto"/>
        </w:rPr>
      </w:pPr>
    </w:p>
    <w:p>
      <w:pPr>
        <w:ind w:left="460"/>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Tenant shall be responsible for the payment of all utilities used or consumed by the Tenant in and upon the Premises. Electric and Gas shall be separately metered, with the cost of such separate meters to be borne by Landlord. Water shall be either separately metered or an equitable allocation made between the tenants in the Building based on the quantity of water consumed. In the event any utility service to the Premises shall be interrupted for a continuous period of more than five (5) days as a result of any cause whatsoever and Tenant is unable to use all or a substantial portion of the Premises, the Minimum Rent shall abate until such services are rendered. If such interruption continues for a period of sixty (60) consecutive days Tenant shall have the right to terminate this Lease by delivery of written notice to Landlord while such interruption is continuing.</w:t>
      </w:r>
    </w:p>
    <w:p>
      <w:pPr>
        <w:spacing w:after="0" w:line="49" w:lineRule="exact"/>
        <w:rPr>
          <w:rFonts w:ascii="Arial" w:cs="Arial" w:eastAsia="Arial" w:hAnsi="Arial"/>
          <w:sz w:val="14"/>
          <w:szCs w:val="14"/>
          <w:b w:val="1"/>
          <w:bCs w:val="1"/>
          <w:color w:val="auto"/>
        </w:rPr>
      </w:pPr>
    </w:p>
    <w:p>
      <w:pPr>
        <w:ind w:left="4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Except as expressly provided above in this Section 7, Landlord shall not be liable to Tenant for any damage or inconvenience caused by the cessation or interruption of any utility service, or the elevators in the Building, occasioned by fire, accident, strike or other cause beyond Landlord’s control.</w:t>
      </w:r>
    </w:p>
    <w:p>
      <w:pPr>
        <w:sectPr>
          <w:pgSz w:w="11900" w:h="16838" w:orient="portrait"/>
          <w:cols w:equalWidth="0" w:num="1">
            <w:col w:w="11460"/>
          </w:cols>
          <w:pgMar w:left="220" w:top="247" w:right="21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 of 23</w:t>
      </w:r>
    </w:p>
    <w:p>
      <w:pPr>
        <w:sectPr>
          <w:pgSz w:w="11900" w:h="16838" w:orient="portrait"/>
          <w:cols w:equalWidth="0" w:num="2">
            <w:col w:w="9800" w:space="720"/>
            <w:col w:w="940"/>
          </w:cols>
          <w:pgMar w:left="220" w:top="247" w:right="219" w:bottom="1440" w:gutter="0" w:footer="0" w:header="0"/>
          <w:type w:val="continuous"/>
        </w:sectPr>
      </w:pPr>
    </w:p>
    <w:bookmarkStart w:id="328" w:name="page329"/>
    <w:bookmarkEnd w:id="328"/>
    <w:p>
      <w:pPr>
        <w:ind w:left="460" w:hanging="456"/>
        <w:spacing w:after="0"/>
        <w:tabs>
          <w:tab w:leader="none" w:pos="460" w:val="left"/>
        </w:tabs>
        <w:numPr>
          <w:ilvl w:val="0"/>
          <w:numId w:val="248"/>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SECURITY DEPOSIT</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Tenant shall provide a security deposit in the equal to one (1) months’ rent in the amount of Seventy Thousand Three Hundred Thirty-Three and 58/100 Dollars ($70,333.58) at Lease signing.</w:t>
      </w:r>
    </w:p>
    <w:p>
      <w:pPr>
        <w:spacing w:after="0" w:line="246" w:lineRule="exact"/>
        <w:rPr>
          <w:rFonts w:ascii="Arial" w:cs="Arial" w:eastAsia="Arial" w:hAnsi="Arial"/>
          <w:sz w:val="14"/>
          <w:szCs w:val="14"/>
          <w:b w:val="1"/>
          <w:bCs w:val="1"/>
          <w:color w:val="auto"/>
        </w:rPr>
      </w:pPr>
    </w:p>
    <w:p>
      <w:pPr>
        <w:ind w:left="460" w:hanging="456"/>
        <w:spacing w:after="0"/>
        <w:tabs>
          <w:tab w:leader="none" w:pos="460" w:val="left"/>
        </w:tabs>
        <w:numPr>
          <w:ilvl w:val="0"/>
          <w:numId w:val="248"/>
        </w:numPr>
        <w:rPr>
          <w:rFonts w:ascii="Arial" w:cs="Arial" w:eastAsia="Arial" w:hAnsi="Arial"/>
          <w:sz w:val="14"/>
          <w:szCs w:val="14"/>
          <w:b w:val="1"/>
          <w:bCs w:val="1"/>
          <w:color w:val="auto"/>
        </w:rPr>
      </w:pPr>
      <w:r>
        <w:rPr>
          <w:rFonts w:ascii="Arial" w:cs="Arial" w:eastAsia="Arial" w:hAnsi="Arial"/>
          <w:sz w:val="14"/>
          <w:szCs w:val="14"/>
          <w:b w:val="1"/>
          <w:bCs w:val="1"/>
          <w:color w:val="auto"/>
        </w:rPr>
        <w:t>USE OF PREMISES</w:t>
      </w:r>
    </w:p>
    <w:p>
      <w:pPr>
        <w:spacing w:after="0" w:line="70" w:lineRule="exact"/>
        <w:rPr>
          <w:rFonts w:ascii="Arial" w:cs="Arial" w:eastAsia="Arial" w:hAnsi="Arial"/>
          <w:sz w:val="14"/>
          <w:szCs w:val="14"/>
          <w:b w:val="1"/>
          <w:bCs w:val="1"/>
          <w:color w:val="auto"/>
        </w:rPr>
      </w:pPr>
    </w:p>
    <w:p>
      <w:pPr>
        <w:ind w:left="460" w:right="10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Tenant shall use the Premises only for Office and Laboratory purposes consistent with Tenant’s business, and for no other purpose, except as approved by Landlord in advance, in writing, which approval shall not be unreasonably withheld. Tenant shall not make any use of the Premises which would disturb the quiet enjoyment of the Landlord or other tenants in the Building or prejudice or increase the fire insurance premium for the Building, and shall comply with all laws and regulations of all governmental authorities pertaining to Tenant’s use of Premises, including zoning regulations.</w:t>
      </w:r>
    </w:p>
    <w:p>
      <w:pPr>
        <w:spacing w:after="0" w:line="165" w:lineRule="exact"/>
        <w:rPr>
          <w:rFonts w:ascii="Arial" w:cs="Arial" w:eastAsia="Arial" w:hAnsi="Arial"/>
          <w:sz w:val="14"/>
          <w:szCs w:val="14"/>
          <w:b w:val="1"/>
          <w:bCs w:val="1"/>
          <w:color w:val="auto"/>
        </w:rPr>
      </w:pPr>
    </w:p>
    <w:p>
      <w:pPr>
        <w:ind w:left="460" w:hanging="456"/>
        <w:spacing w:after="0"/>
        <w:tabs>
          <w:tab w:leader="none" w:pos="460" w:val="left"/>
        </w:tabs>
        <w:numPr>
          <w:ilvl w:val="0"/>
          <w:numId w:val="248"/>
        </w:numPr>
        <w:rPr>
          <w:rFonts w:ascii="Arial" w:cs="Arial" w:eastAsia="Arial" w:hAnsi="Arial"/>
          <w:sz w:val="14"/>
          <w:szCs w:val="14"/>
          <w:b w:val="1"/>
          <w:bCs w:val="1"/>
          <w:color w:val="auto"/>
        </w:rPr>
      </w:pPr>
      <w:r>
        <w:rPr>
          <w:rFonts w:ascii="Arial" w:cs="Arial" w:eastAsia="Arial" w:hAnsi="Arial"/>
          <w:sz w:val="14"/>
          <w:szCs w:val="14"/>
          <w:b w:val="1"/>
          <w:bCs w:val="1"/>
          <w:color w:val="auto"/>
        </w:rPr>
        <w:t>WASTE REMOVAL</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Tenant shall be responsible for removal of waste generated by Tenant’s operation. This includes waste service fees levied by local jurisdictions.</w:t>
      </w:r>
    </w:p>
    <w:p>
      <w:pPr>
        <w:spacing w:after="0" w:line="223" w:lineRule="exact"/>
        <w:rPr>
          <w:rFonts w:ascii="Arial" w:cs="Arial" w:eastAsia="Arial" w:hAnsi="Arial"/>
          <w:sz w:val="14"/>
          <w:szCs w:val="14"/>
          <w:b w:val="1"/>
          <w:bCs w:val="1"/>
          <w:color w:val="auto"/>
        </w:rPr>
      </w:pPr>
    </w:p>
    <w:p>
      <w:pPr>
        <w:ind w:left="460" w:hanging="456"/>
        <w:spacing w:after="0"/>
        <w:tabs>
          <w:tab w:leader="none" w:pos="460" w:val="left"/>
        </w:tabs>
        <w:numPr>
          <w:ilvl w:val="0"/>
          <w:numId w:val="248"/>
        </w:numPr>
        <w:rPr>
          <w:rFonts w:ascii="Arial" w:cs="Arial" w:eastAsia="Arial" w:hAnsi="Arial"/>
          <w:sz w:val="14"/>
          <w:szCs w:val="14"/>
          <w:b w:val="1"/>
          <w:bCs w:val="1"/>
          <w:color w:val="auto"/>
        </w:rPr>
      </w:pPr>
      <w:r>
        <w:rPr>
          <w:rFonts w:ascii="Arial" w:cs="Arial" w:eastAsia="Arial" w:hAnsi="Arial"/>
          <w:sz w:val="14"/>
          <w:szCs w:val="14"/>
          <w:b w:val="1"/>
          <w:bCs w:val="1"/>
          <w:color w:val="auto"/>
        </w:rPr>
        <w:t>HAZARDOUS MATERIALS</w:t>
      </w:r>
    </w:p>
    <w:p>
      <w:pPr>
        <w:spacing w:after="0" w:line="70" w:lineRule="exact"/>
        <w:rPr>
          <w:rFonts w:ascii="Arial" w:cs="Arial" w:eastAsia="Arial" w:hAnsi="Arial"/>
          <w:sz w:val="14"/>
          <w:szCs w:val="14"/>
          <w:b w:val="1"/>
          <w:bCs w:val="1"/>
          <w:color w:val="auto"/>
        </w:rPr>
      </w:pPr>
    </w:p>
    <w:p>
      <w:pPr>
        <w:ind w:left="460" w:right="8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Tenant shall be permitted to store Hazardous Materials on the Premises and shall comply with all laws and regulations of all governmental authorities pertaining to Tenant’s use of the Premises, including, without limitation, all Environmental Laws (as hereinafter defined) and laws pertaining to Hazardous Materials and Air and Water Quality. The term “Hazardous Materials” means and includes any petroleum products and/or any hazardous toxic or other dangerous waste, substance or material defined as such in the Environmental Laws. The term “Environmental Laws” means the Comprehensive Environmental Response, Compensation and Liability Act, any “Superfund” or “Superlien” law, or any other federal, state or local statute, law, ordinance, code, regulation, order or decree regulating, relating to, or imposing liability or standards of conduct concerning the use or storage of Hazardous Materials. All such materials must be completely removed upon expiration of this Lease, and any de-contamination certificates required by the Landlord or any government authority must be obtained and delivered to the Landlord.</w:t>
      </w:r>
    </w:p>
    <w:p>
      <w:pPr>
        <w:spacing w:after="0" w:line="23" w:lineRule="exact"/>
        <w:rPr>
          <w:rFonts w:ascii="Arial" w:cs="Arial" w:eastAsia="Arial" w:hAnsi="Arial"/>
          <w:sz w:val="14"/>
          <w:szCs w:val="14"/>
          <w:b w:val="1"/>
          <w:bCs w:val="1"/>
          <w:color w:val="auto"/>
        </w:rPr>
      </w:pPr>
    </w:p>
    <w:p>
      <w:pPr>
        <w:ind w:left="460" w:right="20"/>
        <w:spacing w:after="0" w:line="255" w:lineRule="auto"/>
        <w:rPr>
          <w:rFonts w:ascii="Arial" w:cs="Arial" w:eastAsia="Arial" w:hAnsi="Arial"/>
          <w:sz w:val="14"/>
          <w:szCs w:val="14"/>
          <w:b w:val="1"/>
          <w:bCs w:val="1"/>
          <w:color w:val="auto"/>
        </w:rPr>
      </w:pPr>
      <w:r>
        <w:rPr>
          <w:rFonts w:ascii="Arial" w:cs="Arial" w:eastAsia="Arial" w:hAnsi="Arial"/>
          <w:sz w:val="14"/>
          <w:szCs w:val="14"/>
          <w:color w:val="auto"/>
        </w:rPr>
        <w:t>Tenant shall obtain and maintain, in full force and effect, all necessary government licenses, permits and approvals legally required for materials used in the conduct of its business. If the presence of any Hazardous Materials on the Premises caused or permitted by Tenant results in any contamination of the Premises or any portion of the Building or Common Areas, Tenant shall promptly take all actions, at its sole expense, necessary to return the Premises to the condition existing prior to the introduction of such Hazardous Materials, provided that all such actions shall be subject to the approval of Landlord, which approval shall not be unreasonably withheld.</w:t>
      </w:r>
    </w:p>
    <w:p>
      <w:pPr>
        <w:sectPr>
          <w:pgSz w:w="11900" w:h="16838" w:orient="portrait"/>
          <w:cols w:equalWidth="0" w:num="1">
            <w:col w:w="11460"/>
          </w:cols>
          <w:pgMar w:left="220" w:top="245" w:right="21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 of 23</w:t>
      </w:r>
    </w:p>
    <w:p>
      <w:pPr>
        <w:sectPr>
          <w:pgSz w:w="11900" w:h="16838" w:orient="portrait"/>
          <w:cols w:equalWidth="0" w:num="2">
            <w:col w:w="9800" w:space="720"/>
            <w:col w:w="940"/>
          </w:cols>
          <w:pgMar w:left="220" w:top="245" w:right="219" w:bottom="1440" w:gutter="0" w:footer="0" w:header="0"/>
          <w:type w:val="continuous"/>
        </w:sectPr>
      </w:pPr>
    </w:p>
    <w:bookmarkStart w:id="329" w:name="page330"/>
    <w:bookmarkEnd w:id="329"/>
    <w:p>
      <w:pPr>
        <w:ind w:left="460" w:right="2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At the Commencement Date of the Lease and on January 1 of each year thereafter, Tenant shall disclose to Landlord the names and amounts of all Hazardous Materials which are to be stored, used or disposed of on the Premises.</w:t>
      </w:r>
    </w:p>
    <w:p>
      <w:pPr>
        <w:spacing w:after="0" w:line="39" w:lineRule="exact"/>
        <w:rPr>
          <w:sz w:val="20"/>
          <w:szCs w:val="20"/>
          <w:color w:val="auto"/>
        </w:rPr>
      </w:pPr>
    </w:p>
    <w:p>
      <w:pPr>
        <w:ind w:left="460" w:right="140"/>
        <w:spacing w:after="0" w:line="267" w:lineRule="auto"/>
        <w:rPr>
          <w:sz w:val="20"/>
          <w:szCs w:val="20"/>
          <w:color w:val="auto"/>
        </w:rPr>
      </w:pPr>
      <w:r>
        <w:rPr>
          <w:rFonts w:ascii="Arial" w:cs="Arial" w:eastAsia="Arial" w:hAnsi="Arial"/>
          <w:sz w:val="14"/>
          <w:szCs w:val="14"/>
          <w:color w:val="auto"/>
        </w:rPr>
        <w:t>Any Hazardous Materials stored or used on the Premises must not in any way prejudice the Landlord’s insurance or increase the fire hazards to a greater extent than necessarily incident to the business for which the Premises are leased.</w:t>
      </w:r>
    </w:p>
    <w:p>
      <w:pPr>
        <w:spacing w:after="0" w:line="39" w:lineRule="exact"/>
        <w:rPr>
          <w:sz w:val="20"/>
          <w:szCs w:val="20"/>
          <w:color w:val="auto"/>
        </w:rPr>
      </w:pPr>
    </w:p>
    <w:p>
      <w:pPr>
        <w:ind w:left="460"/>
        <w:spacing w:after="0" w:line="293" w:lineRule="auto"/>
        <w:rPr>
          <w:sz w:val="20"/>
          <w:szCs w:val="20"/>
          <w:color w:val="auto"/>
        </w:rPr>
      </w:pPr>
      <w:r>
        <w:rPr>
          <w:rFonts w:ascii="Arial" w:cs="Arial" w:eastAsia="Arial" w:hAnsi="Arial"/>
          <w:sz w:val="12"/>
          <w:szCs w:val="12"/>
          <w:color w:val="auto"/>
        </w:rPr>
        <w:t>Tenant shall indemnify and hold harmless Landlord, its officers, members and employees against any and all claims, actions, proceedings or liabilities of any kind to any third party or governmental authority arising out of or in connection with the presence of any Hazardous Materials on the Premises or used in connection with Tenant’s business, or the violation by Tenant of any applicable Environmental Laws covered by Tenant’s insurance policies. Tenant shall maintain and carry at all times during the term of this Lease an insurance policy which shall designate Landlord as an additional insured which provides coverage for i) extraction of pollutants from land or water resulting from the discharge, dispersal, seepage, migration, release or escape of pollutants from a specified cause; and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ii) radioactive contamination.</w:t>
      </w:r>
    </w:p>
    <w:p>
      <w:pPr>
        <w:spacing w:after="0" w:line="217" w:lineRule="exact"/>
        <w:rPr>
          <w:sz w:val="20"/>
          <w:szCs w:val="20"/>
          <w:color w:val="auto"/>
        </w:rPr>
      </w:pPr>
    </w:p>
    <w:p>
      <w:pPr>
        <w:ind w:left="460" w:hanging="456"/>
        <w:spacing w:after="0"/>
        <w:tabs>
          <w:tab w:leader="none" w:pos="460" w:val="left"/>
        </w:tabs>
        <w:numPr>
          <w:ilvl w:val="0"/>
          <w:numId w:val="249"/>
        </w:numPr>
        <w:rPr>
          <w:rFonts w:ascii="Arial" w:cs="Arial" w:eastAsia="Arial" w:hAnsi="Arial"/>
          <w:sz w:val="14"/>
          <w:szCs w:val="14"/>
          <w:b w:val="1"/>
          <w:bCs w:val="1"/>
          <w:color w:val="auto"/>
        </w:rPr>
      </w:pPr>
      <w:r>
        <w:rPr>
          <w:rFonts w:ascii="Arial" w:cs="Arial" w:eastAsia="Arial" w:hAnsi="Arial"/>
          <w:sz w:val="14"/>
          <w:szCs w:val="14"/>
          <w:b w:val="1"/>
          <w:bCs w:val="1"/>
          <w:color w:val="auto"/>
        </w:rPr>
        <w:t>LATE CHARGE</w:t>
      </w:r>
    </w:p>
    <w:p>
      <w:pPr>
        <w:spacing w:after="0" w:line="70" w:lineRule="exact"/>
        <w:rPr>
          <w:rFonts w:ascii="Arial" w:cs="Arial" w:eastAsia="Arial" w:hAnsi="Arial"/>
          <w:sz w:val="14"/>
          <w:szCs w:val="14"/>
          <w:b w:val="1"/>
          <w:bCs w:val="1"/>
          <w:color w:val="auto"/>
        </w:rPr>
      </w:pPr>
    </w:p>
    <w:p>
      <w:pPr>
        <w:jc w:val="both"/>
        <w:ind w:left="460" w:right="28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If any installment of Minimum Rent accruing herein shall not be paid within five (5) days of due date, and other sums not paid within fifteen (15) days of due date, more than once in any 12-month period, such installment and other sums shall be increased without affecting the Landlord’s other rights under this Lease, by a late charge of five percent (5%) of the delinquent installment, anything contained herein to the contrary notwithstanding.</w:t>
      </w:r>
    </w:p>
    <w:p>
      <w:pPr>
        <w:spacing w:after="0" w:line="199" w:lineRule="exact"/>
        <w:rPr>
          <w:rFonts w:ascii="Arial" w:cs="Arial" w:eastAsia="Arial" w:hAnsi="Arial"/>
          <w:sz w:val="14"/>
          <w:szCs w:val="14"/>
          <w:b w:val="1"/>
          <w:bCs w:val="1"/>
          <w:color w:val="auto"/>
        </w:rPr>
      </w:pPr>
    </w:p>
    <w:p>
      <w:pPr>
        <w:ind w:left="460" w:hanging="456"/>
        <w:spacing w:after="0"/>
        <w:tabs>
          <w:tab w:leader="none" w:pos="460" w:val="left"/>
        </w:tabs>
        <w:numPr>
          <w:ilvl w:val="0"/>
          <w:numId w:val="249"/>
        </w:numPr>
        <w:rPr>
          <w:rFonts w:ascii="Arial" w:cs="Arial" w:eastAsia="Arial" w:hAnsi="Arial"/>
          <w:sz w:val="14"/>
          <w:szCs w:val="14"/>
          <w:b w:val="1"/>
          <w:bCs w:val="1"/>
          <w:color w:val="auto"/>
        </w:rPr>
      </w:pPr>
      <w:r>
        <w:rPr>
          <w:rFonts w:ascii="Arial" w:cs="Arial" w:eastAsia="Arial" w:hAnsi="Arial"/>
          <w:sz w:val="14"/>
          <w:szCs w:val="14"/>
          <w:b w:val="1"/>
          <w:bCs w:val="1"/>
          <w:color w:val="auto"/>
        </w:rPr>
        <w:t>REPAIRS AND MAINTENANCE</w:t>
      </w:r>
    </w:p>
    <w:p>
      <w:pPr>
        <w:spacing w:after="0" w:line="70" w:lineRule="exact"/>
        <w:rPr>
          <w:rFonts w:ascii="Arial" w:cs="Arial" w:eastAsia="Arial" w:hAnsi="Arial"/>
          <w:sz w:val="14"/>
          <w:szCs w:val="14"/>
          <w:b w:val="1"/>
          <w:bCs w:val="1"/>
          <w:color w:val="auto"/>
        </w:rPr>
      </w:pPr>
    </w:p>
    <w:p>
      <w:pPr>
        <w:ind w:left="460" w:right="20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shall be responsible for all structural repairs, including repairs to the roof and load-bearing walls of the Building, for maintaining the parking area and sidewalks, and the Common Areas (as hereinafter defined) in the Building.</w:t>
      </w:r>
    </w:p>
    <w:p>
      <w:pPr>
        <w:spacing w:after="0" w:line="38" w:lineRule="exact"/>
        <w:rPr>
          <w:rFonts w:ascii="Arial" w:cs="Arial" w:eastAsia="Arial" w:hAnsi="Arial"/>
          <w:sz w:val="14"/>
          <w:szCs w:val="14"/>
          <w:b w:val="1"/>
          <w:bCs w:val="1"/>
          <w:color w:val="auto"/>
        </w:rPr>
      </w:pPr>
    </w:p>
    <w:p>
      <w:pPr>
        <w:ind w:left="460" w:right="30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The Tenant shall be responsible for the maintenance and repair of the Premises and all fixtures, appliances and equipment therein, including, but not limited to, the Heating and Air Conditioning system(s) exclusively serving Tenant’s suite. Landlord will pay for major Heating and Air Conditioning component replacement and all repairs to the Landlord installed heating and air conditioning system(s) in excess of Four Hundred Dollars ($400.00) per Heating and Air Conditioning unit per occurrence. All major repairs and replacement will be done by Landlord’s contractor.</w:t>
      </w:r>
    </w:p>
    <w:p>
      <w:pPr>
        <w:spacing w:after="0" w:line="10" w:lineRule="exact"/>
        <w:rPr>
          <w:rFonts w:ascii="Arial" w:cs="Arial" w:eastAsia="Arial" w:hAnsi="Arial"/>
          <w:sz w:val="14"/>
          <w:szCs w:val="14"/>
          <w:b w:val="1"/>
          <w:bCs w:val="1"/>
          <w:color w:val="auto"/>
        </w:rPr>
      </w:pPr>
    </w:p>
    <w:p>
      <w:pPr>
        <w:ind w:left="460" w:right="10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Tenant shall provide its own char service. Tenant, at its sole expense, shall keep all Tenant fixtures and equipment in the Premises in safe and sanitary condition and good order and repair, together with related plumbing, electrical or other utility service exclusively serving the Premises, whether installed by Tenant or by Landlord on Tenant’s</w:t>
      </w:r>
    </w:p>
    <w:p>
      <w:pPr>
        <w:sectPr>
          <w:pgSz w:w="11900" w:h="16838" w:orient="portrait"/>
          <w:cols w:equalWidth="0" w:num="1">
            <w:col w:w="11460"/>
          </w:cols>
          <w:pgMar w:left="220" w:top="247" w:right="21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 of 23</w:t>
      </w:r>
    </w:p>
    <w:p>
      <w:pPr>
        <w:sectPr>
          <w:pgSz w:w="11900" w:h="16838" w:orient="portrait"/>
          <w:cols w:equalWidth="0" w:num="2">
            <w:col w:w="9800" w:space="720"/>
            <w:col w:w="940"/>
          </w:cols>
          <w:pgMar w:left="220" w:top="247" w:right="219" w:bottom="1440" w:gutter="0" w:footer="0" w:header="0"/>
          <w:type w:val="continuous"/>
        </w:sectPr>
      </w:pPr>
    </w:p>
    <w:bookmarkStart w:id="330" w:name="page331"/>
    <w:bookmarkEnd w:id="330"/>
    <w:p>
      <w:pPr>
        <w:ind w:left="460" w:right="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behalf. Subject to the contrary provisions of Section 20 below, Tenant shall pay for all damage to the Building and any fixtures and appurtenances related thereto due to the malfunction, lack of repair, or improper installation of the Tenant’s fixtures and equipment.</w:t>
      </w:r>
    </w:p>
    <w:p>
      <w:pPr>
        <w:spacing w:after="0" w:line="194" w:lineRule="exact"/>
        <w:rPr>
          <w:sz w:val="20"/>
          <w:szCs w:val="20"/>
          <w:color w:val="auto"/>
        </w:rPr>
      </w:pPr>
    </w:p>
    <w:p>
      <w:pPr>
        <w:ind w:left="460" w:hanging="456"/>
        <w:spacing w:after="0"/>
        <w:tabs>
          <w:tab w:leader="none" w:pos="460" w:val="left"/>
        </w:tabs>
        <w:numPr>
          <w:ilvl w:val="0"/>
          <w:numId w:val="250"/>
        </w:numPr>
        <w:rPr>
          <w:rFonts w:ascii="Arial" w:cs="Arial" w:eastAsia="Arial" w:hAnsi="Arial"/>
          <w:sz w:val="14"/>
          <w:szCs w:val="14"/>
          <w:b w:val="1"/>
          <w:bCs w:val="1"/>
          <w:color w:val="auto"/>
        </w:rPr>
      </w:pPr>
      <w:r>
        <w:rPr>
          <w:rFonts w:ascii="Arial" w:cs="Arial" w:eastAsia="Arial" w:hAnsi="Arial"/>
          <w:sz w:val="14"/>
          <w:szCs w:val="14"/>
          <w:b w:val="1"/>
          <w:bCs w:val="1"/>
          <w:color w:val="auto"/>
        </w:rPr>
        <w:t>COMMON AREAS</w:t>
      </w:r>
    </w:p>
    <w:p>
      <w:pPr>
        <w:spacing w:after="0" w:line="70" w:lineRule="exact"/>
        <w:rPr>
          <w:rFonts w:ascii="Arial" w:cs="Arial" w:eastAsia="Arial" w:hAnsi="Arial"/>
          <w:sz w:val="14"/>
          <w:szCs w:val="14"/>
          <w:b w:val="1"/>
          <w:bCs w:val="1"/>
          <w:color w:val="auto"/>
        </w:rPr>
      </w:pPr>
    </w:p>
    <w:p>
      <w:pPr>
        <w:ind w:left="460" w:right="4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In addition to the use of the Premises, Tenant, its employees and business invitees shall have the right to use the Common Areas in common with Landlord and other tenants of the Building, their employees and visitors. The term “Common Areas” shall mean those portions of the Building and the land upon which the Building is erected which Landlord may from time to time designate for Tenant’s non-exclusive use, which may include the entrance, foyer and lobby corridors, lavatories, stairwells, elevators, and parking areas. All Common Areas shall be subject to the exclusive control of the Landlord. The Landlord shall operate, manage, light and maintain the Common Areas. Landlord reserves the right to change the size, area, level, location and arrangement of the Common Areas and any such change or rearrangement shall not affect the obligations of the Landlord and Tenant hereunder; provided, however, that for so long as Tenant is occupying at least sixty-seven percent (67%) of the leasable area of the Building, no such change shall be made without the prior written consent of Tenant, which consent shall not be unreasonably withheld, conditioned or delayed.</w:t>
      </w:r>
    </w:p>
    <w:p>
      <w:pPr>
        <w:spacing w:after="0" w:line="178" w:lineRule="exact"/>
        <w:rPr>
          <w:rFonts w:ascii="Arial" w:cs="Arial" w:eastAsia="Arial" w:hAnsi="Arial"/>
          <w:sz w:val="14"/>
          <w:szCs w:val="14"/>
          <w:b w:val="1"/>
          <w:bCs w:val="1"/>
          <w:color w:val="auto"/>
        </w:rPr>
      </w:pPr>
    </w:p>
    <w:p>
      <w:pPr>
        <w:ind w:left="460" w:hanging="456"/>
        <w:spacing w:after="0"/>
        <w:tabs>
          <w:tab w:leader="none" w:pos="460" w:val="left"/>
        </w:tabs>
        <w:numPr>
          <w:ilvl w:val="0"/>
          <w:numId w:val="250"/>
        </w:numPr>
        <w:rPr>
          <w:rFonts w:ascii="Arial" w:cs="Arial" w:eastAsia="Arial" w:hAnsi="Arial"/>
          <w:sz w:val="14"/>
          <w:szCs w:val="14"/>
          <w:b w:val="1"/>
          <w:bCs w:val="1"/>
          <w:color w:val="auto"/>
        </w:rPr>
      </w:pPr>
      <w:r>
        <w:rPr>
          <w:rFonts w:ascii="Arial" w:cs="Arial" w:eastAsia="Arial" w:hAnsi="Arial"/>
          <w:sz w:val="14"/>
          <w:szCs w:val="14"/>
          <w:b w:val="1"/>
          <w:bCs w:val="1"/>
          <w:color w:val="auto"/>
        </w:rPr>
        <w:t>LANDLORD’S WORK PRIOR TO COMMENCEMENT OF TERM</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Landlord shall make the following improvements to the Premises prior to the commencement of the term of the Lease: Construction in accordance with Exhibit B (“Landlord’s Work”).</w:t>
      </w:r>
    </w:p>
    <w:p>
      <w:pPr>
        <w:spacing w:after="0" w:line="246" w:lineRule="exact"/>
        <w:rPr>
          <w:rFonts w:ascii="Arial" w:cs="Arial" w:eastAsia="Arial" w:hAnsi="Arial"/>
          <w:sz w:val="14"/>
          <w:szCs w:val="14"/>
          <w:b w:val="1"/>
          <w:bCs w:val="1"/>
          <w:color w:val="auto"/>
        </w:rPr>
      </w:pPr>
    </w:p>
    <w:p>
      <w:pPr>
        <w:ind w:left="460" w:hanging="456"/>
        <w:spacing w:after="0"/>
        <w:tabs>
          <w:tab w:leader="none" w:pos="460" w:val="left"/>
        </w:tabs>
        <w:numPr>
          <w:ilvl w:val="0"/>
          <w:numId w:val="250"/>
        </w:numPr>
        <w:rPr>
          <w:rFonts w:ascii="Arial" w:cs="Arial" w:eastAsia="Arial" w:hAnsi="Arial"/>
          <w:sz w:val="14"/>
          <w:szCs w:val="14"/>
          <w:b w:val="1"/>
          <w:bCs w:val="1"/>
          <w:color w:val="auto"/>
        </w:rPr>
      </w:pPr>
      <w:r>
        <w:rPr>
          <w:rFonts w:ascii="Arial" w:cs="Arial" w:eastAsia="Arial" w:hAnsi="Arial"/>
          <w:sz w:val="14"/>
          <w:szCs w:val="14"/>
          <w:b w:val="1"/>
          <w:bCs w:val="1"/>
          <w:color w:val="auto"/>
        </w:rPr>
        <w:t>TENANT ALTERATIONS</w:t>
      </w:r>
    </w:p>
    <w:p>
      <w:pPr>
        <w:spacing w:after="0" w:line="70" w:lineRule="exact"/>
        <w:rPr>
          <w:rFonts w:ascii="Arial" w:cs="Arial" w:eastAsia="Arial" w:hAnsi="Arial"/>
          <w:sz w:val="14"/>
          <w:szCs w:val="14"/>
          <w:b w:val="1"/>
          <w:bCs w:val="1"/>
          <w:color w:val="auto"/>
        </w:rPr>
      </w:pPr>
    </w:p>
    <w:p>
      <w:pPr>
        <w:ind w:left="460" w:right="8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All alterations, improvements, or additions to the demised Premises to be made by Tenant (other than cosmetic changes not costing more than $30,000.00 in any twelve (12)-month period) shall be subject to the written consent of the Landlord, which consent shall not be unreasonably withheld, provided such alterations and improvements do not weaken the structural integrity of the Building or detract from its dignity and/or uniformity. All alterations and improvements and/or additions made by Tenant shall remain upon the Premises at the expiration or earlier termination of this Lease and shall become the property of the Landlord, unless Landlord shall, at the time of approval of the alteration, provide written notice to Tenant to remove the same, in which event Tenant shall remove such alterations, improvements and/or additions, and restore the Premises to the same good order and condition in which it was at the commencement of this Lease, reasonable wear and tear and unavoidable casualty excepted. Should Tenant fail to do so, Landlord may do so, collecting the reasonable cost and expense thereof from Tenant as additional rent.</w:t>
      </w:r>
    </w:p>
    <w:p>
      <w:pPr>
        <w:sectPr>
          <w:pgSz w:w="11900" w:h="16838" w:orient="portrait"/>
          <w:cols w:equalWidth="0" w:num="1">
            <w:col w:w="11460"/>
          </w:cols>
          <w:pgMar w:left="220" w:top="246" w:right="2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 of 23</w:t>
      </w:r>
    </w:p>
    <w:p>
      <w:pPr>
        <w:sectPr>
          <w:pgSz w:w="11900" w:h="16838" w:orient="portrait"/>
          <w:cols w:equalWidth="0" w:num="2">
            <w:col w:w="9800" w:space="720"/>
            <w:col w:w="940"/>
          </w:cols>
          <w:pgMar w:left="220" w:top="246" w:right="219" w:bottom="1440" w:gutter="0" w:footer="0" w:header="0"/>
          <w:type w:val="continuous"/>
        </w:sectPr>
      </w:pPr>
    </w:p>
    <w:bookmarkStart w:id="331" w:name="page332"/>
    <w:bookmarkEnd w:id="331"/>
    <w:p>
      <w:pPr>
        <w:ind w:left="460" w:hanging="456"/>
        <w:spacing w:after="0"/>
        <w:tabs>
          <w:tab w:leader="none" w:pos="460" w:val="left"/>
        </w:tabs>
        <w:numPr>
          <w:ilvl w:val="0"/>
          <w:numId w:val="251"/>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TRADE FIXTURES</w:t>
      </w:r>
    </w:p>
    <w:p>
      <w:pPr>
        <w:spacing w:after="0" w:line="70" w:lineRule="exact"/>
        <w:rPr>
          <w:rFonts w:ascii="Arial" w:cs="Arial" w:eastAsia="Arial" w:hAnsi="Arial"/>
          <w:sz w:val="14"/>
          <w:szCs w:val="14"/>
          <w:b w:val="1"/>
          <w:bCs w:val="1"/>
          <w:color w:val="auto"/>
        </w:rPr>
      </w:pPr>
    </w:p>
    <w:p>
      <w:pPr>
        <w:ind w:left="460" w:right="100"/>
        <w:spacing w:after="0" w:line="255" w:lineRule="auto"/>
        <w:rPr>
          <w:rFonts w:ascii="Arial" w:cs="Arial" w:eastAsia="Arial" w:hAnsi="Arial"/>
          <w:sz w:val="14"/>
          <w:szCs w:val="14"/>
          <w:b w:val="1"/>
          <w:bCs w:val="1"/>
          <w:color w:val="auto"/>
        </w:rPr>
      </w:pPr>
      <w:r>
        <w:rPr>
          <w:rFonts w:ascii="Arial" w:cs="Arial" w:eastAsia="Arial" w:hAnsi="Arial"/>
          <w:sz w:val="14"/>
          <w:szCs w:val="14"/>
          <w:color w:val="auto"/>
        </w:rPr>
        <w:t>All trade fixtures, telephone and computer equipment, and apparatus installed by Tenant in the Premises shall remain the property of Tenant and shall be removed at the expiration or earlier termination of this Lease and, upon such removal, Tenant shall repair any uninsured damage caused by the removal and shall promptly restore the Premises to their good order and condition. Any such trade fixture not removed prior to such termination shall be considered abandoned property, but such abandonment shall not release Tenant of its obligation to pay for the cost of removing such trade fixtures and repairing any uninsured damage caused by the removal.</w:t>
      </w:r>
    </w:p>
    <w:p>
      <w:pPr>
        <w:spacing w:after="0" w:line="201" w:lineRule="exact"/>
        <w:rPr>
          <w:rFonts w:ascii="Arial" w:cs="Arial" w:eastAsia="Arial" w:hAnsi="Arial"/>
          <w:sz w:val="14"/>
          <w:szCs w:val="14"/>
          <w:b w:val="1"/>
          <w:bCs w:val="1"/>
          <w:color w:val="auto"/>
        </w:rPr>
      </w:pPr>
    </w:p>
    <w:p>
      <w:pPr>
        <w:ind w:left="460" w:hanging="456"/>
        <w:spacing w:after="0"/>
        <w:tabs>
          <w:tab w:leader="none" w:pos="460" w:val="left"/>
        </w:tabs>
        <w:numPr>
          <w:ilvl w:val="0"/>
          <w:numId w:val="251"/>
        </w:numPr>
        <w:rPr>
          <w:rFonts w:ascii="Arial" w:cs="Arial" w:eastAsia="Arial" w:hAnsi="Arial"/>
          <w:sz w:val="14"/>
          <w:szCs w:val="14"/>
          <w:b w:val="1"/>
          <w:bCs w:val="1"/>
          <w:color w:val="auto"/>
        </w:rPr>
      </w:pPr>
      <w:r>
        <w:rPr>
          <w:rFonts w:ascii="Arial" w:cs="Arial" w:eastAsia="Arial" w:hAnsi="Arial"/>
          <w:sz w:val="14"/>
          <w:szCs w:val="14"/>
          <w:b w:val="1"/>
          <w:bCs w:val="1"/>
          <w:color w:val="auto"/>
        </w:rPr>
        <w:t>QUIET ENJOYMENT</w:t>
      </w:r>
    </w:p>
    <w:p>
      <w:pPr>
        <w:spacing w:after="0" w:line="70" w:lineRule="exact"/>
        <w:rPr>
          <w:rFonts w:ascii="Arial" w:cs="Arial" w:eastAsia="Arial" w:hAnsi="Arial"/>
          <w:sz w:val="14"/>
          <w:szCs w:val="14"/>
          <w:b w:val="1"/>
          <w:bCs w:val="1"/>
          <w:color w:val="auto"/>
        </w:rPr>
      </w:pPr>
    </w:p>
    <w:p>
      <w:pPr>
        <w:ind w:left="460" w:right="22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covenants that, upon payment of the rent herein provided and performance by the Tenant of all other covenants herein contained, Tenant shall and may peaceably and quietly have, hold and enjoy the Premises for the term hereof and options.</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51"/>
        </w:numPr>
        <w:rPr>
          <w:rFonts w:ascii="Arial" w:cs="Arial" w:eastAsia="Arial" w:hAnsi="Arial"/>
          <w:sz w:val="14"/>
          <w:szCs w:val="14"/>
          <w:b w:val="1"/>
          <w:bCs w:val="1"/>
          <w:color w:val="auto"/>
        </w:rPr>
      </w:pPr>
      <w:r>
        <w:rPr>
          <w:rFonts w:ascii="Arial" w:cs="Arial" w:eastAsia="Arial" w:hAnsi="Arial"/>
          <w:sz w:val="14"/>
          <w:szCs w:val="14"/>
          <w:b w:val="1"/>
          <w:bCs w:val="1"/>
          <w:color w:val="auto"/>
        </w:rPr>
        <w:t>SURRENDER OF PREMISES</w:t>
      </w:r>
    </w:p>
    <w:p>
      <w:pPr>
        <w:spacing w:after="0" w:line="70" w:lineRule="exact"/>
        <w:rPr>
          <w:rFonts w:ascii="Arial" w:cs="Arial" w:eastAsia="Arial" w:hAnsi="Arial"/>
          <w:sz w:val="14"/>
          <w:szCs w:val="14"/>
          <w:b w:val="1"/>
          <w:bCs w:val="1"/>
          <w:color w:val="auto"/>
        </w:rPr>
      </w:pPr>
    </w:p>
    <w:p>
      <w:pPr>
        <w:jc w:val="both"/>
        <w:ind w:left="460" w:right="3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Upon the expiration or termination of this Lease, Tenant shall quit and surrender the Premises to the Landlord broom clean and shall remove all of its property therefrom. If the removal of any such property shall result in uninsured damage to the Premises, or leaving any holes in the floors, walls or ceiling therein, the Tenant shall make the appropriate repairs with Landlord approved building materials prior to the expiration of this Lease. The obligation of this paragraph shall survive the termination of the Lease.</w:t>
      </w:r>
    </w:p>
    <w:p>
      <w:pPr>
        <w:spacing w:after="0" w:line="199" w:lineRule="exact"/>
        <w:rPr>
          <w:rFonts w:ascii="Arial" w:cs="Arial" w:eastAsia="Arial" w:hAnsi="Arial"/>
          <w:sz w:val="14"/>
          <w:szCs w:val="14"/>
          <w:b w:val="1"/>
          <w:bCs w:val="1"/>
          <w:color w:val="auto"/>
        </w:rPr>
      </w:pPr>
    </w:p>
    <w:p>
      <w:pPr>
        <w:ind w:left="460" w:hanging="456"/>
        <w:spacing w:after="0"/>
        <w:tabs>
          <w:tab w:leader="none" w:pos="460" w:val="left"/>
        </w:tabs>
        <w:numPr>
          <w:ilvl w:val="0"/>
          <w:numId w:val="251"/>
        </w:numPr>
        <w:rPr>
          <w:rFonts w:ascii="Arial" w:cs="Arial" w:eastAsia="Arial" w:hAnsi="Arial"/>
          <w:sz w:val="14"/>
          <w:szCs w:val="14"/>
          <w:b w:val="1"/>
          <w:bCs w:val="1"/>
          <w:color w:val="auto"/>
        </w:rPr>
      </w:pPr>
      <w:r>
        <w:rPr>
          <w:rFonts w:ascii="Arial" w:cs="Arial" w:eastAsia="Arial" w:hAnsi="Arial"/>
          <w:sz w:val="14"/>
          <w:szCs w:val="14"/>
          <w:b w:val="1"/>
          <w:bCs w:val="1"/>
          <w:color w:val="auto"/>
        </w:rPr>
        <w:t>INSURANCE</w:t>
      </w:r>
    </w:p>
    <w:p>
      <w:pPr>
        <w:spacing w:after="0" w:line="70" w:lineRule="exact"/>
        <w:rPr>
          <w:rFonts w:ascii="Arial" w:cs="Arial" w:eastAsia="Arial" w:hAnsi="Arial"/>
          <w:sz w:val="14"/>
          <w:szCs w:val="14"/>
          <w:b w:val="1"/>
          <w:bCs w:val="1"/>
          <w:color w:val="auto"/>
        </w:rPr>
      </w:pPr>
    </w:p>
    <w:p>
      <w:pPr>
        <w:ind w:left="460" w:right="180"/>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Tenant covenants and agrees to maintain and carry, at all times during the term of this Lease, in companies qualified and authorized to transact business in the State of Maryland, (i) a Causes of Loss - Special Form policy of property insurance covering tenant improvements to the Premises made at Tenant’s sole cost and Tenant’s fixtures, furniture and equipment in the Premises for their full replacement value and (ii) commercial general liability insurance in amounts of $1,000,000.00 per person, $1,000,000.00 per occurrence and $1,000,000.00 for damage to property. Tenant will use commercially reasonable efforts to cause all policies of insurance to provide that they may not be canceled, except on thirty (30) days written notice to Landlord, and all such policies shall name Landlord as an additional insured.</w:t>
      </w:r>
    </w:p>
    <w:p>
      <w:pPr>
        <w:spacing w:after="0" w:line="49" w:lineRule="exact"/>
        <w:rPr>
          <w:rFonts w:ascii="Arial" w:cs="Arial" w:eastAsia="Arial" w:hAnsi="Arial"/>
          <w:sz w:val="14"/>
          <w:szCs w:val="14"/>
          <w:b w:val="1"/>
          <w:bCs w:val="1"/>
          <w:color w:val="auto"/>
        </w:rPr>
      </w:pPr>
    </w:p>
    <w:p>
      <w:pPr>
        <w:ind w:left="460" w:right="6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Landlord shall procure and maintain throughout the Term of this Lease a policy or policies of insurance, at its sole cost and expense (but subject to Section 5), causing the Building and any other related improvements to be insured under a Causes of Loss - Special Form property insurance policy in an amount equal to the full replacement value of the Building and any such other improvements (excluding the cost of excavation) and a policy of commercial general liability insurance with a combined single limit of not less than One Million Dollars ($1,000,000,00).</w:t>
      </w:r>
    </w:p>
    <w:p>
      <w:pPr>
        <w:sectPr>
          <w:pgSz w:w="11900" w:h="16838" w:orient="portrait"/>
          <w:cols w:equalWidth="0" w:num="1">
            <w:col w:w="11460"/>
          </w:cols>
          <w:pgMar w:left="220" w:top="244" w:right="21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 of 23</w:t>
      </w:r>
    </w:p>
    <w:p>
      <w:pPr>
        <w:sectPr>
          <w:pgSz w:w="11900" w:h="16838" w:orient="portrait"/>
          <w:cols w:equalWidth="0" w:num="2">
            <w:col w:w="9800" w:space="720"/>
            <w:col w:w="940"/>
          </w:cols>
          <w:pgMar w:left="220" w:top="244" w:right="219" w:bottom="1440" w:gutter="0" w:footer="0" w:header="0"/>
          <w:type w:val="continuous"/>
        </w:sectPr>
      </w:pPr>
    </w:p>
    <w:bookmarkStart w:id="332" w:name="page333"/>
    <w:bookmarkEnd w:id="332"/>
    <w:p>
      <w:pPr>
        <w:ind w:left="46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Prior to the Early Delivery Date, Tenant shall furnish Landlord with satisfactory proof that the insurance herein provided for is in full force and effect. Each party hereby releases the other party from any and all liability for loss, damage or liability, notwithstanding negligent or intentionally tortuous act or omission of the other party, its agents, contractors or employees which is covered under the property insurance required to be carried by such party hereunder (or would have been covered had such party carried such insurance) and each party will obtain from its respective property insurers waivers of subrogation of claims against the other party.</w:t>
      </w:r>
    </w:p>
    <w:p>
      <w:pPr>
        <w:spacing w:after="0" w:line="202" w:lineRule="exact"/>
        <w:rPr>
          <w:sz w:val="20"/>
          <w:szCs w:val="20"/>
          <w:color w:val="auto"/>
        </w:rPr>
      </w:pPr>
    </w:p>
    <w:p>
      <w:pPr>
        <w:ind w:left="460" w:hanging="456"/>
        <w:spacing w:after="0"/>
        <w:tabs>
          <w:tab w:leader="none" w:pos="460" w:val="left"/>
        </w:tabs>
        <w:numPr>
          <w:ilvl w:val="0"/>
          <w:numId w:val="252"/>
        </w:numPr>
        <w:rPr>
          <w:rFonts w:ascii="Arial" w:cs="Arial" w:eastAsia="Arial" w:hAnsi="Arial"/>
          <w:sz w:val="14"/>
          <w:szCs w:val="14"/>
          <w:b w:val="1"/>
          <w:bCs w:val="1"/>
          <w:color w:val="auto"/>
        </w:rPr>
      </w:pPr>
      <w:r>
        <w:rPr>
          <w:rFonts w:ascii="Arial" w:cs="Arial" w:eastAsia="Arial" w:hAnsi="Arial"/>
          <w:sz w:val="14"/>
          <w:szCs w:val="14"/>
          <w:b w:val="1"/>
          <w:bCs w:val="1"/>
          <w:color w:val="auto"/>
        </w:rPr>
        <w:t>INDEMNIFICATION</w:t>
      </w:r>
    </w:p>
    <w:p>
      <w:pPr>
        <w:spacing w:after="0" w:line="70" w:lineRule="exact"/>
        <w:rPr>
          <w:rFonts w:ascii="Arial" w:cs="Arial" w:eastAsia="Arial" w:hAnsi="Arial"/>
          <w:sz w:val="14"/>
          <w:szCs w:val="14"/>
          <w:b w:val="1"/>
          <w:bCs w:val="1"/>
          <w:color w:val="auto"/>
        </w:rPr>
      </w:pPr>
    </w:p>
    <w:p>
      <w:pPr>
        <w:ind w:left="900" w:right="120" w:hanging="447"/>
        <w:spacing w:after="0" w:line="267" w:lineRule="auto"/>
        <w:tabs>
          <w:tab w:leader="none" w:pos="90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Tenant shall indemnify and hold harmless the Landlord from any and all liability, damage, expense, cause of action, or claims arising out of injury to persons on the Premises or due to Tenant’s use of the Premises, except when resulting from the negligence or willful misconduct of Landlord, its agents, employees, or servants.</w:t>
      </w:r>
    </w:p>
    <w:p>
      <w:pPr>
        <w:spacing w:after="0" w:line="38" w:lineRule="exact"/>
        <w:rPr>
          <w:rFonts w:ascii="Arial" w:cs="Arial" w:eastAsia="Arial" w:hAnsi="Arial"/>
          <w:sz w:val="14"/>
          <w:szCs w:val="14"/>
          <w:color w:val="auto"/>
        </w:rPr>
      </w:pPr>
    </w:p>
    <w:p>
      <w:pPr>
        <w:jc w:val="both"/>
        <w:ind w:left="900" w:right="120" w:hanging="447"/>
        <w:spacing w:after="0" w:line="258" w:lineRule="auto"/>
        <w:tabs>
          <w:tab w:leader="none" w:pos="90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Landlord shall indemnify and save harmless Tenant from any and all liability, damage, expense, cause of action or claims arising from (i) injury to person occurring in the Building or upon the Land on which the Building is situated, which arises out of the act, failure to act, or negligence of Landlord, its agents, contractors or employees, or (ii) which arise out of Landlord’s breach of, or default under, this Lease.</w:t>
      </w:r>
    </w:p>
    <w:p>
      <w:pPr>
        <w:spacing w:after="0" w:line="199" w:lineRule="exact"/>
        <w:rPr>
          <w:rFonts w:ascii="Arial" w:cs="Arial" w:eastAsia="Arial" w:hAnsi="Arial"/>
          <w:sz w:val="14"/>
          <w:szCs w:val="14"/>
          <w:color w:val="auto"/>
        </w:rPr>
      </w:pPr>
    </w:p>
    <w:p>
      <w:pPr>
        <w:ind w:left="460" w:hanging="456"/>
        <w:spacing w:after="0"/>
        <w:tabs>
          <w:tab w:leader="none" w:pos="460" w:val="left"/>
        </w:tabs>
        <w:numPr>
          <w:ilvl w:val="0"/>
          <w:numId w:val="252"/>
        </w:numPr>
        <w:rPr>
          <w:rFonts w:ascii="Arial" w:cs="Arial" w:eastAsia="Arial" w:hAnsi="Arial"/>
          <w:sz w:val="14"/>
          <w:szCs w:val="14"/>
          <w:b w:val="1"/>
          <w:bCs w:val="1"/>
          <w:color w:val="auto"/>
        </w:rPr>
      </w:pPr>
      <w:r>
        <w:rPr>
          <w:rFonts w:ascii="Arial" w:cs="Arial" w:eastAsia="Arial" w:hAnsi="Arial"/>
          <w:sz w:val="14"/>
          <w:szCs w:val="14"/>
          <w:b w:val="1"/>
          <w:bCs w:val="1"/>
          <w:color w:val="auto"/>
        </w:rPr>
        <w:t>DAMAGE BY FIRE OR CASUALTY</w:t>
      </w:r>
    </w:p>
    <w:p>
      <w:pPr>
        <w:spacing w:after="0" w:line="70" w:lineRule="exact"/>
        <w:rPr>
          <w:rFonts w:ascii="Arial" w:cs="Arial" w:eastAsia="Arial" w:hAnsi="Arial"/>
          <w:sz w:val="14"/>
          <w:szCs w:val="14"/>
          <w:b w:val="1"/>
          <w:bCs w:val="1"/>
          <w:color w:val="auto"/>
        </w:rPr>
      </w:pPr>
    </w:p>
    <w:p>
      <w:pPr>
        <w:ind w:left="460" w:right="2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If the Premises are damaged by fire or other casualty, but are not thereby rendered untenantable in whole or in part, Landlord, at its own expense, and subject to the limitations set forth in this Lease, shall cause such damage to be repaired and the Minimum Rent and additional rent shall not be abated.</w:t>
      </w:r>
    </w:p>
    <w:p>
      <w:pPr>
        <w:spacing w:after="0" w:line="38" w:lineRule="exact"/>
        <w:rPr>
          <w:rFonts w:ascii="Arial" w:cs="Arial" w:eastAsia="Arial" w:hAnsi="Arial"/>
          <w:sz w:val="14"/>
          <w:szCs w:val="14"/>
          <w:b w:val="1"/>
          <w:bCs w:val="1"/>
          <w:color w:val="auto"/>
        </w:rPr>
      </w:pPr>
    </w:p>
    <w:p>
      <w:pPr>
        <w:ind w:left="460" w:right="1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If, by reason of any damage or destruction, the Premises shall be rendered untenantable in whole or in part and cannot be repaired and made tenantable within one hundred twenty (120) days after such damage, Landlord or Tenant shall have the right, to be exercised by notice in writing delivered to the other within thirty (30) days of the occurrence of such damage or destruction, to terminate this Lease, whereupon the Minimum Rent and additional rent shall be adjusted as of the date of such termination.</w:t>
      </w:r>
    </w:p>
    <w:p>
      <w:pPr>
        <w:spacing w:after="0" w:line="199" w:lineRule="exact"/>
        <w:rPr>
          <w:rFonts w:ascii="Arial" w:cs="Arial" w:eastAsia="Arial" w:hAnsi="Arial"/>
          <w:sz w:val="14"/>
          <w:szCs w:val="14"/>
          <w:b w:val="1"/>
          <w:bCs w:val="1"/>
          <w:color w:val="auto"/>
        </w:rPr>
      </w:pPr>
    </w:p>
    <w:p>
      <w:pPr>
        <w:ind w:left="460" w:hanging="456"/>
        <w:spacing w:after="0"/>
        <w:tabs>
          <w:tab w:leader="none" w:pos="460" w:val="left"/>
        </w:tabs>
        <w:numPr>
          <w:ilvl w:val="0"/>
          <w:numId w:val="252"/>
        </w:numPr>
        <w:rPr>
          <w:rFonts w:ascii="Arial" w:cs="Arial" w:eastAsia="Arial" w:hAnsi="Arial"/>
          <w:sz w:val="14"/>
          <w:szCs w:val="14"/>
          <w:b w:val="1"/>
          <w:bCs w:val="1"/>
          <w:color w:val="auto"/>
        </w:rPr>
      </w:pPr>
      <w:r>
        <w:rPr>
          <w:rFonts w:ascii="Arial" w:cs="Arial" w:eastAsia="Arial" w:hAnsi="Arial"/>
          <w:sz w:val="14"/>
          <w:szCs w:val="14"/>
          <w:b w:val="1"/>
          <w:bCs w:val="1"/>
          <w:color w:val="auto"/>
        </w:rPr>
        <w:t>ASSIGNMENT OR SUBLETTING</w:t>
      </w:r>
    </w:p>
    <w:p>
      <w:pPr>
        <w:spacing w:after="0" w:line="70" w:lineRule="exact"/>
        <w:rPr>
          <w:rFonts w:ascii="Arial" w:cs="Arial" w:eastAsia="Arial" w:hAnsi="Arial"/>
          <w:sz w:val="14"/>
          <w:szCs w:val="14"/>
          <w:b w:val="1"/>
          <w:bCs w:val="1"/>
          <w:color w:val="auto"/>
        </w:rPr>
      </w:pPr>
    </w:p>
    <w:p>
      <w:pPr>
        <w:ind w:left="46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Tenant acknowledges that Landlord has entered into this Lease because of Tenant’s financial strength, goodwill, ability and expertise and that accordingly, this lease is personal to Tenant. Taking this into consideration, Tenant shall not assign, mortgage, sublet, pledge or encumber this Lease, in whole or in part, except with the written consent of the Landlord, which shall not be unreasonably withheld, except that Tenant may assign this Lease or its interest therein or sublease the Premises to Tenant’s parent corporation,</w:t>
      </w:r>
    </w:p>
    <w:p>
      <w:pPr>
        <w:sectPr>
          <w:pgSz w:w="11900" w:h="16838" w:orient="portrait"/>
          <w:cols w:equalWidth="0" w:num="1">
            <w:col w:w="11460"/>
          </w:cols>
          <w:pgMar w:left="220" w:top="246" w:right="21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 of 23</w:t>
      </w:r>
    </w:p>
    <w:p>
      <w:pPr>
        <w:sectPr>
          <w:pgSz w:w="11900" w:h="16838" w:orient="portrait"/>
          <w:cols w:equalWidth="0" w:num="2">
            <w:col w:w="9800" w:space="720"/>
            <w:col w:w="940"/>
          </w:cols>
          <w:pgMar w:left="220" w:top="246" w:right="219" w:bottom="1440" w:gutter="0" w:footer="0" w:header="0"/>
          <w:type w:val="continuous"/>
        </w:sectPr>
      </w:pPr>
    </w:p>
    <w:bookmarkStart w:id="333" w:name="page334"/>
    <w:bookmarkEnd w:id="333"/>
    <w:p>
      <w:pPr>
        <w:ind w:left="460" w:right="18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Tenant’s direct subsidiaries or entities under common control with Tenant or to Tenant’s successor by way of merger, consolidation, sale of assets, joint venture controlled by Tenant, or partnership of which Tenant is the sole general partner without the consent of Landlord. Tenant agrees that, in the event of any such assignment or subletting, Tenant and its assignee or sublessee shall nevertheless remain jointly and severally liable for the performance of all terms, covenants, and conditions of this Lease. Landlord’s failure to deny Tenant’s written request for consent within thirty (30) days after receipt shall be deemed a consent to such request.</w:t>
      </w:r>
    </w:p>
    <w:p>
      <w:pPr>
        <w:spacing w:after="0" w:line="47" w:lineRule="exact"/>
        <w:rPr>
          <w:sz w:val="20"/>
          <w:szCs w:val="20"/>
          <w:color w:val="auto"/>
        </w:rPr>
      </w:pPr>
    </w:p>
    <w:p>
      <w:pPr>
        <w:ind w:left="460" w:right="500"/>
        <w:spacing w:after="0" w:line="267" w:lineRule="auto"/>
        <w:rPr>
          <w:sz w:val="20"/>
          <w:szCs w:val="20"/>
          <w:color w:val="auto"/>
        </w:rPr>
      </w:pPr>
      <w:r>
        <w:rPr>
          <w:rFonts w:ascii="Arial" w:cs="Arial" w:eastAsia="Arial" w:hAnsi="Arial"/>
          <w:sz w:val="14"/>
          <w:szCs w:val="14"/>
          <w:color w:val="auto"/>
        </w:rPr>
        <w:t>In the event the Landlord consents to an assignment of the Lease, any money additional rent or other consideration to be paid to Tenant for the assignment shall be paid to the Landlord as partial consideration for the Landlord’s consent to the assignment.</w:t>
      </w:r>
    </w:p>
    <w:p>
      <w:pPr>
        <w:spacing w:after="0" w:line="39" w:lineRule="exact"/>
        <w:rPr>
          <w:sz w:val="20"/>
          <w:szCs w:val="20"/>
          <w:color w:val="auto"/>
        </w:rPr>
      </w:pPr>
    </w:p>
    <w:p>
      <w:pPr>
        <w:ind w:left="460" w:right="80"/>
        <w:spacing w:after="0" w:line="258" w:lineRule="auto"/>
        <w:rPr>
          <w:sz w:val="20"/>
          <w:szCs w:val="20"/>
          <w:color w:val="auto"/>
        </w:rPr>
      </w:pPr>
      <w:r>
        <w:rPr>
          <w:rFonts w:ascii="Arial" w:cs="Arial" w:eastAsia="Arial" w:hAnsi="Arial"/>
          <w:sz w:val="14"/>
          <w:szCs w:val="14"/>
          <w:color w:val="auto"/>
        </w:rPr>
        <w:t>In the event the Landlord consents to a sublease of the Premises, or any portion thereof, Tenant shall pay to the Landlord fifty percent (50%) of any money, rent or other consideration paid to the Tenant by any subtenant in excess of the pro-rata portion of the rent for such space then being paid by Tenant to Landlord under this Lease, less Tenant’s actual costs of such subletting. All sums payable hereunder by Tenant shall be paid to Landlord as additional rent immediately upon the receipt thereof by Tenant.</w:t>
      </w:r>
    </w:p>
    <w:p>
      <w:pPr>
        <w:spacing w:after="0" w:line="200" w:lineRule="exact"/>
        <w:rPr>
          <w:sz w:val="20"/>
          <w:szCs w:val="20"/>
          <w:color w:val="auto"/>
        </w:rPr>
      </w:pPr>
    </w:p>
    <w:p>
      <w:pPr>
        <w:ind w:left="460" w:hanging="456"/>
        <w:spacing w:after="0"/>
        <w:tabs>
          <w:tab w:leader="none" w:pos="460" w:val="left"/>
        </w:tabs>
        <w:numPr>
          <w:ilvl w:val="0"/>
          <w:numId w:val="253"/>
        </w:numPr>
        <w:rPr>
          <w:rFonts w:ascii="Arial" w:cs="Arial" w:eastAsia="Arial" w:hAnsi="Arial"/>
          <w:sz w:val="14"/>
          <w:szCs w:val="14"/>
          <w:b w:val="1"/>
          <w:bCs w:val="1"/>
          <w:color w:val="auto"/>
        </w:rPr>
      </w:pPr>
      <w:r>
        <w:rPr>
          <w:rFonts w:ascii="Arial" w:cs="Arial" w:eastAsia="Arial" w:hAnsi="Arial"/>
          <w:sz w:val="14"/>
          <w:szCs w:val="14"/>
          <w:b w:val="1"/>
          <w:bCs w:val="1"/>
          <w:color w:val="auto"/>
        </w:rPr>
        <w:t>SUBORDINATION AND ATTORNMENT</w:t>
      </w:r>
    </w:p>
    <w:p>
      <w:pPr>
        <w:spacing w:after="0" w:line="70" w:lineRule="exact"/>
        <w:rPr>
          <w:rFonts w:ascii="Arial" w:cs="Arial" w:eastAsia="Arial" w:hAnsi="Arial"/>
          <w:sz w:val="14"/>
          <w:szCs w:val="14"/>
          <w:b w:val="1"/>
          <w:bCs w:val="1"/>
          <w:color w:val="auto"/>
        </w:rPr>
      </w:pPr>
    </w:p>
    <w:p>
      <w:pPr>
        <w:ind w:left="460" w:right="14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This Lease shall be subject to and subordinate at all times to the lien of any mortgage and/or deeds of trust and all land leases now or hereafter made on any portion of the Premises, and to all advances thereunder, provided the mortgagee or trustee named in said mortgage or deed of trust shall agree to recognize this Lease and agrees, in the event of foreclosure, not to disturb the Tenant’s possession hereunder, provided Tenant is not in default under this Lease. This subordination shall be self-operative and no further instrument of subordination shall be required.</w:t>
      </w:r>
    </w:p>
    <w:p>
      <w:pPr>
        <w:spacing w:after="0" w:line="10" w:lineRule="exact"/>
        <w:rPr>
          <w:rFonts w:ascii="Arial" w:cs="Arial" w:eastAsia="Arial" w:hAnsi="Arial"/>
          <w:sz w:val="14"/>
          <w:szCs w:val="14"/>
          <w:b w:val="1"/>
          <w:bCs w:val="1"/>
          <w:color w:val="auto"/>
        </w:rPr>
      </w:pPr>
    </w:p>
    <w:p>
      <w:pPr>
        <w:jc w:val="both"/>
        <w:ind w:left="460" w:right="4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If any proceedings are commenced to foreclose any mortgage or deed of trust encumbering the Premises, Tenant agrees to attorn to the purchaser at the foreclosure sale, if requested to do so by any such purchaser, and to recognize such purchaser as the Landlord under this Lease, provided such purchaser shall recognize Tenant’s tenancy under this Lease and agree that Tenant’s rights hereunder shall not be disturbed so long as Tenant has not committed any event of default as to which the applicable cure period has expired.</w:t>
      </w:r>
    </w:p>
    <w:p>
      <w:pPr>
        <w:spacing w:after="0" w:line="165" w:lineRule="exact"/>
        <w:rPr>
          <w:rFonts w:ascii="Arial" w:cs="Arial" w:eastAsia="Arial" w:hAnsi="Arial"/>
          <w:sz w:val="14"/>
          <w:szCs w:val="14"/>
          <w:b w:val="1"/>
          <w:bCs w:val="1"/>
          <w:color w:val="auto"/>
        </w:rPr>
      </w:pPr>
    </w:p>
    <w:p>
      <w:pPr>
        <w:ind w:left="460" w:hanging="456"/>
        <w:spacing w:after="0"/>
        <w:tabs>
          <w:tab w:leader="none" w:pos="460" w:val="left"/>
        </w:tabs>
        <w:numPr>
          <w:ilvl w:val="0"/>
          <w:numId w:val="253"/>
        </w:numPr>
        <w:rPr>
          <w:rFonts w:ascii="Arial" w:cs="Arial" w:eastAsia="Arial" w:hAnsi="Arial"/>
          <w:sz w:val="14"/>
          <w:szCs w:val="14"/>
          <w:b w:val="1"/>
          <w:bCs w:val="1"/>
          <w:color w:val="auto"/>
        </w:rPr>
      </w:pPr>
      <w:r>
        <w:rPr>
          <w:rFonts w:ascii="Arial" w:cs="Arial" w:eastAsia="Arial" w:hAnsi="Arial"/>
          <w:sz w:val="14"/>
          <w:szCs w:val="14"/>
          <w:b w:val="1"/>
          <w:bCs w:val="1"/>
          <w:color w:val="auto"/>
        </w:rPr>
        <w:t>CONDEMNATION</w:t>
      </w:r>
    </w:p>
    <w:p>
      <w:pPr>
        <w:spacing w:after="0" w:line="70" w:lineRule="exact"/>
        <w:rPr>
          <w:rFonts w:ascii="Arial" w:cs="Arial" w:eastAsia="Arial" w:hAnsi="Arial"/>
          <w:sz w:val="14"/>
          <w:szCs w:val="14"/>
          <w:b w:val="1"/>
          <w:bCs w:val="1"/>
          <w:color w:val="auto"/>
        </w:rPr>
      </w:pPr>
    </w:p>
    <w:p>
      <w:pPr>
        <w:ind w:left="900" w:hanging="447"/>
        <w:spacing w:after="0" w:line="258" w:lineRule="auto"/>
        <w:tabs>
          <w:tab w:leader="none" w:pos="900" w:val="left"/>
        </w:tabs>
        <w:numPr>
          <w:ilvl w:val="1"/>
          <w:numId w:val="253"/>
        </w:numPr>
        <w:rPr>
          <w:rFonts w:ascii="Arial" w:cs="Arial" w:eastAsia="Arial" w:hAnsi="Arial"/>
          <w:sz w:val="14"/>
          <w:szCs w:val="14"/>
          <w:color w:val="auto"/>
        </w:rPr>
      </w:pPr>
      <w:r>
        <w:rPr>
          <w:rFonts w:ascii="Arial" w:cs="Arial" w:eastAsia="Arial" w:hAnsi="Arial"/>
          <w:sz w:val="14"/>
          <w:szCs w:val="14"/>
          <w:color w:val="auto"/>
        </w:rPr>
        <w:t>If the whole of the Premises shall be taken by any public or quasi-public authority under the power of eminent domain, condemnation or conveyance in lieu thereof, then this Lease shall terminate as of the date on which possession of the Premises is required to be surrendered to the condemning authority and Landlord shall be entitled to the entire amount of any award, including all income, rent, award or any interest whatsoever in or about such sum which may be paid in connection</w:t>
      </w:r>
    </w:p>
    <w:p>
      <w:pPr>
        <w:sectPr>
          <w:pgSz w:w="11900" w:h="16838" w:orient="portrait"/>
          <w:cols w:equalWidth="0" w:num="1">
            <w:col w:w="11460"/>
          </w:cols>
          <w:pgMar w:left="220" w:top="246" w:right="21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 of 23</w:t>
      </w:r>
    </w:p>
    <w:p>
      <w:pPr>
        <w:sectPr>
          <w:pgSz w:w="11900" w:h="16838" w:orient="portrait"/>
          <w:cols w:equalWidth="0" w:num="2">
            <w:col w:w="9800" w:space="720"/>
            <w:col w:w="940"/>
          </w:cols>
          <w:pgMar w:left="220" w:top="246" w:right="219" w:bottom="1440" w:gutter="0" w:footer="0" w:header="0"/>
          <w:type w:val="continuous"/>
        </w:sectPr>
      </w:pPr>
    </w:p>
    <w:bookmarkStart w:id="334" w:name="page335"/>
    <w:bookmarkEnd w:id="334"/>
    <w:p>
      <w:pPr>
        <w:ind w:left="920"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with such governmental action. Tenant shall have no claim against Landlord or the condemning authority for the value of the unexpired term of this Lease. Tenant shall have the right to claim, however, the unamortized cost of any improvements or additions made to the Premises by Tenant at its cost, loss of good will, the value of any Tenant fixtures paid for by Tenant and furnishings and any moving expenses (collectively, “Tenant’s Claim”).</w:t>
      </w:r>
    </w:p>
    <w:p>
      <w:pPr>
        <w:spacing w:after="0" w:line="45" w:lineRule="exact"/>
        <w:rPr>
          <w:sz w:val="20"/>
          <w:szCs w:val="20"/>
          <w:color w:val="auto"/>
        </w:rPr>
      </w:pPr>
    </w:p>
    <w:p>
      <w:pPr>
        <w:ind w:left="900" w:right="60" w:hanging="447"/>
        <w:spacing w:after="0" w:line="321" w:lineRule="auto"/>
        <w:tabs>
          <w:tab w:leader="none" w:pos="90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If a portion of the Premises shall be so taken or conveyed, and if such partial taking or conveyance shall render the Premises unsuitable for the business of the Tenant, then the term of this Lease shall cease and terminate as of the date on which possession of the portion of the Premises is surrendered to the condemning authority, and Tenant shall have no claim against Landlord or the condemning authority for the value of any unexpired term of this Lease but will have the right to make Tenant’s Claim against public or quasi-public authority.</w:t>
      </w:r>
    </w:p>
    <w:p>
      <w:pPr>
        <w:spacing w:after="0" w:line="10" w:lineRule="exact"/>
        <w:rPr>
          <w:rFonts w:ascii="Arial" w:cs="Arial" w:eastAsia="Arial" w:hAnsi="Arial"/>
          <w:sz w:val="12"/>
          <w:szCs w:val="12"/>
          <w:color w:val="auto"/>
        </w:rPr>
      </w:pPr>
    </w:p>
    <w:p>
      <w:pPr>
        <w:ind w:left="920" w:right="380"/>
        <w:spacing w:after="0" w:line="258" w:lineRule="auto"/>
        <w:rPr>
          <w:rFonts w:ascii="Arial" w:cs="Arial" w:eastAsia="Arial" w:hAnsi="Arial"/>
          <w:sz w:val="12"/>
          <w:szCs w:val="12"/>
          <w:color w:val="auto"/>
        </w:rPr>
      </w:pPr>
      <w:r>
        <w:rPr>
          <w:rFonts w:ascii="Arial" w:cs="Arial" w:eastAsia="Arial" w:hAnsi="Arial"/>
          <w:sz w:val="14"/>
          <w:szCs w:val="14"/>
          <w:color w:val="auto"/>
        </w:rPr>
        <w:t>In the event that in Tenant’s reasonable judgment such partial taking or conveyance is not extensive enough to render the Premises untenantable for the business of Tenant, this Lease shall continue in full force and effect, except that the Minimum Rent shall be reduced in the same proportion that the floor area of the Premises so taken or conveyed bears to such floor area immediately prior to such taking or conveyance.</w:t>
      </w:r>
    </w:p>
    <w:p>
      <w:pPr>
        <w:spacing w:after="0" w:line="44" w:lineRule="exact"/>
        <w:rPr>
          <w:rFonts w:ascii="Arial" w:cs="Arial" w:eastAsia="Arial" w:hAnsi="Arial"/>
          <w:sz w:val="12"/>
          <w:szCs w:val="12"/>
          <w:color w:val="auto"/>
        </w:rPr>
      </w:pPr>
    </w:p>
    <w:p>
      <w:pPr>
        <w:ind w:left="920" w:right="160"/>
        <w:spacing w:after="0" w:line="267" w:lineRule="auto"/>
        <w:rPr>
          <w:rFonts w:ascii="Arial" w:cs="Arial" w:eastAsia="Arial" w:hAnsi="Arial"/>
          <w:sz w:val="12"/>
          <w:szCs w:val="12"/>
          <w:color w:val="auto"/>
        </w:rPr>
      </w:pPr>
      <w:r>
        <w:rPr>
          <w:rFonts w:ascii="Arial" w:cs="Arial" w:eastAsia="Arial" w:hAnsi="Arial"/>
          <w:sz w:val="14"/>
          <w:szCs w:val="14"/>
          <w:color w:val="auto"/>
        </w:rPr>
        <w:t>In the event of such partial taking and continuation of Lease, Landlord shall promptly restore the Premises as an architectural unit and as nearly as practical to the condition comparable to that which existed prior to the condemnation.</w:t>
      </w:r>
    </w:p>
    <w:p>
      <w:pPr>
        <w:spacing w:after="0" w:line="193" w:lineRule="exact"/>
        <w:rPr>
          <w:rFonts w:ascii="Arial" w:cs="Arial" w:eastAsia="Arial" w:hAnsi="Arial"/>
          <w:sz w:val="12"/>
          <w:szCs w:val="12"/>
          <w:color w:val="auto"/>
        </w:rPr>
      </w:pPr>
    </w:p>
    <w:p>
      <w:pPr>
        <w:ind w:left="460" w:hanging="456"/>
        <w:spacing w:after="0"/>
        <w:tabs>
          <w:tab w:leader="none" w:pos="460" w:val="left"/>
        </w:tabs>
        <w:numPr>
          <w:ilvl w:val="0"/>
          <w:numId w:val="255"/>
        </w:numPr>
        <w:rPr>
          <w:rFonts w:ascii="Arial" w:cs="Arial" w:eastAsia="Arial" w:hAnsi="Arial"/>
          <w:sz w:val="14"/>
          <w:szCs w:val="14"/>
          <w:b w:val="1"/>
          <w:bCs w:val="1"/>
          <w:color w:val="auto"/>
        </w:rPr>
      </w:pPr>
      <w:r>
        <w:rPr>
          <w:rFonts w:ascii="Arial" w:cs="Arial" w:eastAsia="Arial" w:hAnsi="Arial"/>
          <w:sz w:val="14"/>
          <w:szCs w:val="14"/>
          <w:b w:val="1"/>
          <w:bCs w:val="1"/>
          <w:color w:val="auto"/>
        </w:rPr>
        <w:t>EVENTS OF DEFAULT</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The occurrence of any of the following shall constitute an event of default hereunder:</w:t>
      </w:r>
    </w:p>
    <w:p>
      <w:pPr>
        <w:spacing w:after="0" w:line="68" w:lineRule="exact"/>
        <w:rPr>
          <w:rFonts w:ascii="Arial" w:cs="Arial" w:eastAsia="Arial" w:hAnsi="Arial"/>
          <w:sz w:val="14"/>
          <w:szCs w:val="14"/>
          <w:b w:val="1"/>
          <w:bCs w:val="1"/>
          <w:color w:val="auto"/>
        </w:rPr>
      </w:pPr>
    </w:p>
    <w:p>
      <w:pPr>
        <w:ind w:left="900" w:right="220" w:hanging="447"/>
        <w:spacing w:after="0" w:line="255" w:lineRule="auto"/>
        <w:tabs>
          <w:tab w:leader="none" w:pos="90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Failure of Tenant to pay installment of Minimum Rent or scheduled payments of Operating Expenses within five (5) days of the due date, or failure of Tenant to pay within five (5) days following written notice any other sum herein required to be paid by Tenant. Notwithstanding the foregoing, Landlord shall be required to deliver to Tenant written notice of the failure to pay Minimum Rent and/or such payments of Operating Expenses two (2) times in every twelve (12)-month period, in which event Tenant shall be deemed to be in default only if such failure continues for five (5) business days after receipt of such written notice from Landlord.</w:t>
      </w:r>
    </w:p>
    <w:p>
      <w:pPr>
        <w:spacing w:after="0" w:line="47" w:lineRule="exact"/>
        <w:rPr>
          <w:rFonts w:ascii="Arial" w:cs="Arial" w:eastAsia="Arial" w:hAnsi="Arial"/>
          <w:sz w:val="14"/>
          <w:szCs w:val="14"/>
          <w:color w:val="auto"/>
        </w:rPr>
      </w:pPr>
    </w:p>
    <w:p>
      <w:pPr>
        <w:ind w:left="900" w:right="500" w:hanging="447"/>
        <w:spacing w:after="0" w:line="351" w:lineRule="auto"/>
        <w:tabs>
          <w:tab w:leader="none" w:pos="90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Tenant’s failure to perform any other covenant or condition of this Lease within thirty (30) days following Tenant’s receipt of written notice from Landlord, unless the failure is of such a character as to require more than thirty (30) days to cure in which event Tenant’s failure to proceed diligently to cure such failure shall constitute an event of default.</w:t>
      </w:r>
    </w:p>
    <w:p>
      <w:pPr>
        <w:sectPr>
          <w:pgSz w:w="11900" w:h="16838" w:orient="portrait"/>
          <w:cols w:equalWidth="0" w:num="1">
            <w:col w:w="11460"/>
          </w:cols>
          <w:pgMar w:left="220" w:top="247" w:right="21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 of 23</w:t>
      </w:r>
    </w:p>
    <w:p>
      <w:pPr>
        <w:sectPr>
          <w:pgSz w:w="11900" w:h="16838" w:orient="portrait"/>
          <w:cols w:equalWidth="0" w:num="2">
            <w:col w:w="9800" w:space="720"/>
            <w:col w:w="940"/>
          </w:cols>
          <w:pgMar w:left="220" w:top="247" w:right="219" w:bottom="1440" w:gutter="0" w:footer="0" w:header="0"/>
          <w:type w:val="continuous"/>
        </w:sectPr>
      </w:pPr>
    </w:p>
    <w:bookmarkStart w:id="335" w:name="page336"/>
    <w:bookmarkEnd w:id="335"/>
    <w:p>
      <w:pPr>
        <w:ind w:left="460" w:hanging="456"/>
        <w:spacing w:after="0"/>
        <w:tabs>
          <w:tab w:leader="none" w:pos="460" w:val="left"/>
        </w:tabs>
        <w:numPr>
          <w:ilvl w:val="0"/>
          <w:numId w:val="256"/>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LANDLORD’S REMEDIES</w:t>
      </w:r>
    </w:p>
    <w:p>
      <w:pPr>
        <w:spacing w:after="0" w:line="70" w:lineRule="exact"/>
        <w:rPr>
          <w:rFonts w:ascii="Arial" w:cs="Arial" w:eastAsia="Arial" w:hAnsi="Arial"/>
          <w:sz w:val="14"/>
          <w:szCs w:val="14"/>
          <w:b w:val="1"/>
          <w:bCs w:val="1"/>
          <w:color w:val="auto"/>
        </w:rPr>
      </w:pPr>
    </w:p>
    <w:p>
      <w:pPr>
        <w:ind w:left="460" w:right="4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Upon the occurrence of any event of default, Landlord may, at Landlord’s sole option, exercise any or all of the following remedies, together with any such other remedies as may be available to Landlord at law or in equity.</w:t>
      </w:r>
    </w:p>
    <w:p>
      <w:pPr>
        <w:spacing w:after="0" w:line="38" w:lineRule="exact"/>
        <w:rPr>
          <w:rFonts w:ascii="Arial" w:cs="Arial" w:eastAsia="Arial" w:hAnsi="Arial"/>
          <w:sz w:val="14"/>
          <w:szCs w:val="14"/>
          <w:b w:val="1"/>
          <w:bCs w:val="1"/>
          <w:color w:val="auto"/>
        </w:rPr>
      </w:pPr>
    </w:p>
    <w:p>
      <w:pPr>
        <w:ind w:left="900" w:right="20" w:hanging="447"/>
        <w:spacing w:after="0" w:line="300" w:lineRule="auto"/>
        <w:tabs>
          <w:tab w:leader="none" w:pos="90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Landlord may terminate this Lease by giving Tenant written notice of its election to do so, as of a specified date not less than thirty (30) days after the date of the giving of such notice and this Lease shall then expire on the date so specified, and Landlord shall then be entitled to immediately regain possession of the Premises as if the date had been originally fixed as the expiration date of the term of this Lease. Landlord may then re-enter upon the Premises, with due process of law, and remove all persons therefrom, the statutory notice to quit or any other notice to quit being hereby expressly waived by Tenant. Tenant expressly agrees that the exercise by Landlord of the right of re-entry shall not be a bar to or prejudice in any way other legal remedies available to Landlord. In that event, Landlord shall be entitled to recover from Tenant periodically as and for damages an amount equal to the rent and additional rent reserved in this Lease less any and all amounts received by Landlord from the rental of the Premises to another tenant. Landlord may, in his own name, but as agent for Tenant, re-let the Premises. Any recovery by the Landlord shall be limited to the rent hereunder (plus any costs incurred in re-letting) less any rent actually paid by the new tenant.</w:t>
      </w:r>
    </w:p>
    <w:p>
      <w:pPr>
        <w:spacing w:after="0" w:line="25" w:lineRule="exact"/>
        <w:rPr>
          <w:rFonts w:ascii="Arial" w:cs="Arial" w:eastAsia="Arial" w:hAnsi="Arial"/>
          <w:sz w:val="12"/>
          <w:szCs w:val="12"/>
          <w:color w:val="auto"/>
        </w:rPr>
      </w:pPr>
    </w:p>
    <w:p>
      <w:pPr>
        <w:ind w:left="900" w:right="180" w:hanging="447"/>
        <w:spacing w:after="0" w:line="345" w:lineRule="auto"/>
        <w:tabs>
          <w:tab w:leader="none" w:pos="90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No termination of this Lease or any taking of possession of the Premises shall deprive Landlord of any of its remedies or actions against Tenant for past or future rent, nor shall the bringing of any action for rent or breach of covenant, or the resort to any other remedy herein provided for the recovery of rent, be construed as a waiver of the right to obtain possession of the Premises.</w:t>
      </w:r>
    </w:p>
    <w:p>
      <w:pPr>
        <w:ind w:left="900" w:right="220" w:hanging="447"/>
        <w:spacing w:after="0" w:line="321" w:lineRule="auto"/>
        <w:tabs>
          <w:tab w:leader="none" w:pos="90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In addition to any damages becoming due under this paragraph, Landlord shall be entitled to recover from Tenant and Tenant shall pay to Landlord an amount equal to all expenses, including reasonable attorneys’ fees, if any, incurred by the Landlord in recovering possession of the Premises, and all reasonable costs and charges for the care of said Premises while vacant, which damages shall be due and payable by Tenant to Landlord at such time or times as such expenses are incurred by the Landlord.</w:t>
      </w:r>
    </w:p>
    <w:p>
      <w:pPr>
        <w:spacing w:after="0" w:line="10" w:lineRule="exact"/>
        <w:rPr>
          <w:rFonts w:ascii="Arial" w:cs="Arial" w:eastAsia="Arial" w:hAnsi="Arial"/>
          <w:sz w:val="12"/>
          <w:szCs w:val="12"/>
          <w:color w:val="auto"/>
        </w:rPr>
      </w:pPr>
    </w:p>
    <w:p>
      <w:pPr>
        <w:ind w:left="900" w:right="160" w:hanging="447"/>
        <w:spacing w:after="0" w:line="267" w:lineRule="auto"/>
        <w:tabs>
          <w:tab w:leader="none" w:pos="900" w:val="left"/>
        </w:tabs>
        <w:numPr>
          <w:ilvl w:val="1"/>
          <w:numId w:val="256"/>
        </w:numPr>
        <w:rPr>
          <w:rFonts w:ascii="Arial" w:cs="Arial" w:eastAsia="Arial" w:hAnsi="Arial"/>
          <w:sz w:val="14"/>
          <w:szCs w:val="14"/>
          <w:color w:val="auto"/>
        </w:rPr>
      </w:pPr>
      <w:r>
        <w:rPr>
          <w:rFonts w:ascii="Arial" w:cs="Arial" w:eastAsia="Arial" w:hAnsi="Arial"/>
          <w:sz w:val="14"/>
          <w:szCs w:val="14"/>
          <w:color w:val="auto"/>
        </w:rPr>
        <w:t>In the event of an event of default by Tenant of any of the terms or conditions of this Lease, Landlord shall have the right of injunction and the right to invoke any remedy allowed by law or in equity as if no specific remedies of Landlord were set forth in this Lease.</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If default be made and a compromise and settlement shall be had thereupon, it shall not constitute a future waiver of any covenant herein contained, nor of the Lease itself.</w:t>
      </w:r>
    </w:p>
    <w:p>
      <w:pPr>
        <w:sectPr>
          <w:pgSz w:w="11900" w:h="16838" w:orient="portrait"/>
          <w:cols w:equalWidth="0" w:num="1">
            <w:col w:w="11460"/>
          </w:cols>
          <w:pgMar w:left="220" w:top="245" w:right="21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 of 23</w:t>
      </w:r>
    </w:p>
    <w:p>
      <w:pPr>
        <w:sectPr>
          <w:pgSz w:w="11900" w:h="16838" w:orient="portrait"/>
          <w:cols w:equalWidth="0" w:num="2">
            <w:col w:w="9800" w:space="720"/>
            <w:col w:w="940"/>
          </w:cols>
          <w:pgMar w:left="220" w:top="245" w:right="219" w:bottom="1440" w:gutter="0" w:footer="0" w:header="0"/>
          <w:type w:val="continuous"/>
        </w:sectPr>
      </w:pPr>
    </w:p>
    <w:bookmarkStart w:id="336" w:name="page337"/>
    <w:bookmarkEnd w:id="336"/>
    <w:p>
      <w:pPr>
        <w:spacing w:after="0"/>
        <w:tabs>
          <w:tab w:leader="none" w:pos="4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27A.</w:t>
        <w:tab/>
        <w:t>LANDLORD DEFAULT.</w:t>
      </w:r>
    </w:p>
    <w:p>
      <w:pPr>
        <w:spacing w:after="0" w:line="71" w:lineRule="exact"/>
        <w:rPr>
          <w:sz w:val="20"/>
          <w:szCs w:val="20"/>
          <w:color w:val="auto"/>
        </w:rPr>
      </w:pPr>
    </w:p>
    <w:p>
      <w:pPr>
        <w:ind w:left="460" w:right="120"/>
        <w:spacing w:after="0" w:line="253" w:lineRule="auto"/>
        <w:rPr>
          <w:sz w:val="20"/>
          <w:szCs w:val="20"/>
          <w:color w:val="auto"/>
        </w:rPr>
      </w:pPr>
      <w:r>
        <w:rPr>
          <w:rFonts w:ascii="Arial" w:cs="Arial" w:eastAsia="Arial" w:hAnsi="Arial"/>
          <w:sz w:val="14"/>
          <w:szCs w:val="14"/>
          <w:color w:val="auto"/>
        </w:rPr>
        <w:t>If Landlord defaults in the performance or observance of any of its obligations under this Lease (a “Landlord Default”), Tenant may deliver to Landlord written notice specifying the manner in which Landlord has defaulted (“Default Notice”), and if such Landlord Default has not been cured by Landlord within thirty (30) consecutive days after the delivery of the Default Notice, or such shorter period after delivery of the Default Notice as may be appropriate in the case of an emergency, then Tenant shall have the right (but not the obligation) to perform such obligation on Landlord’s account. In the event Tenant cures any such Landlord Default, the reasonable costs and expenses incurred by Tenant therefor, shall be reimbursed by Landlord within thirty (30) days after receipt of demand and detailed invoice therefor.</w:t>
      </w:r>
    </w:p>
    <w:p>
      <w:pPr>
        <w:spacing w:after="0" w:line="205" w:lineRule="exact"/>
        <w:rPr>
          <w:sz w:val="20"/>
          <w:szCs w:val="20"/>
          <w:color w:val="auto"/>
        </w:rPr>
      </w:pPr>
    </w:p>
    <w:p>
      <w:pPr>
        <w:ind w:left="460" w:hanging="456"/>
        <w:spacing w:after="0"/>
        <w:tabs>
          <w:tab w:leader="none" w:pos="460" w:val="left"/>
        </w:tabs>
        <w:numPr>
          <w:ilvl w:val="0"/>
          <w:numId w:val="257"/>
        </w:numPr>
        <w:rPr>
          <w:rFonts w:ascii="Arial" w:cs="Arial" w:eastAsia="Arial" w:hAnsi="Arial"/>
          <w:sz w:val="14"/>
          <w:szCs w:val="14"/>
          <w:b w:val="1"/>
          <w:bCs w:val="1"/>
          <w:color w:val="auto"/>
        </w:rPr>
      </w:pPr>
      <w:r>
        <w:rPr>
          <w:rFonts w:ascii="Arial" w:cs="Arial" w:eastAsia="Arial" w:hAnsi="Arial"/>
          <w:sz w:val="14"/>
          <w:szCs w:val="14"/>
          <w:b w:val="1"/>
          <w:bCs w:val="1"/>
          <w:color w:val="auto"/>
        </w:rPr>
        <w:t>RIGHTS OF LANDLORD</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Landlord reserves the following rights with respect to the Premises:</w:t>
      </w:r>
    </w:p>
    <w:p>
      <w:pPr>
        <w:spacing w:after="0" w:line="68" w:lineRule="exact"/>
        <w:rPr>
          <w:rFonts w:ascii="Arial" w:cs="Arial" w:eastAsia="Arial" w:hAnsi="Arial"/>
          <w:sz w:val="14"/>
          <w:szCs w:val="14"/>
          <w:b w:val="1"/>
          <w:bCs w:val="1"/>
          <w:color w:val="auto"/>
        </w:rPr>
      </w:pPr>
    </w:p>
    <w:p>
      <w:pPr>
        <w:ind w:left="900" w:right="80" w:hanging="447"/>
        <w:spacing w:after="0" w:line="345" w:lineRule="auto"/>
        <w:tabs>
          <w:tab w:leader="none" w:pos="900" w:val="left"/>
        </w:tabs>
        <w:numPr>
          <w:ilvl w:val="1"/>
          <w:numId w:val="257"/>
        </w:numPr>
        <w:rPr>
          <w:rFonts w:ascii="Arial" w:cs="Arial" w:eastAsia="Arial" w:hAnsi="Arial"/>
          <w:sz w:val="12"/>
          <w:szCs w:val="12"/>
          <w:color w:val="auto"/>
        </w:rPr>
      </w:pPr>
      <w:r>
        <w:rPr>
          <w:rFonts w:ascii="Arial" w:cs="Arial" w:eastAsia="Arial" w:hAnsi="Arial"/>
          <w:sz w:val="12"/>
          <w:szCs w:val="12"/>
          <w:color w:val="auto"/>
        </w:rPr>
        <w:t>During normal business hours, upon 24 hours’ notice, to go upon and inspect the Premises, and at Landlord’s option, to make repairs, alterations and additions to the Premises or the Building of which the Premises are a part, provided there is no interference with Tenant’s occupancy. An Agent of the Tenant may be present for inspection, if requested by Tenant.</w:t>
      </w:r>
    </w:p>
    <w:p>
      <w:pPr>
        <w:ind w:left="900" w:right="20" w:hanging="447"/>
        <w:spacing w:after="0" w:line="258" w:lineRule="auto"/>
        <w:tabs>
          <w:tab w:leader="none" w:pos="900" w:val="left"/>
        </w:tabs>
        <w:numPr>
          <w:ilvl w:val="1"/>
          <w:numId w:val="257"/>
        </w:numPr>
        <w:rPr>
          <w:rFonts w:ascii="Arial" w:cs="Arial" w:eastAsia="Arial" w:hAnsi="Arial"/>
          <w:sz w:val="14"/>
          <w:szCs w:val="14"/>
          <w:color w:val="auto"/>
        </w:rPr>
      </w:pPr>
      <w:r>
        <w:rPr>
          <w:rFonts w:ascii="Arial" w:cs="Arial" w:eastAsia="Arial" w:hAnsi="Arial"/>
          <w:sz w:val="14"/>
          <w:szCs w:val="14"/>
          <w:color w:val="auto"/>
        </w:rPr>
        <w:t>To display, within sixty (60) days prior to the expiration of this Lease or after notice from either party of intention to terminate this Lease, a “For Rent” sign, and all of said signs which shall be placed upon such part of the Premises as Landlord shall determine, except on doors leading into the Premises. Prospective purchasers or tenants authorized by Landlord may inspect the Premises during normal business hours following adequate notice to Tenant.</w:t>
      </w:r>
    </w:p>
    <w:p>
      <w:pPr>
        <w:spacing w:after="0" w:line="44" w:lineRule="exact"/>
        <w:rPr>
          <w:rFonts w:ascii="Arial" w:cs="Arial" w:eastAsia="Arial" w:hAnsi="Arial"/>
          <w:sz w:val="14"/>
          <w:szCs w:val="14"/>
          <w:color w:val="auto"/>
        </w:rPr>
      </w:pPr>
    </w:p>
    <w:p>
      <w:pPr>
        <w:ind w:left="900" w:right="340" w:hanging="447"/>
        <w:spacing w:after="0" w:line="267" w:lineRule="auto"/>
        <w:tabs>
          <w:tab w:leader="none" w:pos="900" w:val="left"/>
        </w:tabs>
        <w:numPr>
          <w:ilvl w:val="1"/>
          <w:numId w:val="257"/>
        </w:numPr>
        <w:rPr>
          <w:rFonts w:ascii="Arial" w:cs="Arial" w:eastAsia="Arial" w:hAnsi="Arial"/>
          <w:sz w:val="14"/>
          <w:szCs w:val="14"/>
          <w:color w:val="auto"/>
        </w:rPr>
      </w:pPr>
      <w:r>
        <w:rPr>
          <w:rFonts w:ascii="Arial" w:cs="Arial" w:eastAsia="Arial" w:hAnsi="Arial"/>
          <w:sz w:val="14"/>
          <w:szCs w:val="14"/>
          <w:color w:val="auto"/>
        </w:rPr>
        <w:t>To install, place upon, or fix to the roof and exterior wall of the Building, equipment, antennae, and any other object or structure of any kind, excluding signage other than Tenant’s signage, providing the same shall not materially impair the structural integrity, dignity or uniformity of the Building or interfere with Tenant’s occupancy.</w:t>
      </w:r>
    </w:p>
    <w:p>
      <w:pPr>
        <w:spacing w:after="0" w:line="193" w:lineRule="exact"/>
        <w:rPr>
          <w:rFonts w:ascii="Arial" w:cs="Arial" w:eastAsia="Arial" w:hAnsi="Arial"/>
          <w:sz w:val="14"/>
          <w:szCs w:val="14"/>
          <w:color w:val="auto"/>
        </w:rPr>
      </w:pPr>
    </w:p>
    <w:p>
      <w:pPr>
        <w:ind w:left="460" w:hanging="456"/>
        <w:spacing w:after="0"/>
        <w:tabs>
          <w:tab w:leader="none" w:pos="460" w:val="left"/>
        </w:tabs>
        <w:numPr>
          <w:ilvl w:val="0"/>
          <w:numId w:val="257"/>
        </w:numPr>
        <w:rPr>
          <w:rFonts w:ascii="Arial" w:cs="Arial" w:eastAsia="Arial" w:hAnsi="Arial"/>
          <w:sz w:val="14"/>
          <w:szCs w:val="14"/>
          <w:b w:val="1"/>
          <w:bCs w:val="1"/>
          <w:color w:val="auto"/>
        </w:rPr>
      </w:pPr>
      <w:r>
        <w:rPr>
          <w:rFonts w:ascii="Arial" w:cs="Arial" w:eastAsia="Arial" w:hAnsi="Arial"/>
          <w:sz w:val="14"/>
          <w:szCs w:val="14"/>
          <w:b w:val="1"/>
          <w:bCs w:val="1"/>
          <w:color w:val="auto"/>
        </w:rPr>
        <w:t>HOLDING OVER</w:t>
      </w:r>
    </w:p>
    <w:p>
      <w:pPr>
        <w:spacing w:after="0" w:line="70" w:lineRule="exact"/>
        <w:rPr>
          <w:rFonts w:ascii="Arial" w:cs="Arial" w:eastAsia="Arial" w:hAnsi="Arial"/>
          <w:sz w:val="14"/>
          <w:szCs w:val="14"/>
          <w:b w:val="1"/>
          <w:bCs w:val="1"/>
          <w:color w:val="auto"/>
        </w:rPr>
      </w:pPr>
    </w:p>
    <w:p>
      <w:pPr>
        <w:ind w:left="460" w:right="100"/>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If Tenant holds possession of the Leased Premises after the Expiration Date or other termination of this Lease, Landlord shall, at its sole option, have the right to treat Tenant as a tenant by the month commencing with the first day after the termination of the Lease at one hundred fifty percent (150%) of the monthly Minimum Rent paid during the last month of the Term, and upon all the other terms of this Lease, including the provisions of this paragraph. Said holdover term shall terminate upon thirty (30) days’ notice from one party to the other. Notwithstanding the foregoing, nothing contained herein shall be construed as a requirement that Landlord consent to the occupancy or possession of the</w:t>
      </w:r>
    </w:p>
    <w:p>
      <w:pPr>
        <w:sectPr>
          <w:pgSz w:w="11900" w:h="16838" w:orient="portrait"/>
          <w:cols w:equalWidth="0" w:num="1">
            <w:col w:w="11460"/>
          </w:cols>
          <w:pgMar w:left="220" w:top="245" w:right="21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 of 23</w:t>
      </w:r>
    </w:p>
    <w:p>
      <w:pPr>
        <w:sectPr>
          <w:pgSz w:w="11900" w:h="16838" w:orient="portrait"/>
          <w:cols w:equalWidth="0" w:num="2">
            <w:col w:w="9800" w:space="720"/>
            <w:col w:w="940"/>
          </w:cols>
          <w:pgMar w:left="220" w:top="245" w:right="219" w:bottom="1440" w:gutter="0" w:footer="0" w:header="0"/>
          <w:type w:val="continuous"/>
        </w:sectPr>
      </w:pPr>
    </w:p>
    <w:bookmarkStart w:id="337" w:name="page338"/>
    <w:bookmarkEnd w:id="337"/>
    <w:p>
      <w:pPr>
        <w:ind w:left="460" w:right="26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Leased Premises by Tenant after the termination of the Lease, and Landlord, upon said termination of this Lease, if Landlord elects to treat Tenant as a trespasser, shall be entitled to the benefit of all public general or public laws relating to the speedy recovery of the possession of land and tenements held over by Tenant, whether now or hereafter in force and effect.</w:t>
      </w:r>
    </w:p>
    <w:p>
      <w:pPr>
        <w:spacing w:after="0" w:line="148" w:lineRule="exact"/>
        <w:rPr>
          <w:sz w:val="20"/>
          <w:szCs w:val="20"/>
          <w:color w:val="auto"/>
        </w:rPr>
      </w:pPr>
    </w:p>
    <w:p>
      <w:pPr>
        <w:ind w:left="460" w:hanging="456"/>
        <w:spacing w:after="0"/>
        <w:tabs>
          <w:tab w:leader="none" w:pos="460" w:val="left"/>
        </w:tabs>
        <w:numPr>
          <w:ilvl w:val="0"/>
          <w:numId w:val="258"/>
        </w:numPr>
        <w:rPr>
          <w:rFonts w:ascii="Arial" w:cs="Arial" w:eastAsia="Arial" w:hAnsi="Arial"/>
          <w:sz w:val="14"/>
          <w:szCs w:val="14"/>
          <w:b w:val="1"/>
          <w:bCs w:val="1"/>
          <w:color w:val="auto"/>
        </w:rPr>
      </w:pPr>
      <w:r>
        <w:rPr>
          <w:rFonts w:ascii="Arial" w:cs="Arial" w:eastAsia="Arial" w:hAnsi="Arial"/>
          <w:sz w:val="14"/>
          <w:szCs w:val="14"/>
          <w:b w:val="1"/>
          <w:bCs w:val="1"/>
          <w:color w:val="auto"/>
        </w:rPr>
        <w:t>WAIVER OF CLAIMS</w:t>
      </w:r>
    </w:p>
    <w:p>
      <w:pPr>
        <w:spacing w:after="0" w:line="70" w:lineRule="exact"/>
        <w:rPr>
          <w:rFonts w:ascii="Arial" w:cs="Arial" w:eastAsia="Arial" w:hAnsi="Arial"/>
          <w:sz w:val="14"/>
          <w:szCs w:val="14"/>
          <w:b w:val="1"/>
          <w:bCs w:val="1"/>
          <w:color w:val="auto"/>
        </w:rPr>
      </w:pPr>
    </w:p>
    <w:p>
      <w:pPr>
        <w:ind w:left="46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Except as may result from their gross negligence, willful misconduct, or illegal conduct, Landlord and Landlord’s agents, employees, and contractors shall not be liable for, and Tenant hereby releases all claims for, damages to persons or property sustained by Tenant (or any person claiming through Tenant) resulting from any fire, accident, occurrence or condition in or upon the Premises or Building, including but not limited to such claims for damage resulting from (1) any defect in or failure of plumbing, heating or air-conditioning equipment, electric wiring or installation thereof, water pipes, stairs, railings or walks; (2) any equipment or apparatus becoming out of repair; (3) the bursting, leaking or running of any tank, washstand, water closet, waste pipe, drain or any other pipe or tank, upon or about such building or premises; (4) the backing up of any sewer pipe or downspout; (5) the escape of steam or hot water; (6) water, snow or ice being upon or coming through the roof or any other place upon or near the Building or Premises or otherwise; (7) the falling of any fixtures, plaster or stucco; (8) broken glass; and (9) any act or omission of occupants of property or buildings adjoining or contiguous to the Building.</w:t>
      </w:r>
    </w:p>
    <w:p>
      <w:pPr>
        <w:spacing w:after="0" w:line="345" w:lineRule="exact"/>
        <w:rPr>
          <w:rFonts w:ascii="Arial" w:cs="Arial" w:eastAsia="Arial" w:hAnsi="Arial"/>
          <w:sz w:val="14"/>
          <w:szCs w:val="14"/>
          <w:b w:val="1"/>
          <w:bCs w:val="1"/>
          <w:color w:val="auto"/>
        </w:rPr>
      </w:pPr>
    </w:p>
    <w:p>
      <w:pPr>
        <w:ind w:left="460" w:hanging="456"/>
        <w:spacing w:after="0"/>
        <w:tabs>
          <w:tab w:leader="none" w:pos="460" w:val="left"/>
        </w:tabs>
        <w:numPr>
          <w:ilvl w:val="0"/>
          <w:numId w:val="258"/>
        </w:numPr>
        <w:rPr>
          <w:rFonts w:ascii="Arial" w:cs="Arial" w:eastAsia="Arial" w:hAnsi="Arial"/>
          <w:sz w:val="14"/>
          <w:szCs w:val="14"/>
          <w:b w:val="1"/>
          <w:bCs w:val="1"/>
          <w:color w:val="auto"/>
        </w:rPr>
      </w:pPr>
      <w:r>
        <w:rPr>
          <w:rFonts w:ascii="Arial" w:cs="Arial" w:eastAsia="Arial" w:hAnsi="Arial"/>
          <w:sz w:val="14"/>
          <w:szCs w:val="14"/>
          <w:b w:val="1"/>
          <w:bCs w:val="1"/>
          <w:color w:val="auto"/>
        </w:rPr>
        <w:t>NOTICE</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All notices required under this Lease shall be given in writing and shall be deemed to be properly serviced if sent by certified or registered United States Mail, postage prepaid, as follows:</w:t>
      </w:r>
    </w:p>
    <w:p>
      <w:pPr>
        <w:spacing w:after="0" w:line="92" w:lineRule="exact"/>
        <w:rPr>
          <w:sz w:val="20"/>
          <w:szCs w:val="20"/>
          <w:color w:val="auto"/>
        </w:rPr>
      </w:pPr>
    </w:p>
    <w:tbl>
      <w:tblPr>
        <w:tblLayout w:type="fixed"/>
        <w:tblInd w:w="3220" w:type="dxa"/>
        <w:tblCellMar>
          <w:top w:w="0" w:type="dxa"/>
          <w:left w:w="0" w:type="dxa"/>
          <w:bottom w:w="0" w:type="dxa"/>
          <w:right w:w="0" w:type="dxa"/>
        </w:tblCellMar>
      </w:tblPr>
      <w:tr>
        <w:trPr>
          <w:trHeight w:val="167"/>
        </w:trPr>
        <w:tc>
          <w:tcPr>
            <w:tcW w:w="1940" w:type="dxa"/>
            <w:vAlign w:val="bottom"/>
          </w:tcPr>
          <w:p>
            <w:pPr>
              <w:spacing w:after="0"/>
              <w:rPr>
                <w:sz w:val="20"/>
                <w:szCs w:val="20"/>
                <w:color w:val="auto"/>
              </w:rPr>
            </w:pPr>
            <w:r>
              <w:rPr>
                <w:rFonts w:ascii="Arial" w:cs="Arial" w:eastAsia="Arial" w:hAnsi="Arial"/>
                <w:sz w:val="14"/>
                <w:szCs w:val="14"/>
                <w:color w:val="auto"/>
              </w:rPr>
              <w:t>If to the Landlord:</w:t>
            </w: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rPr>
              <w:t>RED GATE III LLC</w:t>
            </w:r>
          </w:p>
        </w:tc>
      </w:tr>
      <w:tr>
        <w:trPr>
          <w:trHeight w:val="167"/>
        </w:trPr>
        <w:tc>
          <w:tcPr>
            <w:tcW w:w="1940" w:type="dxa"/>
            <w:vAlign w:val="bottom"/>
          </w:tcPr>
          <w:p>
            <w:pPr>
              <w:spacing w:after="0"/>
              <w:rPr>
                <w:sz w:val="14"/>
                <w:szCs w:val="14"/>
                <w:color w:val="auto"/>
              </w:rPr>
            </w:pP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w w:val="91"/>
              </w:rPr>
              <w:t>15215 Shady Grove Road</w:t>
            </w:r>
          </w:p>
        </w:tc>
      </w:tr>
      <w:tr>
        <w:trPr>
          <w:trHeight w:val="167"/>
        </w:trPr>
        <w:tc>
          <w:tcPr>
            <w:tcW w:w="1940" w:type="dxa"/>
            <w:vAlign w:val="bottom"/>
          </w:tcPr>
          <w:p>
            <w:pPr>
              <w:spacing w:after="0"/>
              <w:rPr>
                <w:sz w:val="14"/>
                <w:szCs w:val="14"/>
                <w:color w:val="auto"/>
              </w:rPr>
            </w:pP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rPr>
              <w:t>Suite 201</w:t>
            </w:r>
          </w:p>
        </w:tc>
      </w:tr>
      <w:tr>
        <w:trPr>
          <w:trHeight w:val="173"/>
        </w:trPr>
        <w:tc>
          <w:tcPr>
            <w:tcW w:w="1940" w:type="dxa"/>
            <w:vAlign w:val="bottom"/>
          </w:tcPr>
          <w:p>
            <w:pPr>
              <w:spacing w:after="0"/>
              <w:rPr>
                <w:sz w:val="15"/>
                <w:szCs w:val="15"/>
                <w:color w:val="auto"/>
              </w:rPr>
            </w:pP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w w:val="90"/>
              </w:rPr>
              <w:t>Rockville, Maryland 20850</w:t>
            </w:r>
          </w:p>
        </w:tc>
      </w:tr>
      <w:tr>
        <w:trPr>
          <w:trHeight w:val="255"/>
        </w:trPr>
        <w:tc>
          <w:tcPr>
            <w:tcW w:w="1940" w:type="dxa"/>
            <w:vAlign w:val="bottom"/>
          </w:tcPr>
          <w:p>
            <w:pPr>
              <w:spacing w:after="0"/>
              <w:rPr>
                <w:sz w:val="20"/>
                <w:szCs w:val="20"/>
                <w:color w:val="auto"/>
              </w:rPr>
            </w:pPr>
            <w:r>
              <w:rPr>
                <w:rFonts w:ascii="Arial" w:cs="Arial" w:eastAsia="Arial" w:hAnsi="Arial"/>
                <w:sz w:val="14"/>
                <w:szCs w:val="14"/>
                <w:color w:val="auto"/>
              </w:rPr>
              <w:t>If to the Tenant:</w:t>
            </w: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rPr>
              <w:t>MACROGENICS, INC.</w:t>
            </w:r>
          </w:p>
        </w:tc>
      </w:tr>
      <w:tr>
        <w:trPr>
          <w:trHeight w:val="167"/>
        </w:trPr>
        <w:tc>
          <w:tcPr>
            <w:tcW w:w="1940" w:type="dxa"/>
            <w:vAlign w:val="bottom"/>
          </w:tcPr>
          <w:p>
            <w:pPr>
              <w:spacing w:after="0"/>
              <w:rPr>
                <w:sz w:val="14"/>
                <w:szCs w:val="14"/>
                <w:color w:val="auto"/>
              </w:rPr>
            </w:pP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w w:val="89"/>
              </w:rPr>
              <w:t>9640 Medical Center Drive</w:t>
            </w:r>
          </w:p>
        </w:tc>
      </w:tr>
      <w:tr>
        <w:trPr>
          <w:trHeight w:val="143"/>
        </w:trPr>
        <w:tc>
          <w:tcPr>
            <w:tcW w:w="1940" w:type="dxa"/>
            <w:vAlign w:val="bottom"/>
          </w:tcPr>
          <w:p>
            <w:pPr>
              <w:spacing w:after="0"/>
              <w:rPr>
                <w:sz w:val="12"/>
                <w:szCs w:val="12"/>
                <w:color w:val="auto"/>
              </w:rPr>
            </w:pPr>
          </w:p>
        </w:tc>
        <w:tc>
          <w:tcPr>
            <w:tcW w:w="1240" w:type="dxa"/>
            <w:vAlign w:val="bottom"/>
          </w:tcPr>
          <w:p>
            <w:pPr>
              <w:ind w:left="940"/>
              <w:spacing w:after="0" w:line="143" w:lineRule="exact"/>
              <w:rPr>
                <w:sz w:val="20"/>
                <w:szCs w:val="20"/>
                <w:color w:val="auto"/>
              </w:rPr>
            </w:pPr>
            <w:r>
              <w:rPr>
                <w:rFonts w:ascii="Arial" w:cs="Arial" w:eastAsia="Arial" w:hAnsi="Arial"/>
                <w:sz w:val="14"/>
                <w:szCs w:val="14"/>
                <w:color w:val="auto"/>
                <w:w w:val="87"/>
              </w:rPr>
              <w:t>Suite</w:t>
            </w:r>
          </w:p>
        </w:tc>
        <w:tc>
          <w:tcPr>
            <w:tcW w:w="28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r>
      <w:tr>
        <w:trPr>
          <w:trHeight w:val="177"/>
        </w:trPr>
        <w:tc>
          <w:tcPr>
            <w:tcW w:w="1940" w:type="dxa"/>
            <w:vAlign w:val="bottom"/>
          </w:tcPr>
          <w:p>
            <w:pPr>
              <w:spacing w:after="0"/>
              <w:rPr>
                <w:sz w:val="15"/>
                <w:szCs w:val="15"/>
                <w:color w:val="auto"/>
              </w:rPr>
            </w:pPr>
          </w:p>
        </w:tc>
        <w:tc>
          <w:tcPr>
            <w:tcW w:w="2440" w:type="dxa"/>
            <w:vAlign w:val="bottom"/>
            <w:gridSpan w:val="3"/>
          </w:tcPr>
          <w:p>
            <w:pPr>
              <w:ind w:left="940"/>
              <w:spacing w:after="0"/>
              <w:rPr>
                <w:sz w:val="20"/>
                <w:szCs w:val="20"/>
                <w:color w:val="auto"/>
              </w:rPr>
            </w:pPr>
            <w:r>
              <w:rPr>
                <w:rFonts w:ascii="Arial" w:cs="Arial" w:eastAsia="Arial" w:hAnsi="Arial"/>
                <w:sz w:val="14"/>
                <w:szCs w:val="14"/>
                <w:color w:val="auto"/>
                <w:w w:val="90"/>
              </w:rPr>
              <w:t>Rockville, Maryland 20850</w:t>
            </w:r>
          </w:p>
        </w:tc>
      </w:tr>
    </w:tbl>
    <w:p>
      <w:pPr>
        <w:spacing w:after="0" w:line="67" w:lineRule="exact"/>
        <w:rPr>
          <w:sz w:val="20"/>
          <w:szCs w:val="20"/>
          <w:color w:val="auto"/>
        </w:rPr>
      </w:pPr>
    </w:p>
    <w:p>
      <w:pPr>
        <w:ind w:left="460"/>
        <w:spacing w:after="0" w:line="267" w:lineRule="auto"/>
        <w:rPr>
          <w:sz w:val="20"/>
          <w:szCs w:val="20"/>
          <w:color w:val="auto"/>
        </w:rPr>
      </w:pPr>
      <w:r>
        <w:rPr>
          <w:rFonts w:ascii="Arial" w:cs="Arial" w:eastAsia="Arial" w:hAnsi="Arial"/>
          <w:sz w:val="14"/>
          <w:szCs w:val="14"/>
          <w:color w:val="auto"/>
        </w:rPr>
        <w:t>or to such other address as either may have designated from time to time by written notice to the other. The date of service of such notices shall be the date such notices are deposited in any United States Post Office.</w:t>
      </w:r>
    </w:p>
    <w:p>
      <w:pPr>
        <w:sectPr>
          <w:pgSz w:w="11900" w:h="16838" w:orient="portrait"/>
          <w:cols w:equalWidth="0" w:num="1">
            <w:col w:w="11460"/>
          </w:cols>
          <w:pgMar w:left="220" w:top="247" w:right="21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 of 23</w:t>
      </w:r>
    </w:p>
    <w:p>
      <w:pPr>
        <w:sectPr>
          <w:pgSz w:w="11900" w:h="16838" w:orient="portrait"/>
          <w:cols w:equalWidth="0" w:num="2">
            <w:col w:w="9800" w:space="720"/>
            <w:col w:w="940"/>
          </w:cols>
          <w:pgMar w:left="220" w:top="247" w:right="219" w:bottom="1440" w:gutter="0" w:footer="0" w:header="0"/>
          <w:type w:val="continuous"/>
        </w:sectPr>
      </w:pPr>
    </w:p>
    <w:bookmarkStart w:id="338" w:name="page339"/>
    <w:bookmarkEnd w:id="338"/>
    <w:p>
      <w:pPr>
        <w:ind w:left="460" w:right="9340" w:hanging="456"/>
        <w:spacing w:after="0" w:line="401" w:lineRule="auto"/>
        <w:tabs>
          <w:tab w:leader="none" w:pos="451" w:val="left"/>
        </w:tabs>
        <w:numPr>
          <w:ilvl w:val="0"/>
          <w:numId w:val="25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COVENANTS OF TENANT </w:t>
      </w:r>
      <w:r>
        <w:rPr>
          <w:rFonts w:ascii="Arial" w:cs="Arial" w:eastAsia="Arial" w:hAnsi="Arial"/>
          <w:sz w:val="12"/>
          <w:szCs w:val="12"/>
          <w:color w:val="auto"/>
        </w:rPr>
        <w:t>Tenant covenants and agrees:</w:t>
      </w:r>
    </w:p>
    <w:p>
      <w:pPr>
        <w:ind w:left="900" w:hanging="447"/>
        <w:spacing w:after="0"/>
        <w:tabs>
          <w:tab w:leader="none" w:pos="900" w:val="left"/>
        </w:tabs>
        <w:numPr>
          <w:ilvl w:val="1"/>
          <w:numId w:val="259"/>
        </w:numPr>
        <w:rPr>
          <w:rFonts w:ascii="Arial" w:cs="Arial" w:eastAsia="Arial" w:hAnsi="Arial"/>
          <w:sz w:val="14"/>
          <w:szCs w:val="14"/>
          <w:color w:val="auto"/>
        </w:rPr>
      </w:pPr>
      <w:r>
        <w:rPr>
          <w:rFonts w:ascii="Arial" w:cs="Arial" w:eastAsia="Arial" w:hAnsi="Arial"/>
          <w:sz w:val="14"/>
          <w:szCs w:val="14"/>
          <w:color w:val="auto"/>
        </w:rPr>
        <w:t>To give to Landlord prompt written notice of any accident, fire, or damage occurring on or to the Premises.</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1"/>
          <w:numId w:val="259"/>
        </w:numPr>
        <w:rPr>
          <w:rFonts w:ascii="Arial" w:cs="Arial" w:eastAsia="Arial" w:hAnsi="Arial"/>
          <w:sz w:val="14"/>
          <w:szCs w:val="14"/>
          <w:color w:val="auto"/>
        </w:rPr>
      </w:pPr>
      <w:r>
        <w:rPr>
          <w:rFonts w:ascii="Arial" w:cs="Arial" w:eastAsia="Arial" w:hAnsi="Arial"/>
          <w:sz w:val="14"/>
          <w:szCs w:val="14"/>
          <w:color w:val="auto"/>
        </w:rPr>
        <w:t>To keep the thermostats in the Premises set at a temperature sufficient to prevent freezing of water pipes, fixtures and HVAC units.</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1"/>
          <w:numId w:val="259"/>
        </w:numPr>
        <w:rPr>
          <w:rFonts w:ascii="Arial" w:cs="Arial" w:eastAsia="Arial" w:hAnsi="Arial"/>
          <w:sz w:val="14"/>
          <w:szCs w:val="14"/>
          <w:color w:val="auto"/>
        </w:rPr>
      </w:pPr>
      <w:r>
        <w:rPr>
          <w:rFonts w:ascii="Arial" w:cs="Arial" w:eastAsia="Arial" w:hAnsi="Arial"/>
          <w:sz w:val="14"/>
          <w:szCs w:val="14"/>
          <w:color w:val="auto"/>
        </w:rPr>
        <w:t>To keep the Premises clean, orderly, sanitary, and free from all objectionable odors and from insects, vermin and other pests.</w:t>
      </w:r>
    </w:p>
    <w:p>
      <w:pPr>
        <w:spacing w:after="0" w:line="68" w:lineRule="exact"/>
        <w:rPr>
          <w:rFonts w:ascii="Arial" w:cs="Arial" w:eastAsia="Arial" w:hAnsi="Arial"/>
          <w:sz w:val="14"/>
          <w:szCs w:val="14"/>
          <w:color w:val="auto"/>
        </w:rPr>
      </w:pPr>
    </w:p>
    <w:p>
      <w:pPr>
        <w:ind w:left="900" w:right="320" w:hanging="447"/>
        <w:spacing w:after="0" w:line="345" w:lineRule="auto"/>
        <w:tabs>
          <w:tab w:leader="none" w:pos="900" w:val="left"/>
        </w:tabs>
        <w:numPr>
          <w:ilvl w:val="1"/>
          <w:numId w:val="259"/>
        </w:numPr>
        <w:rPr>
          <w:rFonts w:ascii="Arial" w:cs="Arial" w:eastAsia="Arial" w:hAnsi="Arial"/>
          <w:sz w:val="12"/>
          <w:szCs w:val="12"/>
          <w:color w:val="auto"/>
        </w:rPr>
      </w:pPr>
      <w:r>
        <w:rPr>
          <w:rFonts w:ascii="Arial" w:cs="Arial" w:eastAsia="Arial" w:hAnsi="Arial"/>
          <w:sz w:val="12"/>
          <w:szCs w:val="12"/>
          <w:color w:val="auto"/>
        </w:rPr>
        <w:t>To comply with the requirements of the State, Federal and County statutes, ordinances, and regulations applicable to Tenant and its use of the Premises, and to save Landlord harmless from penalties, fines, costs, and expenses resulting from failure to do so, provided Tenant shall not be obligated to make structural repairs or alterations to so comply.</w:t>
      </w:r>
    </w:p>
    <w:p>
      <w:pPr>
        <w:jc w:val="both"/>
        <w:ind w:left="900" w:right="460" w:hanging="447"/>
        <w:spacing w:after="0" w:line="258" w:lineRule="auto"/>
        <w:tabs>
          <w:tab w:leader="none" w:pos="900" w:val="left"/>
        </w:tabs>
        <w:numPr>
          <w:ilvl w:val="1"/>
          <w:numId w:val="259"/>
        </w:numPr>
        <w:rPr>
          <w:rFonts w:ascii="Arial" w:cs="Arial" w:eastAsia="Arial" w:hAnsi="Arial"/>
          <w:sz w:val="14"/>
          <w:szCs w:val="14"/>
          <w:color w:val="auto"/>
        </w:rPr>
      </w:pPr>
      <w:r>
        <w:rPr>
          <w:rFonts w:ascii="Arial" w:cs="Arial" w:eastAsia="Arial" w:hAnsi="Arial"/>
          <w:sz w:val="14"/>
          <w:szCs w:val="14"/>
          <w:color w:val="auto"/>
        </w:rPr>
        <w:t>Tenant shall promptly pay all contractors, suppliers of material and persons it engages to perform work and provide materials for construction work on the Premises so as to minimize the possibility of a lien attaching to the Premises. Should any such lien be made or filed, Tenant shall cause the same to be discharged and released of record by bond or otherwise within ten (10) days of receipt of written request from Landlord.</w:t>
      </w:r>
    </w:p>
    <w:p>
      <w:pPr>
        <w:spacing w:after="0" w:line="44" w:lineRule="exact"/>
        <w:rPr>
          <w:rFonts w:ascii="Arial" w:cs="Arial" w:eastAsia="Arial" w:hAnsi="Arial"/>
          <w:sz w:val="14"/>
          <w:szCs w:val="14"/>
          <w:color w:val="auto"/>
        </w:rPr>
      </w:pPr>
    </w:p>
    <w:p>
      <w:pPr>
        <w:ind w:left="900" w:hanging="447"/>
        <w:spacing w:after="0"/>
        <w:tabs>
          <w:tab w:leader="none" w:pos="900" w:val="left"/>
        </w:tabs>
        <w:numPr>
          <w:ilvl w:val="1"/>
          <w:numId w:val="259"/>
        </w:numPr>
        <w:rPr>
          <w:rFonts w:ascii="Arial" w:cs="Arial" w:eastAsia="Arial" w:hAnsi="Arial"/>
          <w:sz w:val="14"/>
          <w:szCs w:val="14"/>
          <w:color w:val="auto"/>
        </w:rPr>
      </w:pPr>
      <w:r>
        <w:rPr>
          <w:rFonts w:ascii="Arial" w:cs="Arial" w:eastAsia="Arial" w:hAnsi="Arial"/>
          <w:sz w:val="14"/>
          <w:szCs w:val="14"/>
          <w:color w:val="auto"/>
        </w:rPr>
        <w:t>Tenant is responsible for the security of the Premises.</w:t>
      </w:r>
    </w:p>
    <w:p>
      <w:pPr>
        <w:spacing w:after="0" w:line="223" w:lineRule="exact"/>
        <w:rPr>
          <w:rFonts w:ascii="Arial" w:cs="Arial" w:eastAsia="Arial" w:hAnsi="Arial"/>
          <w:sz w:val="14"/>
          <w:szCs w:val="14"/>
          <w:color w:val="auto"/>
        </w:rPr>
      </w:pPr>
    </w:p>
    <w:p>
      <w:pPr>
        <w:ind w:left="460" w:hanging="456"/>
        <w:spacing w:after="0"/>
        <w:tabs>
          <w:tab w:leader="none" w:pos="460" w:val="left"/>
        </w:tabs>
        <w:numPr>
          <w:ilvl w:val="0"/>
          <w:numId w:val="259"/>
        </w:numPr>
        <w:rPr>
          <w:rFonts w:ascii="Arial" w:cs="Arial" w:eastAsia="Arial" w:hAnsi="Arial"/>
          <w:sz w:val="14"/>
          <w:szCs w:val="14"/>
          <w:b w:val="1"/>
          <w:bCs w:val="1"/>
          <w:color w:val="auto"/>
        </w:rPr>
      </w:pPr>
      <w:r>
        <w:rPr>
          <w:rFonts w:ascii="Arial" w:cs="Arial" w:eastAsia="Arial" w:hAnsi="Arial"/>
          <w:sz w:val="14"/>
          <w:szCs w:val="14"/>
          <w:b w:val="1"/>
          <w:bCs w:val="1"/>
          <w:color w:val="auto"/>
        </w:rPr>
        <w:t>LANDLORD’S RIGHT TO ALTER SITE PLAN</w:t>
      </w:r>
    </w:p>
    <w:p>
      <w:pPr>
        <w:spacing w:after="0" w:line="70" w:lineRule="exact"/>
        <w:rPr>
          <w:rFonts w:ascii="Arial" w:cs="Arial" w:eastAsia="Arial" w:hAnsi="Arial"/>
          <w:sz w:val="14"/>
          <w:szCs w:val="14"/>
          <w:b w:val="1"/>
          <w:bCs w:val="1"/>
          <w:color w:val="auto"/>
        </w:rPr>
      </w:pPr>
    </w:p>
    <w:p>
      <w:pPr>
        <w:ind w:left="460" w:right="460"/>
        <w:spacing w:after="0" w:line="351" w:lineRule="auto"/>
        <w:rPr>
          <w:rFonts w:ascii="Arial" w:cs="Arial" w:eastAsia="Arial" w:hAnsi="Arial"/>
          <w:sz w:val="14"/>
          <w:szCs w:val="14"/>
          <w:b w:val="1"/>
          <w:bCs w:val="1"/>
          <w:color w:val="auto"/>
        </w:rPr>
      </w:pPr>
      <w:r>
        <w:rPr>
          <w:rFonts w:ascii="Arial" w:cs="Arial" w:eastAsia="Arial" w:hAnsi="Arial"/>
          <w:sz w:val="12"/>
          <w:szCs w:val="12"/>
          <w:color w:val="auto"/>
        </w:rPr>
        <w:t>Landlord shall, from time to time, have the right to alter or modify the site plan of the Building and to rearrange the driveways and parking areas, as well as the entrance and exits to the Premises provided such alteration, modification or rearrangement does not adversely affect Tenant’s parking, the distance from Tenant’s parking area to the Building or Tenant’s access to the Premises.</w:t>
      </w:r>
    </w:p>
    <w:p>
      <w:pPr>
        <w:spacing w:after="0" w:line="148" w:lineRule="exact"/>
        <w:rPr>
          <w:rFonts w:ascii="Arial" w:cs="Arial" w:eastAsia="Arial" w:hAnsi="Arial"/>
          <w:sz w:val="14"/>
          <w:szCs w:val="14"/>
          <w:b w:val="1"/>
          <w:bCs w:val="1"/>
          <w:color w:val="auto"/>
        </w:rPr>
      </w:pPr>
    </w:p>
    <w:p>
      <w:pPr>
        <w:ind w:left="460" w:hanging="456"/>
        <w:spacing w:after="0"/>
        <w:tabs>
          <w:tab w:leader="none" w:pos="460" w:val="left"/>
        </w:tabs>
        <w:numPr>
          <w:ilvl w:val="0"/>
          <w:numId w:val="259"/>
        </w:numPr>
        <w:rPr>
          <w:rFonts w:ascii="Arial" w:cs="Arial" w:eastAsia="Arial" w:hAnsi="Arial"/>
          <w:sz w:val="14"/>
          <w:szCs w:val="14"/>
          <w:b w:val="1"/>
          <w:bCs w:val="1"/>
          <w:color w:val="auto"/>
        </w:rPr>
      </w:pPr>
      <w:r>
        <w:rPr>
          <w:rFonts w:ascii="Arial" w:cs="Arial" w:eastAsia="Arial" w:hAnsi="Arial"/>
          <w:sz w:val="14"/>
          <w:szCs w:val="14"/>
          <w:b w:val="1"/>
          <w:bCs w:val="1"/>
          <w:color w:val="auto"/>
        </w:rPr>
        <w:t>PARKING SPACES</w:t>
      </w:r>
    </w:p>
    <w:p>
      <w:pPr>
        <w:spacing w:after="0" w:line="70" w:lineRule="exact"/>
        <w:rPr>
          <w:rFonts w:ascii="Arial" w:cs="Arial" w:eastAsia="Arial" w:hAnsi="Arial"/>
          <w:sz w:val="14"/>
          <w:szCs w:val="14"/>
          <w:b w:val="1"/>
          <w:bCs w:val="1"/>
          <w:color w:val="auto"/>
        </w:rPr>
      </w:pPr>
    </w:p>
    <w:p>
      <w:pPr>
        <w:ind w:left="460" w:right="2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agrees to furnish 2.5 unreserved parking spaces per thousand square feet of space occupied by the Tenant. There shall be no charge to Tenant for parking space use during the Term and any renewals of the Term.</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59"/>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This Lease contains the entire agreement of the parties. There are no oral agreements existing between them.</w:t>
      </w:r>
    </w:p>
    <w:p>
      <w:pPr>
        <w:sectPr>
          <w:pgSz w:w="11900" w:h="16838" w:orient="portrait"/>
          <w:cols w:equalWidth="0" w:num="1">
            <w:col w:w="11460"/>
          </w:cols>
          <w:pgMar w:left="220" w:top="245" w:right="2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 of 23</w:t>
      </w:r>
    </w:p>
    <w:p>
      <w:pPr>
        <w:sectPr>
          <w:pgSz w:w="11900" w:h="16838" w:orient="portrait"/>
          <w:cols w:equalWidth="0" w:num="2">
            <w:col w:w="9800" w:space="720"/>
            <w:col w:w="940"/>
          </w:cols>
          <w:pgMar w:left="220" w:top="245" w:right="219" w:bottom="1440" w:gutter="0" w:footer="0" w:header="0"/>
          <w:type w:val="continuous"/>
        </w:sectPr>
      </w:pPr>
    </w:p>
    <w:bookmarkStart w:id="339" w:name="page340"/>
    <w:bookmarkEnd w:id="339"/>
    <w:p>
      <w:pPr>
        <w:ind w:left="460" w:hanging="456"/>
        <w:spacing w:after="0"/>
        <w:tabs>
          <w:tab w:leader="none" w:pos="460"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SUCCESSORS AND ASSIGNS</w:t>
      </w:r>
    </w:p>
    <w:p>
      <w:pPr>
        <w:spacing w:after="0" w:line="70" w:lineRule="exact"/>
        <w:rPr>
          <w:rFonts w:ascii="Arial" w:cs="Arial" w:eastAsia="Arial" w:hAnsi="Arial"/>
          <w:sz w:val="14"/>
          <w:szCs w:val="14"/>
          <w:b w:val="1"/>
          <w:bCs w:val="1"/>
          <w:color w:val="auto"/>
        </w:rPr>
      </w:pPr>
    </w:p>
    <w:p>
      <w:pPr>
        <w:ind w:left="460" w:right="1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This Lease, and the covenants and conditions herein contained shall inure to the benefit of and be binding upon the Landlord, its successors and assigns, and shall inure to the benefit of and be binding upon the Tenant, its successors and assigns, if permitted.</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t>BANKRUPTCY</w:t>
      </w:r>
    </w:p>
    <w:p>
      <w:pPr>
        <w:spacing w:after="0" w:line="70" w:lineRule="exact"/>
        <w:rPr>
          <w:rFonts w:ascii="Arial" w:cs="Arial" w:eastAsia="Arial" w:hAnsi="Arial"/>
          <w:sz w:val="14"/>
          <w:szCs w:val="14"/>
          <w:b w:val="1"/>
          <w:bCs w:val="1"/>
          <w:color w:val="auto"/>
        </w:rPr>
      </w:pPr>
    </w:p>
    <w:p>
      <w:pPr>
        <w:ind w:left="460" w:right="26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If Tenant shall make an assignment of its assets for the benefit of creditors, or if Tenant shall file a voluntary petition in bankruptcy, or if any involuntary petition in bankruptcy or for receivership be instituted against the Tenant and the same be not dismissed within sixty (60) days of the filing thereof, or if Tenant shall be adjudged bankrupt, then and in any of said events, this Lease shall immediately cease and terminate at the option of the Landlord with the same force and effect as though the date of said event was the date herein fixed for expiration of the term of this Lease.</w:t>
      </w:r>
    </w:p>
    <w:p>
      <w:pPr>
        <w:spacing w:after="0" w:line="165" w:lineRule="exact"/>
        <w:rPr>
          <w:rFonts w:ascii="Arial" w:cs="Arial" w:eastAsia="Arial" w:hAnsi="Arial"/>
          <w:sz w:val="14"/>
          <w:szCs w:val="14"/>
          <w:b w:val="1"/>
          <w:bCs w:val="1"/>
          <w:color w:val="auto"/>
        </w:rPr>
      </w:pPr>
    </w:p>
    <w:p>
      <w:pPr>
        <w:ind w:left="460" w:hanging="456"/>
        <w:spacing w:after="0"/>
        <w:tabs>
          <w:tab w:leader="none" w:pos="460"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t>NON-DELIVERY</w:t>
      </w:r>
    </w:p>
    <w:p>
      <w:pPr>
        <w:spacing w:after="0" w:line="70" w:lineRule="exact"/>
        <w:rPr>
          <w:rFonts w:ascii="Arial" w:cs="Arial" w:eastAsia="Arial" w:hAnsi="Arial"/>
          <w:sz w:val="14"/>
          <w:szCs w:val="14"/>
          <w:b w:val="1"/>
          <w:bCs w:val="1"/>
          <w:color w:val="auto"/>
        </w:rPr>
      </w:pPr>
    </w:p>
    <w:p>
      <w:pPr>
        <w:ind w:left="460" w:right="8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In the event the Landlord shall be unable to give possession of the Premises because construction of the Premises is not complete or for any other cause reasonably beyond the control of the Landlord, the Landlord shall not be liable to Tenant for any damage resulting from failure to give possession; provided, however, if due to delay caused exclusively by Landlord the Commencement Date does not occur on or before February 29, 2012, Tenant shall have the right to terminate this Lease by delivery of written notice to Landlord on or before March 6, 2012.</w:t>
      </w:r>
    </w:p>
    <w:p>
      <w:pPr>
        <w:spacing w:after="0" w:line="165" w:lineRule="exact"/>
        <w:rPr>
          <w:rFonts w:ascii="Arial" w:cs="Arial" w:eastAsia="Arial" w:hAnsi="Arial"/>
          <w:sz w:val="14"/>
          <w:szCs w:val="14"/>
          <w:b w:val="1"/>
          <w:bCs w:val="1"/>
          <w:color w:val="auto"/>
        </w:rPr>
      </w:pPr>
    </w:p>
    <w:p>
      <w:pPr>
        <w:ind w:left="460" w:hanging="456"/>
        <w:spacing w:after="0"/>
        <w:tabs>
          <w:tab w:leader="none" w:pos="460"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t>PARTIAL INVALIDITY</w:t>
      </w:r>
    </w:p>
    <w:p>
      <w:pPr>
        <w:spacing w:after="0" w:line="70" w:lineRule="exact"/>
        <w:rPr>
          <w:rFonts w:ascii="Arial" w:cs="Arial" w:eastAsia="Arial" w:hAnsi="Arial"/>
          <w:sz w:val="14"/>
          <w:szCs w:val="14"/>
          <w:b w:val="1"/>
          <w:bCs w:val="1"/>
          <w:color w:val="auto"/>
        </w:rPr>
      </w:pPr>
    </w:p>
    <w:p>
      <w:pPr>
        <w:ind w:left="460" w:right="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If any term, covenant, or condition of this Lease or the application thereof to any person or circumstance shall be held to be invalid and unenforceable, the remainder of this Lease, and the application of such terms, covenants, or conditions shall be valid and enforceable to the fullest extent permitted by law.</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t>FORCE MAJEURE</w:t>
      </w:r>
    </w:p>
    <w:p>
      <w:pPr>
        <w:spacing w:after="0" w:line="70" w:lineRule="exact"/>
        <w:rPr>
          <w:rFonts w:ascii="Arial" w:cs="Arial" w:eastAsia="Arial" w:hAnsi="Arial"/>
          <w:sz w:val="14"/>
          <w:szCs w:val="14"/>
          <w:b w:val="1"/>
          <w:bCs w:val="1"/>
          <w:color w:val="auto"/>
        </w:rPr>
      </w:pPr>
    </w:p>
    <w:p>
      <w:pPr>
        <w:ind w:left="460" w:right="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With the exception of those provisions contained herein regarding the payment of rent, the inability of either party to perform any of the terms, covenants or conditions of this Lease shall not be deemed a default if the same shall be due to any cause beyond the control of that party.</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t>ESTOPPEL CERTIFICATE</w:t>
      </w:r>
    </w:p>
    <w:p>
      <w:pPr>
        <w:spacing w:after="0" w:line="70" w:lineRule="exact"/>
        <w:rPr>
          <w:rFonts w:ascii="Arial" w:cs="Arial" w:eastAsia="Arial" w:hAnsi="Arial"/>
          <w:sz w:val="14"/>
          <w:szCs w:val="14"/>
          <w:b w:val="1"/>
          <w:bCs w:val="1"/>
          <w:color w:val="auto"/>
        </w:rPr>
      </w:pPr>
    </w:p>
    <w:p>
      <w:pPr>
        <w:ind w:left="460" w:right="5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The Tenant shall from time to time, within ten (10) business days after being requested to do so by the Landlord or any Mortgagee, execute, acknowledge and deliver to the Landlord (or, at the Landlord’s request, to any existing or prospective purchaser, transferee, assignee or Mortgagee of any or all of the Premises) an instrument in</w:t>
      </w:r>
    </w:p>
    <w:p>
      <w:pPr>
        <w:sectPr>
          <w:pgSz w:w="11900" w:h="16838" w:orient="portrait"/>
          <w:cols w:equalWidth="0" w:num="1">
            <w:col w:w="11460"/>
          </w:cols>
          <w:pgMar w:left="220" w:top="245" w:right="21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 of 23</w:t>
      </w:r>
    </w:p>
    <w:p>
      <w:pPr>
        <w:sectPr>
          <w:pgSz w:w="11900" w:h="16838" w:orient="portrait"/>
          <w:cols w:equalWidth="0" w:num="2">
            <w:col w:w="9800" w:space="720"/>
            <w:col w:w="940"/>
          </w:cols>
          <w:pgMar w:left="220" w:top="245" w:right="219" w:bottom="1440" w:gutter="0" w:footer="0" w:header="0"/>
          <w:type w:val="continuous"/>
        </w:sectPr>
      </w:pPr>
    </w:p>
    <w:bookmarkStart w:id="340" w:name="page341"/>
    <w:bookmarkEnd w:id="340"/>
    <w:p>
      <w:pPr>
        <w:ind w:left="460" w:right="60"/>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recordable form, certifying (a) that this Lease is unmodified and in full force and effect (or, if there has been any modification thereof, that it is in full force and effect as so modified, stating therein the nature of such modification); (b) as to the dates to which the Minimum Rent and other charges arising hereunder have been paid; (c) as to the amount of any prepaid Rent or any credit due to the Tenant hereunder; (d) that the Tenant has accepted possession of the Premises, and the date on which the Term commenced; (e) as to whether, to the best knowledge, information and belief of the signer of such certificate, the Landlord or the Tenant is then in default in performing any of its obligations hereunder (and, if so, specifying the nature of each such default); and (f) as to any other fact or condition reasonably requested by the Landlord or such other addressee.</w:t>
      </w:r>
    </w:p>
    <w:p>
      <w:pPr>
        <w:spacing w:after="0" w:line="176" w:lineRule="exact"/>
        <w:rPr>
          <w:sz w:val="20"/>
          <w:szCs w:val="20"/>
          <w:color w:val="auto"/>
        </w:rPr>
      </w:pPr>
    </w:p>
    <w:p>
      <w:pPr>
        <w:ind w:left="460" w:hanging="456"/>
        <w:spacing w:after="0"/>
        <w:tabs>
          <w:tab w:leader="none" w:pos="460" w:val="left"/>
        </w:tabs>
        <w:numPr>
          <w:ilvl w:val="0"/>
          <w:numId w:val="261"/>
        </w:numPr>
        <w:rPr>
          <w:rFonts w:ascii="Arial" w:cs="Arial" w:eastAsia="Arial" w:hAnsi="Arial"/>
          <w:sz w:val="14"/>
          <w:szCs w:val="14"/>
          <w:b w:val="1"/>
          <w:bCs w:val="1"/>
          <w:color w:val="auto"/>
        </w:rPr>
      </w:pPr>
      <w:r>
        <w:rPr>
          <w:rFonts w:ascii="Arial" w:cs="Arial" w:eastAsia="Arial" w:hAnsi="Arial"/>
          <w:sz w:val="14"/>
          <w:szCs w:val="14"/>
          <w:b w:val="1"/>
          <w:bCs w:val="1"/>
          <w:color w:val="auto"/>
        </w:rPr>
        <w:t>EXPANSION</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Tenant shall have the first right to expand into the remaining space in the building during its term. The Minimum Rent rate would be at the then current escalated rental rate.</w:t>
      </w:r>
    </w:p>
    <w:p>
      <w:pPr>
        <w:spacing w:after="0" w:line="223" w:lineRule="exact"/>
        <w:rPr>
          <w:rFonts w:ascii="Arial" w:cs="Arial" w:eastAsia="Arial" w:hAnsi="Arial"/>
          <w:sz w:val="14"/>
          <w:szCs w:val="14"/>
          <w:b w:val="1"/>
          <w:bCs w:val="1"/>
          <w:color w:val="auto"/>
        </w:rPr>
      </w:pPr>
    </w:p>
    <w:p>
      <w:pPr>
        <w:ind w:left="460" w:hanging="456"/>
        <w:spacing w:after="0"/>
        <w:tabs>
          <w:tab w:leader="none" w:pos="460" w:val="left"/>
        </w:tabs>
        <w:numPr>
          <w:ilvl w:val="0"/>
          <w:numId w:val="261"/>
        </w:numPr>
        <w:rPr>
          <w:rFonts w:ascii="Arial" w:cs="Arial" w:eastAsia="Arial" w:hAnsi="Arial"/>
          <w:sz w:val="14"/>
          <w:szCs w:val="14"/>
          <w:b w:val="1"/>
          <w:bCs w:val="1"/>
          <w:color w:val="auto"/>
        </w:rPr>
      </w:pPr>
      <w:r>
        <w:rPr>
          <w:rFonts w:ascii="Arial" w:cs="Arial" w:eastAsia="Arial" w:hAnsi="Arial"/>
          <w:sz w:val="14"/>
          <w:szCs w:val="14"/>
          <w:b w:val="1"/>
          <w:bCs w:val="1"/>
          <w:color w:val="auto"/>
        </w:rPr>
        <w:t>SIGNAGE</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Tenant shall have the exclusive right to put its name on the building’s facade at Tenant’s expense. Such signage shall comply with any covenants applicable and mutually agreeable between the parties.</w:t>
      </w:r>
    </w:p>
    <w:p>
      <w:pPr>
        <w:spacing w:after="0" w:line="246" w:lineRule="exact"/>
        <w:rPr>
          <w:rFonts w:ascii="Arial" w:cs="Arial" w:eastAsia="Arial" w:hAnsi="Arial"/>
          <w:sz w:val="14"/>
          <w:szCs w:val="14"/>
          <w:b w:val="1"/>
          <w:bCs w:val="1"/>
          <w:color w:val="auto"/>
        </w:rPr>
      </w:pPr>
    </w:p>
    <w:p>
      <w:pPr>
        <w:ind w:left="460" w:hanging="456"/>
        <w:spacing w:after="0"/>
        <w:tabs>
          <w:tab w:leader="none" w:pos="460" w:val="left"/>
        </w:tabs>
        <w:numPr>
          <w:ilvl w:val="0"/>
          <w:numId w:val="261"/>
        </w:numPr>
        <w:rPr>
          <w:rFonts w:ascii="Arial" w:cs="Arial" w:eastAsia="Arial" w:hAnsi="Arial"/>
          <w:sz w:val="14"/>
          <w:szCs w:val="14"/>
          <w:b w:val="1"/>
          <w:bCs w:val="1"/>
          <w:color w:val="auto"/>
        </w:rPr>
      </w:pPr>
      <w:r>
        <w:rPr>
          <w:rFonts w:ascii="Arial" w:cs="Arial" w:eastAsia="Arial" w:hAnsi="Arial"/>
          <w:sz w:val="14"/>
          <w:szCs w:val="14"/>
          <w:b w:val="1"/>
          <w:bCs w:val="1"/>
          <w:color w:val="auto"/>
        </w:rPr>
        <w:t>SERVICES TO BE PROVIDED BY LANDLORD.</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During Tenant’s occupancy of the Premises, Landlord shall furnish the following services, subject to any limitations contained elsewhere in this lease:</w:t>
      </w:r>
    </w:p>
    <w:p>
      <w:pPr>
        <w:spacing w:after="0" w:line="68" w:lineRule="exact"/>
        <w:rPr>
          <w:rFonts w:ascii="Arial" w:cs="Arial" w:eastAsia="Arial" w:hAnsi="Arial"/>
          <w:sz w:val="14"/>
          <w:szCs w:val="14"/>
          <w:b w:val="1"/>
          <w:bCs w:val="1"/>
          <w:color w:val="auto"/>
        </w:rPr>
      </w:pPr>
    </w:p>
    <w:p>
      <w:pPr>
        <w:jc w:val="both"/>
        <w:ind w:left="900" w:right="260" w:hanging="447"/>
        <w:spacing w:after="0" w:line="258" w:lineRule="auto"/>
        <w:tabs>
          <w:tab w:leader="none" w:pos="900" w:val="left"/>
        </w:tabs>
        <w:numPr>
          <w:ilvl w:val="1"/>
          <w:numId w:val="261"/>
        </w:numPr>
        <w:rPr>
          <w:rFonts w:ascii="Arial" w:cs="Arial" w:eastAsia="Arial" w:hAnsi="Arial"/>
          <w:sz w:val="14"/>
          <w:szCs w:val="14"/>
          <w:color w:val="auto"/>
        </w:rPr>
      </w:pPr>
      <w:r>
        <w:rPr>
          <w:rFonts w:ascii="Arial" w:cs="Arial" w:eastAsia="Arial" w:hAnsi="Arial"/>
          <w:sz w:val="14"/>
          <w:szCs w:val="14"/>
          <w:color w:val="auto"/>
        </w:rPr>
        <w:t>Air conditioning, both heating and cooling (as required by the seasons) at such temperatures and in such amounts as are comparable to those provided in other similar buildings in Rockville, Maryland, subject, however, to Tenant’s obligation to pay for or toward certain repairs to the Building’s HVAC system as provided in Section 13 above (understood that current ductwork for each zone will accommodate a maximum of two and a half tons of additional capacity).</w:t>
      </w:r>
    </w:p>
    <w:p>
      <w:pPr>
        <w:spacing w:after="0" w:line="44" w:lineRule="exact"/>
        <w:rPr>
          <w:rFonts w:ascii="Arial" w:cs="Arial" w:eastAsia="Arial" w:hAnsi="Arial"/>
          <w:sz w:val="14"/>
          <w:szCs w:val="14"/>
          <w:color w:val="auto"/>
        </w:rPr>
      </w:pPr>
    </w:p>
    <w:p>
      <w:pPr>
        <w:ind w:left="900" w:right="80" w:hanging="447"/>
        <w:spacing w:after="0" w:line="267" w:lineRule="auto"/>
        <w:tabs>
          <w:tab w:leader="none" w:pos="900" w:val="left"/>
        </w:tabs>
        <w:numPr>
          <w:ilvl w:val="1"/>
          <w:numId w:val="261"/>
        </w:numPr>
        <w:rPr>
          <w:rFonts w:ascii="Arial" w:cs="Arial" w:eastAsia="Arial" w:hAnsi="Arial"/>
          <w:sz w:val="14"/>
          <w:szCs w:val="14"/>
          <w:color w:val="auto"/>
        </w:rPr>
      </w:pPr>
      <w:r>
        <w:rPr>
          <w:rFonts w:ascii="Arial" w:cs="Arial" w:eastAsia="Arial" w:hAnsi="Arial"/>
          <w:sz w:val="14"/>
          <w:szCs w:val="14"/>
          <w:color w:val="auto"/>
        </w:rPr>
        <w:t>Hot and cold water at those points of supply provided for general use of other tenants in the Building through fixtures installed by Landlord, provided, however, that Tenant shall be obligated to maintain and repair at Tenant’s sole cost the water boiler involved.</w:t>
      </w:r>
    </w:p>
    <w:p>
      <w:pPr>
        <w:spacing w:after="0" w:line="38" w:lineRule="exact"/>
        <w:rPr>
          <w:rFonts w:ascii="Arial" w:cs="Arial" w:eastAsia="Arial" w:hAnsi="Arial"/>
          <w:sz w:val="14"/>
          <w:szCs w:val="14"/>
          <w:color w:val="auto"/>
        </w:rPr>
      </w:pPr>
    </w:p>
    <w:p>
      <w:pPr>
        <w:ind w:left="900" w:right="240" w:hanging="447"/>
        <w:spacing w:after="0" w:line="267" w:lineRule="auto"/>
        <w:tabs>
          <w:tab w:leader="none" w:pos="900" w:val="left"/>
        </w:tabs>
        <w:numPr>
          <w:ilvl w:val="1"/>
          <w:numId w:val="261"/>
        </w:numPr>
        <w:rPr>
          <w:rFonts w:ascii="Arial" w:cs="Arial" w:eastAsia="Arial" w:hAnsi="Arial"/>
          <w:sz w:val="14"/>
          <w:szCs w:val="14"/>
          <w:color w:val="auto"/>
        </w:rPr>
      </w:pPr>
      <w:r>
        <w:rPr>
          <w:rFonts w:ascii="Arial" w:cs="Arial" w:eastAsia="Arial" w:hAnsi="Arial"/>
          <w:sz w:val="14"/>
          <w:szCs w:val="14"/>
          <w:color w:val="auto"/>
        </w:rPr>
        <w:t>Routine maintenance and electric lighting service for all common areas and service areas of the Building in the manner and to the extent which is comparable to that provided in other similar buildings in Rockville, Maryland.</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1"/>
          <w:numId w:val="261"/>
        </w:numPr>
        <w:rPr>
          <w:rFonts w:ascii="Arial" w:cs="Arial" w:eastAsia="Arial" w:hAnsi="Arial"/>
          <w:sz w:val="14"/>
          <w:szCs w:val="14"/>
          <w:color w:val="auto"/>
        </w:rPr>
      </w:pPr>
      <w:r>
        <w:rPr>
          <w:rFonts w:ascii="Arial" w:cs="Arial" w:eastAsia="Arial" w:hAnsi="Arial"/>
          <w:sz w:val="14"/>
          <w:szCs w:val="14"/>
          <w:color w:val="auto"/>
        </w:rPr>
        <w:t>Electrical facilities to furnish to the Premises electricity at the same capacity as that furnished as of June 1, 2011.</w:t>
      </w:r>
    </w:p>
    <w:p>
      <w:pPr>
        <w:sectPr>
          <w:pgSz w:w="11900" w:h="16838" w:orient="portrait"/>
          <w:cols w:equalWidth="0" w:num="1">
            <w:col w:w="11460"/>
          </w:cols>
          <w:pgMar w:left="220" w:top="247" w:right="2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 of 23</w:t>
      </w:r>
    </w:p>
    <w:p>
      <w:pPr>
        <w:sectPr>
          <w:pgSz w:w="11900" w:h="16838" w:orient="portrait"/>
          <w:cols w:equalWidth="0" w:num="2">
            <w:col w:w="9800" w:space="720"/>
            <w:col w:w="940"/>
          </w:cols>
          <w:pgMar w:left="220" w:top="247" w:right="219" w:bottom="1440" w:gutter="0" w:footer="0" w:header="0"/>
          <w:type w:val="continuous"/>
        </w:sectPr>
      </w:pPr>
    </w:p>
    <w:bookmarkStart w:id="341" w:name="page342"/>
    <w:bookmarkEnd w:id="341"/>
    <w:p>
      <w:pPr>
        <w:ind w:left="900" w:right="240" w:hanging="447"/>
        <w:spacing w:after="0" w:line="267" w:lineRule="auto"/>
        <w:tabs>
          <w:tab w:leader="none" w:pos="900" w:val="left"/>
        </w:tabs>
        <w:numPr>
          <w:ilvl w:val="1"/>
          <w:numId w:val="26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Replacement of all Building standard fluorescent bulbs in all common areas of the Building and all incandescent bulb replacement in all common areas, stairwells, and other common service areas.</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1"/>
          <w:numId w:val="262"/>
        </w:numPr>
        <w:rPr>
          <w:rFonts w:ascii="Arial" w:cs="Arial" w:eastAsia="Arial" w:hAnsi="Arial"/>
          <w:sz w:val="14"/>
          <w:szCs w:val="14"/>
          <w:color w:val="auto"/>
        </w:rPr>
      </w:pPr>
      <w:r>
        <w:rPr>
          <w:rFonts w:ascii="Arial" w:cs="Arial" w:eastAsia="Arial" w:hAnsi="Arial"/>
          <w:sz w:val="14"/>
          <w:szCs w:val="14"/>
          <w:color w:val="auto"/>
        </w:rPr>
        <w:t>Passenger elevator(s) for ingress to and egress from the Premises.</w:t>
      </w:r>
    </w:p>
    <w:p>
      <w:pPr>
        <w:spacing w:after="0" w:line="223" w:lineRule="exact"/>
        <w:rPr>
          <w:rFonts w:ascii="Arial" w:cs="Arial" w:eastAsia="Arial" w:hAnsi="Arial"/>
          <w:sz w:val="14"/>
          <w:szCs w:val="14"/>
          <w:color w:val="auto"/>
        </w:rPr>
      </w:pPr>
    </w:p>
    <w:p>
      <w:pPr>
        <w:ind w:left="460" w:hanging="456"/>
        <w:spacing w:after="0"/>
        <w:tabs>
          <w:tab w:leader="none" w:pos="460" w:val="left"/>
        </w:tabs>
        <w:numPr>
          <w:ilvl w:val="0"/>
          <w:numId w:val="263"/>
        </w:numPr>
        <w:rPr>
          <w:rFonts w:ascii="Arial" w:cs="Arial" w:eastAsia="Arial" w:hAnsi="Arial"/>
          <w:sz w:val="14"/>
          <w:szCs w:val="14"/>
          <w:b w:val="1"/>
          <w:bCs w:val="1"/>
          <w:color w:val="auto"/>
        </w:rPr>
      </w:pPr>
      <w:r>
        <w:rPr>
          <w:rFonts w:ascii="Arial" w:cs="Arial" w:eastAsia="Arial" w:hAnsi="Arial"/>
          <w:sz w:val="14"/>
          <w:szCs w:val="14"/>
          <w:b w:val="1"/>
          <w:bCs w:val="1"/>
          <w:color w:val="auto"/>
        </w:rPr>
        <w:t>LENDER APPROVAL.</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Landlord’s execution and delivery of this Lease shall be conclusive evidence of approval by any financial institution possessing the right to approve leases for space in the Building.</w:t>
      </w:r>
    </w:p>
    <w:p>
      <w:pPr>
        <w:spacing w:after="0" w:line="246" w:lineRule="exact"/>
        <w:rPr>
          <w:rFonts w:ascii="Arial" w:cs="Arial" w:eastAsia="Arial" w:hAnsi="Arial"/>
          <w:sz w:val="14"/>
          <w:szCs w:val="14"/>
          <w:b w:val="1"/>
          <w:bCs w:val="1"/>
          <w:color w:val="auto"/>
        </w:rPr>
      </w:pPr>
    </w:p>
    <w:p>
      <w:pPr>
        <w:ind w:left="460" w:hanging="456"/>
        <w:spacing w:after="0"/>
        <w:tabs>
          <w:tab w:leader="none" w:pos="460" w:val="left"/>
        </w:tabs>
        <w:numPr>
          <w:ilvl w:val="0"/>
          <w:numId w:val="263"/>
        </w:numPr>
        <w:rPr>
          <w:rFonts w:ascii="Arial" w:cs="Arial" w:eastAsia="Arial" w:hAnsi="Arial"/>
          <w:sz w:val="14"/>
          <w:szCs w:val="14"/>
          <w:b w:val="1"/>
          <w:bCs w:val="1"/>
          <w:color w:val="auto"/>
        </w:rPr>
      </w:pPr>
      <w:r>
        <w:rPr>
          <w:rFonts w:ascii="Arial" w:cs="Arial" w:eastAsia="Arial" w:hAnsi="Arial"/>
          <w:sz w:val="14"/>
          <w:szCs w:val="14"/>
          <w:b w:val="1"/>
          <w:bCs w:val="1"/>
          <w:color w:val="auto"/>
        </w:rPr>
        <w:t>DECONTAMINATION OF PREMISES.</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Landlord, at its sole cost, shall obtain and provide to Tenant a report evidencing the decontamination of the Premises prior to the Early Delivery Date.</w:t>
      </w:r>
    </w:p>
    <w:p>
      <w:pPr>
        <w:spacing w:after="0" w:line="223" w:lineRule="exact"/>
        <w:rPr>
          <w:rFonts w:ascii="Arial" w:cs="Arial" w:eastAsia="Arial" w:hAnsi="Arial"/>
          <w:sz w:val="14"/>
          <w:szCs w:val="14"/>
          <w:b w:val="1"/>
          <w:bCs w:val="1"/>
          <w:color w:val="auto"/>
        </w:rPr>
      </w:pPr>
    </w:p>
    <w:p>
      <w:pPr>
        <w:ind w:left="460" w:hanging="456"/>
        <w:spacing w:after="0"/>
        <w:tabs>
          <w:tab w:leader="none" w:pos="460" w:val="left"/>
        </w:tabs>
        <w:numPr>
          <w:ilvl w:val="0"/>
          <w:numId w:val="263"/>
        </w:numPr>
        <w:rPr>
          <w:rFonts w:ascii="Arial" w:cs="Arial" w:eastAsia="Arial" w:hAnsi="Arial"/>
          <w:sz w:val="14"/>
          <w:szCs w:val="14"/>
          <w:b w:val="1"/>
          <w:bCs w:val="1"/>
          <w:color w:val="auto"/>
        </w:rPr>
      </w:pPr>
      <w:r>
        <w:rPr>
          <w:rFonts w:ascii="Arial" w:cs="Arial" w:eastAsia="Arial" w:hAnsi="Arial"/>
          <w:sz w:val="14"/>
          <w:szCs w:val="14"/>
          <w:b w:val="1"/>
          <w:bCs w:val="1"/>
          <w:color w:val="auto"/>
        </w:rPr>
        <w:t>USE OF FURNITURE LEFT IN THE PREMISES.</w:t>
      </w:r>
    </w:p>
    <w:p>
      <w:pPr>
        <w:spacing w:after="0" w:line="70" w:lineRule="exact"/>
        <w:rPr>
          <w:rFonts w:ascii="Arial" w:cs="Arial" w:eastAsia="Arial" w:hAnsi="Arial"/>
          <w:sz w:val="14"/>
          <w:szCs w:val="14"/>
          <w:b w:val="1"/>
          <w:bCs w:val="1"/>
          <w:color w:val="auto"/>
        </w:rPr>
      </w:pPr>
    </w:p>
    <w:p>
      <w:pPr>
        <w:ind w:left="460" w:right="32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agrees that Tenant may use throughout the term and any extension thereof, without charge by Landlord, any office furniture abandoned by the current tenant of the Premises and left in the Premises.</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63"/>
        </w:numPr>
        <w:rPr>
          <w:rFonts w:ascii="Arial" w:cs="Arial" w:eastAsia="Arial" w:hAnsi="Arial"/>
          <w:sz w:val="14"/>
          <w:szCs w:val="14"/>
          <w:b w:val="1"/>
          <w:bCs w:val="1"/>
          <w:color w:val="auto"/>
        </w:rPr>
      </w:pPr>
      <w:r>
        <w:rPr>
          <w:rFonts w:ascii="Arial" w:cs="Arial" w:eastAsia="Arial" w:hAnsi="Arial"/>
          <w:sz w:val="14"/>
          <w:szCs w:val="14"/>
          <w:b w:val="1"/>
          <w:bCs w:val="1"/>
          <w:color w:val="auto"/>
        </w:rPr>
        <w:t>BROKER PARTICIPATION.</w:t>
      </w:r>
    </w:p>
    <w:p>
      <w:pPr>
        <w:spacing w:after="0" w:line="70" w:lineRule="exact"/>
        <w:rPr>
          <w:rFonts w:ascii="Arial" w:cs="Arial" w:eastAsia="Arial" w:hAnsi="Arial"/>
          <w:sz w:val="14"/>
          <w:szCs w:val="14"/>
          <w:b w:val="1"/>
          <w:bCs w:val="1"/>
          <w:color w:val="auto"/>
        </w:rPr>
      </w:pPr>
    </w:p>
    <w:p>
      <w:pPr>
        <w:ind w:left="460" w:right="1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and Tenant agree, understand and recognize that there is are no brokers other than CB Richard Ellis, Inc. and Woodmark Commercial Real Estate (“Brokers”) participating in this transaction and that Landlord will compensate Brokers under terms of a separate agreement.</w:t>
      </w:r>
    </w:p>
    <w:p>
      <w:pPr>
        <w:sectPr>
          <w:pgSz w:w="11900" w:h="16838" w:orient="portrait"/>
          <w:cols w:equalWidth="0" w:num="1">
            <w:col w:w="11460"/>
          </w:cols>
          <w:pgMar w:left="220" w:top="247" w:right="21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 of 23</w:t>
      </w:r>
    </w:p>
    <w:p>
      <w:pPr>
        <w:sectPr>
          <w:pgSz w:w="11900" w:h="16838" w:orient="portrait"/>
          <w:cols w:equalWidth="0" w:num="2">
            <w:col w:w="9800" w:space="720"/>
            <w:col w:w="940"/>
          </w:cols>
          <w:pgMar w:left="220" w:top="247" w:right="219" w:bottom="1440" w:gutter="0" w:footer="0" w:header="0"/>
          <w:type w:val="continuous"/>
        </w:sectPr>
      </w:pPr>
    </w:p>
    <w:bookmarkStart w:id="342" w:name="page343"/>
    <w:bookmarkEnd w:id="34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IN WITNESS WHEREOF, </w:t>
      </w:r>
      <w:r>
        <w:rPr>
          <w:rFonts w:ascii="Arial" w:cs="Arial" w:eastAsia="Arial" w:hAnsi="Arial"/>
          <w:sz w:val="14"/>
          <w:szCs w:val="14"/>
          <w:color w:val="auto"/>
        </w:rPr>
        <w:t>the parties have caused this Lease Agreement to be executed on the year and date first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gridSpan w:val="2"/>
          </w:tcPr>
          <w:p>
            <w:pPr>
              <w:spacing w:after="0"/>
              <w:rPr>
                <w:sz w:val="20"/>
                <w:szCs w:val="20"/>
                <w:color w:val="auto"/>
              </w:rPr>
            </w:pPr>
            <w:r>
              <w:rPr>
                <w:rFonts w:ascii="Arial" w:cs="Arial" w:eastAsia="Arial" w:hAnsi="Arial"/>
                <w:sz w:val="14"/>
                <w:szCs w:val="14"/>
                <w:color w:val="auto"/>
              </w:rPr>
              <w:t>WITNESS:</w:t>
            </w:r>
          </w:p>
        </w:tc>
        <w:tc>
          <w:tcPr>
            <w:tcW w:w="5660" w:type="dxa"/>
            <w:vAlign w:val="bottom"/>
            <w:gridSpan w:val="2"/>
          </w:tcPr>
          <w:p>
            <w:pPr>
              <w:ind w:left="180"/>
              <w:spacing w:after="0"/>
              <w:rPr>
                <w:sz w:val="20"/>
                <w:szCs w:val="20"/>
                <w:color w:val="auto"/>
              </w:rPr>
            </w:pPr>
            <w:r>
              <w:rPr>
                <w:rFonts w:ascii="Arial" w:cs="Arial" w:eastAsia="Arial" w:hAnsi="Arial"/>
                <w:sz w:val="14"/>
                <w:szCs w:val="14"/>
                <w:color w:val="auto"/>
              </w:rPr>
              <w:t>LANDLORD:</w:t>
            </w:r>
          </w:p>
        </w:tc>
      </w:t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60" w:type="dxa"/>
            <w:vAlign w:val="bottom"/>
            <w:gridSpan w:val="2"/>
          </w:tcPr>
          <w:p>
            <w:pPr>
              <w:ind w:left="180"/>
              <w:spacing w:after="0"/>
              <w:rPr>
                <w:sz w:val="20"/>
                <w:szCs w:val="20"/>
                <w:color w:val="auto"/>
              </w:rPr>
            </w:pPr>
            <w:r>
              <w:rPr>
                <w:rFonts w:ascii="Arial" w:cs="Arial" w:eastAsia="Arial" w:hAnsi="Arial"/>
                <w:sz w:val="14"/>
                <w:szCs w:val="14"/>
                <w:color w:val="auto"/>
              </w:rPr>
              <w:t>RED GATE III LLC</w:t>
            </w:r>
          </w:p>
        </w:tc>
      </w:tr>
      <w:tr>
        <w:trPr>
          <w:trHeight w:val="346"/>
        </w:trPr>
        <w:tc>
          <w:tcPr>
            <w:tcW w:w="5820" w:type="dxa"/>
            <w:vAlign w:val="bottom"/>
            <w:gridSpan w:val="2"/>
          </w:tcPr>
          <w:p>
            <w:pPr>
              <w:spacing w:after="0"/>
              <w:rPr>
                <w:sz w:val="20"/>
                <w:szCs w:val="20"/>
                <w:color w:val="auto"/>
              </w:rPr>
            </w:pPr>
            <w:r>
              <w:rPr>
                <w:rFonts w:ascii="Arial" w:cs="Arial" w:eastAsia="Arial" w:hAnsi="Arial"/>
                <w:sz w:val="14"/>
                <w:szCs w:val="14"/>
                <w:color w:val="auto"/>
              </w:rPr>
              <w:t>[Illegible]</w:t>
            </w:r>
          </w:p>
        </w:tc>
        <w:tc>
          <w:tcPr>
            <w:tcW w:w="5660" w:type="dxa"/>
            <w:vAlign w:val="bottom"/>
            <w:gridSpan w:val="2"/>
          </w:tcPr>
          <w:p>
            <w:pPr>
              <w:ind w:left="180"/>
              <w:spacing w:after="0"/>
              <w:rPr>
                <w:sz w:val="20"/>
                <w:szCs w:val="20"/>
                <w:color w:val="auto"/>
              </w:rPr>
            </w:pPr>
            <w:r>
              <w:rPr>
                <w:rFonts w:ascii="Arial" w:cs="Arial" w:eastAsia="Arial" w:hAnsi="Arial"/>
                <w:sz w:val="14"/>
                <w:szCs w:val="14"/>
                <w:color w:val="auto"/>
              </w:rPr>
              <w:t>/s/ William M. Rickman</w:t>
            </w:r>
          </w:p>
        </w:tc>
      </w:tr>
      <w:tr>
        <w:trPr>
          <w:trHeight w:val="164"/>
        </w:trPr>
        <w:tc>
          <w:tcPr>
            <w:tcW w:w="52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By:  William M. Rickman</w:t>
            </w:r>
          </w:p>
        </w:tc>
        <w:tc>
          <w:tcPr>
            <w:tcW w:w="20" w:type="dxa"/>
            <w:vAlign w:val="bottom"/>
          </w:tcPr>
          <w:p>
            <w:pPr>
              <w:spacing w:after="0"/>
              <w:rPr>
                <w:sz w:val="14"/>
                <w:szCs w:val="14"/>
                <w:color w:val="auto"/>
              </w:rPr>
            </w:pPr>
          </w:p>
        </w:tc>
      </w:tr>
      <w:tr>
        <w:trPr>
          <w:trHeight w:val="310"/>
        </w:trPr>
        <w:tc>
          <w:tcPr>
            <w:tcW w:w="5820" w:type="dxa"/>
            <w:vAlign w:val="bottom"/>
            <w:gridSpan w:val="2"/>
          </w:tcPr>
          <w:p>
            <w:pPr>
              <w:spacing w:after="0"/>
              <w:rPr>
                <w:sz w:val="20"/>
                <w:szCs w:val="20"/>
                <w:color w:val="auto"/>
              </w:rPr>
            </w:pPr>
            <w:r>
              <w:rPr>
                <w:rFonts w:ascii="Arial" w:cs="Arial" w:eastAsia="Arial" w:hAnsi="Arial"/>
                <w:sz w:val="14"/>
                <w:szCs w:val="14"/>
                <w:color w:val="auto"/>
              </w:rPr>
              <w:t>WITNESS:</w:t>
            </w:r>
          </w:p>
        </w:tc>
        <w:tc>
          <w:tcPr>
            <w:tcW w:w="5660" w:type="dxa"/>
            <w:vAlign w:val="bottom"/>
            <w:gridSpan w:val="2"/>
          </w:tcPr>
          <w:p>
            <w:pPr>
              <w:ind w:left="180"/>
              <w:spacing w:after="0"/>
              <w:rPr>
                <w:sz w:val="20"/>
                <w:szCs w:val="20"/>
                <w:color w:val="auto"/>
              </w:rPr>
            </w:pPr>
            <w:r>
              <w:rPr>
                <w:rFonts w:ascii="Arial" w:cs="Arial" w:eastAsia="Arial" w:hAnsi="Arial"/>
                <w:sz w:val="14"/>
                <w:szCs w:val="14"/>
                <w:color w:val="auto"/>
              </w:rPr>
              <w:t>TENANT:</w:t>
            </w:r>
          </w:p>
        </w:tc>
      </w:t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60" w:type="dxa"/>
            <w:vAlign w:val="bottom"/>
            <w:gridSpan w:val="2"/>
          </w:tcPr>
          <w:p>
            <w:pPr>
              <w:ind w:left="180"/>
              <w:spacing w:after="0"/>
              <w:rPr>
                <w:sz w:val="20"/>
                <w:szCs w:val="20"/>
                <w:color w:val="auto"/>
              </w:rPr>
            </w:pPr>
            <w:r>
              <w:rPr>
                <w:rFonts w:ascii="Arial" w:cs="Arial" w:eastAsia="Arial" w:hAnsi="Arial"/>
                <w:sz w:val="14"/>
                <w:szCs w:val="14"/>
                <w:color w:val="auto"/>
              </w:rPr>
              <w:t>MACROGENICS, INC.</w:t>
            </w:r>
          </w:p>
        </w:tc>
      </w:tr>
      <w:tr>
        <w:trPr>
          <w:trHeight w:val="346"/>
        </w:trPr>
        <w:tc>
          <w:tcPr>
            <w:tcW w:w="5820" w:type="dxa"/>
            <w:vAlign w:val="bottom"/>
            <w:gridSpan w:val="2"/>
          </w:tcPr>
          <w:p>
            <w:pPr>
              <w:spacing w:after="0"/>
              <w:rPr>
                <w:sz w:val="20"/>
                <w:szCs w:val="20"/>
                <w:color w:val="auto"/>
              </w:rPr>
            </w:pPr>
            <w:r>
              <w:rPr>
                <w:rFonts w:ascii="Arial" w:cs="Arial" w:eastAsia="Arial" w:hAnsi="Arial"/>
                <w:sz w:val="14"/>
                <w:szCs w:val="14"/>
                <w:color w:val="auto"/>
              </w:rPr>
              <w:t>[Illegible]</w:t>
            </w:r>
          </w:p>
        </w:tc>
        <w:tc>
          <w:tcPr>
            <w:tcW w:w="5660" w:type="dxa"/>
            <w:vAlign w:val="bottom"/>
            <w:gridSpan w:val="2"/>
          </w:tcPr>
          <w:p>
            <w:pPr>
              <w:ind w:left="180"/>
              <w:spacing w:after="0"/>
              <w:rPr>
                <w:sz w:val="20"/>
                <w:szCs w:val="20"/>
                <w:color w:val="auto"/>
              </w:rPr>
            </w:pPr>
            <w:r>
              <w:rPr>
                <w:rFonts w:ascii="Arial" w:cs="Arial" w:eastAsia="Arial" w:hAnsi="Arial"/>
                <w:sz w:val="14"/>
                <w:szCs w:val="14"/>
                <w:color w:val="auto"/>
              </w:rPr>
              <w:t>/s/ Scott Koenig</w:t>
            </w:r>
          </w:p>
        </w:tc>
      </w:tr>
      <w:tr>
        <w:trPr>
          <w:trHeight w:val="164"/>
        </w:trPr>
        <w:tc>
          <w:tcPr>
            <w:tcW w:w="52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By:  Scott Koenig</w:t>
            </w:r>
          </w:p>
        </w:tc>
        <w:tc>
          <w:tcPr>
            <w:tcW w:w="20" w:type="dxa"/>
            <w:vAlign w:val="bottom"/>
          </w:tcPr>
          <w:p>
            <w:pPr>
              <w:spacing w:after="0"/>
              <w:rPr>
                <w:sz w:val="14"/>
                <w:szCs w:val="14"/>
                <w:color w:val="auto"/>
              </w:rPr>
            </w:pPr>
          </w:p>
        </w:tc>
      </w:tr>
      <w:tr>
        <w:trPr>
          <w:trHeight w:val="269"/>
        </w:trPr>
        <w:tc>
          <w:tcPr>
            <w:tcW w:w="5820" w:type="dxa"/>
            <w:vAlign w:val="bottom"/>
            <w:gridSpan w:val="2"/>
          </w:tcPr>
          <w:p>
            <w:pPr>
              <w:spacing w:after="0"/>
              <w:rPr>
                <w:sz w:val="20"/>
                <w:szCs w:val="20"/>
                <w:color w:val="auto"/>
              </w:rPr>
            </w:pPr>
            <w:r>
              <w:rPr>
                <w:rFonts w:ascii="Arial" w:cs="Arial" w:eastAsia="Arial" w:hAnsi="Arial"/>
                <w:sz w:val="14"/>
                <w:szCs w:val="14"/>
                <w:color w:val="auto"/>
              </w:rPr>
              <w:t>Macro Genics, Inc.</w:t>
            </w:r>
          </w:p>
        </w:tc>
        <w:tc>
          <w:tcPr>
            <w:tcW w:w="5660" w:type="dxa"/>
            <w:vAlign w:val="bottom"/>
            <w:gridSpan w:val="2"/>
          </w:tcPr>
          <w:p>
            <w:pPr>
              <w:jc w:val="right"/>
              <w:ind w:right="20"/>
              <w:spacing w:after="0"/>
              <w:rPr>
                <w:sz w:val="20"/>
                <w:szCs w:val="20"/>
                <w:color w:val="auto"/>
              </w:rPr>
            </w:pPr>
            <w:r>
              <w:rPr>
                <w:rFonts w:ascii="Arial" w:cs="Arial" w:eastAsia="Arial" w:hAnsi="Arial"/>
                <w:sz w:val="14"/>
                <w:szCs w:val="14"/>
                <w:color w:val="auto"/>
              </w:rPr>
              <w:t>Lease Agreement</w:t>
            </w:r>
          </w:p>
        </w:tc>
      </w:tr>
      <w:tr>
        <w:trPr>
          <w:trHeight w:val="167"/>
        </w:trPr>
        <w:tc>
          <w:tcPr>
            <w:tcW w:w="5820" w:type="dxa"/>
            <w:vAlign w:val="bottom"/>
            <w:gridSpan w:val="2"/>
          </w:tcPr>
          <w:p>
            <w:pPr>
              <w:spacing w:after="0"/>
              <w:rPr>
                <w:sz w:val="20"/>
                <w:szCs w:val="20"/>
                <w:color w:val="auto"/>
              </w:rPr>
            </w:pPr>
            <w:r>
              <w:rPr>
                <w:rFonts w:ascii="Arial" w:cs="Arial" w:eastAsia="Arial" w:hAnsi="Arial"/>
                <w:sz w:val="14"/>
                <w:szCs w:val="14"/>
                <w:color w:val="auto"/>
              </w:rPr>
              <w:t>9640 Medical Center Drive</w:t>
            </w:r>
          </w:p>
        </w:tc>
        <w:tc>
          <w:tcPr>
            <w:tcW w:w="5660" w:type="dxa"/>
            <w:vAlign w:val="bottom"/>
            <w:gridSpan w:val="2"/>
          </w:tcPr>
          <w:p>
            <w:pPr>
              <w:jc w:val="right"/>
              <w:ind w:right="20"/>
              <w:spacing w:after="0"/>
              <w:rPr>
                <w:sz w:val="20"/>
                <w:szCs w:val="20"/>
                <w:color w:val="auto"/>
              </w:rPr>
            </w:pPr>
            <w:r>
              <w:rPr>
                <w:rFonts w:ascii="Arial" w:cs="Arial" w:eastAsia="Arial" w:hAnsi="Arial"/>
                <w:sz w:val="14"/>
                <w:szCs w:val="14"/>
                <w:color w:val="auto"/>
              </w:rPr>
              <w:t>Page 22 of 23</w:t>
            </w:r>
          </w:p>
        </w:tc>
      </w:tr>
      <w:tr>
        <w:trPr>
          <w:trHeight w:val="173"/>
        </w:trPr>
        <w:tc>
          <w:tcPr>
            <w:tcW w:w="5820" w:type="dxa"/>
            <w:vAlign w:val="bottom"/>
            <w:gridSpan w:val="2"/>
          </w:tcPr>
          <w:p>
            <w:pPr>
              <w:spacing w:after="0"/>
              <w:rPr>
                <w:sz w:val="20"/>
                <w:szCs w:val="20"/>
                <w:color w:val="auto"/>
              </w:rPr>
            </w:pPr>
            <w:r>
              <w:rPr>
                <w:rFonts w:ascii="Arial" w:cs="Arial" w:eastAsia="Arial" w:hAnsi="Arial"/>
                <w:sz w:val="14"/>
                <w:szCs w:val="14"/>
                <w:color w:val="auto"/>
              </w:rPr>
              <w:t>Rockville, Maryland</w:t>
            </w:r>
          </w:p>
        </w:tc>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ectPr>
          <w:pgSz w:w="11900" w:h="16838" w:orient="portrait"/>
          <w:cols w:equalWidth="0" w:num="1">
            <w:col w:w="11460"/>
          </w:cols>
          <w:pgMar w:left="220" w:top="245" w:right="21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A</w:t>
      </w:r>
    </w:p>
    <w:p>
      <w:pPr>
        <w:sectPr>
          <w:pgSz w:w="11900" w:h="16838" w:orient="portrait"/>
          <w:cols w:equalWidth="0" w:num="1">
            <w:col w:w="11460"/>
          </w:cols>
          <w:pgMar w:left="220" w:top="245" w:right="21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9640 Medical Center Drive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Lease Agreement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 of 23</w:t>
      </w:r>
    </w:p>
    <w:p>
      <w:pPr>
        <w:sectPr>
          <w:pgSz w:w="11900" w:h="16838" w:orient="portrait"/>
          <w:cols w:equalWidth="0" w:num="2">
            <w:col w:w="9800" w:space="720"/>
            <w:col w:w="940"/>
          </w:cols>
          <w:pgMar w:left="220" w:top="245" w:right="219" w:bottom="1440" w:gutter="0" w:footer="0" w:header="0"/>
          <w:type w:val="continuous"/>
        </w:sectPr>
      </w:pPr>
    </w:p>
    <w:bookmarkStart w:id="344" w:name="page345"/>
    <w:bookmarkEnd w:id="3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9239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16470" cy="5923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9239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16470" cy="5923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9239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316470" cy="5923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9239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16470" cy="5923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jc w:val="center"/>
        <w:ind w:right="2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B</w:t>
      </w:r>
    </w:p>
    <w:p>
      <w:pPr>
        <w:spacing w:after="0" w:line="165" w:lineRule="exact"/>
        <w:rPr>
          <w:sz w:val="20"/>
          <w:szCs w:val="20"/>
          <w:color w:val="auto"/>
        </w:rPr>
      </w:pPr>
    </w:p>
    <w:p>
      <w:pPr>
        <w:ind w:left="340" w:hanging="332"/>
        <w:spacing w:after="0"/>
        <w:tabs>
          <w:tab w:leader="none" w:pos="34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Building wide (Premises):</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Repaint; re-carpet; replace damaged, missing or discolored ceiling tiles; clean all HVAC ducts; balance HVAC.</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Install risers between floors (no trays) as Landlord will drill holes and install piping.</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Provide conduit from street to the building.</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Ensure HVAC can be properly controlled for vivarium, labs and offices. Balance air for labs and airlocks.</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Replace or repair rusted cabinetry and casework (applies only to existing items and those mutually agreed).</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Insure the existing cold rooms are in good working order</w:t>
      </w:r>
    </w:p>
    <w:p>
      <w:pPr>
        <w:spacing w:after="0" w:line="162" w:lineRule="exact"/>
        <w:rPr>
          <w:rFonts w:ascii="Arial" w:cs="Arial" w:eastAsia="Arial" w:hAnsi="Arial"/>
          <w:sz w:val="14"/>
          <w:szCs w:val="14"/>
          <w:color w:val="auto"/>
        </w:rPr>
      </w:pPr>
    </w:p>
    <w:p>
      <w:pPr>
        <w:ind w:left="340" w:hanging="332"/>
        <w:spacing w:after="0"/>
        <w:tabs>
          <w:tab w:leader="none" w:pos="34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Exterior</w:t>
      </w:r>
    </w:p>
    <w:p>
      <w:pPr>
        <w:spacing w:after="0" w:line="68" w:lineRule="exact"/>
        <w:rPr>
          <w:rFonts w:ascii="Arial" w:cs="Arial" w:eastAsia="Arial" w:hAnsi="Arial"/>
          <w:sz w:val="14"/>
          <w:szCs w:val="14"/>
          <w:color w:val="auto"/>
        </w:rPr>
      </w:pPr>
    </w:p>
    <w:p>
      <w:pPr>
        <w:ind w:left="900" w:hanging="433"/>
        <w:spacing w:after="0" w:line="267" w:lineRule="auto"/>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Move cooling units for server room if necessary. Cooling units appear to be 3.5 tons (note: told they were 5 tons). If that is the case an additional one will be needed to address the additional utilization of the enlarge computer room.</w:t>
      </w:r>
    </w:p>
    <w:p>
      <w:pPr>
        <w:spacing w:after="0" w:line="38" w:lineRule="exact"/>
        <w:rPr>
          <w:rFonts w:ascii="Arial" w:cs="Arial" w:eastAsia="Arial" w:hAnsi="Arial"/>
          <w:sz w:val="14"/>
          <w:szCs w:val="14"/>
          <w:color w:val="auto"/>
        </w:rPr>
      </w:pPr>
    </w:p>
    <w:p>
      <w:pPr>
        <w:ind w:left="900" w:right="140" w:hanging="433"/>
        <w:spacing w:after="0" w:line="267" w:lineRule="auto"/>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Landlord will spend up to fifteen thousand one hundred dollars ($15,100) to purchase an additional fuel tank selected by Tenant (which complies with local building and zoning ordinances) for the backup generator that serves the Premises.</w:t>
      </w:r>
    </w:p>
    <w:p>
      <w:pPr>
        <w:spacing w:after="0" w:line="132" w:lineRule="exact"/>
        <w:rPr>
          <w:rFonts w:ascii="Arial" w:cs="Arial" w:eastAsia="Arial" w:hAnsi="Arial"/>
          <w:sz w:val="14"/>
          <w:szCs w:val="14"/>
          <w:color w:val="auto"/>
        </w:rPr>
      </w:pPr>
    </w:p>
    <w:p>
      <w:pPr>
        <w:ind w:left="340" w:hanging="332"/>
        <w:spacing w:after="0"/>
        <w:tabs>
          <w:tab w:leader="none" w:pos="34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Basement—as per Exhibit A</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Modification of room to accommodate the additional autoclave as per design in Exhibit A</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Landlord will spend up to twenty-eight thousand dollars ($28,000) to purchase a boiler selected by Tenant.</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Build approx. 3-4 offices (in work-out room) and install kitchenette with sink and cabinets in same area.</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Replace flooring in the work out room (VCT/carpet only)</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Landlord will pay for the cost of epoxy resurfacing/surfacing the floor in the clean area as per Exhibit A.</w:t>
      </w:r>
    </w:p>
    <w:p>
      <w:pPr>
        <w:spacing w:after="0" w:line="162" w:lineRule="exact"/>
        <w:rPr>
          <w:rFonts w:ascii="Arial" w:cs="Arial" w:eastAsia="Arial" w:hAnsi="Arial"/>
          <w:sz w:val="14"/>
          <w:szCs w:val="14"/>
          <w:color w:val="auto"/>
        </w:rPr>
      </w:pPr>
    </w:p>
    <w:p>
      <w:pPr>
        <w:ind w:left="340" w:hanging="332"/>
        <w:spacing w:after="0"/>
        <w:tabs>
          <w:tab w:leader="none" w:pos="34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Second floor—as per Exhibit A</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Remove wall between computer room and adjacent office to increase size of computer room</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Clear Plenum Space above Server Room as necessary for expansion</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Remove equipment test bench in server room</w:t>
      </w:r>
    </w:p>
    <w:p>
      <w:pPr>
        <w:spacing w:after="0" w:line="68" w:lineRule="exact"/>
        <w:rPr>
          <w:rFonts w:ascii="Arial" w:cs="Arial" w:eastAsia="Arial" w:hAnsi="Arial"/>
          <w:sz w:val="14"/>
          <w:szCs w:val="14"/>
          <w:color w:val="auto"/>
        </w:rPr>
      </w:pPr>
    </w:p>
    <w:p>
      <w:pPr>
        <w:ind w:left="900" w:hanging="433"/>
        <w:spacing w:after="0"/>
        <w:tabs>
          <w:tab w:leader="none" w:pos="9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Construction of several offices/conference rooms and walls removed.</w:t>
      </w:r>
    </w:p>
    <w:p>
      <w:pPr>
        <w:sectPr>
          <w:pgSz w:w="11900" w:h="16838" w:orient="portrait"/>
          <w:cols w:equalWidth="0" w:num="1">
            <w:col w:w="10620"/>
          </w:cols>
          <w:pgMar w:left="780" w:top="244" w:right="499" w:bottom="1440" w:gutter="0" w:footer="0" w:header="0"/>
        </w:sectPr>
      </w:pPr>
    </w:p>
    <w:bookmarkStart w:id="349" w:name="page350"/>
    <w:bookmarkEnd w:id="349"/>
    <w:p>
      <w:pPr>
        <w:ind w:left="332" w:hanging="332"/>
        <w:spacing w:after="0"/>
        <w:tabs>
          <w:tab w:leader="none" w:pos="332" w:val="left"/>
        </w:tabs>
        <w:numPr>
          <w:ilvl w:val="0"/>
          <w:numId w:val="26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Third floor—as per Exhibit A</w:t>
      </w:r>
    </w:p>
    <w:p>
      <w:pPr>
        <w:spacing w:after="0" w:line="68" w:lineRule="exact"/>
        <w:rPr>
          <w:rFonts w:ascii="Arial" w:cs="Arial" w:eastAsia="Arial" w:hAnsi="Arial"/>
          <w:sz w:val="14"/>
          <w:szCs w:val="14"/>
          <w:color w:val="auto"/>
        </w:rPr>
      </w:pPr>
    </w:p>
    <w:p>
      <w:pPr>
        <w:ind w:left="892" w:hanging="433"/>
        <w:spacing w:after="0"/>
        <w:tabs>
          <w:tab w:leader="none" w:pos="892" w:val="left"/>
        </w:tabs>
        <w:numPr>
          <w:ilvl w:val="1"/>
          <w:numId w:val="265"/>
        </w:numPr>
        <w:rPr>
          <w:rFonts w:ascii="Arial" w:cs="Arial" w:eastAsia="Arial" w:hAnsi="Arial"/>
          <w:sz w:val="14"/>
          <w:szCs w:val="14"/>
          <w:color w:val="auto"/>
        </w:rPr>
      </w:pPr>
      <w:r>
        <w:rPr>
          <w:rFonts w:ascii="Arial" w:cs="Arial" w:eastAsia="Arial" w:hAnsi="Arial"/>
          <w:sz w:val="14"/>
          <w:szCs w:val="14"/>
          <w:color w:val="auto"/>
        </w:rPr>
        <w:t>Chemical hoods removed and bench space created</w:t>
      </w:r>
    </w:p>
    <w:p>
      <w:pPr>
        <w:spacing w:after="0" w:line="68" w:lineRule="exact"/>
        <w:rPr>
          <w:rFonts w:ascii="Arial" w:cs="Arial" w:eastAsia="Arial" w:hAnsi="Arial"/>
          <w:sz w:val="14"/>
          <w:szCs w:val="14"/>
          <w:color w:val="auto"/>
        </w:rPr>
      </w:pPr>
    </w:p>
    <w:p>
      <w:pPr>
        <w:ind w:left="892" w:hanging="433"/>
        <w:spacing w:after="0"/>
        <w:tabs>
          <w:tab w:leader="none" w:pos="892" w:val="left"/>
        </w:tabs>
        <w:numPr>
          <w:ilvl w:val="1"/>
          <w:numId w:val="265"/>
        </w:numPr>
        <w:rPr>
          <w:rFonts w:ascii="Arial" w:cs="Arial" w:eastAsia="Arial" w:hAnsi="Arial"/>
          <w:sz w:val="12"/>
          <w:szCs w:val="12"/>
          <w:color w:val="auto"/>
        </w:rPr>
      </w:pPr>
      <w:r>
        <w:rPr>
          <w:rFonts w:ascii="Arial" w:cs="Arial" w:eastAsia="Arial" w:hAnsi="Arial"/>
          <w:sz w:val="12"/>
          <w:szCs w:val="12"/>
          <w:color w:val="auto"/>
        </w:rPr>
        <w:t>Convert tissue culture room and lab space adjacent to conference room to office space</w:t>
      </w:r>
    </w:p>
    <w:p>
      <w:pPr>
        <w:spacing w:after="0" w:line="91" w:lineRule="exact"/>
        <w:rPr>
          <w:rFonts w:ascii="Arial" w:cs="Arial" w:eastAsia="Arial" w:hAnsi="Arial"/>
          <w:sz w:val="12"/>
          <w:szCs w:val="12"/>
          <w:color w:val="auto"/>
        </w:rPr>
      </w:pPr>
    </w:p>
    <w:p>
      <w:pPr>
        <w:ind w:left="892" w:hanging="433"/>
        <w:spacing w:after="0"/>
        <w:tabs>
          <w:tab w:leader="none" w:pos="892" w:val="left"/>
        </w:tabs>
        <w:numPr>
          <w:ilvl w:val="1"/>
          <w:numId w:val="265"/>
        </w:numPr>
        <w:rPr>
          <w:rFonts w:ascii="Arial" w:cs="Arial" w:eastAsia="Arial" w:hAnsi="Arial"/>
          <w:sz w:val="14"/>
          <w:szCs w:val="14"/>
          <w:color w:val="auto"/>
        </w:rPr>
      </w:pPr>
      <w:r>
        <w:rPr>
          <w:rFonts w:ascii="Arial" w:cs="Arial" w:eastAsia="Arial" w:hAnsi="Arial"/>
          <w:sz w:val="14"/>
          <w:szCs w:val="14"/>
          <w:color w:val="auto"/>
        </w:rPr>
        <w:t>Construction of several offices/conference rooms</w:t>
      </w:r>
    </w:p>
    <w:p>
      <w:pPr>
        <w:spacing w:after="0" w:line="162" w:lineRule="exact"/>
        <w:rPr>
          <w:rFonts w:ascii="Arial" w:cs="Arial" w:eastAsia="Arial" w:hAnsi="Arial"/>
          <w:sz w:val="14"/>
          <w:szCs w:val="14"/>
          <w:color w:val="auto"/>
        </w:rPr>
      </w:pPr>
    </w:p>
    <w:p>
      <w:pPr>
        <w:ind w:left="332" w:hanging="332"/>
        <w:spacing w:after="0"/>
        <w:tabs>
          <w:tab w:leader="none" w:pos="332" w:val="left"/>
        </w:tabs>
        <w:numPr>
          <w:ilvl w:val="0"/>
          <w:numId w:val="265"/>
        </w:numPr>
        <w:rPr>
          <w:rFonts w:ascii="Arial" w:cs="Arial" w:eastAsia="Arial" w:hAnsi="Arial"/>
          <w:sz w:val="14"/>
          <w:szCs w:val="14"/>
          <w:color w:val="auto"/>
        </w:rPr>
      </w:pPr>
      <w:r>
        <w:rPr>
          <w:rFonts w:ascii="Arial" w:cs="Arial" w:eastAsia="Arial" w:hAnsi="Arial"/>
          <w:sz w:val="14"/>
          <w:szCs w:val="14"/>
          <w:color w:val="auto"/>
        </w:rPr>
        <w:t>Floor Plan</w:t>
      </w:r>
    </w:p>
    <w:p>
      <w:pPr>
        <w:spacing w:after="0" w:line="68" w:lineRule="exact"/>
        <w:rPr>
          <w:rFonts w:ascii="Arial" w:cs="Arial" w:eastAsia="Arial" w:hAnsi="Arial"/>
          <w:sz w:val="14"/>
          <w:szCs w:val="14"/>
          <w:color w:val="auto"/>
        </w:rPr>
      </w:pPr>
    </w:p>
    <w:p>
      <w:pPr>
        <w:ind w:left="892" w:hanging="433"/>
        <w:spacing w:after="0"/>
        <w:tabs>
          <w:tab w:leader="none" w:pos="892" w:val="left"/>
        </w:tabs>
        <w:numPr>
          <w:ilvl w:val="1"/>
          <w:numId w:val="265"/>
        </w:numPr>
        <w:rPr>
          <w:rFonts w:ascii="Arial" w:cs="Arial" w:eastAsia="Arial" w:hAnsi="Arial"/>
          <w:sz w:val="12"/>
          <w:szCs w:val="12"/>
          <w:color w:val="auto"/>
        </w:rPr>
      </w:pPr>
      <w:r>
        <w:rPr>
          <w:rFonts w:ascii="Arial" w:cs="Arial" w:eastAsia="Arial" w:hAnsi="Arial"/>
          <w:sz w:val="12"/>
          <w:szCs w:val="12"/>
          <w:color w:val="auto"/>
        </w:rPr>
        <w:t>Renovations further undertaken in accordance with the attached floor plan of the Premises</w:t>
      </w:r>
    </w:p>
    <w:p>
      <w:pPr>
        <w:sectPr>
          <w:pgSz w:w="11900" w:h="16838" w:orient="portrait"/>
          <w:cols w:equalWidth="0" w:num="1">
            <w:col w:w="9671"/>
          </w:cols>
          <w:pgMar w:left="788" w:top="246" w:right="1440" w:bottom="1440" w:gutter="0" w:footer="0" w:header="0"/>
        </w:sectPr>
      </w:pPr>
    </w:p>
    <w:bookmarkStart w:id="350" w:name="page351"/>
    <w:bookmarkEnd w:id="350"/>
    <w:p>
      <w:pPr>
        <w:jc w:val="right"/>
        <w:spacing w:after="0"/>
        <w:rPr>
          <w:sz w:val="20"/>
          <w:szCs w:val="20"/>
          <w:color w:val="auto"/>
        </w:rPr>
      </w:pPr>
      <w:r>
        <w:rPr>
          <w:rFonts w:ascii="Arial" w:cs="Arial" w:eastAsia="Arial" w:hAnsi="Arial"/>
          <w:sz w:val="14"/>
          <w:szCs w:val="14"/>
          <w:b w:val="1"/>
          <w:bCs w:val="1"/>
          <w:color w:val="auto"/>
        </w:rPr>
        <w:t>Exhibit 10.9</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213030501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to Lease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Amendment to Lease Agreement (“AGREEMENT”) made and entered into this 26th day of March 2013, by and between RED GATE III LLC (“LANDLORD”) and MACROGENICS, INC.</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(“TENANT”).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WITNESSETH:</w:t>
      </w:r>
    </w:p>
    <w:p>
      <w:pPr>
        <w:spacing w:after="0" w:line="134" w:lineRule="exact"/>
        <w:rPr>
          <w:sz w:val="20"/>
          <w:szCs w:val="20"/>
          <w:color w:val="auto"/>
        </w:rPr>
      </w:pPr>
    </w:p>
    <w:p>
      <w:pPr>
        <w:ind w:right="340" w:firstLine="458"/>
        <w:spacing w:after="0" w:line="267" w:lineRule="auto"/>
        <w:rPr>
          <w:sz w:val="20"/>
          <w:szCs w:val="20"/>
          <w:color w:val="auto"/>
        </w:rPr>
      </w:pPr>
      <w:r>
        <w:rPr>
          <w:rFonts w:ascii="Arial" w:cs="Arial" w:eastAsia="Arial" w:hAnsi="Arial"/>
          <w:sz w:val="14"/>
          <w:szCs w:val="14"/>
          <w:b w:val="1"/>
          <w:bCs w:val="1"/>
          <w:i w:val="1"/>
          <w:iCs w:val="1"/>
          <w:color w:val="auto"/>
        </w:rPr>
        <w:t>Whereas</w:t>
      </w:r>
      <w:r>
        <w:rPr>
          <w:rFonts w:ascii="Arial" w:cs="Arial" w:eastAsia="Arial" w:hAnsi="Arial"/>
          <w:sz w:val="14"/>
          <w:szCs w:val="14"/>
          <w:color w:val="auto"/>
        </w:rPr>
        <w:t>, the LANDLORD and TENANT entered into a certain lease (“LEASE”) dated May 31, 2011, covering 41,886 square feet of space (“PREMISES”) located in 9640 Medical Center Drive,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Rockville, Maryland (“BUILDING”); </w:t>
      </w:r>
      <w:r>
        <w:rPr>
          <w:rFonts w:ascii="Arial" w:cs="Arial" w:eastAsia="Arial" w:hAnsi="Arial"/>
          <w:sz w:val="14"/>
          <w:szCs w:val="14"/>
          <w:i w:val="1"/>
          <w:iCs w:val="1"/>
          <w:color w:val="auto"/>
        </w:rPr>
        <w:t>and</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Now, therefore</w:t>
      </w:r>
      <w:r>
        <w:rPr>
          <w:rFonts w:ascii="Arial" w:cs="Arial" w:eastAsia="Arial" w:hAnsi="Arial"/>
          <w:sz w:val="14"/>
          <w:szCs w:val="14"/>
          <w:color w:val="auto"/>
        </w:rPr>
        <w:t>, the parties hereto, intending to be legally bound, do covenant and agree as follows:</w:t>
      </w:r>
    </w:p>
    <w:p>
      <w:pPr>
        <w:spacing w:after="0" w:line="69" w:lineRule="exact"/>
        <w:rPr>
          <w:sz w:val="20"/>
          <w:szCs w:val="20"/>
          <w:color w:val="auto"/>
        </w:rPr>
      </w:pPr>
    </w:p>
    <w:p>
      <w:pPr>
        <w:ind w:left="900" w:right="200" w:hanging="447"/>
        <w:spacing w:after="0" w:line="267" w:lineRule="auto"/>
        <w:tabs>
          <w:tab w:leader="none" w:pos="90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Commencing May 1, 2013, Four Thousand Three Hundred Eighty One (4,381) rentable square feet (“EXPANSION SPACE”) is added to the PREMISES, thus increasing total rentable square footage of PREMISES to Forty Six Thousand Two Hundred Sixty Seven (46,267).</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Commencing May 1, 2013, the TENANT shall occupy One Hundred Percent (100%) of the BUILDING and shall be responsible for all of Utilities, Operating Expenses and Real Estate Taxes.</w:t>
      </w:r>
    </w:p>
    <w:p>
      <w:pPr>
        <w:spacing w:after="0" w:line="91" w:lineRule="exact"/>
        <w:rPr>
          <w:rFonts w:ascii="Arial" w:cs="Arial" w:eastAsia="Arial" w:hAnsi="Arial"/>
          <w:sz w:val="12"/>
          <w:szCs w:val="12"/>
          <w:color w:val="auto"/>
        </w:rPr>
      </w:pPr>
    </w:p>
    <w:p>
      <w:pPr>
        <w:ind w:left="900" w:right="220" w:hanging="447"/>
        <w:spacing w:after="0" w:line="267" w:lineRule="auto"/>
        <w:tabs>
          <w:tab w:leader="none" w:pos="90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Commencing September 1, 2013, TENANT’S monthly Minimum Rent shall be Eighty Thousand Three and 35/100 Dollars ($80,003.35), and shall increase by three percent (3%) annually in accordance with the LEASE.</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Prior to May 1, 2013, TENANT shall have access for establishing and installation of any communication, I.T. or infrastructure.</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Landlord shall supply new building standard paint and carpet to EXPANSION SPACE.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 xml:space="preserve">Ratification of LEASE: </w:t>
      </w:r>
      <w:r>
        <w:rPr>
          <w:rFonts w:ascii="Arial" w:cs="Arial" w:eastAsia="Arial" w:hAnsi="Arial"/>
          <w:sz w:val="14"/>
          <w:szCs w:val="14"/>
          <w:color w:val="auto"/>
        </w:rPr>
        <w:t>Except as expressly modified or amended by this AGREEMENT, all terms, covenants and conditions of the LEASE shall remain the same.</w:t>
      </w:r>
    </w:p>
    <w:p>
      <w:pPr>
        <w:spacing w:after="0" w:line="132"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b w:val="1"/>
          <w:bCs w:val="1"/>
          <w:i w:val="1"/>
          <w:iCs w:val="1"/>
          <w:color w:val="auto"/>
        </w:rPr>
        <w:t>In witness whereof</w:t>
      </w:r>
      <w:r>
        <w:rPr>
          <w:rFonts w:ascii="Arial" w:cs="Arial" w:eastAsia="Arial" w:hAnsi="Arial"/>
          <w:sz w:val="14"/>
          <w:szCs w:val="14"/>
          <w:color w:val="auto"/>
        </w:rPr>
        <w:t>, LANDLORD and TENANT have caused this AGREEMENT to be executed as of this 26th day of March 2013, and do hereby declare this AGREEMENT to be binding on them,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their respective successors and assigns.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gridSpan w:val="2"/>
          </w:tcPr>
          <w:p>
            <w:pPr>
              <w:spacing w:after="0"/>
              <w:rPr>
                <w:sz w:val="20"/>
                <w:szCs w:val="20"/>
                <w:color w:val="auto"/>
              </w:rPr>
            </w:pPr>
            <w:r>
              <w:rPr>
                <w:rFonts w:ascii="Arial" w:cs="Arial" w:eastAsia="Arial" w:hAnsi="Arial"/>
                <w:sz w:val="14"/>
                <w:szCs w:val="14"/>
                <w:color w:val="auto"/>
              </w:rPr>
              <w:t>WITNESS:</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LANDLORD:</w:t>
            </w:r>
          </w:p>
        </w:tc>
      </w:tr>
      <w:tr>
        <w:trPr>
          <w:trHeight w:val="334"/>
        </w:trPr>
        <w:tc>
          <w:tcPr>
            <w:tcW w:w="5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RED GATE III LLC</w:t>
            </w:r>
          </w:p>
        </w:tc>
      </w:tr>
      <w:tr>
        <w:trPr>
          <w:trHeight w:val="335"/>
        </w:trPr>
        <w:tc>
          <w:tcPr>
            <w:tcW w:w="6120" w:type="dxa"/>
            <w:vAlign w:val="bottom"/>
            <w:gridSpan w:val="2"/>
          </w:tcPr>
          <w:p>
            <w:pPr>
              <w:spacing w:after="0"/>
              <w:rPr>
                <w:sz w:val="20"/>
                <w:szCs w:val="20"/>
                <w:color w:val="auto"/>
              </w:rPr>
            </w:pPr>
            <w:r>
              <w:rPr>
                <w:rFonts w:ascii="Arial" w:cs="Arial" w:eastAsia="Arial" w:hAnsi="Arial"/>
                <w:sz w:val="14"/>
                <w:szCs w:val="14"/>
                <w:color w:val="auto"/>
              </w:rPr>
              <w:t>illegible</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/s/ William M. Rickman</w:t>
            </w:r>
          </w:p>
        </w:tc>
      </w:tr>
      <w:tr>
        <w:trPr>
          <w:trHeight w:val="164"/>
        </w:trPr>
        <w:tc>
          <w:tcPr>
            <w:tcW w:w="558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3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By:  William M. Rickman</w:t>
            </w:r>
          </w:p>
        </w:tc>
        <w:tc>
          <w:tcPr>
            <w:tcW w:w="20" w:type="dxa"/>
            <w:vAlign w:val="bottom"/>
          </w:tcPr>
          <w:p>
            <w:pPr>
              <w:spacing w:after="0"/>
              <w:rPr>
                <w:sz w:val="14"/>
                <w:szCs w:val="14"/>
                <w:color w:val="auto"/>
              </w:rPr>
            </w:pPr>
          </w:p>
        </w:tc>
      </w:tr>
      <w:tr>
        <w:trPr>
          <w:trHeight w:val="327"/>
        </w:trPr>
        <w:tc>
          <w:tcPr>
            <w:tcW w:w="6120" w:type="dxa"/>
            <w:vAlign w:val="bottom"/>
            <w:gridSpan w:val="2"/>
          </w:tcPr>
          <w:p>
            <w:pPr>
              <w:spacing w:after="0"/>
              <w:rPr>
                <w:sz w:val="20"/>
                <w:szCs w:val="20"/>
                <w:color w:val="auto"/>
              </w:rPr>
            </w:pPr>
            <w:r>
              <w:rPr>
                <w:rFonts w:ascii="Arial" w:cs="Arial" w:eastAsia="Arial" w:hAnsi="Arial"/>
                <w:sz w:val="14"/>
                <w:szCs w:val="14"/>
                <w:color w:val="auto"/>
              </w:rPr>
              <w:t>WITNESS:</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TENANT:</w:t>
            </w:r>
          </w:p>
        </w:tc>
      </w:tr>
      <w:tr>
        <w:trPr>
          <w:trHeight w:val="334"/>
        </w:trPr>
        <w:tc>
          <w:tcPr>
            <w:tcW w:w="5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MACROGENICS, INC.</w:t>
            </w:r>
          </w:p>
        </w:tc>
      </w:tr>
      <w:tr>
        <w:trPr>
          <w:trHeight w:val="335"/>
        </w:trPr>
        <w:tc>
          <w:tcPr>
            <w:tcW w:w="6120" w:type="dxa"/>
            <w:vAlign w:val="bottom"/>
            <w:gridSpan w:val="2"/>
          </w:tcPr>
          <w:p>
            <w:pPr>
              <w:spacing w:after="0"/>
              <w:rPr>
                <w:sz w:val="20"/>
                <w:szCs w:val="20"/>
                <w:color w:val="auto"/>
              </w:rPr>
            </w:pPr>
            <w:r>
              <w:rPr>
                <w:rFonts w:ascii="Arial" w:cs="Arial" w:eastAsia="Arial" w:hAnsi="Arial"/>
                <w:sz w:val="14"/>
                <w:szCs w:val="14"/>
                <w:color w:val="auto"/>
              </w:rPr>
              <w:t>illegible</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/s/ Scott Koenig</w:t>
            </w:r>
          </w:p>
        </w:tc>
      </w:tr>
      <w:tr>
        <w:trPr>
          <w:trHeight w:val="164"/>
        </w:trPr>
        <w:tc>
          <w:tcPr>
            <w:tcW w:w="558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3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By:  Scott Koenig</w:t>
            </w:r>
          </w:p>
        </w:tc>
        <w:tc>
          <w:tcPr>
            <w:tcW w:w="20" w:type="dxa"/>
            <w:vAlign w:val="bottom"/>
          </w:tcPr>
          <w:p>
            <w:pPr>
              <w:spacing w:after="0"/>
              <w:rPr>
                <w:sz w:val="14"/>
                <w:szCs w:val="14"/>
                <w:color w:val="auto"/>
              </w:rPr>
            </w:pPr>
          </w:p>
        </w:tc>
      </w:tr>
      <w:tr>
        <w:trPr>
          <w:trHeight w:val="269"/>
        </w:trPr>
        <w:tc>
          <w:tcPr>
            <w:tcW w:w="6120" w:type="dxa"/>
            <w:vAlign w:val="bottom"/>
            <w:gridSpan w:val="2"/>
          </w:tcPr>
          <w:p>
            <w:pPr>
              <w:spacing w:after="0"/>
              <w:rPr>
                <w:sz w:val="20"/>
                <w:szCs w:val="20"/>
                <w:color w:val="auto"/>
              </w:rPr>
            </w:pPr>
            <w:r>
              <w:rPr>
                <w:rFonts w:ascii="Arial" w:cs="Arial" w:eastAsia="Arial" w:hAnsi="Arial"/>
                <w:sz w:val="14"/>
                <w:szCs w:val="14"/>
                <w:color w:val="auto"/>
              </w:rPr>
              <w:t>Macrogenics Inc.</w:t>
            </w:r>
          </w:p>
        </w:tc>
        <w:tc>
          <w:tcPr>
            <w:tcW w:w="5360" w:type="dxa"/>
            <w:vAlign w:val="bottom"/>
            <w:gridSpan w:val="2"/>
          </w:tcPr>
          <w:p>
            <w:pPr>
              <w:jc w:val="right"/>
              <w:ind w:right="20"/>
              <w:spacing w:after="0"/>
              <w:rPr>
                <w:sz w:val="20"/>
                <w:szCs w:val="20"/>
                <w:color w:val="auto"/>
              </w:rPr>
            </w:pPr>
            <w:r>
              <w:rPr>
                <w:rFonts w:ascii="Arial" w:cs="Arial" w:eastAsia="Arial" w:hAnsi="Arial"/>
                <w:sz w:val="14"/>
                <w:szCs w:val="14"/>
                <w:color w:val="auto"/>
              </w:rPr>
              <w:t>First Amendment</w:t>
            </w:r>
          </w:p>
        </w:tc>
      </w:tr>
      <w:tr>
        <w:trPr>
          <w:trHeight w:val="173"/>
        </w:trPr>
        <w:tc>
          <w:tcPr>
            <w:tcW w:w="6120" w:type="dxa"/>
            <w:vAlign w:val="bottom"/>
            <w:gridSpan w:val="2"/>
          </w:tcPr>
          <w:p>
            <w:pPr>
              <w:spacing w:after="0"/>
              <w:rPr>
                <w:sz w:val="20"/>
                <w:szCs w:val="20"/>
                <w:color w:val="auto"/>
              </w:rPr>
            </w:pPr>
            <w:r>
              <w:rPr>
                <w:rFonts w:ascii="Arial" w:cs="Arial" w:eastAsia="Arial" w:hAnsi="Arial"/>
                <w:sz w:val="14"/>
                <w:szCs w:val="14"/>
                <w:color w:val="auto"/>
              </w:rPr>
              <w:t>9640 Medical Center Drive</w:t>
            </w:r>
          </w:p>
        </w:tc>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8"/>
        </w:trPr>
        <w:tc>
          <w:tcPr>
            <w:tcW w:w="6120" w:type="dxa"/>
            <w:vAlign w:val="bottom"/>
            <w:gridSpan w:val="2"/>
          </w:tcPr>
          <w:p>
            <w:pPr>
              <w:spacing w:after="0"/>
              <w:rPr>
                <w:sz w:val="20"/>
                <w:szCs w:val="20"/>
                <w:color w:val="auto"/>
              </w:rPr>
            </w:pPr>
            <w:r>
              <w:rPr>
                <w:rFonts w:ascii="Arial" w:cs="Arial" w:eastAsia="Arial" w:hAnsi="Arial"/>
                <w:sz w:val="14"/>
                <w:szCs w:val="14"/>
                <w:color w:val="auto"/>
              </w:rPr>
              <w:t>Rockville, Maryland</w:t>
            </w:r>
          </w:p>
        </w:tc>
        <w:tc>
          <w:tcPr>
            <w:tcW w:w="5360" w:type="dxa"/>
            <w:vAlign w:val="bottom"/>
            <w:gridSpan w:val="2"/>
          </w:tcPr>
          <w:p>
            <w:pPr>
              <w:jc w:val="right"/>
              <w:ind w:right="20"/>
              <w:spacing w:after="0"/>
              <w:rPr>
                <w:sz w:val="20"/>
                <w:szCs w:val="20"/>
                <w:color w:val="auto"/>
              </w:rPr>
            </w:pPr>
            <w:r>
              <w:rPr>
                <w:rFonts w:ascii="Arial" w:cs="Arial" w:eastAsia="Arial" w:hAnsi="Arial"/>
                <w:sz w:val="14"/>
                <w:szCs w:val="14"/>
                <w:color w:val="auto"/>
              </w:rPr>
              <w:t>Page 1 of 2</w:t>
            </w:r>
          </w:p>
        </w:tc>
      </w:tr>
    </w:tbl>
    <w:p>
      <w:pPr>
        <w:sectPr>
          <w:pgSz w:w="11900" w:h="16838" w:orient="portrait"/>
          <w:cols w:equalWidth="0" w:num="1">
            <w:col w:w="11460"/>
          </w:cols>
          <w:pgMar w:left="220" w:top="130" w:right="219" w:bottom="1440" w:gutter="0" w:footer="0" w:header="0"/>
        </w:sectPr>
      </w:pPr>
    </w:p>
    <w:bookmarkStart w:id="351" w:name="page352"/>
    <w:bookmarkEnd w:id="3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Macrogenics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-6689725</wp:posOffset>
            </wp:positionH>
            <wp:positionV relativeFrom="paragraph">
              <wp:posOffset>-5880100</wp:posOffset>
            </wp:positionV>
            <wp:extent cx="7316470" cy="5725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316470" cy="572516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9800" w:space="720"/>
            <w:col w:w="940"/>
          </w:cols>
          <w:pgMar w:left="220" w:top="1440" w:right="219" w:bottom="1440" w:gutter="0" w:footer="0" w:header="0"/>
        </w:sectPr>
      </w:pPr>
    </w:p>
    <w:p>
      <w:pPr>
        <w:spacing w:after="0"/>
        <w:rPr>
          <w:sz w:val="20"/>
          <w:szCs w:val="20"/>
          <w:color w:val="auto"/>
        </w:rPr>
      </w:pPr>
      <w:r>
        <w:rPr>
          <w:rFonts w:ascii="Arial" w:cs="Arial" w:eastAsia="Arial" w:hAnsi="Arial"/>
          <w:sz w:val="12"/>
          <w:szCs w:val="12"/>
          <w:color w:val="auto"/>
        </w:rPr>
        <w:t>9640 Medical Center Drive</w:t>
      </w:r>
    </w:p>
    <w:p>
      <w:pPr>
        <w:sectPr>
          <w:pgSz w:w="11900" w:h="16838" w:orient="portrait"/>
          <w:cols w:equalWidth="0" w:num="1">
            <w:col w:w="11460"/>
          </w:cols>
          <w:pgMar w:left="220" w:top="1440" w:right="2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Rockville, Maryland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Page 2 of 2</w:t>
      </w:r>
    </w:p>
    <w:p>
      <w:pPr>
        <w:sectPr>
          <w:pgSz w:w="11900" w:h="16838" w:orient="portrait"/>
          <w:cols w:equalWidth="0" w:num="2">
            <w:col w:w="10120" w:space="720"/>
            <w:col w:w="620"/>
          </w:cols>
          <w:pgMar w:left="220" w:top="1440" w:right="219" w:bottom="1440" w:gutter="0" w:footer="0" w:header="0"/>
          <w:type w:val="continuous"/>
        </w:sectPr>
      </w:pPr>
    </w:p>
    <w:bookmarkStart w:id="352" w:name="page353"/>
    <w:bookmarkEnd w:id="352"/>
    <w:p>
      <w:pPr>
        <w:jc w:val="right"/>
        <w:spacing w:after="0"/>
        <w:rPr>
          <w:sz w:val="20"/>
          <w:szCs w:val="20"/>
          <w:color w:val="auto"/>
        </w:rPr>
      </w:pPr>
      <w:r>
        <w:rPr>
          <w:rFonts w:ascii="Arial" w:cs="Arial" w:eastAsia="Arial" w:hAnsi="Arial"/>
          <w:sz w:val="14"/>
          <w:szCs w:val="14"/>
          <w:b w:val="1"/>
          <w:bCs w:val="1"/>
          <w:color w:val="auto"/>
        </w:rPr>
        <w:t>Exhibit 10.10</w:t>
      </w:r>
    </w:p>
    <w:p>
      <w:pPr>
        <w:spacing w:after="0" w:line="132"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LEASE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THIS LEASE AGREEMENT, made this 2</w:t>
      </w:r>
      <w:r>
        <w:rPr>
          <w:rFonts w:ascii="Arial" w:cs="Arial" w:eastAsia="Arial" w:hAnsi="Arial"/>
          <w:sz w:val="7"/>
          <w:szCs w:val="7"/>
          <w:color w:val="auto"/>
        </w:rPr>
        <w:t>nd</w:t>
      </w:r>
      <w:r>
        <w:rPr>
          <w:rFonts w:ascii="Arial" w:cs="Arial" w:eastAsia="Arial" w:hAnsi="Arial"/>
          <w:sz w:val="12"/>
          <w:szCs w:val="12"/>
          <w:color w:val="auto"/>
        </w:rPr>
        <w:t xml:space="preserve"> day of December 2004, by and between W. M. RICKMAN CONSTRUCTION CO. LLC (“LANDLORD”) and MACRO GENICS, INC. (“TENANT”).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WITNESSETH:</w:t>
      </w:r>
    </w:p>
    <w:p>
      <w:pPr>
        <w:spacing w:after="0" w:line="163" w:lineRule="exact"/>
        <w:rPr>
          <w:sz w:val="20"/>
          <w:szCs w:val="20"/>
          <w:color w:val="auto"/>
        </w:rPr>
      </w:pPr>
    </w:p>
    <w:p>
      <w:pPr>
        <w:ind w:left="460" w:hanging="456"/>
        <w:spacing w:after="0"/>
        <w:tabs>
          <w:tab w:leader="none" w:pos="460" w:val="left"/>
        </w:tabs>
        <w:numPr>
          <w:ilvl w:val="0"/>
          <w:numId w:val="267"/>
        </w:numPr>
        <w:rPr>
          <w:rFonts w:ascii="Arial" w:cs="Arial" w:eastAsia="Arial" w:hAnsi="Arial"/>
          <w:sz w:val="14"/>
          <w:szCs w:val="14"/>
          <w:b w:val="1"/>
          <w:bCs w:val="1"/>
          <w:color w:val="auto"/>
        </w:rPr>
      </w:pPr>
      <w:r>
        <w:rPr>
          <w:rFonts w:ascii="Arial" w:cs="Arial" w:eastAsia="Arial" w:hAnsi="Arial"/>
          <w:sz w:val="14"/>
          <w:szCs w:val="14"/>
          <w:b w:val="1"/>
          <w:bCs w:val="1"/>
          <w:color w:val="auto"/>
        </w:rPr>
        <w:t>DEMISE OF PREMISES</w:t>
      </w:r>
    </w:p>
    <w:p>
      <w:pPr>
        <w:spacing w:after="0" w:line="70" w:lineRule="exact"/>
        <w:rPr>
          <w:rFonts w:ascii="Arial" w:cs="Arial" w:eastAsia="Arial" w:hAnsi="Arial"/>
          <w:sz w:val="14"/>
          <w:szCs w:val="14"/>
          <w:b w:val="1"/>
          <w:bCs w:val="1"/>
          <w:color w:val="auto"/>
        </w:rPr>
      </w:pPr>
    </w:p>
    <w:p>
      <w:pPr>
        <w:ind w:left="460" w:right="20"/>
        <w:spacing w:after="0" w:line="351" w:lineRule="auto"/>
        <w:rPr>
          <w:rFonts w:ascii="Arial" w:cs="Arial" w:eastAsia="Arial" w:hAnsi="Arial"/>
          <w:sz w:val="14"/>
          <w:szCs w:val="14"/>
          <w:b w:val="1"/>
          <w:bCs w:val="1"/>
          <w:color w:val="auto"/>
        </w:rPr>
      </w:pPr>
      <w:r>
        <w:rPr>
          <w:rFonts w:ascii="Arial" w:cs="Arial" w:eastAsia="Arial" w:hAnsi="Arial"/>
          <w:sz w:val="12"/>
          <w:szCs w:val="12"/>
          <w:color w:val="auto"/>
        </w:rPr>
        <w:t>Landlord hereby demises unto Tenant, and Tenant hereby leases from Landlord for the terms and upon the conditions set forth in this Lease approximately 15,180 square feet of space on the second floor in the building located at 15235 Shady Grove Road, Rockville, Maryland (the “Building”), as set forth on Exhibit A, hereto attached, said space being referred to as the “Premises.”</w:t>
      </w:r>
    </w:p>
    <w:p>
      <w:pPr>
        <w:spacing w:after="0" w:line="85" w:lineRule="exact"/>
        <w:rPr>
          <w:rFonts w:ascii="Arial" w:cs="Arial" w:eastAsia="Arial" w:hAnsi="Arial"/>
          <w:sz w:val="14"/>
          <w:szCs w:val="14"/>
          <w:b w:val="1"/>
          <w:bCs w:val="1"/>
          <w:color w:val="auto"/>
        </w:rPr>
      </w:pPr>
    </w:p>
    <w:p>
      <w:pPr>
        <w:ind w:left="460" w:hanging="456"/>
        <w:spacing w:after="0"/>
        <w:tabs>
          <w:tab w:leader="none" w:pos="460" w:val="left"/>
        </w:tabs>
        <w:numPr>
          <w:ilvl w:val="0"/>
          <w:numId w:val="267"/>
        </w:numPr>
        <w:rPr>
          <w:rFonts w:ascii="Arial" w:cs="Arial" w:eastAsia="Arial" w:hAnsi="Arial"/>
          <w:sz w:val="14"/>
          <w:szCs w:val="14"/>
          <w:b w:val="1"/>
          <w:bCs w:val="1"/>
          <w:color w:val="auto"/>
        </w:rPr>
      </w:pPr>
      <w:r>
        <w:rPr>
          <w:rFonts w:ascii="Arial" w:cs="Arial" w:eastAsia="Arial" w:hAnsi="Arial"/>
          <w:sz w:val="14"/>
          <w:szCs w:val="14"/>
          <w:b w:val="1"/>
          <w:bCs w:val="1"/>
          <w:color w:val="auto"/>
        </w:rPr>
        <w:t>TERM</w:t>
      </w:r>
    </w:p>
    <w:p>
      <w:pPr>
        <w:spacing w:after="0" w:line="70" w:lineRule="exact"/>
        <w:rPr>
          <w:rFonts w:ascii="Arial" w:cs="Arial" w:eastAsia="Arial" w:hAnsi="Arial"/>
          <w:sz w:val="14"/>
          <w:szCs w:val="14"/>
          <w:b w:val="1"/>
          <w:bCs w:val="1"/>
          <w:color w:val="auto"/>
        </w:rPr>
      </w:pPr>
    </w:p>
    <w:p>
      <w:pPr>
        <w:ind w:left="460" w:right="8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term of this Lease shall be for a period of 7 years, commencing on the 1</w:t>
      </w:r>
      <w:r>
        <w:rPr>
          <w:rFonts w:ascii="Arial" w:cs="Arial" w:eastAsia="Arial" w:hAnsi="Arial"/>
          <w:sz w:val="8"/>
          <w:szCs w:val="8"/>
          <w:color w:val="auto"/>
        </w:rPr>
        <w:t>st</w:t>
      </w:r>
      <w:r>
        <w:rPr>
          <w:rFonts w:ascii="Arial" w:cs="Arial" w:eastAsia="Arial" w:hAnsi="Arial"/>
          <w:sz w:val="14"/>
          <w:szCs w:val="14"/>
          <w:color w:val="auto"/>
        </w:rPr>
        <w:t xml:space="preserve"> day of December 2004, and terminating on the 30th day of November 2011, with an option for an additional 5 years on the same terms and conditions in this Lease, provided that Tenant shall have given the Landlord written notice of Tenant’s intention to do so at least six (6) months prior to the expiration of this Lease and that Tenant is not in default under this Lease.</w:t>
      </w:r>
    </w:p>
    <w:p>
      <w:pPr>
        <w:spacing w:after="0" w:line="44" w:lineRule="exact"/>
        <w:rPr>
          <w:rFonts w:ascii="Arial" w:cs="Arial" w:eastAsia="Arial" w:hAnsi="Arial"/>
          <w:sz w:val="14"/>
          <w:szCs w:val="14"/>
          <w:b w:val="1"/>
          <w:bCs w:val="1"/>
          <w:color w:val="auto"/>
        </w:rPr>
      </w:pPr>
    </w:p>
    <w:p>
      <w:pPr>
        <w:ind w:left="460" w:right="20"/>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In the event the Landlord is not able to deliver possession of the Premises to Tenant because the W. M. Rickman Construction Co. LLC and Charles River Laboratories, Inc. fail to execute a Lease Termination Agreement between them for the Premises this Lease Agreement is null and void. Should the W. M. Rickman Construction Co. LLC and Charles River Laboratories, Inc. execute a Lease Termination Agreement, then this Lease shall commence upon the termination of the lease between W. M. Rickman Construction Co. LLC and Charles River Laboratories, Inc. which is anticipated to be no later than January 1, 2005. Should the commencement date extend past December 1, 2004, the expiration date shall be similarly extended.</w:t>
      </w:r>
    </w:p>
    <w:p>
      <w:pPr>
        <w:spacing w:after="0" w:line="16"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Further, should the Lease Termination Agreement not be signed by January 1, 2005 this Lease is null and void.</w:t>
      </w:r>
    </w:p>
    <w:p>
      <w:pPr>
        <w:spacing w:after="0" w:line="160" w:lineRule="exact"/>
        <w:rPr>
          <w:rFonts w:ascii="Arial" w:cs="Arial" w:eastAsia="Arial" w:hAnsi="Arial"/>
          <w:sz w:val="14"/>
          <w:szCs w:val="14"/>
          <w:b w:val="1"/>
          <w:bCs w:val="1"/>
          <w:color w:val="auto"/>
        </w:rPr>
      </w:pPr>
    </w:p>
    <w:p>
      <w:pPr>
        <w:ind w:left="460" w:hanging="456"/>
        <w:spacing w:after="0"/>
        <w:tabs>
          <w:tab w:leader="none" w:pos="460" w:val="left"/>
        </w:tabs>
        <w:numPr>
          <w:ilvl w:val="0"/>
          <w:numId w:val="267"/>
        </w:numPr>
        <w:rPr>
          <w:rFonts w:ascii="Arial" w:cs="Arial" w:eastAsia="Arial" w:hAnsi="Arial"/>
          <w:sz w:val="14"/>
          <w:szCs w:val="14"/>
          <w:b w:val="1"/>
          <w:bCs w:val="1"/>
          <w:color w:val="auto"/>
        </w:rPr>
      </w:pPr>
      <w:r>
        <w:rPr>
          <w:rFonts w:ascii="Arial" w:cs="Arial" w:eastAsia="Arial" w:hAnsi="Arial"/>
          <w:sz w:val="14"/>
          <w:szCs w:val="14"/>
          <w:b w:val="1"/>
          <w:bCs w:val="1"/>
          <w:color w:val="auto"/>
        </w:rPr>
        <w:t>RENT</w:t>
      </w:r>
    </w:p>
    <w:p>
      <w:pPr>
        <w:spacing w:after="0" w:line="70" w:lineRule="exact"/>
        <w:rPr>
          <w:rFonts w:ascii="Arial" w:cs="Arial" w:eastAsia="Arial" w:hAnsi="Arial"/>
          <w:sz w:val="14"/>
          <w:szCs w:val="14"/>
          <w:b w:val="1"/>
          <w:bCs w:val="1"/>
          <w:color w:val="auto"/>
        </w:rPr>
      </w:pPr>
    </w:p>
    <w:p>
      <w:pPr>
        <w:ind w:left="460" w:right="60"/>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The Tenant shall pay to the Landlord an annual rental (herein called “Minimum Rent”) in the amount of Three Hundred Thirty Three Thousand Nine Hundred Sixty and NO/100 DOLLARS ($333,960.00), subject to adjustment as hereinafter set forth, payable without deduction or set off in equal monthly installments of Twenty Seven Thousand Eight Hundred Thirty and NO/100 DOLLARS ($27,830.00) in advance, the first installment of which is due and payable upon signing of the Lease and upon commencement ail subsequent installments due and payable on the first day of each calendar month thereafter during the term of the Lease until the total rent provided for herein is paid. No payment by Tenant</w:t>
      </w:r>
    </w:p>
    <w:p>
      <w:pPr>
        <w:spacing w:after="0" w:line="68"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1</w:t>
      </w:r>
    </w:p>
    <w:p>
      <w:pPr>
        <w:sectPr>
          <w:pgSz w:w="11900" w:h="16838" w:orient="portrait"/>
          <w:cols w:equalWidth="0" w:num="1">
            <w:col w:w="11460"/>
          </w:cols>
          <w:pgMar w:left="220" w:top="130" w:right="219" w:bottom="1440" w:gutter="0" w:footer="0" w:header="0"/>
        </w:sectPr>
      </w:pPr>
    </w:p>
    <w:bookmarkStart w:id="353" w:name="page354"/>
    <w:bookmarkEnd w:id="353"/>
    <w:p>
      <w:pPr>
        <w:ind w:left="460"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or receipt of Landlord of a lesser amount than a monthly installment of rent herein stipulated, or endorsement or statement on any check or any letter accompanying any check for payment as rent be deemed an accord and satisfaction, and Landlord may accept such check for payment without prejudice to Landlord’s right to recover the balance of such rent or pursue any other remedy provided for in this Lease.</w:t>
      </w:r>
    </w:p>
    <w:p>
      <w:pPr>
        <w:spacing w:after="0" w:line="137" w:lineRule="exact"/>
        <w:rPr>
          <w:sz w:val="20"/>
          <w:szCs w:val="20"/>
          <w:color w:val="auto"/>
        </w:rPr>
      </w:pPr>
    </w:p>
    <w:p>
      <w:pPr>
        <w:ind w:left="460" w:hanging="456"/>
        <w:spacing w:after="0"/>
        <w:tabs>
          <w:tab w:leader="none" w:pos="460" w:val="left"/>
        </w:tabs>
        <w:numPr>
          <w:ilvl w:val="0"/>
          <w:numId w:val="268"/>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 OF MINIMUM RENT</w:t>
      </w:r>
    </w:p>
    <w:p>
      <w:pPr>
        <w:spacing w:after="0" w:line="70" w:lineRule="exact"/>
        <w:rPr>
          <w:rFonts w:ascii="Arial" w:cs="Arial" w:eastAsia="Arial" w:hAnsi="Arial"/>
          <w:sz w:val="14"/>
          <w:szCs w:val="14"/>
          <w:b w:val="1"/>
          <w:bCs w:val="1"/>
          <w:color w:val="auto"/>
        </w:rPr>
      </w:pPr>
    </w:p>
    <w:p>
      <w:pPr>
        <w:ind w:left="460" w:right="22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The Minimum Rent shall be increased at the end of each lease year during the term hereby by three percent (3%) of the rent then being paid. There shall be no additional pass-throughs of increases in operating expenses except for real estate taxes or as otherwise provided for herein.</w:t>
      </w:r>
    </w:p>
    <w:p>
      <w:pPr>
        <w:spacing w:after="0" w:line="130" w:lineRule="exact"/>
        <w:rPr>
          <w:rFonts w:ascii="Arial" w:cs="Arial" w:eastAsia="Arial" w:hAnsi="Arial"/>
          <w:sz w:val="14"/>
          <w:szCs w:val="14"/>
          <w:b w:val="1"/>
          <w:bCs w:val="1"/>
          <w:color w:val="auto"/>
        </w:rPr>
      </w:pPr>
    </w:p>
    <w:p>
      <w:pPr>
        <w:ind w:left="460" w:hanging="456"/>
        <w:spacing w:after="0"/>
        <w:tabs>
          <w:tab w:leader="none" w:pos="460" w:val="left"/>
        </w:tabs>
        <w:numPr>
          <w:ilvl w:val="0"/>
          <w:numId w:val="268"/>
        </w:numPr>
        <w:rPr>
          <w:rFonts w:ascii="Arial" w:cs="Arial" w:eastAsia="Arial" w:hAnsi="Arial"/>
          <w:sz w:val="14"/>
          <w:szCs w:val="14"/>
          <w:b w:val="1"/>
          <w:bCs w:val="1"/>
          <w:color w:val="auto"/>
        </w:rPr>
      </w:pPr>
      <w:r>
        <w:rPr>
          <w:rFonts w:ascii="Arial" w:cs="Arial" w:eastAsia="Arial" w:hAnsi="Arial"/>
          <w:sz w:val="14"/>
          <w:szCs w:val="14"/>
          <w:b w:val="1"/>
          <w:bCs w:val="1"/>
          <w:color w:val="auto"/>
        </w:rPr>
        <w:t>REAL ESTATE TAXES</w:t>
      </w:r>
    </w:p>
    <w:p>
      <w:pPr>
        <w:spacing w:after="0" w:line="70" w:lineRule="exact"/>
        <w:rPr>
          <w:rFonts w:ascii="Arial" w:cs="Arial" w:eastAsia="Arial" w:hAnsi="Arial"/>
          <w:sz w:val="14"/>
          <w:szCs w:val="14"/>
          <w:b w:val="1"/>
          <w:bCs w:val="1"/>
          <w:color w:val="auto"/>
        </w:rPr>
      </w:pPr>
    </w:p>
    <w:p>
      <w:pPr>
        <w:jc w:val="both"/>
        <w:ind w:left="460" w:right="20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In the event the real estate taxes levied or assessed against the land and Building on which the Premises are a part in future tax years are greater than the real estate taxes for the Base Year, the Tenant shall pay within fifteen (15) days after submission of the bill to Tenant for the increase in real estate taxes, as additional rent, a proportionate share of such increase, which proportionate share shall be computed at 31.2% of the increase in taxes, but shall exclude any fine, penalty, or interest charge for late or non-payment of taxes by Landlord. The Base Year shall be July 1, 2004, to June 30, 2005.</w:t>
      </w:r>
    </w:p>
    <w:p>
      <w:pPr>
        <w:spacing w:after="0" w:line="10" w:lineRule="exact"/>
        <w:rPr>
          <w:rFonts w:ascii="Arial" w:cs="Arial" w:eastAsia="Arial" w:hAnsi="Arial"/>
          <w:sz w:val="14"/>
          <w:szCs w:val="14"/>
          <w:b w:val="1"/>
          <w:bCs w:val="1"/>
          <w:color w:val="auto"/>
        </w:rPr>
      </w:pPr>
    </w:p>
    <w:p>
      <w:pPr>
        <w:ind w:left="460" w:right="2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Any reasonable expense incurred by Landlord (including counsel fees) in contesting any tax increase shall be included as an item of taxes for the purpose of computing additional rent due Landlord. Landlord, however, shall be under no obligation to contest any tax increase.</w:t>
      </w:r>
    </w:p>
    <w:p>
      <w:pPr>
        <w:spacing w:after="0" w:line="130" w:lineRule="exact"/>
        <w:rPr>
          <w:rFonts w:ascii="Arial" w:cs="Arial" w:eastAsia="Arial" w:hAnsi="Arial"/>
          <w:sz w:val="14"/>
          <w:szCs w:val="14"/>
          <w:b w:val="1"/>
          <w:bCs w:val="1"/>
          <w:color w:val="auto"/>
        </w:rPr>
      </w:pPr>
    </w:p>
    <w:p>
      <w:pPr>
        <w:ind w:left="460" w:hanging="456"/>
        <w:spacing w:after="0"/>
        <w:tabs>
          <w:tab w:leader="none" w:pos="460" w:val="left"/>
        </w:tabs>
        <w:numPr>
          <w:ilvl w:val="0"/>
          <w:numId w:val="268"/>
        </w:numPr>
        <w:rPr>
          <w:rFonts w:ascii="Arial" w:cs="Arial" w:eastAsia="Arial" w:hAnsi="Arial"/>
          <w:sz w:val="14"/>
          <w:szCs w:val="14"/>
          <w:b w:val="1"/>
          <w:bCs w:val="1"/>
          <w:color w:val="auto"/>
        </w:rPr>
      </w:pPr>
      <w:r>
        <w:rPr>
          <w:rFonts w:ascii="Arial" w:cs="Arial" w:eastAsia="Arial" w:hAnsi="Arial"/>
          <w:sz w:val="14"/>
          <w:szCs w:val="14"/>
          <w:b w:val="1"/>
          <w:bCs w:val="1"/>
          <w:color w:val="auto"/>
        </w:rPr>
        <w:t>UTILITIES</w:t>
      </w:r>
    </w:p>
    <w:p>
      <w:pPr>
        <w:spacing w:after="0" w:line="70" w:lineRule="exact"/>
        <w:rPr>
          <w:rFonts w:ascii="Arial" w:cs="Arial" w:eastAsia="Arial" w:hAnsi="Arial"/>
          <w:sz w:val="14"/>
          <w:szCs w:val="14"/>
          <w:b w:val="1"/>
          <w:bCs w:val="1"/>
          <w:color w:val="auto"/>
        </w:rPr>
      </w:pPr>
    </w:p>
    <w:p>
      <w:pPr>
        <w:ind w:left="460" w:right="44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Tenant shall be responsible for the payment of all utilities used or consumed by the Tenant in and upon the Premises. Electric and Gas shall be separately metered. Water shall be either separately metered or an equitable allocation made between the Tenants in the Building based on the quantity of water consumed. In the event any utility service to the Premises shall be interrupted for a continuous period of more than two (2) days due to the gross negligence or willful misconduct of Landlord, its agents or servants, the Minimum Rent shall abate until such services are rendered.</w:t>
      </w:r>
    </w:p>
    <w:p>
      <w:pPr>
        <w:spacing w:after="0" w:line="10" w:lineRule="exact"/>
        <w:rPr>
          <w:rFonts w:ascii="Arial" w:cs="Arial" w:eastAsia="Arial" w:hAnsi="Arial"/>
          <w:sz w:val="14"/>
          <w:szCs w:val="14"/>
          <w:b w:val="1"/>
          <w:bCs w:val="1"/>
          <w:color w:val="auto"/>
        </w:rPr>
      </w:pPr>
    </w:p>
    <w:p>
      <w:pPr>
        <w:ind w:left="460" w:right="12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shall not be liable to Tenant for any damage or inconvenience caused by the cessation or interruption of any utility service, or the elevators in the Building, occasioned by fire, accident, strike or other cause beyond Landlord’s control.</w:t>
      </w:r>
    </w:p>
    <w:p>
      <w:pPr>
        <w:spacing w:after="0" w:line="130" w:lineRule="exact"/>
        <w:rPr>
          <w:rFonts w:ascii="Arial" w:cs="Arial" w:eastAsia="Arial" w:hAnsi="Arial"/>
          <w:sz w:val="14"/>
          <w:szCs w:val="14"/>
          <w:b w:val="1"/>
          <w:bCs w:val="1"/>
          <w:color w:val="auto"/>
        </w:rPr>
      </w:pPr>
    </w:p>
    <w:p>
      <w:pPr>
        <w:ind w:left="460" w:hanging="456"/>
        <w:spacing w:after="0"/>
        <w:tabs>
          <w:tab w:leader="none" w:pos="460" w:val="left"/>
        </w:tabs>
        <w:numPr>
          <w:ilvl w:val="0"/>
          <w:numId w:val="268"/>
        </w:numPr>
        <w:rPr>
          <w:rFonts w:ascii="Arial" w:cs="Arial" w:eastAsia="Arial" w:hAnsi="Arial"/>
          <w:sz w:val="14"/>
          <w:szCs w:val="14"/>
          <w:b w:val="1"/>
          <w:bCs w:val="1"/>
          <w:color w:val="auto"/>
        </w:rPr>
      </w:pPr>
      <w:r>
        <w:rPr>
          <w:rFonts w:ascii="Arial" w:cs="Arial" w:eastAsia="Arial" w:hAnsi="Arial"/>
          <w:sz w:val="14"/>
          <w:szCs w:val="14"/>
          <w:b w:val="1"/>
          <w:bCs w:val="1"/>
          <w:color w:val="auto"/>
        </w:rPr>
        <w:t>USE OF PREMISES</w:t>
      </w:r>
    </w:p>
    <w:p>
      <w:pPr>
        <w:spacing w:after="0" w:line="70" w:lineRule="exact"/>
        <w:rPr>
          <w:rFonts w:ascii="Arial" w:cs="Arial" w:eastAsia="Arial" w:hAnsi="Arial"/>
          <w:sz w:val="14"/>
          <w:szCs w:val="14"/>
          <w:b w:val="1"/>
          <w:bCs w:val="1"/>
          <w:color w:val="auto"/>
        </w:rPr>
      </w:pPr>
    </w:p>
    <w:p>
      <w:pPr>
        <w:ind w:left="460" w:right="18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Tenant shall use the Premises only for Research Laboratories, Office, and Manufacturing purposes consistent with Tenant’s business, and for no other purpose, except as approved by Landlord in advance, in writing, which approval shall not be unreasonably withheld. Tenant shall not make any use of the Premises which would disturb the quiet enjoyment of the Landlord or other tenants in the Building or prejudice or increase the fire insurance premium for the Building, and shall comply with all laws and regulations of all governmental authorities pertaining to Tenant’s use of Premises.</w:t>
      </w:r>
    </w:p>
    <w:p>
      <w:pPr>
        <w:spacing w:after="0" w:line="63"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2</w:t>
      </w:r>
    </w:p>
    <w:p>
      <w:pPr>
        <w:sectPr>
          <w:pgSz w:w="11900" w:h="16838" w:orient="portrait"/>
          <w:cols w:equalWidth="0" w:num="1">
            <w:col w:w="11460"/>
          </w:cols>
          <w:pgMar w:left="220" w:top="247" w:right="219" w:bottom="1440" w:gutter="0" w:footer="0" w:header="0"/>
        </w:sectPr>
      </w:pPr>
    </w:p>
    <w:bookmarkStart w:id="354" w:name="page355"/>
    <w:bookmarkEnd w:id="354"/>
    <w:p>
      <w:pPr>
        <w:ind w:left="460" w:hanging="456"/>
        <w:spacing w:after="0"/>
        <w:tabs>
          <w:tab w:leader="none" w:pos="460" w:val="left"/>
        </w:tabs>
        <w:numPr>
          <w:ilvl w:val="0"/>
          <w:numId w:val="269"/>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WASTE REMOVAL</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Tenant shall be responsible for removal of waste generated by Tenant’s operation. This includes waste service fees levied by local jurisdictions.</w:t>
      </w:r>
    </w:p>
    <w:p>
      <w:pPr>
        <w:spacing w:after="0" w:line="160" w:lineRule="exact"/>
        <w:rPr>
          <w:rFonts w:ascii="Arial" w:cs="Arial" w:eastAsia="Arial" w:hAnsi="Arial"/>
          <w:sz w:val="14"/>
          <w:szCs w:val="14"/>
          <w:b w:val="1"/>
          <w:bCs w:val="1"/>
          <w:color w:val="auto"/>
        </w:rPr>
      </w:pPr>
    </w:p>
    <w:p>
      <w:pPr>
        <w:ind w:left="460" w:hanging="456"/>
        <w:spacing w:after="0"/>
        <w:tabs>
          <w:tab w:leader="none" w:pos="460" w:val="left"/>
        </w:tabs>
        <w:numPr>
          <w:ilvl w:val="0"/>
          <w:numId w:val="269"/>
        </w:numPr>
        <w:rPr>
          <w:rFonts w:ascii="Arial" w:cs="Arial" w:eastAsia="Arial" w:hAnsi="Arial"/>
          <w:sz w:val="14"/>
          <w:szCs w:val="14"/>
          <w:b w:val="1"/>
          <w:bCs w:val="1"/>
          <w:color w:val="auto"/>
        </w:rPr>
      </w:pPr>
      <w:r>
        <w:rPr>
          <w:rFonts w:ascii="Arial" w:cs="Arial" w:eastAsia="Arial" w:hAnsi="Arial"/>
          <w:sz w:val="14"/>
          <w:szCs w:val="14"/>
          <w:b w:val="1"/>
          <w:bCs w:val="1"/>
          <w:color w:val="auto"/>
        </w:rPr>
        <w:t>HAZARDOUS MATERIALS</w:t>
      </w:r>
    </w:p>
    <w:p>
      <w:pPr>
        <w:spacing w:after="0" w:line="70" w:lineRule="exact"/>
        <w:rPr>
          <w:rFonts w:ascii="Arial" w:cs="Arial" w:eastAsia="Arial" w:hAnsi="Arial"/>
          <w:sz w:val="14"/>
          <w:szCs w:val="14"/>
          <w:b w:val="1"/>
          <w:bCs w:val="1"/>
          <w:color w:val="auto"/>
        </w:rPr>
      </w:pPr>
    </w:p>
    <w:p>
      <w:pPr>
        <w:ind w:left="460" w:right="8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Tenant shall be permitted to store Hazardous Materials on the Premises and shall comply with all laws and regulations of all governmental authorities pertaining to Tenant’s use of the Premises, including, without limitation, all Environmental Laws (as hereinafter defined) and laws pertaining to Hazardous Materials and Air and Water Quality. The term “Hazardous Materials” means and includes any petroleum products and/or any hazardous toxic or other dangerous waste, substance or material defined as such in the Environmental Laws. The term “Environmental Laws” means the Comprehensive Environmental Response, Compensation and Liability Act, any “Superfund” or “Superlien” law, or any other federal, state or local statute, law, ordinance, code, regulation, order or decree regulating, relating to, or imposing liability or standards of conduct concerning the use or storage of Hazardous Materials. All such materials must be completely removed upon expiration of this Lease, and any de-contamination certificates required by the Landlord or any government authority must be obtained and delivered to the Landlord.</w:t>
      </w:r>
    </w:p>
    <w:p>
      <w:pPr>
        <w:spacing w:after="0" w:line="23" w:lineRule="exact"/>
        <w:rPr>
          <w:rFonts w:ascii="Arial" w:cs="Arial" w:eastAsia="Arial" w:hAnsi="Arial"/>
          <w:sz w:val="14"/>
          <w:szCs w:val="14"/>
          <w:b w:val="1"/>
          <w:bCs w:val="1"/>
          <w:color w:val="auto"/>
        </w:rPr>
      </w:pPr>
    </w:p>
    <w:p>
      <w:pPr>
        <w:ind w:left="460" w:right="20"/>
        <w:spacing w:after="0" w:line="255" w:lineRule="auto"/>
        <w:rPr>
          <w:rFonts w:ascii="Arial" w:cs="Arial" w:eastAsia="Arial" w:hAnsi="Arial"/>
          <w:sz w:val="14"/>
          <w:szCs w:val="14"/>
          <w:b w:val="1"/>
          <w:bCs w:val="1"/>
          <w:color w:val="auto"/>
        </w:rPr>
      </w:pPr>
      <w:r>
        <w:rPr>
          <w:rFonts w:ascii="Arial" w:cs="Arial" w:eastAsia="Arial" w:hAnsi="Arial"/>
          <w:sz w:val="14"/>
          <w:szCs w:val="14"/>
          <w:color w:val="auto"/>
        </w:rPr>
        <w:t>Tenant shall obtain and maintain, in full force and effect, all necessary government licenses, permits and approvals legally required for materials used in the conduct of its business. If the presence of any Hazardous Materials on the Premises caused or permitted by Tenant results in any contamination of the Premises or any portion of the Building or Common Areas, Tenant shall promptly take all actions, at its sole expense, necessary to return the Premises to the condition existing prior to the introduction of such Hazardous Materials, provided that all such actions shall be subject to the approval of Landlord, which approval shall not be unreasonably withheld.</w:t>
      </w:r>
    </w:p>
    <w:p>
      <w:pPr>
        <w:spacing w:after="0" w:line="47" w:lineRule="exact"/>
        <w:rPr>
          <w:rFonts w:ascii="Arial" w:cs="Arial" w:eastAsia="Arial" w:hAnsi="Arial"/>
          <w:sz w:val="14"/>
          <w:szCs w:val="14"/>
          <w:b w:val="1"/>
          <w:bCs w:val="1"/>
          <w:color w:val="auto"/>
        </w:rPr>
      </w:pPr>
    </w:p>
    <w:p>
      <w:pPr>
        <w:ind w:left="460" w:right="20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At the Commencement Date of the Lease and on January 1 of each year thereafter, Tenant shall disclose to Landlord the names and amounts of all Hazardous Materials which are to be stored, used or disposed of on the Premises.</w:t>
      </w:r>
    </w:p>
    <w:p>
      <w:pPr>
        <w:spacing w:after="0" w:line="38" w:lineRule="exact"/>
        <w:rPr>
          <w:rFonts w:ascii="Arial" w:cs="Arial" w:eastAsia="Arial" w:hAnsi="Arial"/>
          <w:sz w:val="14"/>
          <w:szCs w:val="14"/>
          <w:b w:val="1"/>
          <w:bCs w:val="1"/>
          <w:color w:val="auto"/>
        </w:rPr>
      </w:pPr>
    </w:p>
    <w:p>
      <w:pPr>
        <w:ind w:left="460" w:right="14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Any Hazardous Materials stored or used on the Premises must not in any way prejudice the Landlord’s insurance or increase the fire hazards to a greater extent than necessarily incident to the business for which the Premises are leased.</w:t>
      </w:r>
    </w:p>
    <w:p>
      <w:pPr>
        <w:spacing w:after="0" w:line="130" w:lineRule="exact"/>
        <w:rPr>
          <w:rFonts w:ascii="Arial" w:cs="Arial" w:eastAsia="Arial" w:hAnsi="Arial"/>
          <w:sz w:val="14"/>
          <w:szCs w:val="14"/>
          <w:b w:val="1"/>
          <w:bCs w:val="1"/>
          <w:color w:val="auto"/>
        </w:rPr>
      </w:pPr>
    </w:p>
    <w:p>
      <w:pPr>
        <w:ind w:left="460" w:hanging="456"/>
        <w:spacing w:after="0"/>
        <w:tabs>
          <w:tab w:leader="none" w:pos="460" w:val="left"/>
        </w:tabs>
        <w:numPr>
          <w:ilvl w:val="0"/>
          <w:numId w:val="269"/>
        </w:numPr>
        <w:rPr>
          <w:rFonts w:ascii="Arial" w:cs="Arial" w:eastAsia="Arial" w:hAnsi="Arial"/>
          <w:sz w:val="14"/>
          <w:szCs w:val="14"/>
          <w:b w:val="1"/>
          <w:bCs w:val="1"/>
          <w:color w:val="auto"/>
        </w:rPr>
      </w:pPr>
      <w:r>
        <w:rPr>
          <w:rFonts w:ascii="Arial" w:cs="Arial" w:eastAsia="Arial" w:hAnsi="Arial"/>
          <w:sz w:val="14"/>
          <w:szCs w:val="14"/>
          <w:b w:val="1"/>
          <w:bCs w:val="1"/>
          <w:color w:val="auto"/>
        </w:rPr>
        <w:t>LATE CHARGE</w:t>
      </w:r>
    </w:p>
    <w:p>
      <w:pPr>
        <w:spacing w:after="0" w:line="70" w:lineRule="exact"/>
        <w:rPr>
          <w:rFonts w:ascii="Arial" w:cs="Arial" w:eastAsia="Arial" w:hAnsi="Arial"/>
          <w:sz w:val="14"/>
          <w:szCs w:val="14"/>
          <w:b w:val="1"/>
          <w:bCs w:val="1"/>
          <w:color w:val="auto"/>
        </w:rPr>
      </w:pPr>
    </w:p>
    <w:p>
      <w:pPr>
        <w:ind w:left="46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If any installment of rent accruing herein shall not be paid within five (5) days of due date, and other sums not paid within fifteen (15) days after written notice to Tenant, such installment and other sums shall be increased without affecting the Landlord’s other rights under this Lease, by a late charge of ten percent (10%) of the delinquent installment. Anything contained herein to the contrary notwithstanding.</w:t>
      </w:r>
    </w:p>
    <w:p>
      <w:pPr>
        <w:spacing w:after="0" w:line="136" w:lineRule="exact"/>
        <w:rPr>
          <w:rFonts w:ascii="Arial" w:cs="Arial" w:eastAsia="Arial" w:hAnsi="Arial"/>
          <w:sz w:val="14"/>
          <w:szCs w:val="14"/>
          <w:b w:val="1"/>
          <w:bCs w:val="1"/>
          <w:color w:val="auto"/>
        </w:rPr>
      </w:pPr>
    </w:p>
    <w:p>
      <w:pPr>
        <w:ind w:left="460" w:hanging="456"/>
        <w:spacing w:after="0"/>
        <w:tabs>
          <w:tab w:leader="none" w:pos="460" w:val="left"/>
        </w:tabs>
        <w:numPr>
          <w:ilvl w:val="0"/>
          <w:numId w:val="269"/>
        </w:numPr>
        <w:rPr>
          <w:rFonts w:ascii="Arial" w:cs="Arial" w:eastAsia="Arial" w:hAnsi="Arial"/>
          <w:sz w:val="14"/>
          <w:szCs w:val="14"/>
          <w:b w:val="1"/>
          <w:bCs w:val="1"/>
          <w:color w:val="auto"/>
        </w:rPr>
      </w:pPr>
      <w:r>
        <w:rPr>
          <w:rFonts w:ascii="Arial" w:cs="Arial" w:eastAsia="Arial" w:hAnsi="Arial"/>
          <w:sz w:val="14"/>
          <w:szCs w:val="14"/>
          <w:b w:val="1"/>
          <w:bCs w:val="1"/>
          <w:color w:val="auto"/>
        </w:rPr>
        <w:t>REPAIRS AND MAINTENANCE</w:t>
      </w:r>
    </w:p>
    <w:p>
      <w:pPr>
        <w:spacing w:after="0" w:line="70" w:lineRule="exact"/>
        <w:rPr>
          <w:rFonts w:ascii="Arial" w:cs="Arial" w:eastAsia="Arial" w:hAnsi="Arial"/>
          <w:sz w:val="14"/>
          <w:szCs w:val="14"/>
          <w:b w:val="1"/>
          <w:bCs w:val="1"/>
          <w:color w:val="auto"/>
        </w:rPr>
      </w:pPr>
    </w:p>
    <w:p>
      <w:pPr>
        <w:ind w:left="460" w:right="20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shall be responsible for all structural repairs, including repairs to the roof and load-bearing walls of the Building, for maintaining the parking area and sidewalks, and the Common Areas (as hereinafter defined) in the Building.</w:t>
      </w:r>
    </w:p>
    <w:p>
      <w:pPr>
        <w:spacing w:after="0" w:line="91"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3</w:t>
      </w:r>
    </w:p>
    <w:p>
      <w:pPr>
        <w:sectPr>
          <w:pgSz w:w="11900" w:h="16838" w:orient="portrait"/>
          <w:cols w:equalWidth="0" w:num="1">
            <w:col w:w="11460"/>
          </w:cols>
          <w:pgMar w:left="220" w:top="245" w:right="219" w:bottom="1440" w:gutter="0" w:footer="0" w:header="0"/>
        </w:sectPr>
      </w:pPr>
    </w:p>
    <w:bookmarkStart w:id="355" w:name="page356"/>
    <w:bookmarkEnd w:id="355"/>
    <w:p>
      <w:pPr>
        <w:ind w:left="460" w:right="10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Tenant shall be responsible for the maintenance and repair of the Premises and all fixtures, appliances and equipment therein, including, but not limited to, the Heating and Air Conditioning system(s) serving Tenant’s suite. Landlord will pay for major Heating and Air Conditioning component replacement and all repairs to the Landlord installed heating and air conditioning system(s) in excess of Three Hundred Dollars ($300.00) per occurrence per Heating and Air Conditioning unit. The Trane HVAC Units and other equipment installed by the previous tenant is the sole responsibility of Macro Genics, Inc. to service and repair; Landlord will not pay for any maintenance or repairs to these units/equipment.</w:t>
      </w:r>
    </w:p>
    <w:p>
      <w:pPr>
        <w:spacing w:after="0" w:line="16" w:lineRule="exact"/>
        <w:rPr>
          <w:sz w:val="20"/>
          <w:szCs w:val="20"/>
          <w:color w:val="auto"/>
        </w:rPr>
      </w:pPr>
    </w:p>
    <w:p>
      <w:pPr>
        <w:ind w:left="460" w:right="100"/>
        <w:spacing w:after="0" w:line="258" w:lineRule="auto"/>
        <w:rPr>
          <w:sz w:val="20"/>
          <w:szCs w:val="20"/>
          <w:color w:val="auto"/>
        </w:rPr>
      </w:pPr>
      <w:r>
        <w:rPr>
          <w:rFonts w:ascii="Arial" w:cs="Arial" w:eastAsia="Arial" w:hAnsi="Arial"/>
          <w:sz w:val="14"/>
          <w:szCs w:val="14"/>
          <w:color w:val="auto"/>
        </w:rPr>
        <w:t>Tenant shall provide its own char service. Tenant, at its sole expense, shall keep all Tenant fixtures and equipment in the Premises in safe and sanitary condition and good order and repair, together with related plumbing, electrical or other utility service, whether installed by Tenant or by Landlord on Tenant’s behalf. Tenant shall pay for all damage to the Building and any fixtures and appurtenances related thereto due to the malfunction, lack of repair, or improper installation of the Tenant’s fixtures and equipment,</w:t>
      </w:r>
    </w:p>
    <w:p>
      <w:pPr>
        <w:spacing w:after="0" w:line="137" w:lineRule="exact"/>
        <w:rPr>
          <w:sz w:val="20"/>
          <w:szCs w:val="20"/>
          <w:color w:val="auto"/>
        </w:rPr>
      </w:pPr>
    </w:p>
    <w:p>
      <w:pPr>
        <w:ind w:left="460" w:hanging="456"/>
        <w:spacing w:after="0"/>
        <w:tabs>
          <w:tab w:leader="none" w:pos="460" w:val="left"/>
        </w:tabs>
        <w:numPr>
          <w:ilvl w:val="0"/>
          <w:numId w:val="270"/>
        </w:numPr>
        <w:rPr>
          <w:rFonts w:ascii="Arial" w:cs="Arial" w:eastAsia="Arial" w:hAnsi="Arial"/>
          <w:sz w:val="14"/>
          <w:szCs w:val="14"/>
          <w:b w:val="1"/>
          <w:bCs w:val="1"/>
          <w:color w:val="auto"/>
        </w:rPr>
      </w:pPr>
      <w:r>
        <w:rPr>
          <w:rFonts w:ascii="Arial" w:cs="Arial" w:eastAsia="Arial" w:hAnsi="Arial"/>
          <w:sz w:val="14"/>
          <w:szCs w:val="14"/>
          <w:b w:val="1"/>
          <w:bCs w:val="1"/>
          <w:color w:val="auto"/>
        </w:rPr>
        <w:t>COMMON AREAS</w:t>
      </w:r>
    </w:p>
    <w:p>
      <w:pPr>
        <w:spacing w:after="0" w:line="70" w:lineRule="exact"/>
        <w:rPr>
          <w:rFonts w:ascii="Arial" w:cs="Arial" w:eastAsia="Arial" w:hAnsi="Arial"/>
          <w:sz w:val="14"/>
          <w:szCs w:val="14"/>
          <w:b w:val="1"/>
          <w:bCs w:val="1"/>
          <w:color w:val="auto"/>
        </w:rPr>
      </w:pPr>
    </w:p>
    <w:p>
      <w:pPr>
        <w:ind w:left="460" w:right="40"/>
        <w:spacing w:after="0" w:line="305" w:lineRule="auto"/>
        <w:rPr>
          <w:rFonts w:ascii="Arial" w:cs="Arial" w:eastAsia="Arial" w:hAnsi="Arial"/>
          <w:sz w:val="14"/>
          <w:szCs w:val="14"/>
          <w:b w:val="1"/>
          <w:bCs w:val="1"/>
          <w:color w:val="auto"/>
        </w:rPr>
      </w:pPr>
      <w:r>
        <w:rPr>
          <w:rFonts w:ascii="Arial" w:cs="Arial" w:eastAsia="Arial" w:hAnsi="Arial"/>
          <w:sz w:val="12"/>
          <w:szCs w:val="12"/>
          <w:color w:val="auto"/>
        </w:rPr>
        <w:t>In addition to the use of the Premises, Tenant, its employees and business invitees shall have the right to use the Common Areas in common with Landlord and other tenants of the Building, their employees and visitors. The term “Common Areas” shall mean those portions of the Building and the land upon which the Building is erected which Landlord may from time to time designate for Tenant’s non-exclusive use, which may include the entrance, foyer and lobby corridors, lavatories, stairwells, elevators, and parking areas. All Common Areas shall be subject to the exclusive control of the Landlord. The Landlord shall operate, manage, light and maintain the Common Areas. Landlord reserves the right to change the size, area, level, location and arrangement of the Common Areas and any such change or rearrangement shall not affect the obligations of the Landlord and Tenant hereunder.</w:t>
      </w:r>
    </w:p>
    <w:p>
      <w:pPr>
        <w:spacing w:after="0" w:line="113" w:lineRule="exact"/>
        <w:rPr>
          <w:rFonts w:ascii="Arial" w:cs="Arial" w:eastAsia="Arial" w:hAnsi="Arial"/>
          <w:sz w:val="14"/>
          <w:szCs w:val="14"/>
          <w:b w:val="1"/>
          <w:bCs w:val="1"/>
          <w:color w:val="auto"/>
        </w:rPr>
      </w:pPr>
    </w:p>
    <w:p>
      <w:pPr>
        <w:ind w:left="460" w:hanging="456"/>
        <w:spacing w:after="0"/>
        <w:tabs>
          <w:tab w:leader="none" w:pos="460" w:val="left"/>
        </w:tabs>
        <w:numPr>
          <w:ilvl w:val="0"/>
          <w:numId w:val="270"/>
        </w:numPr>
        <w:rPr>
          <w:rFonts w:ascii="Arial" w:cs="Arial" w:eastAsia="Arial" w:hAnsi="Arial"/>
          <w:sz w:val="14"/>
          <w:szCs w:val="14"/>
          <w:b w:val="1"/>
          <w:bCs w:val="1"/>
          <w:color w:val="auto"/>
        </w:rPr>
      </w:pPr>
      <w:r>
        <w:rPr>
          <w:rFonts w:ascii="Arial" w:cs="Arial" w:eastAsia="Arial" w:hAnsi="Arial"/>
          <w:sz w:val="14"/>
          <w:szCs w:val="14"/>
          <w:b w:val="1"/>
          <w:bCs w:val="1"/>
          <w:color w:val="auto"/>
        </w:rPr>
        <w:t>LANDLORD’S WORK PRIOR TO COMMENCEMENT OF TERM</w:t>
      </w:r>
    </w:p>
    <w:p>
      <w:pPr>
        <w:spacing w:after="0" w:line="70" w:lineRule="exact"/>
        <w:rPr>
          <w:rFonts w:ascii="Arial" w:cs="Arial" w:eastAsia="Arial" w:hAnsi="Arial"/>
          <w:sz w:val="14"/>
          <w:szCs w:val="14"/>
          <w:b w:val="1"/>
          <w:bCs w:val="1"/>
          <w:color w:val="auto"/>
        </w:rPr>
      </w:pPr>
    </w:p>
    <w:p>
      <w:pPr>
        <w:ind w:left="460" w:right="10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None. Landlord delivers the Premises “As Is.” Landlord will reimburse Tenant up to $27,830.00 for carpet and up to $27,830.00 for paint when Tenant has presented paid invoices to Landlord showing the work has been completed and Landlord has inspected the work. All coordination for this work is the responsibility of the Tenant. This offer is null and void after December 31, 2005. Landlord will replace damaged and stained ceiling tiles.</w:t>
      </w:r>
    </w:p>
    <w:p>
      <w:pPr>
        <w:spacing w:after="0" w:line="136" w:lineRule="exact"/>
        <w:rPr>
          <w:rFonts w:ascii="Arial" w:cs="Arial" w:eastAsia="Arial" w:hAnsi="Arial"/>
          <w:sz w:val="14"/>
          <w:szCs w:val="14"/>
          <w:b w:val="1"/>
          <w:bCs w:val="1"/>
          <w:color w:val="auto"/>
        </w:rPr>
      </w:pPr>
    </w:p>
    <w:p>
      <w:pPr>
        <w:ind w:left="460" w:hanging="456"/>
        <w:spacing w:after="0"/>
        <w:tabs>
          <w:tab w:leader="none" w:pos="460" w:val="left"/>
        </w:tabs>
        <w:numPr>
          <w:ilvl w:val="0"/>
          <w:numId w:val="270"/>
        </w:numPr>
        <w:rPr>
          <w:rFonts w:ascii="Arial" w:cs="Arial" w:eastAsia="Arial" w:hAnsi="Arial"/>
          <w:sz w:val="14"/>
          <w:szCs w:val="14"/>
          <w:b w:val="1"/>
          <w:bCs w:val="1"/>
          <w:color w:val="auto"/>
        </w:rPr>
      </w:pPr>
      <w:r>
        <w:rPr>
          <w:rFonts w:ascii="Arial" w:cs="Arial" w:eastAsia="Arial" w:hAnsi="Arial"/>
          <w:sz w:val="14"/>
          <w:szCs w:val="14"/>
          <w:b w:val="1"/>
          <w:bCs w:val="1"/>
          <w:color w:val="auto"/>
        </w:rPr>
        <w:t>TENANT ALTERATIONS</w:t>
      </w:r>
    </w:p>
    <w:p>
      <w:pPr>
        <w:spacing w:after="0" w:line="70" w:lineRule="exact"/>
        <w:rPr>
          <w:rFonts w:ascii="Arial" w:cs="Arial" w:eastAsia="Arial" w:hAnsi="Arial"/>
          <w:sz w:val="14"/>
          <w:szCs w:val="14"/>
          <w:b w:val="1"/>
          <w:bCs w:val="1"/>
          <w:color w:val="auto"/>
        </w:rPr>
      </w:pPr>
    </w:p>
    <w:p>
      <w:pPr>
        <w:ind w:left="460" w:right="40"/>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All alterations, improvements, or additions to the demised Premises to be made by Tenant shall be subject to the written consent of the Landlord, which consent shall not be unreasonably withheld, provided such alterations and improvements do not weaken the structural integrity of the Building or detract from its dignity and/or uniformity. All alterations and improvements and/or additions made by Tenant shall remain upon the Premises at the expiration or earlier termination of this Lease and shall become the property of the Landlord, unless Landlord shall, at the time of approval of the alteration, provide written notice to Tenant to remove the same, in which event Tenant shall remove such alterations, improvements and/or additions, and restore the Premises to the same good order and condition in which it was at the commencement of this Lease,</w:t>
      </w:r>
    </w:p>
    <w:p>
      <w:pPr>
        <w:spacing w:after="0" w:line="102"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4</w:t>
      </w:r>
    </w:p>
    <w:p>
      <w:pPr>
        <w:sectPr>
          <w:pgSz w:w="11900" w:h="16838" w:orient="portrait"/>
          <w:cols w:equalWidth="0" w:num="1">
            <w:col w:w="11460"/>
          </w:cols>
          <w:pgMar w:left="220" w:top="247" w:right="219" w:bottom="1440" w:gutter="0" w:footer="0" w:header="0"/>
        </w:sectPr>
      </w:pPr>
    </w:p>
    <w:bookmarkStart w:id="356" w:name="page357"/>
    <w:bookmarkEnd w:id="356"/>
    <w:p>
      <w:pPr>
        <w:ind w:left="460" w:right="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reasonable wear and tear and unavoidable casualty excepted. Should Tenant fail to do so, Landlord may do so, collecting the reasonable cost and expense thereof from Tenant as additional rent. Tenant is not responsible for restoring to previous condition those renovations made by the previous tenant.</w:t>
      </w:r>
    </w:p>
    <w:p>
      <w:pPr>
        <w:spacing w:after="0" w:line="194" w:lineRule="exact"/>
        <w:rPr>
          <w:sz w:val="20"/>
          <w:szCs w:val="20"/>
          <w:color w:val="auto"/>
        </w:rPr>
      </w:pPr>
    </w:p>
    <w:p>
      <w:pPr>
        <w:ind w:left="460" w:hanging="456"/>
        <w:spacing w:after="0"/>
        <w:tabs>
          <w:tab w:leader="none" w:pos="460" w:val="left"/>
        </w:tabs>
        <w:numPr>
          <w:ilvl w:val="0"/>
          <w:numId w:val="271"/>
        </w:numPr>
        <w:rPr>
          <w:rFonts w:ascii="Arial" w:cs="Arial" w:eastAsia="Arial" w:hAnsi="Arial"/>
          <w:sz w:val="14"/>
          <w:szCs w:val="14"/>
          <w:b w:val="1"/>
          <w:bCs w:val="1"/>
          <w:color w:val="auto"/>
        </w:rPr>
      </w:pPr>
      <w:r>
        <w:rPr>
          <w:rFonts w:ascii="Arial" w:cs="Arial" w:eastAsia="Arial" w:hAnsi="Arial"/>
          <w:sz w:val="14"/>
          <w:szCs w:val="14"/>
          <w:b w:val="1"/>
          <w:bCs w:val="1"/>
          <w:color w:val="auto"/>
        </w:rPr>
        <w:t>TRADE FIXTURES</w:t>
      </w:r>
    </w:p>
    <w:p>
      <w:pPr>
        <w:spacing w:after="0" w:line="70" w:lineRule="exact"/>
        <w:rPr>
          <w:rFonts w:ascii="Arial" w:cs="Arial" w:eastAsia="Arial" w:hAnsi="Arial"/>
          <w:sz w:val="14"/>
          <w:szCs w:val="14"/>
          <w:b w:val="1"/>
          <w:bCs w:val="1"/>
          <w:color w:val="auto"/>
        </w:rPr>
      </w:pPr>
    </w:p>
    <w:p>
      <w:pPr>
        <w:ind w:left="460" w:right="160"/>
        <w:spacing w:after="0" w:line="255" w:lineRule="auto"/>
        <w:rPr>
          <w:rFonts w:ascii="Arial" w:cs="Arial" w:eastAsia="Arial" w:hAnsi="Arial"/>
          <w:sz w:val="14"/>
          <w:szCs w:val="14"/>
          <w:b w:val="1"/>
          <w:bCs w:val="1"/>
          <w:color w:val="auto"/>
        </w:rPr>
      </w:pPr>
      <w:r>
        <w:rPr>
          <w:rFonts w:ascii="Arial" w:cs="Arial" w:eastAsia="Arial" w:hAnsi="Arial"/>
          <w:sz w:val="14"/>
          <w:szCs w:val="14"/>
          <w:color w:val="auto"/>
        </w:rPr>
        <w:t>All trade fixtures, telephone equipment, and apparatus installed by Tenant in the Premises shall remain the property of Tenant and shall be removed at the expiration or earlier termination of this Lease and, upon such removal, Tenant shall repair any damage caused by the removal and shall promptly restore the Premises to their good order and condition. Any such trade fixture not removed prior to such termination shall be considered abandoned property, but such abandonment shall not release Tenant of its obligation to pay for the cost of removing such trade fixtures and repairing any damage caused by the removal.</w:t>
      </w:r>
    </w:p>
    <w:p>
      <w:pPr>
        <w:spacing w:after="0" w:line="201" w:lineRule="exact"/>
        <w:rPr>
          <w:rFonts w:ascii="Arial" w:cs="Arial" w:eastAsia="Arial" w:hAnsi="Arial"/>
          <w:sz w:val="14"/>
          <w:szCs w:val="14"/>
          <w:b w:val="1"/>
          <w:bCs w:val="1"/>
          <w:color w:val="auto"/>
        </w:rPr>
      </w:pPr>
    </w:p>
    <w:p>
      <w:pPr>
        <w:ind w:left="460" w:hanging="456"/>
        <w:spacing w:after="0"/>
        <w:tabs>
          <w:tab w:leader="none" w:pos="460" w:val="left"/>
        </w:tabs>
        <w:numPr>
          <w:ilvl w:val="0"/>
          <w:numId w:val="271"/>
        </w:numPr>
        <w:rPr>
          <w:rFonts w:ascii="Arial" w:cs="Arial" w:eastAsia="Arial" w:hAnsi="Arial"/>
          <w:sz w:val="14"/>
          <w:szCs w:val="14"/>
          <w:b w:val="1"/>
          <w:bCs w:val="1"/>
          <w:color w:val="auto"/>
        </w:rPr>
      </w:pPr>
      <w:r>
        <w:rPr>
          <w:rFonts w:ascii="Arial" w:cs="Arial" w:eastAsia="Arial" w:hAnsi="Arial"/>
          <w:sz w:val="14"/>
          <w:szCs w:val="14"/>
          <w:b w:val="1"/>
          <w:bCs w:val="1"/>
          <w:color w:val="auto"/>
        </w:rPr>
        <w:t>EQUIPMENT/BENCHWORK</w:t>
      </w:r>
    </w:p>
    <w:p>
      <w:pPr>
        <w:spacing w:after="0" w:line="70" w:lineRule="exact"/>
        <w:rPr>
          <w:rFonts w:ascii="Arial" w:cs="Arial" w:eastAsia="Arial" w:hAnsi="Arial"/>
          <w:sz w:val="14"/>
          <w:szCs w:val="14"/>
          <w:b w:val="1"/>
          <w:bCs w:val="1"/>
          <w:color w:val="auto"/>
        </w:rPr>
      </w:pPr>
    </w:p>
    <w:p>
      <w:pPr>
        <w:ind w:left="460" w:right="12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will provide Laboratory Equipment and Benchwork listed below. It is the Tenant’s responsibility to service and maintain these items by obtaining service contracts with qualified vendors. All costs associated with the repair and maintenance of these items is the Tenant’s responsibility.</w:t>
      </w:r>
    </w:p>
    <w:p>
      <w:pPr>
        <w:spacing w:after="0" w:line="38" w:lineRule="exact"/>
        <w:rPr>
          <w:rFonts w:ascii="Arial" w:cs="Arial" w:eastAsia="Arial" w:hAnsi="Arial"/>
          <w:sz w:val="14"/>
          <w:szCs w:val="14"/>
          <w:b w:val="1"/>
          <w:bCs w:val="1"/>
          <w:color w:val="auto"/>
        </w:rPr>
      </w:pPr>
    </w:p>
    <w:p>
      <w:pPr>
        <w:ind w:left="1480" w:hanging="567"/>
        <w:spacing w:after="0"/>
        <w:tabs>
          <w:tab w:leader="none" w:pos="148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Benchwork</w:t>
      </w:r>
    </w:p>
    <w:p>
      <w:pPr>
        <w:spacing w:after="0" w:line="68" w:lineRule="exact"/>
        <w:rPr>
          <w:rFonts w:ascii="Arial" w:cs="Arial" w:eastAsia="Arial" w:hAnsi="Arial"/>
          <w:sz w:val="14"/>
          <w:szCs w:val="14"/>
          <w:color w:val="auto"/>
        </w:rPr>
      </w:pPr>
    </w:p>
    <w:p>
      <w:pPr>
        <w:ind w:left="1480" w:hanging="567"/>
        <w:spacing w:after="0"/>
        <w:tabs>
          <w:tab w:leader="none" w:pos="148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Onan Emergency Generator (55 KW natural gas)</w:t>
      </w:r>
    </w:p>
    <w:p>
      <w:pPr>
        <w:spacing w:after="0" w:line="68" w:lineRule="exact"/>
        <w:rPr>
          <w:rFonts w:ascii="Arial" w:cs="Arial" w:eastAsia="Arial" w:hAnsi="Arial"/>
          <w:sz w:val="14"/>
          <w:szCs w:val="14"/>
          <w:color w:val="auto"/>
        </w:rPr>
      </w:pPr>
    </w:p>
    <w:p>
      <w:pPr>
        <w:ind w:left="1480" w:hanging="567"/>
        <w:spacing w:after="0"/>
        <w:tabs>
          <w:tab w:leader="none" w:pos="148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Kato/Zenith Transfer Switch</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Note: All equipment and benchwork provided by Landlord will remain the property of the Landlord.</w:t>
      </w:r>
    </w:p>
    <w:p>
      <w:pPr>
        <w:spacing w:after="0" w:line="224" w:lineRule="exact"/>
        <w:rPr>
          <w:sz w:val="20"/>
          <w:szCs w:val="20"/>
          <w:color w:val="auto"/>
        </w:rPr>
      </w:pPr>
    </w:p>
    <w:p>
      <w:pPr>
        <w:ind w:left="460" w:hanging="456"/>
        <w:spacing w:after="0"/>
        <w:tabs>
          <w:tab w:leader="none" w:pos="460" w:val="left"/>
        </w:tabs>
        <w:numPr>
          <w:ilvl w:val="0"/>
          <w:numId w:val="272"/>
        </w:numPr>
        <w:rPr>
          <w:rFonts w:ascii="Arial" w:cs="Arial" w:eastAsia="Arial" w:hAnsi="Arial"/>
          <w:sz w:val="14"/>
          <w:szCs w:val="14"/>
          <w:b w:val="1"/>
          <w:bCs w:val="1"/>
          <w:color w:val="auto"/>
        </w:rPr>
      </w:pPr>
      <w:r>
        <w:rPr>
          <w:rFonts w:ascii="Arial" w:cs="Arial" w:eastAsia="Arial" w:hAnsi="Arial"/>
          <w:sz w:val="14"/>
          <w:szCs w:val="14"/>
          <w:b w:val="1"/>
          <w:bCs w:val="1"/>
          <w:color w:val="auto"/>
        </w:rPr>
        <w:t>QUIET ENJOYMENT</w:t>
      </w:r>
    </w:p>
    <w:p>
      <w:pPr>
        <w:spacing w:after="0" w:line="70" w:lineRule="exact"/>
        <w:rPr>
          <w:rFonts w:ascii="Arial" w:cs="Arial" w:eastAsia="Arial" w:hAnsi="Arial"/>
          <w:sz w:val="14"/>
          <w:szCs w:val="14"/>
          <w:b w:val="1"/>
          <w:bCs w:val="1"/>
          <w:color w:val="auto"/>
        </w:rPr>
      </w:pPr>
    </w:p>
    <w:p>
      <w:pPr>
        <w:ind w:left="460" w:right="22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Landlord covenants that, upon payment of the rent herein provided and performance by the Tenant of all other covenants herein contained, Tenant shall and may peaceably and quietly have, hold and enjoy the Premises for the term hereof and options.</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72"/>
        </w:numPr>
        <w:rPr>
          <w:rFonts w:ascii="Arial" w:cs="Arial" w:eastAsia="Arial" w:hAnsi="Arial"/>
          <w:sz w:val="14"/>
          <w:szCs w:val="14"/>
          <w:b w:val="1"/>
          <w:bCs w:val="1"/>
          <w:color w:val="auto"/>
        </w:rPr>
      </w:pPr>
      <w:r>
        <w:rPr>
          <w:rFonts w:ascii="Arial" w:cs="Arial" w:eastAsia="Arial" w:hAnsi="Arial"/>
          <w:sz w:val="14"/>
          <w:szCs w:val="14"/>
          <w:b w:val="1"/>
          <w:bCs w:val="1"/>
          <w:color w:val="auto"/>
        </w:rPr>
        <w:t>SURRENDER OF PREMISES</w:t>
      </w:r>
    </w:p>
    <w:p>
      <w:pPr>
        <w:spacing w:after="0" w:line="70" w:lineRule="exact"/>
        <w:rPr>
          <w:rFonts w:ascii="Arial" w:cs="Arial" w:eastAsia="Arial" w:hAnsi="Arial"/>
          <w:sz w:val="14"/>
          <w:szCs w:val="14"/>
          <w:b w:val="1"/>
          <w:bCs w:val="1"/>
          <w:color w:val="auto"/>
        </w:rPr>
      </w:pPr>
    </w:p>
    <w:p>
      <w:pPr>
        <w:ind w:left="460" w:right="14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Upon the expiration or termination of this Lease, Tenant shall quit and surrender the Premises to the Landlord broom clean and shall remove all of its property therefrom. If the removal of any such property shall result in damaging the Premises, or leaving any holes in the floors, walls or ceiling therein, the Tenant shall make the appropriate repairs with Landlord approved building materials prior to the expiration of this Lease. The obligation of this paragraph shall survive the termination of the Lease.</w:t>
      </w:r>
    </w:p>
    <w:p>
      <w:pPr>
        <w:spacing w:after="0" w:line="199" w:lineRule="exact"/>
        <w:rPr>
          <w:rFonts w:ascii="Arial" w:cs="Arial" w:eastAsia="Arial" w:hAnsi="Arial"/>
          <w:sz w:val="14"/>
          <w:szCs w:val="14"/>
          <w:b w:val="1"/>
          <w:bCs w:val="1"/>
          <w:color w:val="auto"/>
        </w:rPr>
      </w:pPr>
    </w:p>
    <w:p>
      <w:pPr>
        <w:ind w:left="460" w:hanging="456"/>
        <w:spacing w:after="0"/>
        <w:tabs>
          <w:tab w:leader="none" w:pos="460" w:val="left"/>
        </w:tabs>
        <w:numPr>
          <w:ilvl w:val="0"/>
          <w:numId w:val="272"/>
        </w:numPr>
        <w:rPr>
          <w:rFonts w:ascii="Arial" w:cs="Arial" w:eastAsia="Arial" w:hAnsi="Arial"/>
          <w:sz w:val="14"/>
          <w:szCs w:val="14"/>
          <w:b w:val="1"/>
          <w:bCs w:val="1"/>
          <w:color w:val="auto"/>
        </w:rPr>
      </w:pPr>
      <w:r>
        <w:rPr>
          <w:rFonts w:ascii="Arial" w:cs="Arial" w:eastAsia="Arial" w:hAnsi="Arial"/>
          <w:sz w:val="14"/>
          <w:szCs w:val="14"/>
          <w:b w:val="1"/>
          <w:bCs w:val="1"/>
          <w:color w:val="auto"/>
        </w:rPr>
        <w:t>INSURANCE</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Landlord shall be responsible for property damage and general liability on the building structure, building common areas and parking lot.</w:t>
      </w:r>
    </w:p>
    <w:p>
      <w:pPr>
        <w:spacing w:after="0" w:line="68" w:lineRule="exact"/>
        <w:rPr>
          <w:rFonts w:ascii="Arial" w:cs="Arial" w:eastAsia="Arial" w:hAnsi="Arial"/>
          <w:sz w:val="14"/>
          <w:szCs w:val="14"/>
          <w:b w:val="1"/>
          <w:bCs w:val="1"/>
          <w:color w:val="auto"/>
        </w:rPr>
      </w:pPr>
    </w:p>
    <w:p>
      <w:pPr>
        <w:ind w:left="460" w:right="34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Tenant covenants and agrees to maintain and carry, at all times during the term of this Lease, in companies qualified and authorized to transact business in the State of Maryland, general liability insurance in amounts of $500,000.00 per person, $1,000,000.00 per occurrence and $100,000.00 for damage to property on the Premises or arising out of the use thereof by Tenant or its agents. All policies of insurance shall provide that they may not be canceled, except on thirty (30) days written notice to Landlord, and all such policies shall name Landlord as an additional insured.</w:t>
      </w:r>
    </w:p>
    <w:p>
      <w:pPr>
        <w:spacing w:after="0" w:line="63"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5</w:t>
      </w:r>
    </w:p>
    <w:p>
      <w:pPr>
        <w:sectPr>
          <w:pgSz w:w="11900" w:h="16838" w:orient="portrait"/>
          <w:cols w:equalWidth="0" w:num="1">
            <w:col w:w="11460"/>
          </w:cols>
          <w:pgMar w:left="220" w:top="247" w:right="219" w:bottom="1440" w:gutter="0" w:footer="0" w:header="0"/>
        </w:sectPr>
      </w:pPr>
    </w:p>
    <w:bookmarkStart w:id="357" w:name="page358"/>
    <w:bookmarkEnd w:id="357"/>
    <w:p>
      <w:pPr>
        <w:ind w:left="46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Prior to commencement, Tenant shall furnish Landlord with satisfactory proof that the insurance herein provided for is at all times in full force and effect. If either party hereto is paid any proceeds under any policy of insurance naming such party as an insured on account of any loss, damage or liability, then such party hereby releases the other party to (and only to) the extent of the amount of such proceeds, from any and all liability for such loss or damage, notwithstanding negligent or intentionally tortuous act or omission of the other party, its agents or employees; provided, such release shall be effective only as to a loss of damage occurring while the appropriate policy of insurance of the releasing party provides that such release shall not impair the effectiveness of such policy or the insured’s ability to recover thereunder. Each party hereto shall use reasonable efforts to have a clause to such effect included in its said policies, and shall promptly notify the other in writing if such clause cannot be included in any such policy.</w:t>
      </w:r>
    </w:p>
    <w:p>
      <w:pPr>
        <w:spacing w:after="0" w:line="206" w:lineRule="exact"/>
        <w:rPr>
          <w:sz w:val="20"/>
          <w:szCs w:val="20"/>
          <w:color w:val="auto"/>
        </w:rPr>
      </w:pPr>
    </w:p>
    <w:p>
      <w:pPr>
        <w:ind w:left="460" w:hanging="456"/>
        <w:spacing w:after="0"/>
        <w:tabs>
          <w:tab w:leader="none" w:pos="460" w:val="left"/>
        </w:tabs>
        <w:numPr>
          <w:ilvl w:val="0"/>
          <w:numId w:val="273"/>
        </w:numPr>
        <w:rPr>
          <w:rFonts w:ascii="Arial" w:cs="Arial" w:eastAsia="Arial" w:hAnsi="Arial"/>
          <w:sz w:val="14"/>
          <w:szCs w:val="14"/>
          <w:b w:val="1"/>
          <w:bCs w:val="1"/>
          <w:color w:val="auto"/>
        </w:rPr>
      </w:pPr>
      <w:r>
        <w:rPr>
          <w:rFonts w:ascii="Arial" w:cs="Arial" w:eastAsia="Arial" w:hAnsi="Arial"/>
          <w:sz w:val="14"/>
          <w:szCs w:val="14"/>
          <w:b w:val="1"/>
          <w:bCs w:val="1"/>
          <w:color w:val="auto"/>
        </w:rPr>
        <w:t>INDEMNIFICATION</w:t>
      </w:r>
    </w:p>
    <w:p>
      <w:pPr>
        <w:spacing w:after="0" w:line="70" w:lineRule="exact"/>
        <w:rPr>
          <w:rFonts w:ascii="Arial" w:cs="Arial" w:eastAsia="Arial" w:hAnsi="Arial"/>
          <w:sz w:val="14"/>
          <w:szCs w:val="14"/>
          <w:b w:val="1"/>
          <w:bCs w:val="1"/>
          <w:color w:val="auto"/>
        </w:rPr>
      </w:pPr>
    </w:p>
    <w:p>
      <w:pPr>
        <w:ind w:left="460" w:right="10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Tenant shall indemnify and hold harmless the Landlord from, and name LANDLORD as additional insured on policy regarding, any and all liability, damage, expense, cause of action, or claims arising out of injury to persons or to property on the Premises, except for the negligence or willful misconduct of Landlord, its agents, employees, or servants.</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73"/>
        </w:numPr>
        <w:rPr>
          <w:rFonts w:ascii="Arial" w:cs="Arial" w:eastAsia="Arial" w:hAnsi="Arial"/>
          <w:sz w:val="14"/>
          <w:szCs w:val="14"/>
          <w:b w:val="1"/>
          <w:bCs w:val="1"/>
          <w:color w:val="auto"/>
        </w:rPr>
      </w:pPr>
      <w:r>
        <w:rPr>
          <w:rFonts w:ascii="Arial" w:cs="Arial" w:eastAsia="Arial" w:hAnsi="Arial"/>
          <w:sz w:val="14"/>
          <w:szCs w:val="14"/>
          <w:b w:val="1"/>
          <w:bCs w:val="1"/>
          <w:color w:val="auto"/>
        </w:rPr>
        <w:t>DAMAGE BY FIRE OR CASUALTY</w:t>
      </w:r>
    </w:p>
    <w:p>
      <w:pPr>
        <w:spacing w:after="0" w:line="70" w:lineRule="exact"/>
        <w:rPr>
          <w:rFonts w:ascii="Arial" w:cs="Arial" w:eastAsia="Arial" w:hAnsi="Arial"/>
          <w:sz w:val="14"/>
          <w:szCs w:val="14"/>
          <w:b w:val="1"/>
          <w:bCs w:val="1"/>
          <w:color w:val="auto"/>
        </w:rPr>
      </w:pPr>
    </w:p>
    <w:p>
      <w:pPr>
        <w:ind w:left="900" w:right="200" w:hanging="447"/>
        <w:spacing w:after="0" w:line="267" w:lineRule="auto"/>
        <w:tabs>
          <w:tab w:leader="none" w:pos="90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If the Premises are damaged by fire or other casualty, but are not thereby rendered untenantable in whole or in part, Landlord, at its own expense, and subject to the limitations set forth in this Lease, shall cause such damage to be repaired and the Minimum Rent and Additional Rent shall not be abated.</w:t>
      </w:r>
    </w:p>
    <w:p>
      <w:pPr>
        <w:spacing w:after="0" w:line="38" w:lineRule="exact"/>
        <w:rPr>
          <w:rFonts w:ascii="Arial" w:cs="Arial" w:eastAsia="Arial" w:hAnsi="Arial"/>
          <w:sz w:val="14"/>
          <w:szCs w:val="14"/>
          <w:color w:val="auto"/>
        </w:rPr>
      </w:pPr>
    </w:p>
    <w:p>
      <w:pPr>
        <w:ind w:left="920" w:right="100"/>
        <w:spacing w:after="0" w:line="311" w:lineRule="auto"/>
        <w:rPr>
          <w:rFonts w:ascii="Arial" w:cs="Arial" w:eastAsia="Arial" w:hAnsi="Arial"/>
          <w:sz w:val="14"/>
          <w:szCs w:val="14"/>
          <w:color w:val="auto"/>
        </w:rPr>
      </w:pPr>
      <w:r>
        <w:rPr>
          <w:rFonts w:ascii="Arial" w:cs="Arial" w:eastAsia="Arial" w:hAnsi="Arial"/>
          <w:sz w:val="12"/>
          <w:szCs w:val="12"/>
          <w:color w:val="auto"/>
        </w:rPr>
        <w:t>If, by reason of any damage or destruction, the Premises shall be rendered untenantable in whole or in part and cannot be repaired and made tenantable within one hundred twenty (120) days after such damage: (i) Landlord, at its option and its own expense, may cause the damage to be repaired and the Minimum Rent and Additional Rent shall be abated proportionately as to the portion of the Premises rendered untenantable while it is untenantable; or (ii) Landlord shall have the right, to be exercised by notice in writing delivered to Tenant within thirty (30) days of the occurrence of such damage or destruction, to terminate this Lease, whereupon the Minimum Rent and Additional Rent shall be adjusted as of the date of such termination.</w:t>
      </w:r>
    </w:p>
    <w:p>
      <w:pPr>
        <w:spacing w:after="0" w:line="16" w:lineRule="exact"/>
        <w:rPr>
          <w:rFonts w:ascii="Arial" w:cs="Arial" w:eastAsia="Arial" w:hAnsi="Arial"/>
          <w:sz w:val="14"/>
          <w:szCs w:val="14"/>
          <w:color w:val="auto"/>
        </w:rPr>
      </w:pPr>
    </w:p>
    <w:p>
      <w:pPr>
        <w:jc w:val="both"/>
        <w:ind w:left="900" w:right="300" w:hanging="447"/>
        <w:spacing w:after="0" w:line="321" w:lineRule="auto"/>
        <w:tabs>
          <w:tab w:leader="none" w:pos="900" w:val="left"/>
        </w:tabs>
        <w:numPr>
          <w:ilvl w:val="1"/>
          <w:numId w:val="273"/>
        </w:numPr>
        <w:rPr>
          <w:rFonts w:ascii="Arial" w:cs="Arial" w:eastAsia="Arial" w:hAnsi="Arial"/>
          <w:sz w:val="12"/>
          <w:szCs w:val="12"/>
          <w:color w:val="auto"/>
        </w:rPr>
      </w:pPr>
      <w:r>
        <w:rPr>
          <w:rFonts w:ascii="Arial" w:cs="Arial" w:eastAsia="Arial" w:hAnsi="Arial"/>
          <w:sz w:val="12"/>
          <w:szCs w:val="12"/>
          <w:color w:val="auto"/>
        </w:rPr>
        <w:t>In the event that twenty-five percent (25%) or more of the rentable floor area of the Building shall be damaged or destroyed by fire or other cause, notwithstanding that the Premises may be unaffected by such fire or other damage, Landlord shall have the right, to be exercised by notice in writing delivered to Tenant within thirty (30) days after such occurrence, to terminate this Lease. Upon the giving of such notice, the Minimum Rent and Additional Rent shall be adjusted as of the date of termination and This Lease shall thereupon terminate.</w:t>
      </w:r>
    </w:p>
    <w:p>
      <w:pPr>
        <w:spacing w:after="0" w:line="63"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6</w:t>
      </w:r>
    </w:p>
    <w:p>
      <w:pPr>
        <w:sectPr>
          <w:pgSz w:w="11900" w:h="16838" w:orient="portrait"/>
          <w:cols w:equalWidth="0" w:num="1">
            <w:col w:w="11460"/>
          </w:cols>
          <w:pgMar w:left="220" w:top="247" w:right="219" w:bottom="1440" w:gutter="0" w:footer="0" w:header="0"/>
        </w:sectPr>
      </w:pPr>
    </w:p>
    <w:bookmarkStart w:id="358" w:name="page359"/>
    <w:bookmarkEnd w:id="358"/>
    <w:p>
      <w:pPr>
        <w:ind w:left="460" w:hanging="456"/>
        <w:spacing w:after="0"/>
        <w:tabs>
          <w:tab w:leader="none" w:pos="460" w:val="left"/>
        </w:tabs>
        <w:numPr>
          <w:ilvl w:val="0"/>
          <w:numId w:val="274"/>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ASSIGNMENT OR SUBLETTING</w:t>
      </w:r>
    </w:p>
    <w:p>
      <w:pPr>
        <w:spacing w:after="0" w:line="70" w:lineRule="exact"/>
        <w:rPr>
          <w:rFonts w:ascii="Arial" w:cs="Arial" w:eastAsia="Arial" w:hAnsi="Arial"/>
          <w:sz w:val="14"/>
          <w:szCs w:val="14"/>
          <w:b w:val="1"/>
          <w:bCs w:val="1"/>
          <w:color w:val="auto"/>
        </w:rPr>
      </w:pPr>
    </w:p>
    <w:p>
      <w:pPr>
        <w:ind w:left="46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Tenant acknowledges that Landlord has entered into this Lease because of Tenant’s financial strength, goodwill, ability and expertise and that accordingly, this lease is personal to Tenant. Taking this into consideration, tenant shall not assign, mortgage, sublet, pledge or encumber this Lease, in whole or in part, except with the written consent of the Landlord, which shall not be unreasonably withheld or delayed. Tenant agrees that, in the event of any such assignment or subletting, Tenant shall nevertheless remain liable for the performance of all terms, covenants, and conditions of this Lease.</w:t>
      </w:r>
    </w:p>
    <w:p>
      <w:pPr>
        <w:spacing w:after="0" w:line="10" w:lineRule="exact"/>
        <w:rPr>
          <w:rFonts w:ascii="Arial" w:cs="Arial" w:eastAsia="Arial" w:hAnsi="Arial"/>
          <w:sz w:val="14"/>
          <w:szCs w:val="14"/>
          <w:b w:val="1"/>
          <w:bCs w:val="1"/>
          <w:color w:val="auto"/>
        </w:rPr>
      </w:pPr>
    </w:p>
    <w:p>
      <w:pPr>
        <w:ind w:left="460" w:right="4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In the event the Landlord consents to an assignment of the Lease, any money or consideration to be paid to Tenant for the assignment shall be paid to the Landlord as partial consideration for the Landlord’s consent to the assignment.</w:t>
      </w:r>
    </w:p>
    <w:p>
      <w:pPr>
        <w:spacing w:after="0" w:line="38" w:lineRule="exact"/>
        <w:rPr>
          <w:rFonts w:ascii="Arial" w:cs="Arial" w:eastAsia="Arial" w:hAnsi="Arial"/>
          <w:sz w:val="14"/>
          <w:szCs w:val="14"/>
          <w:b w:val="1"/>
          <w:bCs w:val="1"/>
          <w:color w:val="auto"/>
        </w:rPr>
      </w:pPr>
    </w:p>
    <w:p>
      <w:pPr>
        <w:ind w:left="460" w:right="12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In the event the Landlord consents to a sublease of the Premises, or any portion thereof, Tenant shall pay to the Landlord a sum equal to (1) any money, rent or other consideration paid to the Tenant by any subtenant in excess of the pro-rata portion of the rent for such space then being paid by Tenant to Landlord under this Lease and (2) any other profit or gain realized by the Tenant from such subletting. All sums payable hereunder by Tenant shall be paid to Landlord as additional rent immediately upon the receipt thereof by Tenant.</w:t>
      </w:r>
    </w:p>
    <w:p>
      <w:pPr>
        <w:spacing w:after="0" w:line="165" w:lineRule="exact"/>
        <w:rPr>
          <w:rFonts w:ascii="Arial" w:cs="Arial" w:eastAsia="Arial" w:hAnsi="Arial"/>
          <w:sz w:val="14"/>
          <w:szCs w:val="14"/>
          <w:b w:val="1"/>
          <w:bCs w:val="1"/>
          <w:color w:val="auto"/>
        </w:rPr>
      </w:pPr>
    </w:p>
    <w:p>
      <w:pPr>
        <w:ind w:left="460" w:hanging="456"/>
        <w:spacing w:after="0"/>
        <w:tabs>
          <w:tab w:leader="none" w:pos="460" w:val="left"/>
        </w:tabs>
        <w:numPr>
          <w:ilvl w:val="0"/>
          <w:numId w:val="274"/>
        </w:numPr>
        <w:rPr>
          <w:rFonts w:ascii="Arial" w:cs="Arial" w:eastAsia="Arial" w:hAnsi="Arial"/>
          <w:sz w:val="14"/>
          <w:szCs w:val="14"/>
          <w:b w:val="1"/>
          <w:bCs w:val="1"/>
          <w:color w:val="auto"/>
        </w:rPr>
      </w:pPr>
      <w:r>
        <w:rPr>
          <w:rFonts w:ascii="Arial" w:cs="Arial" w:eastAsia="Arial" w:hAnsi="Arial"/>
          <w:sz w:val="14"/>
          <w:szCs w:val="14"/>
          <w:b w:val="1"/>
          <w:bCs w:val="1"/>
          <w:color w:val="auto"/>
        </w:rPr>
        <w:t>SUBORDINATION AND ATTORNMENT</w:t>
      </w:r>
    </w:p>
    <w:p>
      <w:pPr>
        <w:spacing w:after="0" w:line="70" w:lineRule="exact"/>
        <w:rPr>
          <w:rFonts w:ascii="Arial" w:cs="Arial" w:eastAsia="Arial" w:hAnsi="Arial"/>
          <w:sz w:val="14"/>
          <w:szCs w:val="14"/>
          <w:b w:val="1"/>
          <w:bCs w:val="1"/>
          <w:color w:val="auto"/>
        </w:rPr>
      </w:pPr>
    </w:p>
    <w:p>
      <w:pPr>
        <w:ind w:left="460" w:right="14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This Lease shall be subject to and subordinate at all times to the lien of any mortgage and/or deeds of trust and all land leases now or hereafter made on any portion of the Premises, and to all advances thereunder, provided the mortgagee or trustee named in said mortgage or deed of trust shall agree to recognize this Lease and agrees, in the event of foreclosure, not to disturb the Tenant’s possession hereunder, provided Tenant is not in default under this Lease. This subordination shall be self-operative and no further instrument of subordination shall be required.</w:t>
      </w:r>
    </w:p>
    <w:p>
      <w:pPr>
        <w:spacing w:after="0" w:line="10" w:lineRule="exact"/>
        <w:rPr>
          <w:rFonts w:ascii="Arial" w:cs="Arial" w:eastAsia="Arial" w:hAnsi="Arial"/>
          <w:sz w:val="14"/>
          <w:szCs w:val="14"/>
          <w:b w:val="1"/>
          <w:bCs w:val="1"/>
          <w:color w:val="auto"/>
        </w:rPr>
      </w:pPr>
    </w:p>
    <w:p>
      <w:pPr>
        <w:jc w:val="both"/>
        <w:ind w:left="460" w:right="4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If any proceedings are commenced to foreclose any mortgage or deed of trust encumbering the Premises, Tenant agrees to attorn to the purchaser at the foreclosure sale, if requested to do so by any such purchaser, and to recognize such purchaser as the Landlord under this Lease, provided purchaser shall agree that Tenant’s rights hereunder shall not be disturbed so long as Tenant has not committed any event of default as to which the applicable cure period has expired.</w:t>
      </w:r>
    </w:p>
    <w:p>
      <w:pPr>
        <w:spacing w:after="0" w:line="199" w:lineRule="exact"/>
        <w:rPr>
          <w:rFonts w:ascii="Arial" w:cs="Arial" w:eastAsia="Arial" w:hAnsi="Arial"/>
          <w:sz w:val="14"/>
          <w:szCs w:val="14"/>
          <w:b w:val="1"/>
          <w:bCs w:val="1"/>
          <w:color w:val="auto"/>
        </w:rPr>
      </w:pPr>
    </w:p>
    <w:p>
      <w:pPr>
        <w:ind w:left="460" w:hanging="456"/>
        <w:spacing w:after="0"/>
        <w:tabs>
          <w:tab w:leader="none" w:pos="460" w:val="left"/>
        </w:tabs>
        <w:numPr>
          <w:ilvl w:val="0"/>
          <w:numId w:val="274"/>
        </w:numPr>
        <w:rPr>
          <w:rFonts w:ascii="Arial" w:cs="Arial" w:eastAsia="Arial" w:hAnsi="Arial"/>
          <w:sz w:val="14"/>
          <w:szCs w:val="14"/>
          <w:b w:val="1"/>
          <w:bCs w:val="1"/>
          <w:color w:val="auto"/>
        </w:rPr>
      </w:pPr>
      <w:r>
        <w:rPr>
          <w:rFonts w:ascii="Arial" w:cs="Arial" w:eastAsia="Arial" w:hAnsi="Arial"/>
          <w:sz w:val="14"/>
          <w:szCs w:val="14"/>
          <w:b w:val="1"/>
          <w:bCs w:val="1"/>
          <w:color w:val="auto"/>
        </w:rPr>
        <w:t>CONDEMNATION</w:t>
      </w:r>
    </w:p>
    <w:p>
      <w:pPr>
        <w:spacing w:after="0" w:line="70" w:lineRule="exact"/>
        <w:rPr>
          <w:rFonts w:ascii="Arial" w:cs="Arial" w:eastAsia="Arial" w:hAnsi="Arial"/>
          <w:sz w:val="14"/>
          <w:szCs w:val="14"/>
          <w:b w:val="1"/>
          <w:bCs w:val="1"/>
          <w:color w:val="auto"/>
        </w:rPr>
      </w:pPr>
    </w:p>
    <w:p>
      <w:pPr>
        <w:ind w:left="900" w:right="80" w:hanging="447"/>
        <w:spacing w:after="0" w:line="255" w:lineRule="auto"/>
        <w:tabs>
          <w:tab w:leader="none" w:pos="9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If the whole of the Premises shall be taken by any public or quasi-public authority under the power of eminent domain, condemnation or conveyance in lieu thereof, then this Lease shall terminate as of the date on which possession of the Premises is required to be surrendered to the condemning authority and the Tenant shall have no claim against Landlord or the condemning authority for the value of the unexpired term of this Lease. Tenant shall have the right to claim, however, the unamortized cost of any improvements or additions made to the Premises by Tenant at its cost, the value of any Tenant fixtures and furnishings and any moving expenses.</w:t>
      </w:r>
    </w:p>
    <w:p>
      <w:pPr>
        <w:spacing w:after="0" w:line="47" w:lineRule="exact"/>
        <w:rPr>
          <w:rFonts w:ascii="Arial" w:cs="Arial" w:eastAsia="Arial" w:hAnsi="Arial"/>
          <w:sz w:val="14"/>
          <w:szCs w:val="14"/>
          <w:color w:val="auto"/>
        </w:rPr>
      </w:pPr>
    </w:p>
    <w:p>
      <w:pPr>
        <w:ind w:left="900" w:right="60" w:hanging="447"/>
        <w:spacing w:after="0" w:line="258" w:lineRule="auto"/>
        <w:tabs>
          <w:tab w:leader="none" w:pos="90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If a portion of the Premises shall be so taken or conveyed, and if such partial taking or conveyance shall render the Premises unsuitable for the business of the Tenant, then the term of this Lease shall cease and terminate as of the date on which possession of the portion of the Premises is surrendered to the condemning authority, and Tenant shall have no claim against Landlord or the condemning authority for the value of any unexpired term of this Lease.</w:t>
      </w:r>
    </w:p>
    <w:p>
      <w:pPr>
        <w:spacing w:after="0" w:line="97"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7</w:t>
      </w:r>
    </w:p>
    <w:p>
      <w:pPr>
        <w:sectPr>
          <w:pgSz w:w="11900" w:h="16838" w:orient="portrait"/>
          <w:cols w:equalWidth="0" w:num="1">
            <w:col w:w="11460"/>
          </w:cols>
          <w:pgMar w:left="220" w:top="245" w:right="219" w:bottom="1440" w:gutter="0" w:footer="0" w:header="0"/>
        </w:sectPr>
      </w:pPr>
    </w:p>
    <w:bookmarkStart w:id="359" w:name="page360"/>
    <w:bookmarkEnd w:id="359"/>
    <w:p>
      <w:pPr>
        <w:ind w:left="460" w:right="260"/>
        <w:spacing w:after="0" w:line="34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the event such partial taking or conveyance is not extensive enough to render the Premises untenantable for the business of Tenant, this Lease shall continue in full force and effect, except that the Minimum Rent shall be reduced in the same proportion that the floor area of the Premises so taken or conveyed bears to such floor area immediately prior to such taking or conveyance.</w:t>
      </w:r>
    </w:p>
    <w:p>
      <w:pPr>
        <w:ind w:left="460" w:right="700"/>
        <w:spacing w:after="0" w:line="267" w:lineRule="auto"/>
        <w:rPr>
          <w:sz w:val="20"/>
          <w:szCs w:val="20"/>
          <w:color w:val="auto"/>
        </w:rPr>
      </w:pPr>
      <w:r>
        <w:rPr>
          <w:rFonts w:ascii="Arial" w:cs="Arial" w:eastAsia="Arial" w:hAnsi="Arial"/>
          <w:sz w:val="14"/>
          <w:szCs w:val="14"/>
          <w:color w:val="auto"/>
        </w:rPr>
        <w:t>In the event of such partial taking and continuation of Lease, Landlord shall promptly restore the Premises as nearly as practical to the condition comparable to that which existed prior to the condemnation.</w:t>
      </w:r>
    </w:p>
    <w:p>
      <w:pPr>
        <w:spacing w:after="0" w:line="194" w:lineRule="exact"/>
        <w:rPr>
          <w:sz w:val="20"/>
          <w:szCs w:val="20"/>
          <w:color w:val="auto"/>
        </w:rPr>
      </w:pPr>
    </w:p>
    <w:p>
      <w:pPr>
        <w:ind w:left="460" w:hanging="456"/>
        <w:spacing w:after="0"/>
        <w:tabs>
          <w:tab w:leader="none" w:pos="460" w:val="left"/>
        </w:tabs>
        <w:numPr>
          <w:ilvl w:val="0"/>
          <w:numId w:val="275"/>
        </w:numPr>
        <w:rPr>
          <w:rFonts w:ascii="Arial" w:cs="Arial" w:eastAsia="Arial" w:hAnsi="Arial"/>
          <w:sz w:val="14"/>
          <w:szCs w:val="14"/>
          <w:b w:val="1"/>
          <w:bCs w:val="1"/>
          <w:color w:val="auto"/>
        </w:rPr>
      </w:pPr>
      <w:r>
        <w:rPr>
          <w:rFonts w:ascii="Arial" w:cs="Arial" w:eastAsia="Arial" w:hAnsi="Arial"/>
          <w:sz w:val="14"/>
          <w:szCs w:val="14"/>
          <w:b w:val="1"/>
          <w:bCs w:val="1"/>
          <w:color w:val="auto"/>
        </w:rPr>
        <w:t>EVENTS OF DEFAULT</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The occurrence of any of the following shall constitute an event of default hereunder:</w:t>
      </w:r>
    </w:p>
    <w:p>
      <w:pPr>
        <w:spacing w:after="0" w:line="68" w:lineRule="exact"/>
        <w:rPr>
          <w:rFonts w:ascii="Arial" w:cs="Arial" w:eastAsia="Arial" w:hAnsi="Arial"/>
          <w:sz w:val="14"/>
          <w:szCs w:val="14"/>
          <w:b w:val="1"/>
          <w:bCs w:val="1"/>
          <w:color w:val="auto"/>
        </w:rPr>
      </w:pPr>
    </w:p>
    <w:p>
      <w:pPr>
        <w:ind w:left="900" w:right="60" w:hanging="447"/>
        <w:spacing w:after="0" w:line="267" w:lineRule="auto"/>
        <w:tabs>
          <w:tab w:leader="none" w:pos="900" w:val="left"/>
        </w:tabs>
        <w:numPr>
          <w:ilvl w:val="1"/>
          <w:numId w:val="275"/>
        </w:numPr>
        <w:rPr>
          <w:rFonts w:ascii="Arial" w:cs="Arial" w:eastAsia="Arial" w:hAnsi="Arial"/>
          <w:sz w:val="14"/>
          <w:szCs w:val="14"/>
          <w:color w:val="auto"/>
        </w:rPr>
      </w:pPr>
      <w:r>
        <w:rPr>
          <w:rFonts w:ascii="Arial" w:cs="Arial" w:eastAsia="Arial" w:hAnsi="Arial"/>
          <w:sz w:val="14"/>
          <w:szCs w:val="14"/>
          <w:color w:val="auto"/>
        </w:rPr>
        <w:t>Failure of Tenant to pay installment of rent within five (5) days of the due date, or failure of Tenant to pay within fifteen (15) days after receipt of written notice any other sum herein required to be paid by Tenant.</w:t>
      </w:r>
    </w:p>
    <w:p>
      <w:pPr>
        <w:spacing w:after="0" w:line="38" w:lineRule="exact"/>
        <w:rPr>
          <w:rFonts w:ascii="Arial" w:cs="Arial" w:eastAsia="Arial" w:hAnsi="Arial"/>
          <w:sz w:val="14"/>
          <w:szCs w:val="14"/>
          <w:color w:val="auto"/>
        </w:rPr>
      </w:pPr>
    </w:p>
    <w:p>
      <w:pPr>
        <w:ind w:left="900" w:right="160" w:hanging="447"/>
        <w:spacing w:after="0" w:line="267" w:lineRule="auto"/>
        <w:tabs>
          <w:tab w:leader="none" w:pos="900" w:val="left"/>
        </w:tabs>
        <w:numPr>
          <w:ilvl w:val="1"/>
          <w:numId w:val="275"/>
        </w:numPr>
        <w:rPr>
          <w:rFonts w:ascii="Arial" w:cs="Arial" w:eastAsia="Arial" w:hAnsi="Arial"/>
          <w:sz w:val="14"/>
          <w:szCs w:val="14"/>
          <w:color w:val="auto"/>
        </w:rPr>
      </w:pPr>
      <w:r>
        <w:rPr>
          <w:rFonts w:ascii="Arial" w:cs="Arial" w:eastAsia="Arial" w:hAnsi="Arial"/>
          <w:sz w:val="14"/>
          <w:szCs w:val="14"/>
          <w:color w:val="auto"/>
        </w:rPr>
        <w:t>Tenant’s failure to perform any other covenant or condition of this Lease within thirty (30) days after receipt of written notice and demand, unless the failure is of such a character as to require more than thirty (30) days to cure in which event Tenant’s failure to proceed diligently to cure such failure shall constitute an event of default.</w:t>
      </w:r>
    </w:p>
    <w:p>
      <w:pPr>
        <w:spacing w:after="0" w:line="193" w:lineRule="exact"/>
        <w:rPr>
          <w:rFonts w:ascii="Arial" w:cs="Arial" w:eastAsia="Arial" w:hAnsi="Arial"/>
          <w:sz w:val="14"/>
          <w:szCs w:val="14"/>
          <w:color w:val="auto"/>
        </w:rPr>
      </w:pPr>
    </w:p>
    <w:p>
      <w:pPr>
        <w:ind w:left="460" w:hanging="456"/>
        <w:spacing w:after="0"/>
        <w:tabs>
          <w:tab w:leader="none" w:pos="460" w:val="left"/>
        </w:tabs>
        <w:numPr>
          <w:ilvl w:val="0"/>
          <w:numId w:val="275"/>
        </w:numPr>
        <w:rPr>
          <w:rFonts w:ascii="Arial" w:cs="Arial" w:eastAsia="Arial" w:hAnsi="Arial"/>
          <w:sz w:val="14"/>
          <w:szCs w:val="14"/>
          <w:b w:val="1"/>
          <w:bCs w:val="1"/>
          <w:color w:val="auto"/>
        </w:rPr>
      </w:pPr>
      <w:r>
        <w:rPr>
          <w:rFonts w:ascii="Arial" w:cs="Arial" w:eastAsia="Arial" w:hAnsi="Arial"/>
          <w:sz w:val="14"/>
          <w:szCs w:val="14"/>
          <w:b w:val="1"/>
          <w:bCs w:val="1"/>
          <w:color w:val="auto"/>
        </w:rPr>
        <w:t>LANDLORD’S REMEDIES</w:t>
      </w:r>
    </w:p>
    <w:p>
      <w:pPr>
        <w:spacing w:after="0" w:line="70" w:lineRule="exact"/>
        <w:rPr>
          <w:rFonts w:ascii="Arial" w:cs="Arial" w:eastAsia="Arial" w:hAnsi="Arial"/>
          <w:sz w:val="14"/>
          <w:szCs w:val="14"/>
          <w:b w:val="1"/>
          <w:bCs w:val="1"/>
          <w:color w:val="auto"/>
        </w:rPr>
      </w:pPr>
    </w:p>
    <w:p>
      <w:pPr>
        <w:ind w:left="460" w:right="4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Upon the occurrence of any event of default, Landlord may, at Landlord’s sole option, exercise any or all of the following remedies, together with any such other remedies as may be available to Landlord at law or in equity.</w:t>
      </w:r>
    </w:p>
    <w:p>
      <w:pPr>
        <w:spacing w:after="0" w:line="38" w:lineRule="exact"/>
        <w:rPr>
          <w:rFonts w:ascii="Arial" w:cs="Arial" w:eastAsia="Arial" w:hAnsi="Arial"/>
          <w:sz w:val="14"/>
          <w:szCs w:val="14"/>
          <w:b w:val="1"/>
          <w:bCs w:val="1"/>
          <w:color w:val="auto"/>
        </w:rPr>
      </w:pPr>
    </w:p>
    <w:p>
      <w:pPr>
        <w:ind w:left="900" w:hanging="447"/>
        <w:spacing w:after="0" w:line="298" w:lineRule="auto"/>
        <w:tabs>
          <w:tab w:leader="none" w:pos="900" w:val="left"/>
        </w:tabs>
        <w:numPr>
          <w:ilvl w:val="1"/>
          <w:numId w:val="275"/>
        </w:numPr>
        <w:rPr>
          <w:rFonts w:ascii="Arial" w:cs="Arial" w:eastAsia="Arial" w:hAnsi="Arial"/>
          <w:sz w:val="12"/>
          <w:szCs w:val="12"/>
          <w:color w:val="auto"/>
        </w:rPr>
      </w:pPr>
      <w:r>
        <w:rPr>
          <w:rFonts w:ascii="Arial" w:cs="Arial" w:eastAsia="Arial" w:hAnsi="Arial"/>
          <w:sz w:val="12"/>
          <w:szCs w:val="12"/>
          <w:color w:val="auto"/>
        </w:rPr>
        <w:t>Landlord may terminate this Lease by giving Tenant written notice of its election to do so, as of a specified date not less than thirty (30) days after the date of the giving of such notice and this Lease shall then expire on the date so specified, and Landlord shall then be entitled to immediately regain possession of the Premises as if the date had been originally fixed as the expiration date of the term of this Lease. Landlord may then re-enter upon the Premises, either with or without due process of law, and remove all persons therefrom, the statutory notice to quit or any other notice to quit being hereby expressly waived by Tenant. Tenant expressly agrees that the exercise by Landlord of the right of re-entry shall not be a bar to or prejudice in any way other legal remedies available to Landlord. In that event, Landlord shall be entitled to recover from Tenant as and for liquidated damages an amount equal to the rent and additional rent reserved in this Lease less any and all amounts received by Landlord from the rental of the Premises to another tenant. Nothing herein contained, however, shall limit or prejudice the right of Landlord to prove for and obtain as liquidated damages, by reason of such termination, an amount equal to the maximum allowed by any statute or rule of law in effect at the time when, and governing the proceedings in which such damages are to be proved, whether or not such amount may be greater, equal to, or less than the amount of the difference referred to above, and the Landlord may, in his own name, but as agent for Tenant, re-let the Premises. Any recovery by the Landlord shall be limited to the rent hereunder (plus any costs incurred in re-letting) less any rent actually paid by the new tenant.</w:t>
      </w:r>
    </w:p>
    <w:p>
      <w:pPr>
        <w:spacing w:after="0" w:line="244"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8</w:t>
      </w:r>
    </w:p>
    <w:p>
      <w:pPr>
        <w:sectPr>
          <w:pgSz w:w="11900" w:h="16838" w:orient="portrait"/>
          <w:cols w:equalWidth="0" w:num="1">
            <w:col w:w="11460"/>
          </w:cols>
          <w:pgMar w:left="220" w:top="247" w:right="219" w:bottom="1440" w:gutter="0" w:footer="0" w:header="0"/>
        </w:sectPr>
      </w:pPr>
    </w:p>
    <w:bookmarkStart w:id="360" w:name="page361"/>
    <w:bookmarkEnd w:id="360"/>
    <w:p>
      <w:pPr>
        <w:ind w:left="900" w:right="180" w:hanging="447"/>
        <w:spacing w:after="0" w:line="345" w:lineRule="auto"/>
        <w:tabs>
          <w:tab w:leader="none" w:pos="900" w:val="left"/>
        </w:tabs>
        <w:numPr>
          <w:ilvl w:val="1"/>
          <w:numId w:val="27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No termination of this Lease or any taking of possession of the Premises shall deprive Landlord of any of its remedies or actions against Tenant for past or future rent, nor shall the bringing of any action for rent or breach of covenant, or the resort to any other remedy herein provided for the recovery of rent, be construed as a waiver of the right to obtain possession of the Premises.</w:t>
      </w:r>
    </w:p>
    <w:p>
      <w:pPr>
        <w:ind w:left="900" w:right="40" w:hanging="447"/>
        <w:spacing w:after="0" w:line="258" w:lineRule="auto"/>
        <w:tabs>
          <w:tab w:leader="none" w:pos="900" w:val="left"/>
        </w:tabs>
        <w:numPr>
          <w:ilvl w:val="1"/>
          <w:numId w:val="276"/>
        </w:numPr>
        <w:rPr>
          <w:rFonts w:ascii="Arial" w:cs="Arial" w:eastAsia="Arial" w:hAnsi="Arial"/>
          <w:sz w:val="14"/>
          <w:szCs w:val="14"/>
          <w:color w:val="auto"/>
        </w:rPr>
      </w:pPr>
      <w:r>
        <w:rPr>
          <w:rFonts w:ascii="Arial" w:cs="Arial" w:eastAsia="Arial" w:hAnsi="Arial"/>
          <w:sz w:val="14"/>
          <w:szCs w:val="14"/>
          <w:color w:val="auto"/>
        </w:rPr>
        <w:t>In addition to any damages becoming due under this paragraph, Landlord shall be entitled to recover from Tenant and Tenant shall pay to Landlord an amount equal to all expenses, including attorneys’ fees, if any, incurred by the Landlord in recovering possession of the Premises, and all reasonable costs and charges for the care of said Premises while vacant, which damages shall be due and payable by Tenant to Landlord at such time or times as such expenses are incurred by the Landlord.</w:t>
      </w:r>
    </w:p>
    <w:p>
      <w:pPr>
        <w:spacing w:after="0" w:line="44" w:lineRule="exact"/>
        <w:rPr>
          <w:rFonts w:ascii="Arial" w:cs="Arial" w:eastAsia="Arial" w:hAnsi="Arial"/>
          <w:sz w:val="14"/>
          <w:szCs w:val="14"/>
          <w:color w:val="auto"/>
        </w:rPr>
      </w:pPr>
    </w:p>
    <w:p>
      <w:pPr>
        <w:ind w:left="900" w:right="60" w:hanging="447"/>
        <w:spacing w:after="0" w:line="267" w:lineRule="auto"/>
        <w:tabs>
          <w:tab w:leader="none" w:pos="900" w:val="left"/>
        </w:tabs>
        <w:numPr>
          <w:ilvl w:val="1"/>
          <w:numId w:val="276"/>
        </w:numPr>
        <w:rPr>
          <w:rFonts w:ascii="Arial" w:cs="Arial" w:eastAsia="Arial" w:hAnsi="Arial"/>
          <w:sz w:val="14"/>
          <w:szCs w:val="14"/>
          <w:color w:val="auto"/>
        </w:rPr>
      </w:pPr>
      <w:r>
        <w:rPr>
          <w:rFonts w:ascii="Arial" w:cs="Arial" w:eastAsia="Arial" w:hAnsi="Arial"/>
          <w:sz w:val="14"/>
          <w:szCs w:val="14"/>
          <w:color w:val="auto"/>
        </w:rPr>
        <w:t>In the event of a default or threatened default by Tenant of any of the terms or conditions of this Lease, Landlord shall have the right of injunction and the right to invoke any remedy allowed by law or in equity as if no specific remedies of Landlord were set forth in this Lease.</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1"/>
          <w:numId w:val="276"/>
        </w:numPr>
        <w:rPr>
          <w:rFonts w:ascii="Arial" w:cs="Arial" w:eastAsia="Arial" w:hAnsi="Arial"/>
          <w:sz w:val="14"/>
          <w:szCs w:val="14"/>
          <w:color w:val="auto"/>
        </w:rPr>
      </w:pPr>
      <w:r>
        <w:rPr>
          <w:rFonts w:ascii="Arial" w:cs="Arial" w:eastAsia="Arial" w:hAnsi="Arial"/>
          <w:sz w:val="14"/>
          <w:szCs w:val="14"/>
          <w:color w:val="auto"/>
        </w:rPr>
        <w:t>If default be made and a compromise and settlement shall be had thereupon, it shall not constitute a waiver of any covenant herein contained, nor of the Lease itself.</w:t>
      </w:r>
    </w:p>
    <w:p>
      <w:pPr>
        <w:spacing w:after="0" w:line="223" w:lineRule="exact"/>
        <w:rPr>
          <w:rFonts w:ascii="Arial" w:cs="Arial" w:eastAsia="Arial" w:hAnsi="Arial"/>
          <w:sz w:val="14"/>
          <w:szCs w:val="14"/>
          <w:color w:val="auto"/>
        </w:rPr>
      </w:pPr>
    </w:p>
    <w:p>
      <w:pPr>
        <w:ind w:left="460" w:hanging="456"/>
        <w:spacing w:after="0"/>
        <w:tabs>
          <w:tab w:leader="none" w:pos="460" w:val="left"/>
        </w:tabs>
        <w:numPr>
          <w:ilvl w:val="0"/>
          <w:numId w:val="277"/>
        </w:numPr>
        <w:rPr>
          <w:rFonts w:ascii="Arial" w:cs="Arial" w:eastAsia="Arial" w:hAnsi="Arial"/>
          <w:sz w:val="14"/>
          <w:szCs w:val="14"/>
          <w:b w:val="1"/>
          <w:bCs w:val="1"/>
          <w:color w:val="auto"/>
        </w:rPr>
      </w:pPr>
      <w:r>
        <w:rPr>
          <w:rFonts w:ascii="Arial" w:cs="Arial" w:eastAsia="Arial" w:hAnsi="Arial"/>
          <w:sz w:val="14"/>
          <w:szCs w:val="14"/>
          <w:b w:val="1"/>
          <w:bCs w:val="1"/>
          <w:color w:val="auto"/>
        </w:rPr>
        <w:t>RIGHTS OF LANDLORD</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Landlord reserves the following rights with respect to the Premises:</w:t>
      </w:r>
    </w:p>
    <w:p>
      <w:pPr>
        <w:spacing w:after="0" w:line="68" w:lineRule="exact"/>
        <w:rPr>
          <w:rFonts w:ascii="Arial" w:cs="Arial" w:eastAsia="Arial" w:hAnsi="Arial"/>
          <w:sz w:val="14"/>
          <w:szCs w:val="14"/>
          <w:b w:val="1"/>
          <w:bCs w:val="1"/>
          <w:color w:val="auto"/>
        </w:rPr>
      </w:pPr>
    </w:p>
    <w:p>
      <w:pPr>
        <w:ind w:left="900" w:right="120" w:hanging="447"/>
        <w:spacing w:after="0" w:line="345" w:lineRule="auto"/>
        <w:tabs>
          <w:tab w:leader="none" w:pos="900" w:val="left"/>
        </w:tabs>
        <w:numPr>
          <w:ilvl w:val="1"/>
          <w:numId w:val="277"/>
        </w:numPr>
        <w:rPr>
          <w:rFonts w:ascii="Arial" w:cs="Arial" w:eastAsia="Arial" w:hAnsi="Arial"/>
          <w:sz w:val="12"/>
          <w:szCs w:val="12"/>
          <w:color w:val="auto"/>
        </w:rPr>
      </w:pPr>
      <w:r>
        <w:rPr>
          <w:rFonts w:ascii="Arial" w:cs="Arial" w:eastAsia="Arial" w:hAnsi="Arial"/>
          <w:sz w:val="12"/>
          <w:szCs w:val="12"/>
          <w:color w:val="auto"/>
        </w:rPr>
        <w:t>During normal business hours, upon 24 hours notice, to go upon and inspect the Premises, and at Landlord’s option, to make repairs, alterations and additions to the Premises or the Building of which the Premises are a part, provided there is no interference with Tenant’s occupancy. An Agent of the Tenant may be present for inspection, if requested by Tenant.</w:t>
      </w:r>
    </w:p>
    <w:p>
      <w:pPr>
        <w:ind w:left="900" w:right="20" w:hanging="447"/>
        <w:spacing w:after="0" w:line="258" w:lineRule="auto"/>
        <w:tabs>
          <w:tab w:leader="none" w:pos="900" w:val="left"/>
        </w:tabs>
        <w:numPr>
          <w:ilvl w:val="1"/>
          <w:numId w:val="277"/>
        </w:numPr>
        <w:rPr>
          <w:rFonts w:ascii="Arial" w:cs="Arial" w:eastAsia="Arial" w:hAnsi="Arial"/>
          <w:sz w:val="14"/>
          <w:szCs w:val="14"/>
          <w:color w:val="auto"/>
        </w:rPr>
      </w:pPr>
      <w:r>
        <w:rPr>
          <w:rFonts w:ascii="Arial" w:cs="Arial" w:eastAsia="Arial" w:hAnsi="Arial"/>
          <w:sz w:val="14"/>
          <w:szCs w:val="14"/>
          <w:color w:val="auto"/>
        </w:rPr>
        <w:t>To display, within sixty (60) days prior to the expiration of this Lease or after notice from either party of intention to terminate this Lease, a “For Rent” sign, and all of said signs which shall be placed upon such part of the Premises as Landlord shall determine, except on doors leading into the Premises. Prospective purchasers or tenants authorized by Landlord may inspect the Premises during normal business hours following adequate notice to Tenant.</w:t>
      </w:r>
    </w:p>
    <w:p>
      <w:pPr>
        <w:spacing w:after="0" w:line="44" w:lineRule="exact"/>
        <w:rPr>
          <w:rFonts w:ascii="Arial" w:cs="Arial" w:eastAsia="Arial" w:hAnsi="Arial"/>
          <w:sz w:val="14"/>
          <w:szCs w:val="14"/>
          <w:color w:val="auto"/>
        </w:rPr>
      </w:pPr>
    </w:p>
    <w:p>
      <w:pPr>
        <w:ind w:left="900" w:right="400" w:hanging="447"/>
        <w:spacing w:after="0" w:line="267" w:lineRule="auto"/>
        <w:tabs>
          <w:tab w:leader="none" w:pos="900" w:val="left"/>
        </w:tabs>
        <w:numPr>
          <w:ilvl w:val="1"/>
          <w:numId w:val="277"/>
        </w:numPr>
        <w:rPr>
          <w:rFonts w:ascii="Arial" w:cs="Arial" w:eastAsia="Arial" w:hAnsi="Arial"/>
          <w:sz w:val="14"/>
          <w:szCs w:val="14"/>
          <w:color w:val="auto"/>
        </w:rPr>
      </w:pPr>
      <w:r>
        <w:rPr>
          <w:rFonts w:ascii="Arial" w:cs="Arial" w:eastAsia="Arial" w:hAnsi="Arial"/>
          <w:sz w:val="14"/>
          <w:szCs w:val="14"/>
          <w:color w:val="auto"/>
        </w:rPr>
        <w:t>To install, place upon, or fix to the roof and exterior walls of the Premises, equipment, signs, displays, antennae, and any other object or structure of any kind, providing the same shall not materially impair the structural integrity of the Building or interfere with Tenant’s occupancy.</w:t>
      </w:r>
    </w:p>
    <w:p>
      <w:pPr>
        <w:spacing w:after="0" w:line="193" w:lineRule="exact"/>
        <w:rPr>
          <w:rFonts w:ascii="Arial" w:cs="Arial" w:eastAsia="Arial" w:hAnsi="Arial"/>
          <w:sz w:val="14"/>
          <w:szCs w:val="14"/>
          <w:color w:val="auto"/>
        </w:rPr>
      </w:pPr>
    </w:p>
    <w:p>
      <w:pPr>
        <w:ind w:left="460" w:hanging="456"/>
        <w:spacing w:after="0"/>
        <w:tabs>
          <w:tab w:leader="none" w:pos="460" w:val="left"/>
        </w:tabs>
        <w:numPr>
          <w:ilvl w:val="0"/>
          <w:numId w:val="277"/>
        </w:numPr>
        <w:rPr>
          <w:rFonts w:ascii="Arial" w:cs="Arial" w:eastAsia="Arial" w:hAnsi="Arial"/>
          <w:sz w:val="14"/>
          <w:szCs w:val="14"/>
          <w:b w:val="1"/>
          <w:bCs w:val="1"/>
          <w:color w:val="auto"/>
        </w:rPr>
      </w:pPr>
      <w:r>
        <w:rPr>
          <w:rFonts w:ascii="Arial" w:cs="Arial" w:eastAsia="Arial" w:hAnsi="Arial"/>
          <w:sz w:val="14"/>
          <w:szCs w:val="14"/>
          <w:b w:val="1"/>
          <w:bCs w:val="1"/>
          <w:color w:val="auto"/>
        </w:rPr>
        <w:t>HOLDING OVER</w:t>
      </w:r>
    </w:p>
    <w:p>
      <w:pPr>
        <w:spacing w:after="0" w:line="70" w:lineRule="exact"/>
        <w:rPr>
          <w:rFonts w:ascii="Arial" w:cs="Arial" w:eastAsia="Arial" w:hAnsi="Arial"/>
          <w:sz w:val="14"/>
          <w:szCs w:val="14"/>
          <w:b w:val="1"/>
          <w:bCs w:val="1"/>
          <w:color w:val="auto"/>
        </w:rPr>
      </w:pPr>
    </w:p>
    <w:p>
      <w:pPr>
        <w:ind w:left="460" w:right="4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If Tenant holds possession of the Premises after the termination of this Lease or any renewal or extension thereof, Tenant shall become a Tenant from month to month at 150% of the then current escalated rental rate.</w:t>
      </w:r>
    </w:p>
    <w:p>
      <w:pPr>
        <w:spacing w:after="0" w:line="91"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9</w:t>
      </w:r>
    </w:p>
    <w:p>
      <w:pPr>
        <w:sectPr>
          <w:pgSz w:w="11900" w:h="16838" w:orient="portrait"/>
          <w:cols w:equalWidth="0" w:num="1">
            <w:col w:w="11460"/>
          </w:cols>
          <w:pgMar w:left="220" w:top="246" w:right="219" w:bottom="1440" w:gutter="0" w:footer="0" w:header="0"/>
        </w:sectPr>
      </w:pPr>
    </w:p>
    <w:bookmarkStart w:id="361" w:name="page362"/>
    <w:bookmarkEnd w:id="361"/>
    <w:p>
      <w:pPr>
        <w:ind w:left="460" w:hanging="456"/>
        <w:spacing w:after="0"/>
        <w:tabs>
          <w:tab w:leader="none" w:pos="460" w:val="left"/>
        </w:tabs>
        <w:numPr>
          <w:ilvl w:val="0"/>
          <w:numId w:val="278"/>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WAIVER OF CLAIMS</w:t>
      </w:r>
    </w:p>
    <w:p>
      <w:pPr>
        <w:spacing w:after="0" w:line="70" w:lineRule="exact"/>
        <w:rPr>
          <w:rFonts w:ascii="Arial" w:cs="Arial" w:eastAsia="Arial" w:hAnsi="Arial"/>
          <w:sz w:val="14"/>
          <w:szCs w:val="14"/>
          <w:b w:val="1"/>
          <w:bCs w:val="1"/>
          <w:color w:val="auto"/>
        </w:rPr>
      </w:pPr>
    </w:p>
    <w:p>
      <w:pPr>
        <w:ind w:left="460" w:right="240"/>
        <w:spacing w:after="0" w:line="302" w:lineRule="auto"/>
        <w:rPr>
          <w:rFonts w:ascii="Arial" w:cs="Arial" w:eastAsia="Arial" w:hAnsi="Arial"/>
          <w:sz w:val="14"/>
          <w:szCs w:val="14"/>
          <w:b w:val="1"/>
          <w:bCs w:val="1"/>
          <w:color w:val="auto"/>
        </w:rPr>
      </w:pPr>
      <w:r>
        <w:rPr>
          <w:rFonts w:ascii="Arial" w:cs="Arial" w:eastAsia="Arial" w:hAnsi="Arial"/>
          <w:sz w:val="12"/>
          <w:szCs w:val="12"/>
          <w:color w:val="auto"/>
        </w:rPr>
        <w:t>Except as may result from their gross negligence, Landlord and Landlord’s agents, employees, and contractors shall not be liable for, and Tenant hereby releases all claims for, damages to persons or property sustained by Tenant (or any person claiming through Tenant) resulting from any fire, accident, occurrence or condition in or upon the Premises or Building, including but not limited to such claims for damage resulting from (1) any defect in or failure of plumbing, heating or air-conditioning equipment, electric wiring or installation thereof, water pipes, stairs, railings or walks; (2) any equipment or apparatus becoming out of repair; (3) the bursting, leaking or running of any tank, washstand, water closet, waste pipe, drain or any other pipe or tank, upon or about such building or premises; (4) the backing up of any sewer pipe or downspout; (5) the escape of steam or hot water; (6) water, snow or ice being upon or coming through the roof or any other place upon or near the Building or Premises or otherwise; (7) the falling of any fixtures, plaster or stucco; (8) broken glass; and (9) any act or omission of occupants of adjoining or contiguous property or buildings.</w:t>
      </w:r>
    </w:p>
    <w:p>
      <w:pPr>
        <w:spacing w:after="0" w:line="178" w:lineRule="exact"/>
        <w:rPr>
          <w:rFonts w:ascii="Arial" w:cs="Arial" w:eastAsia="Arial" w:hAnsi="Arial"/>
          <w:sz w:val="14"/>
          <w:szCs w:val="14"/>
          <w:b w:val="1"/>
          <w:bCs w:val="1"/>
          <w:color w:val="auto"/>
        </w:rPr>
      </w:pPr>
    </w:p>
    <w:p>
      <w:pPr>
        <w:ind w:left="460" w:hanging="456"/>
        <w:spacing w:after="0"/>
        <w:tabs>
          <w:tab w:leader="none" w:pos="460" w:val="left"/>
        </w:tabs>
        <w:numPr>
          <w:ilvl w:val="0"/>
          <w:numId w:val="278"/>
        </w:numPr>
        <w:rPr>
          <w:rFonts w:ascii="Arial" w:cs="Arial" w:eastAsia="Arial" w:hAnsi="Arial"/>
          <w:sz w:val="14"/>
          <w:szCs w:val="14"/>
          <w:b w:val="1"/>
          <w:bCs w:val="1"/>
          <w:color w:val="auto"/>
        </w:rPr>
      </w:pPr>
      <w:r>
        <w:rPr>
          <w:rFonts w:ascii="Arial" w:cs="Arial" w:eastAsia="Arial" w:hAnsi="Arial"/>
          <w:sz w:val="14"/>
          <w:szCs w:val="14"/>
          <w:b w:val="1"/>
          <w:bCs w:val="1"/>
          <w:color w:val="auto"/>
        </w:rPr>
        <w:t>NOTICE</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All notices required under this Lease shall be given in writing and shall be deemed to be properly serviced if sent by certified or registered United States Mail, postage prepaid, as follows:</w:t>
      </w:r>
    </w:p>
    <w:p>
      <w:pPr>
        <w:sectPr>
          <w:pgSz w:w="11900" w:h="16838" w:orient="portrait"/>
          <w:cols w:equalWidth="0" w:num="1">
            <w:col w:w="11460"/>
          </w:cols>
          <w:pgMar w:left="220" w:top="244" w:right="219" w:bottom="1440" w:gutter="0" w:footer="0" w:header="0"/>
        </w:sectPr>
      </w:pPr>
    </w:p>
    <w:p>
      <w:pPr>
        <w:spacing w:after="0" w:line="186"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If to the Landlord: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W. M. RICKMAN CONSTRUCTION CO. LLC</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15215 Shady Grove Road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Suite 201</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 20850</w:t>
      </w:r>
    </w:p>
    <w:p>
      <w:pPr>
        <w:spacing w:after="0" w:line="173" w:lineRule="exact"/>
        <w:rPr>
          <w:sz w:val="20"/>
          <w:szCs w:val="20"/>
          <w:color w:val="auto"/>
        </w:rPr>
      </w:pPr>
    </w:p>
    <w:p>
      <w:pPr>
        <w:sectPr>
          <w:pgSz w:w="11900" w:h="16838" w:orient="portrait"/>
          <w:cols w:equalWidth="0" w:num="2">
            <w:col w:w="3460" w:space="720"/>
            <w:col w:w="7280"/>
          </w:cols>
          <w:pgMar w:left="220" w:top="244" w:right="219" w:bottom="1440" w:gutter="0" w:footer="0" w:header="0"/>
          <w:type w:val="continuous"/>
        </w:sectPr>
      </w:pPr>
    </w:p>
    <w:p>
      <w:pPr>
        <w:ind w:left="1840"/>
        <w:spacing w:after="0"/>
        <w:rPr>
          <w:sz w:val="20"/>
          <w:szCs w:val="20"/>
          <w:color w:val="auto"/>
        </w:rPr>
      </w:pPr>
      <w:r>
        <w:rPr>
          <w:rFonts w:ascii="Arial" w:cs="Arial" w:eastAsia="Arial" w:hAnsi="Arial"/>
          <w:sz w:val="12"/>
          <w:szCs w:val="12"/>
          <w:color w:val="auto"/>
        </w:rPr>
        <w:t>If to the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Macro Genics,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15235 Shady Grove Road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Rockville, MD 20850</w:t>
      </w:r>
    </w:p>
    <w:p>
      <w:pPr>
        <w:spacing w:after="0" w:line="136" w:lineRule="exact"/>
        <w:rPr>
          <w:sz w:val="20"/>
          <w:szCs w:val="20"/>
          <w:color w:val="auto"/>
        </w:rPr>
      </w:pPr>
    </w:p>
    <w:p>
      <w:pPr>
        <w:sectPr>
          <w:pgSz w:w="11900" w:h="16838" w:orient="portrait"/>
          <w:cols w:equalWidth="0" w:num="2">
            <w:col w:w="3460" w:space="720"/>
            <w:col w:w="7280"/>
          </w:cols>
          <w:pgMar w:left="220" w:top="244" w:right="219" w:bottom="1440" w:gutter="0" w:footer="0" w:header="0"/>
          <w:type w:val="continuous"/>
        </w:sectPr>
      </w:pPr>
    </w:p>
    <w:p>
      <w:pPr>
        <w:ind w:left="460"/>
        <w:spacing w:after="0" w:line="267" w:lineRule="auto"/>
        <w:rPr>
          <w:sz w:val="20"/>
          <w:szCs w:val="20"/>
          <w:color w:val="auto"/>
        </w:rPr>
      </w:pPr>
      <w:r>
        <w:rPr>
          <w:rFonts w:ascii="Arial" w:cs="Arial" w:eastAsia="Arial" w:hAnsi="Arial"/>
          <w:sz w:val="14"/>
          <w:szCs w:val="14"/>
          <w:color w:val="auto"/>
        </w:rPr>
        <w:t>or to such other address as either may have designated from time to time by written notice to the other. The date of service of such notices shall be the date such notices are deposited in any United States Post Office.</w:t>
      </w:r>
    </w:p>
    <w:p>
      <w:pPr>
        <w:spacing w:after="0" w:line="194" w:lineRule="exact"/>
        <w:rPr>
          <w:sz w:val="20"/>
          <w:szCs w:val="20"/>
          <w:color w:val="auto"/>
        </w:rPr>
      </w:pPr>
    </w:p>
    <w:p>
      <w:pPr>
        <w:ind w:left="460" w:right="9340" w:hanging="456"/>
        <w:spacing w:after="0" w:line="401" w:lineRule="auto"/>
        <w:tabs>
          <w:tab w:leader="none" w:pos="451" w:val="left"/>
        </w:tabs>
        <w:numPr>
          <w:ilvl w:val="0"/>
          <w:numId w:val="27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COVENANTS OF TENANT </w:t>
      </w:r>
      <w:r>
        <w:rPr>
          <w:rFonts w:ascii="Arial" w:cs="Arial" w:eastAsia="Arial" w:hAnsi="Arial"/>
          <w:sz w:val="12"/>
          <w:szCs w:val="12"/>
          <w:color w:val="auto"/>
        </w:rPr>
        <w:t>Tenant covenants and agrees:</w:t>
      </w:r>
    </w:p>
    <w:p>
      <w:pPr>
        <w:ind w:left="900" w:hanging="447"/>
        <w:spacing w:after="0"/>
        <w:tabs>
          <w:tab w:leader="none" w:pos="90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To give to Landlord prompt written notice of any accident, fire, or damage occurring on or to the Premises.</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To keep the thermostats in the Premises set at a temperature sufficient to prevent freezing of water pipes, fixtures and HVAC units.</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To keep the Premises clean, orderly, sanitary, and free from all objectionable odors and from insects, vermin and other pests.</w:t>
      </w:r>
    </w:p>
    <w:p>
      <w:pPr>
        <w:spacing w:after="0" w:line="68" w:lineRule="exact"/>
        <w:rPr>
          <w:rFonts w:ascii="Arial" w:cs="Arial" w:eastAsia="Arial" w:hAnsi="Arial"/>
          <w:sz w:val="14"/>
          <w:szCs w:val="14"/>
          <w:color w:val="auto"/>
        </w:rPr>
      </w:pPr>
    </w:p>
    <w:p>
      <w:pPr>
        <w:ind w:left="900" w:right="320" w:hanging="447"/>
        <w:spacing w:after="0" w:line="345" w:lineRule="auto"/>
        <w:tabs>
          <w:tab w:leader="none" w:pos="900" w:val="left"/>
        </w:tabs>
        <w:numPr>
          <w:ilvl w:val="1"/>
          <w:numId w:val="279"/>
        </w:numPr>
        <w:rPr>
          <w:rFonts w:ascii="Arial" w:cs="Arial" w:eastAsia="Arial" w:hAnsi="Arial"/>
          <w:sz w:val="12"/>
          <w:szCs w:val="12"/>
          <w:color w:val="auto"/>
        </w:rPr>
      </w:pPr>
      <w:r>
        <w:rPr>
          <w:rFonts w:ascii="Arial" w:cs="Arial" w:eastAsia="Arial" w:hAnsi="Arial"/>
          <w:sz w:val="12"/>
          <w:szCs w:val="12"/>
          <w:color w:val="auto"/>
        </w:rPr>
        <w:t>To comply with the requirements of the State, Federal and County statutes, ordinances, and regulations applicable to Tenant and its use of the Premises, and to save Landlord harmless from penalties, fines, costs, and expenses resulting from failure to do so, provided Tenant shall not be obligated to make structural repairs or alterations to so comply.</w:t>
      </w:r>
    </w:p>
    <w:p>
      <w:pPr>
        <w:jc w:val="both"/>
        <w:ind w:left="900" w:right="460" w:hanging="447"/>
        <w:spacing w:after="0" w:line="258" w:lineRule="auto"/>
        <w:tabs>
          <w:tab w:leader="none" w:pos="90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Tenant shall promptly pay all contractors, suppliers of material and persons it engages to perform work and provide materials for construction work on the Premises so as to minimize the possibility of a lien attaching to the Premises. Should any such lien be made or filed, Tenant shall cause the same to be discharged and released of record by bond or otherwise within ten (10) days of receipt of written request from Landlord.</w:t>
      </w:r>
    </w:p>
    <w:p>
      <w:pPr>
        <w:spacing w:after="0" w:line="97" w:lineRule="exact"/>
        <w:rPr>
          <w:sz w:val="20"/>
          <w:szCs w:val="20"/>
          <w:color w:val="auto"/>
        </w:rPr>
      </w:pPr>
    </w:p>
    <w:p>
      <w:pPr>
        <w:spacing w:after="0"/>
        <w:tabs>
          <w:tab w:leader="none" w:pos="1098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10</w:t>
      </w:r>
    </w:p>
    <w:p>
      <w:pPr>
        <w:sectPr>
          <w:pgSz w:w="11900" w:h="16838" w:orient="portrait"/>
          <w:cols w:equalWidth="0" w:num="1">
            <w:col w:w="11460"/>
          </w:cols>
          <w:pgMar w:left="220" w:top="244" w:right="219" w:bottom="1440" w:gutter="0" w:footer="0" w:header="0"/>
          <w:type w:val="continuous"/>
        </w:sectPr>
      </w:pPr>
    </w:p>
    <w:bookmarkStart w:id="362" w:name="page363"/>
    <w:bookmarkEnd w:id="362"/>
    <w:p>
      <w:pPr>
        <w:ind w:left="900" w:hanging="447"/>
        <w:spacing w:after="0"/>
        <w:tabs>
          <w:tab w:leader="none" w:pos="900" w:val="left"/>
        </w:tabs>
        <w:numPr>
          <w:ilvl w:val="1"/>
          <w:numId w:val="28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Tenant is responsible for the security of the Premises.</w:t>
      </w:r>
    </w:p>
    <w:p>
      <w:pPr>
        <w:spacing w:after="0" w:line="223" w:lineRule="exact"/>
        <w:rPr>
          <w:rFonts w:ascii="Arial" w:cs="Arial" w:eastAsia="Arial" w:hAnsi="Arial"/>
          <w:sz w:val="14"/>
          <w:szCs w:val="14"/>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LANDLORD’S RIGHT TO ALTER SITE PLAN</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2"/>
          <w:szCs w:val="12"/>
          <w:color w:val="auto"/>
        </w:rPr>
        <w:t>LANDLORD shall, from time to time, have the right to alter or modify the site plan of the Building and to rearrange the driveways and parking areas, as well as the entrance and exits to the Premises.</w:t>
      </w:r>
    </w:p>
    <w:p>
      <w:pPr>
        <w:spacing w:after="0" w:line="246"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PARKING SPACES</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LANDLORD agrees to furnish 3 1/3 unreserved parking spaces per thousand square feet of space occupied by the Tenant.</w:t>
      </w:r>
    </w:p>
    <w:p>
      <w:pPr>
        <w:spacing w:after="0" w:line="223"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This Lease contains the entire agreement of the parties. There are no oral agreements existing between them.</w:t>
      </w:r>
    </w:p>
    <w:p>
      <w:pPr>
        <w:spacing w:after="0" w:line="223"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SUCCESSORS AND ASSIGNS</w:t>
      </w:r>
    </w:p>
    <w:p>
      <w:pPr>
        <w:spacing w:after="0" w:line="70" w:lineRule="exact"/>
        <w:rPr>
          <w:rFonts w:ascii="Arial" w:cs="Arial" w:eastAsia="Arial" w:hAnsi="Arial"/>
          <w:sz w:val="14"/>
          <w:szCs w:val="14"/>
          <w:b w:val="1"/>
          <w:bCs w:val="1"/>
          <w:color w:val="auto"/>
        </w:rPr>
      </w:pPr>
    </w:p>
    <w:p>
      <w:pPr>
        <w:ind w:left="460" w:right="1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This Lease, and the covenants and conditions herein contained shall inure to the benefit of and be binding upon the Landlord, its successors and assigns, and shall inure to the benefit of and be binding upon the Tenant, its successors and assigns, if permitted.</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BANKRUPTCY</w:t>
      </w:r>
    </w:p>
    <w:p>
      <w:pPr>
        <w:spacing w:after="0" w:line="70" w:lineRule="exact"/>
        <w:rPr>
          <w:rFonts w:ascii="Arial" w:cs="Arial" w:eastAsia="Arial" w:hAnsi="Arial"/>
          <w:sz w:val="14"/>
          <w:szCs w:val="14"/>
          <w:b w:val="1"/>
          <w:bCs w:val="1"/>
          <w:color w:val="auto"/>
        </w:rPr>
      </w:pPr>
    </w:p>
    <w:p>
      <w:pPr>
        <w:ind w:left="460" w:right="260"/>
        <w:spacing w:after="0" w:line="321" w:lineRule="auto"/>
        <w:rPr>
          <w:rFonts w:ascii="Arial" w:cs="Arial" w:eastAsia="Arial" w:hAnsi="Arial"/>
          <w:sz w:val="14"/>
          <w:szCs w:val="14"/>
          <w:b w:val="1"/>
          <w:bCs w:val="1"/>
          <w:color w:val="auto"/>
        </w:rPr>
      </w:pPr>
      <w:r>
        <w:rPr>
          <w:rFonts w:ascii="Arial" w:cs="Arial" w:eastAsia="Arial" w:hAnsi="Arial"/>
          <w:sz w:val="12"/>
          <w:szCs w:val="12"/>
          <w:color w:val="auto"/>
        </w:rPr>
        <w:t>If Tenant shall make an assignment of its assets for the benefit of creditors, or if Tenant shall file a voluntary petition in bankruptcy, or if any involuntary petition in bankruptcy or for receivership be instituted against the Tenant and the same be not dismissed within thirty (30) days of the filing thereof, or if Tenant shall be adjudged bankrupt, then and in any of said events, this Lease shall immediately cease and terminate at the option of the Landlord with the same force and effect as though the date of said event was the date herein fixed for expiration of the term of this Lease.</w:t>
      </w:r>
    </w:p>
    <w:p>
      <w:pPr>
        <w:spacing w:after="0" w:line="165"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NON-DELIVERY</w:t>
      </w:r>
    </w:p>
    <w:p>
      <w:pPr>
        <w:spacing w:after="0" w:line="70" w:lineRule="exact"/>
        <w:rPr>
          <w:rFonts w:ascii="Arial" w:cs="Arial" w:eastAsia="Arial" w:hAnsi="Arial"/>
          <w:sz w:val="14"/>
          <w:szCs w:val="14"/>
          <w:b w:val="1"/>
          <w:bCs w:val="1"/>
          <w:color w:val="auto"/>
        </w:rPr>
      </w:pPr>
    </w:p>
    <w:p>
      <w:pPr>
        <w:ind w:left="460" w:right="18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In the event the Landlord shall be unable to give possession of the Premises because construction of the Building is not complete or for any other cause reasonably beyond the control of the Landlord, the Landlord shall not be liable to Tenant for any damage resulting from failure to give possession.</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PARTIAL INVALIDITY</w:t>
      </w:r>
    </w:p>
    <w:p>
      <w:pPr>
        <w:spacing w:after="0" w:line="70" w:lineRule="exact"/>
        <w:rPr>
          <w:rFonts w:ascii="Arial" w:cs="Arial" w:eastAsia="Arial" w:hAnsi="Arial"/>
          <w:sz w:val="14"/>
          <w:szCs w:val="14"/>
          <w:b w:val="1"/>
          <w:bCs w:val="1"/>
          <w:color w:val="auto"/>
        </w:rPr>
      </w:pPr>
    </w:p>
    <w:p>
      <w:pPr>
        <w:ind w:left="460" w:right="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If any term, covenant, or condition of this Lease or the application thereof to any person or circumstance shall be held to be invalid and unenforceable, the remainder of this Lease, and the application of such terms, covenants, or conditions shall be valid and enforceable to the fullest extent permitted by law.</w:t>
      </w:r>
    </w:p>
    <w:p>
      <w:pPr>
        <w:spacing w:after="0" w:line="193" w:lineRule="exact"/>
        <w:rPr>
          <w:rFonts w:ascii="Arial" w:cs="Arial" w:eastAsia="Arial" w:hAnsi="Arial"/>
          <w:sz w:val="14"/>
          <w:szCs w:val="14"/>
          <w:b w:val="1"/>
          <w:bCs w:val="1"/>
          <w:color w:val="auto"/>
        </w:rPr>
      </w:pPr>
    </w:p>
    <w:p>
      <w:pPr>
        <w:ind w:left="460" w:hanging="456"/>
        <w:spacing w:after="0"/>
        <w:tabs>
          <w:tab w:leader="none" w:pos="4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color w:val="auto"/>
        </w:rPr>
        <w:t>FORCE MAJEUR</w:t>
      </w:r>
    </w:p>
    <w:p>
      <w:pPr>
        <w:spacing w:after="0" w:line="70" w:lineRule="exact"/>
        <w:rPr>
          <w:rFonts w:ascii="Arial" w:cs="Arial" w:eastAsia="Arial" w:hAnsi="Arial"/>
          <w:sz w:val="14"/>
          <w:szCs w:val="14"/>
          <w:b w:val="1"/>
          <w:bCs w:val="1"/>
          <w:color w:val="auto"/>
        </w:rPr>
      </w:pPr>
    </w:p>
    <w:p>
      <w:pPr>
        <w:ind w:left="460" w:right="60"/>
        <w:spacing w:after="0" w:line="267" w:lineRule="auto"/>
        <w:rPr>
          <w:rFonts w:ascii="Arial" w:cs="Arial" w:eastAsia="Arial" w:hAnsi="Arial"/>
          <w:sz w:val="14"/>
          <w:szCs w:val="14"/>
          <w:b w:val="1"/>
          <w:bCs w:val="1"/>
          <w:color w:val="auto"/>
        </w:rPr>
      </w:pPr>
      <w:r>
        <w:rPr>
          <w:rFonts w:ascii="Arial" w:cs="Arial" w:eastAsia="Arial" w:hAnsi="Arial"/>
          <w:sz w:val="14"/>
          <w:szCs w:val="14"/>
          <w:color w:val="auto"/>
        </w:rPr>
        <w:t>With the exception of those provisions contained herein regarding the payment of rent, the inability of either party to perform any of the terms, covenants or conditions of this Lease shall not be deemed a default if the same shall be due to any cause beyond the control of that party.</w:t>
      </w:r>
    </w:p>
    <w:p>
      <w:pPr>
        <w:spacing w:after="0" w:line="91" w:lineRule="exact"/>
        <w:rPr>
          <w:sz w:val="20"/>
          <w:szCs w:val="20"/>
          <w:color w:val="auto"/>
        </w:rPr>
      </w:pPr>
    </w:p>
    <w:p>
      <w:pPr>
        <w:spacing w:after="0"/>
        <w:tabs>
          <w:tab w:leader="none" w:pos="11000" w:val="left"/>
        </w:tabs>
        <w:rPr>
          <w:sz w:val="20"/>
          <w:szCs w:val="20"/>
          <w:color w:val="auto"/>
        </w:rPr>
      </w:pPr>
      <w:r>
        <w:rPr>
          <w:rFonts w:ascii="Arial" w:cs="Arial" w:eastAsia="Arial" w:hAnsi="Arial"/>
          <w:sz w:val="14"/>
          <w:szCs w:val="14"/>
          <w:color w:val="auto"/>
        </w:rPr>
        <w:t>Macro Genics</w:t>
      </w:r>
      <w:r>
        <w:rPr>
          <w:sz w:val="20"/>
          <w:szCs w:val="20"/>
          <w:color w:val="auto"/>
        </w:rPr>
        <w:tab/>
      </w:r>
      <w:r>
        <w:rPr>
          <w:rFonts w:ascii="Arial" w:cs="Arial" w:eastAsia="Arial" w:hAnsi="Arial"/>
          <w:sz w:val="10"/>
          <w:szCs w:val="10"/>
          <w:color w:val="auto"/>
        </w:rPr>
        <w:t xml:space="preserve">PAGE </w:t>
      </w:r>
      <w:r>
        <w:rPr>
          <w:rFonts w:ascii="Arial" w:cs="Arial" w:eastAsia="Arial" w:hAnsi="Arial"/>
          <w:sz w:val="12"/>
          <w:szCs w:val="12"/>
          <w:color w:val="auto"/>
        </w:rPr>
        <w:t>11</w:t>
      </w:r>
    </w:p>
    <w:p>
      <w:pPr>
        <w:sectPr>
          <w:pgSz w:w="11900" w:h="16838" w:orient="portrait"/>
          <w:cols w:equalWidth="0" w:num="1">
            <w:col w:w="11460"/>
          </w:cols>
          <w:pgMar w:left="220" w:top="246" w:right="219" w:bottom="1440" w:gutter="0" w:footer="0" w:header="0"/>
        </w:sectPr>
      </w:pPr>
    </w:p>
    <w:bookmarkStart w:id="363" w:name="page364"/>
    <w:bookmarkEnd w:id="363"/>
    <w:p>
      <w:pPr>
        <w:ind w:left="460" w:hanging="456"/>
        <w:spacing w:after="0"/>
        <w:tabs>
          <w:tab w:leader="none" w:pos="460" w:val="left"/>
        </w:tabs>
        <w:numPr>
          <w:ilvl w:val="0"/>
          <w:numId w:val="282"/>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ESTOPPEL CERTIFICATE</w:t>
      </w:r>
    </w:p>
    <w:p>
      <w:pPr>
        <w:spacing w:after="0" w:line="70" w:lineRule="exact"/>
        <w:rPr>
          <w:rFonts w:ascii="Arial" w:cs="Arial" w:eastAsia="Arial" w:hAnsi="Arial"/>
          <w:sz w:val="14"/>
          <w:szCs w:val="14"/>
          <w:b w:val="1"/>
          <w:bCs w:val="1"/>
          <w:color w:val="auto"/>
        </w:rPr>
      </w:pPr>
    </w:p>
    <w:p>
      <w:pPr>
        <w:ind w:left="460" w:right="20"/>
        <w:spacing w:after="0" w:line="300" w:lineRule="auto"/>
        <w:rPr>
          <w:rFonts w:ascii="Arial" w:cs="Arial" w:eastAsia="Arial" w:hAnsi="Arial"/>
          <w:sz w:val="14"/>
          <w:szCs w:val="14"/>
          <w:b w:val="1"/>
          <w:bCs w:val="1"/>
          <w:color w:val="auto"/>
        </w:rPr>
      </w:pPr>
      <w:r>
        <w:rPr>
          <w:rFonts w:ascii="Arial" w:cs="Arial" w:eastAsia="Arial" w:hAnsi="Arial"/>
          <w:sz w:val="12"/>
          <w:szCs w:val="12"/>
          <w:color w:val="auto"/>
        </w:rPr>
        <w:t>The Tenant shall from time to time, within five (5) days after being requested to do so by the Landlord or any Mortgagee, execute, acknowledge and deliver to the Landlord (or, at the Landlord’s request, to any existing or prospective purchaser, transferee, assignee or Mortgagee of any or all of the Premises) an instrument in recordable form, certifying (a) that this Lease is unmodified and in full force and effect (or, if there has been any modification thereof, that it is in full force and effect as so modified, stating therein the nature of such modification); (b) as to the dates to which the Minimum Rent and other charges arising hereunder have been paid; (c) as to the amount of any prepaid Rent or any credit due to the Tenant hereunder; (d) that the Tenant has accepted possession of the Premises, and the date on which the Term commenced; (e) as to whether, to the best knowledge, information and belief of the signer of such certificate, the Landlord or the Tenant is then in default in performing any of its obligations hereunder (and, if so, specifying the nature of each such default); and (f) as to any other fact or condition reasonably requested by the Landlord or such other addressee. In the event-the Tenant fails or refuses to provide such a certificate, Tenant shall be liable to Landlord for any loss or damage (including reasonable counsel fees) arising out of or in connection with such failure or refusal.</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have caused this Lease Agreement to be executed on the year and date first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LANDLORD:</w:t>
            </w:r>
          </w:p>
        </w:tc>
      </w:tr>
      <w:tr>
        <w:trPr>
          <w:trHeight w:val="334"/>
        </w:trPr>
        <w:tc>
          <w:tcPr>
            <w:tcW w:w="5380" w:type="dxa"/>
            <w:vAlign w:val="bottom"/>
          </w:tcPr>
          <w:p>
            <w:pPr>
              <w:spacing w:after="0"/>
              <w:rPr>
                <w:sz w:val="20"/>
                <w:szCs w:val="20"/>
                <w:color w:val="auto"/>
              </w:rPr>
            </w:pPr>
            <w:r>
              <w:rPr>
                <w:rFonts w:ascii="Arial" w:cs="Arial" w:eastAsia="Arial" w:hAnsi="Arial"/>
                <w:sz w:val="14"/>
                <w:szCs w:val="14"/>
                <w:color w:val="auto"/>
              </w:rPr>
              <w:t>WITNESS:</w:t>
            </w:r>
          </w:p>
        </w:tc>
        <w:tc>
          <w:tcPr>
            <w:tcW w:w="8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W. M. RICKMAN CONSTRUCTION CO. LLC</w:t>
            </w:r>
          </w:p>
        </w:tc>
      </w:tr>
      <w:tr>
        <w:trPr>
          <w:trHeight w:val="33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c>
          <w:tcPr>
            <w:tcW w:w="8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M. Rickman</w:t>
            </w:r>
          </w:p>
        </w:tc>
      </w:tr>
      <w:tr>
        <w:trPr>
          <w:trHeight w:val="167"/>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By: William M. Rickman</w:t>
            </w:r>
          </w:p>
        </w:tc>
      </w:tr>
      <w:tr>
        <w:trPr>
          <w:trHeight w:val="328"/>
        </w:trPr>
        <w:tc>
          <w:tcPr>
            <w:tcW w:w="5380" w:type="dxa"/>
            <w:vAlign w:val="bottom"/>
          </w:tcPr>
          <w:p>
            <w:pPr>
              <w:spacing w:after="0"/>
              <w:rPr>
                <w:sz w:val="20"/>
                <w:szCs w:val="20"/>
                <w:color w:val="auto"/>
              </w:rPr>
            </w:pPr>
            <w:r>
              <w:rPr>
                <w:rFonts w:ascii="Arial" w:cs="Arial" w:eastAsia="Arial" w:hAnsi="Arial"/>
                <w:sz w:val="14"/>
                <w:szCs w:val="14"/>
                <w:color w:val="auto"/>
              </w:rPr>
              <w:t>WITNESS:</w:t>
            </w:r>
          </w:p>
        </w:tc>
        <w:tc>
          <w:tcPr>
            <w:tcW w:w="8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TENANT:</w:t>
            </w:r>
          </w:p>
        </w:tc>
      </w:tr>
      <w:tr>
        <w:trPr>
          <w:trHeight w:val="173"/>
        </w:trPr>
        <w:tc>
          <w:tcPr>
            <w:tcW w:w="5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MACRO GENICS, INC.</w:t>
            </w:r>
          </w:p>
        </w:tc>
      </w:tr>
      <w:tr>
        <w:trPr>
          <w:trHeight w:val="33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c>
          <w:tcPr>
            <w:tcW w:w="8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r>
      <w:tr>
        <w:trPr>
          <w:trHeight w:val="167"/>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By: CEO</w:t>
            </w:r>
          </w:p>
        </w:tc>
      </w:tr>
      <w:tr>
        <w:trPr>
          <w:trHeight w:val="282"/>
        </w:trPr>
        <w:tc>
          <w:tcPr>
            <w:tcW w:w="5380" w:type="dxa"/>
            <w:vAlign w:val="bottom"/>
          </w:tcPr>
          <w:p>
            <w:pPr>
              <w:spacing w:after="0"/>
              <w:rPr>
                <w:sz w:val="20"/>
                <w:szCs w:val="20"/>
                <w:color w:val="auto"/>
              </w:rPr>
            </w:pPr>
            <w:r>
              <w:rPr>
                <w:rFonts w:ascii="Arial" w:cs="Arial" w:eastAsia="Arial" w:hAnsi="Arial"/>
                <w:sz w:val="14"/>
                <w:szCs w:val="14"/>
                <w:color w:val="auto"/>
              </w:rPr>
              <w:t>Macro Genics</w:t>
            </w:r>
          </w:p>
        </w:tc>
        <w:tc>
          <w:tcPr>
            <w:tcW w:w="820" w:type="dxa"/>
            <w:vAlign w:val="bottom"/>
          </w:tcPr>
          <w:p>
            <w:pPr>
              <w:spacing w:after="0"/>
              <w:rPr>
                <w:sz w:val="24"/>
                <w:szCs w:val="24"/>
                <w:color w:val="auto"/>
              </w:rPr>
            </w:pPr>
          </w:p>
        </w:tc>
        <w:tc>
          <w:tcPr>
            <w:tcW w:w="5260" w:type="dxa"/>
            <w:vAlign w:val="bottom"/>
          </w:tcPr>
          <w:p>
            <w:pPr>
              <w:ind w:left="4800"/>
              <w:spacing w:after="0"/>
              <w:rPr>
                <w:sz w:val="20"/>
                <w:szCs w:val="20"/>
                <w:color w:val="auto"/>
              </w:rPr>
            </w:pPr>
            <w:r>
              <w:rPr>
                <w:rFonts w:ascii="Arial" w:cs="Arial" w:eastAsia="Arial" w:hAnsi="Arial"/>
                <w:sz w:val="11"/>
                <w:szCs w:val="11"/>
                <w:color w:val="auto"/>
                <w:w w:val="91"/>
              </w:rPr>
              <w:t xml:space="preserve">PAGE </w:t>
            </w:r>
            <w:r>
              <w:rPr>
                <w:rFonts w:ascii="Arial" w:cs="Arial" w:eastAsia="Arial" w:hAnsi="Arial"/>
                <w:sz w:val="13"/>
                <w:szCs w:val="13"/>
                <w:color w:val="auto"/>
                <w:w w:val="91"/>
              </w:rPr>
              <w:t>12</w:t>
            </w:r>
          </w:p>
        </w:tc>
      </w:tr>
    </w:tbl>
    <w:p>
      <w:pPr>
        <w:sectPr>
          <w:pgSz w:w="11900" w:h="16838" w:orient="portrait"/>
          <w:cols w:equalWidth="0" w:num="1">
            <w:col w:w="11460"/>
          </w:cols>
          <w:pgMar w:left="220" w:top="244" w:right="219" w:bottom="1440" w:gutter="0" w:footer="0" w:header="0"/>
        </w:sectPr>
      </w:pPr>
    </w:p>
    <w:bookmarkStart w:id="364" w:name="page365"/>
    <w:bookmarkEnd w:id="364"/>
    <w:p>
      <w:pPr>
        <w:jc w:val="center"/>
        <w:ind w:right="-124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 GENICS, INC.</w:t>
      </w:r>
    </w:p>
    <w:p>
      <w:pPr>
        <w:spacing w:after="0" w:line="155"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EXHIBIT 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Landlord delivers the Premises “As Is” unless otherwise noted.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WALLS: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CEILINGS: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 Landlord will replace damaged and stained ceiling tiles,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FLOORS: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PLUMBING:</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ELECTRICAL:</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LIGHTS: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HVAC:</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DOORS: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TELEPHONE/COMPUTER SYSTEMS: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By Tenant.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WINDOW COVERINGS: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Existing.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SECURITY SYSTEM:</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By Tenant.</w:t>
      </w:r>
    </w:p>
    <w:p>
      <w:pPr>
        <w:sectPr>
          <w:pgSz w:w="11900" w:h="16838" w:orient="portrait"/>
          <w:cols w:equalWidth="0" w:num="1">
            <w:col w:w="10239"/>
          </w:cols>
          <w:pgMar w:left="220" w:top="244"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4"/>
          <w:szCs w:val="14"/>
          <w:b w:val="1"/>
          <w:bCs w:val="1"/>
          <w:color w:val="auto"/>
        </w:rPr>
        <w:t>Exhibit 10.11</w:t>
      </w:r>
    </w:p>
    <w:p>
      <w:pPr>
        <w:spacing w:after="0" w:line="13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MACRO GENICS, INC.</w:t>
      </w:r>
    </w:p>
    <w:p>
      <w:pPr>
        <w:spacing w:after="0" w:line="132"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Amendment to Lease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This amendment to lease agreement (“AGREEMENT”) made and entered into this 31</w:t>
      </w:r>
      <w:r>
        <w:rPr>
          <w:rFonts w:ascii="Arial" w:cs="Arial" w:eastAsia="Arial" w:hAnsi="Arial"/>
          <w:sz w:val="8"/>
          <w:szCs w:val="8"/>
          <w:color w:val="auto"/>
        </w:rPr>
        <w:t>ST</w:t>
      </w:r>
      <w:r>
        <w:rPr>
          <w:rFonts w:ascii="Arial" w:cs="Arial" w:eastAsia="Arial" w:hAnsi="Arial"/>
          <w:sz w:val="14"/>
          <w:szCs w:val="14"/>
          <w:color w:val="auto"/>
        </w:rPr>
        <w:t xml:space="preserve"> day of January, 2006, by and between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 M. RICKMAN CONSTRUCTION CO. (“LANDLORD”) and Macro Genics Inc. (“TENANT”).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WITNESSETH:</w:t>
      </w:r>
    </w:p>
    <w:p>
      <w:pPr>
        <w:spacing w:after="0" w:line="132" w:lineRule="exact"/>
        <w:rPr>
          <w:sz w:val="20"/>
          <w:szCs w:val="20"/>
          <w:color w:val="auto"/>
        </w:rPr>
      </w:pPr>
    </w:p>
    <w:p>
      <w:pPr>
        <w:ind w:right="580"/>
        <w:spacing w:after="0" w:line="267" w:lineRule="auto"/>
        <w:rPr>
          <w:sz w:val="20"/>
          <w:szCs w:val="20"/>
          <w:color w:val="auto"/>
        </w:rPr>
      </w:pPr>
      <w:r>
        <w:rPr>
          <w:rFonts w:ascii="Arial" w:cs="Arial" w:eastAsia="Arial" w:hAnsi="Arial"/>
          <w:sz w:val="14"/>
          <w:szCs w:val="14"/>
          <w:i w:val="1"/>
          <w:iCs w:val="1"/>
          <w:color w:val="auto"/>
        </w:rPr>
        <w:t>Whereas</w:t>
      </w:r>
      <w:r>
        <w:rPr>
          <w:rFonts w:ascii="Arial" w:cs="Arial" w:eastAsia="Arial" w:hAnsi="Arial"/>
          <w:sz w:val="14"/>
          <w:szCs w:val="14"/>
          <w:color w:val="auto"/>
        </w:rPr>
        <w:t>, the LANDLORD and TENANT entered into a certain lease (“LEASE”) dated December 2</w:t>
      </w:r>
      <w:r>
        <w:rPr>
          <w:rFonts w:ascii="Arial" w:cs="Arial" w:eastAsia="Arial" w:hAnsi="Arial"/>
          <w:sz w:val="8"/>
          <w:szCs w:val="8"/>
          <w:color w:val="auto"/>
        </w:rPr>
        <w:t>nd</w:t>
      </w:r>
      <w:r>
        <w:rPr>
          <w:rFonts w:ascii="Arial" w:cs="Arial" w:eastAsia="Arial" w:hAnsi="Arial"/>
          <w:sz w:val="14"/>
          <w:szCs w:val="14"/>
          <w:color w:val="auto"/>
        </w:rPr>
        <w:t>, 2004, covering 15,180 square feet of space (“PREMISES”) located in 15235 Shady Grove Road,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Rockville, Maryland (“BUILDING”); </w:t>
      </w:r>
      <w:r>
        <w:rPr>
          <w:rFonts w:ascii="Arial" w:cs="Arial" w:eastAsia="Arial" w:hAnsi="Arial"/>
          <w:sz w:val="14"/>
          <w:szCs w:val="14"/>
          <w:b w:val="1"/>
          <w:bCs w:val="1"/>
          <w:i w:val="1"/>
          <w:iCs w:val="1"/>
          <w:color w:val="auto"/>
        </w:rPr>
        <w:t>and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Whereas</w:t>
      </w:r>
      <w:r>
        <w:rPr>
          <w:rFonts w:ascii="Arial" w:cs="Arial" w:eastAsia="Arial" w:hAnsi="Arial"/>
          <w:sz w:val="14"/>
          <w:szCs w:val="14"/>
          <w:color w:val="auto"/>
        </w:rPr>
        <w:t>, the LANDLORD and TENANT agree to revise the Lease as stated below:</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b w:val="1"/>
          <w:bCs w:val="1"/>
          <w:color w:val="auto"/>
        </w:rPr>
        <w:t>LANDLORD’S WORK PRIOR TO COMMENCEMENT OF TERM</w:t>
      </w:r>
      <w:r>
        <w:rPr>
          <w:rFonts w:ascii="Arial" w:cs="Arial" w:eastAsia="Arial" w:hAnsi="Arial"/>
          <w:sz w:val="14"/>
          <w:szCs w:val="14"/>
          <w:color w:val="auto"/>
        </w:rPr>
        <w:t xml:space="preserve"> shall be replaced in its entirety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13. LANDLORD’S WORK PRIOR TO COMMENCEMENT OF TERM</w:t>
      </w:r>
    </w:p>
    <w:p>
      <w:pPr>
        <w:spacing w:after="0" w:line="134" w:lineRule="exact"/>
        <w:rPr>
          <w:sz w:val="20"/>
          <w:szCs w:val="20"/>
          <w:color w:val="auto"/>
        </w:rPr>
      </w:pPr>
    </w:p>
    <w:p>
      <w:pPr>
        <w:ind w:left="700" w:right="480"/>
        <w:spacing w:after="0" w:line="267" w:lineRule="auto"/>
        <w:rPr>
          <w:sz w:val="20"/>
          <w:szCs w:val="20"/>
          <w:color w:val="auto"/>
        </w:rPr>
      </w:pPr>
      <w:r>
        <w:rPr>
          <w:rFonts w:ascii="Arial" w:cs="Arial" w:eastAsia="Arial" w:hAnsi="Arial"/>
          <w:sz w:val="14"/>
          <w:szCs w:val="14"/>
          <w:color w:val="auto"/>
        </w:rPr>
        <w:t>None. Landlord delivers the Premises “As Is.” Landlord will provide two (2) months rent abatement. Rent Abatement period must be taken in consecutive months and TENANT must notify LANDLORD in writing thirty (30) days prior to the first month of the rent abatement period.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Ratification of LEASE: Except </w:t>
      </w:r>
      <w:r>
        <w:rPr>
          <w:rFonts w:ascii="Arial" w:cs="Arial" w:eastAsia="Arial" w:hAnsi="Arial"/>
          <w:sz w:val="14"/>
          <w:szCs w:val="14"/>
          <w:color w:val="auto"/>
        </w:rPr>
        <w:t>as expressly modified or amended by this AGREEMENT, all terms, covenants and conditions of the LEASE shall remain the same.</w:t>
      </w:r>
    </w:p>
    <w:p>
      <w:pPr>
        <w:spacing w:after="0" w:line="132"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In witness whereof, LANDLORD and TENANT have caused this AGREEMENT to be executed as of this 31</w:t>
      </w:r>
      <w:r>
        <w:rPr>
          <w:rFonts w:ascii="Arial" w:cs="Arial" w:eastAsia="Arial" w:hAnsi="Arial"/>
          <w:sz w:val="8"/>
          <w:szCs w:val="8"/>
          <w:color w:val="auto"/>
        </w:rPr>
        <w:t>ST</w:t>
      </w:r>
      <w:r>
        <w:rPr>
          <w:rFonts w:ascii="Arial" w:cs="Arial" w:eastAsia="Arial" w:hAnsi="Arial"/>
          <w:sz w:val="14"/>
          <w:szCs w:val="14"/>
          <w:color w:val="auto"/>
        </w:rPr>
        <w:t xml:space="preserve"> day of January, 2006, and do hereby declare this AGREEMENT to be binding on them, their respective successors and assigns.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4"/>
                <w:szCs w:val="14"/>
                <w:color w:val="auto"/>
              </w:rPr>
              <w:t>WITNESS:</w:t>
            </w: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LANDLORD:</w:t>
            </w:r>
          </w:p>
        </w:tc>
      </w:tr>
      <w:tr>
        <w:trPr>
          <w:trHeight w:val="173"/>
        </w:trPr>
        <w:tc>
          <w:tcPr>
            <w:tcW w:w="5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W. M. Rickman Construction Co.</w:t>
            </w:r>
          </w:p>
        </w:tc>
      </w:tr>
      <w:tr>
        <w:trPr>
          <w:trHeight w:val="33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c>
          <w:tcPr>
            <w:tcW w:w="8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M. Rickman</w:t>
            </w:r>
          </w:p>
        </w:tc>
      </w:tr>
      <w:tr>
        <w:trPr>
          <w:trHeight w:val="167"/>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By: William M. Rickman</w:t>
            </w:r>
          </w:p>
        </w:tc>
      </w:tr>
      <w:tr>
        <w:trPr>
          <w:trHeight w:val="328"/>
        </w:trPr>
        <w:tc>
          <w:tcPr>
            <w:tcW w:w="5380" w:type="dxa"/>
            <w:vAlign w:val="bottom"/>
          </w:tcPr>
          <w:p>
            <w:pPr>
              <w:spacing w:after="0"/>
              <w:rPr>
                <w:sz w:val="20"/>
                <w:szCs w:val="20"/>
                <w:color w:val="auto"/>
              </w:rPr>
            </w:pPr>
            <w:r>
              <w:rPr>
                <w:rFonts w:ascii="Arial" w:cs="Arial" w:eastAsia="Arial" w:hAnsi="Arial"/>
                <w:sz w:val="14"/>
                <w:szCs w:val="14"/>
                <w:color w:val="auto"/>
              </w:rPr>
              <w:t>WITNESS:</w:t>
            </w:r>
          </w:p>
        </w:tc>
        <w:tc>
          <w:tcPr>
            <w:tcW w:w="8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TENANT:</w:t>
            </w:r>
          </w:p>
        </w:tc>
      </w:tr>
      <w:tr>
        <w:trPr>
          <w:trHeight w:val="173"/>
        </w:trPr>
        <w:tc>
          <w:tcPr>
            <w:tcW w:w="5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MACRO GENICS, INC.</w:t>
            </w:r>
          </w:p>
        </w:tc>
      </w:tr>
      <w:tr>
        <w:trPr>
          <w:trHeight w:val="33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c>
          <w:tcPr>
            <w:tcW w:w="8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r>
    </w:tbl>
    <w:p>
      <w:pPr>
        <w:sectPr>
          <w:pgSz w:w="11900" w:h="16838" w:orient="portrait"/>
          <w:cols w:equalWidth="0" w:num="1">
            <w:col w:w="11460"/>
          </w:cols>
          <w:pgMar w:left="220" w:top="130" w:right="219" w:bottom="1440" w:gutter="0" w:footer="0" w:header="0"/>
        </w:sectPr>
      </w:pPr>
    </w:p>
    <w:bookmarkStart w:id="366" w:name="page367"/>
    <w:bookmarkEnd w:id="3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130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16470" cy="130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February 13, 2005</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Keith Miller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W.M. Rickman Construction Co.</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15215 Shady Grove Road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Rockville, MD 20850</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Dear Mr. Miller:</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This letter serves as notice that MacroGenics is applying its right to obtain two months of rent abatement under Section 13 of the amended lease to the months of March and April of 2006. As a consequence, no rent payment will be due from MacroGenics for those two months.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If you have any questions regarding this matter, please do not hesitate to contact me at 301-354-0686.</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 Joseph E. Panigot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Joseph E. Panigot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Legal Affairs</w:t>
      </w:r>
    </w:p>
    <w:p>
      <w:pPr>
        <w:sectPr>
          <w:pgSz w:w="11900" w:h="16838" w:orient="portrait"/>
          <w:cols w:equalWidth="0" w:num="1">
            <w:col w:w="11400"/>
          </w:cols>
          <w:pgMar w:left="220" w:top="1440" w:right="279" w:bottom="1440" w:gutter="0" w:footer="0" w:header="0"/>
        </w:sectPr>
      </w:pPr>
    </w:p>
    <w:bookmarkStart w:id="367" w:name="page368"/>
    <w:bookmarkEnd w:id="367"/>
    <w:p>
      <w:pPr>
        <w:jc w:val="right"/>
        <w:spacing w:after="0"/>
        <w:rPr>
          <w:sz w:val="20"/>
          <w:szCs w:val="20"/>
          <w:color w:val="auto"/>
        </w:rPr>
      </w:pPr>
      <w:r>
        <w:rPr>
          <w:rFonts w:ascii="Arial" w:cs="Arial" w:eastAsia="Arial" w:hAnsi="Arial"/>
          <w:sz w:val="14"/>
          <w:szCs w:val="14"/>
          <w:b w:val="1"/>
          <w:bCs w:val="1"/>
          <w:color w:val="auto"/>
        </w:rPr>
        <w:t>Exhibit 10.12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 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Second Amendment to Lease Agreement</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This second amendment to lease agreement (“AGREEMENT”) made and entered into this 1</w:t>
      </w:r>
      <w:r>
        <w:rPr>
          <w:rFonts w:ascii="Arial" w:cs="Arial" w:eastAsia="Arial" w:hAnsi="Arial"/>
          <w:sz w:val="8"/>
          <w:szCs w:val="8"/>
          <w:color w:val="auto"/>
        </w:rPr>
        <w:t>ST</w:t>
      </w:r>
      <w:r>
        <w:rPr>
          <w:rFonts w:ascii="Arial" w:cs="Arial" w:eastAsia="Arial" w:hAnsi="Arial"/>
          <w:sz w:val="14"/>
          <w:szCs w:val="14"/>
          <w:color w:val="auto"/>
        </w:rPr>
        <w:t xml:space="preserve"> day of June 2011, by and between W. M. RICKMAN CONSTRUCTION CO. LLC (“LANDLORD”) and MACRO GENICS, INC. (“TENANT”).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WITNESSETH:</w:t>
      </w:r>
    </w:p>
    <w:p>
      <w:pPr>
        <w:spacing w:after="0" w:line="13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 xml:space="preserve">Whereas, </w:t>
      </w:r>
      <w:r>
        <w:rPr>
          <w:rFonts w:ascii="Arial" w:cs="Arial" w:eastAsia="Arial" w:hAnsi="Arial"/>
          <w:sz w:val="14"/>
          <w:szCs w:val="14"/>
          <w:color w:val="auto"/>
        </w:rPr>
        <w:t>the LANDLORD and TENANT entered into a certain lease (“LEASE”) dated December 2</w:t>
      </w:r>
      <w:r>
        <w:rPr>
          <w:rFonts w:ascii="Arial" w:cs="Arial" w:eastAsia="Arial" w:hAnsi="Arial"/>
          <w:sz w:val="8"/>
          <w:szCs w:val="8"/>
          <w:color w:val="auto"/>
        </w:rPr>
        <w:t>nd</w:t>
      </w:r>
      <w:r>
        <w:rPr>
          <w:rFonts w:ascii="Arial" w:cs="Arial" w:eastAsia="Arial" w:hAnsi="Arial"/>
          <w:sz w:val="14"/>
          <w:szCs w:val="14"/>
          <w:color w:val="auto"/>
        </w:rPr>
        <w:t>, 2004, covering 15,180 square feet of space (“PREMISES”) located on the 2</w:t>
      </w:r>
      <w:r>
        <w:rPr>
          <w:rFonts w:ascii="Arial" w:cs="Arial" w:eastAsia="Arial" w:hAnsi="Arial"/>
          <w:sz w:val="8"/>
          <w:szCs w:val="8"/>
          <w:color w:val="auto"/>
        </w:rPr>
        <w:t>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floor in 15235 Shady Grove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Road, Rockville, Maryland (“BUILDING”); </w:t>
      </w:r>
      <w:r>
        <w:rPr>
          <w:rFonts w:ascii="Arial" w:cs="Arial" w:eastAsia="Arial" w:hAnsi="Arial"/>
          <w:sz w:val="14"/>
          <w:szCs w:val="14"/>
          <w:i w:val="1"/>
          <w:iCs w:val="1"/>
          <w:color w:val="auto"/>
        </w:rPr>
        <w:t>and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Whereas, </w:t>
      </w:r>
      <w:r>
        <w:rPr>
          <w:rFonts w:ascii="Arial" w:cs="Arial" w:eastAsia="Arial" w:hAnsi="Arial"/>
          <w:sz w:val="14"/>
          <w:szCs w:val="14"/>
          <w:color w:val="auto"/>
        </w:rPr>
        <w:t>the LEASE was amended on January 31, 2006, revising Section 13 of LEASE;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and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Whereas, </w:t>
      </w:r>
      <w:r>
        <w:rPr>
          <w:rFonts w:ascii="Arial" w:cs="Arial" w:eastAsia="Arial" w:hAnsi="Arial"/>
          <w:sz w:val="14"/>
          <w:szCs w:val="14"/>
          <w:color w:val="auto"/>
        </w:rPr>
        <w:t>the LEASE is set to terminate on November 30, 2011.</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Now, therefore</w:t>
      </w:r>
      <w:r>
        <w:rPr>
          <w:rFonts w:ascii="Arial" w:cs="Arial" w:eastAsia="Arial" w:hAnsi="Arial"/>
          <w:sz w:val="14"/>
          <w:szCs w:val="14"/>
          <w:color w:val="auto"/>
        </w:rPr>
        <w:t>, the parties hereto, intending to be legally bound, do covenant and agree as follows:</w:t>
      </w:r>
    </w:p>
    <w:p>
      <w:pPr>
        <w:spacing w:after="0" w:line="163" w:lineRule="exact"/>
        <w:rPr>
          <w:sz w:val="20"/>
          <w:szCs w:val="20"/>
          <w:color w:val="auto"/>
        </w:rPr>
      </w:pPr>
    </w:p>
    <w:p>
      <w:pPr>
        <w:ind w:left="900" w:hanging="447"/>
        <w:spacing w:after="0"/>
        <w:tabs>
          <w:tab w:leader="none" w:pos="9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The LEASE is extended for three (3) years and one (1) month, LEASE shall terminate December 31, 2014.</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Commencing December 1, 2011 TENANT’S monthly minimum rent shall be $34,238.34 and shall increase 3% annually in accordance with the LEASE.</w:t>
      </w:r>
    </w:p>
    <w:p>
      <w:pPr>
        <w:spacing w:after="0" w:line="68" w:lineRule="exact"/>
        <w:rPr>
          <w:rFonts w:ascii="Arial" w:cs="Arial" w:eastAsia="Arial" w:hAnsi="Arial"/>
          <w:sz w:val="14"/>
          <w:szCs w:val="14"/>
          <w:color w:val="auto"/>
        </w:rPr>
      </w:pPr>
    </w:p>
    <w:p>
      <w:pPr>
        <w:ind w:left="900" w:right="20" w:hanging="447"/>
        <w:spacing w:after="0" w:line="267" w:lineRule="auto"/>
        <w:tabs>
          <w:tab w:leader="none" w:pos="9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TENANT shall have one (1) five (5) year renewal option to extend LEASE at current market rate. LEASE shall extend January 1, 2015 and terminate December 31, 2019 if TENANT chooses to use option to extend.</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TENANT must give at least nine (9) months advance written notice to LANDLORD of intent to use option to extend LEASE.</w:t>
      </w:r>
    </w:p>
    <w:p>
      <w:pPr>
        <w:spacing w:after="0" w:line="68" w:lineRule="exact"/>
        <w:rPr>
          <w:rFonts w:ascii="Arial" w:cs="Arial" w:eastAsia="Arial" w:hAnsi="Arial"/>
          <w:sz w:val="14"/>
          <w:szCs w:val="14"/>
          <w:color w:val="auto"/>
        </w:rPr>
      </w:pPr>
    </w:p>
    <w:p>
      <w:pPr>
        <w:ind w:left="900" w:right="260" w:hanging="447"/>
        <w:spacing w:after="0" w:line="267" w:lineRule="auto"/>
        <w:tabs>
          <w:tab w:leader="none" w:pos="9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LANDLORD agrees to abate TENANT’S monthly minimum rent for one (1) month totaling $34,238.34. Such abatement shall be applied to the minimum rent payable by Tenant for the first month of the renewal term.</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Ratification of LEASE: Except </w:t>
      </w:r>
      <w:r>
        <w:rPr>
          <w:rFonts w:ascii="Arial" w:cs="Arial" w:eastAsia="Arial" w:hAnsi="Arial"/>
          <w:sz w:val="14"/>
          <w:szCs w:val="14"/>
          <w:color w:val="auto"/>
        </w:rPr>
        <w:t>as expressly modified or amended by this AGREEMENT, all terms, covenants and conditions of the LEASE shall remain the same.</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witness whereof, LANDLORD and TENANT have caused this AGREEMENT to be executed as of this 1</w:t>
      </w:r>
      <w:r>
        <w:rPr>
          <w:rFonts w:ascii="Arial" w:cs="Arial" w:eastAsia="Arial" w:hAnsi="Arial"/>
          <w:sz w:val="8"/>
          <w:szCs w:val="8"/>
          <w:color w:val="auto"/>
        </w:rPr>
        <w:t>ST</w:t>
      </w:r>
      <w:r>
        <w:rPr>
          <w:rFonts w:ascii="Arial" w:cs="Arial" w:eastAsia="Arial" w:hAnsi="Arial"/>
          <w:sz w:val="14"/>
          <w:szCs w:val="14"/>
          <w:color w:val="auto"/>
        </w:rPr>
        <w:t xml:space="preserve"> day of June 2011, and do hereby declare this AGREEMENT to be binding on them, their respective successors and assigns.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4"/>
                <w:szCs w:val="14"/>
                <w:color w:val="auto"/>
              </w:rPr>
              <w:t>WITNESS:</w:t>
            </w: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LANDLORD:</w:t>
            </w:r>
          </w:p>
        </w:tc>
      </w:tr>
      <w:tr>
        <w:trPr>
          <w:trHeight w:val="173"/>
        </w:trPr>
        <w:tc>
          <w:tcPr>
            <w:tcW w:w="5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W. M. Rickman Construction Co.</w:t>
            </w:r>
          </w:p>
        </w:tc>
      </w:tr>
      <w:tr>
        <w:trPr>
          <w:trHeight w:val="33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c>
          <w:tcPr>
            <w:tcW w:w="8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M. Rickman</w:t>
            </w:r>
          </w:p>
        </w:tc>
      </w:tr>
      <w:tr>
        <w:trPr>
          <w:trHeight w:val="167"/>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By: William M. Rickman</w:t>
            </w:r>
          </w:p>
        </w:tc>
      </w:tr>
      <w:tr>
        <w:trPr>
          <w:trHeight w:val="328"/>
        </w:trPr>
        <w:tc>
          <w:tcPr>
            <w:tcW w:w="5380" w:type="dxa"/>
            <w:vAlign w:val="bottom"/>
          </w:tcPr>
          <w:p>
            <w:pPr>
              <w:spacing w:after="0"/>
              <w:rPr>
                <w:sz w:val="20"/>
                <w:szCs w:val="20"/>
                <w:color w:val="auto"/>
              </w:rPr>
            </w:pPr>
            <w:r>
              <w:rPr>
                <w:rFonts w:ascii="Arial" w:cs="Arial" w:eastAsia="Arial" w:hAnsi="Arial"/>
                <w:sz w:val="14"/>
                <w:szCs w:val="14"/>
                <w:color w:val="auto"/>
              </w:rPr>
              <w:t>WITNESS:</w:t>
            </w:r>
          </w:p>
        </w:tc>
        <w:tc>
          <w:tcPr>
            <w:tcW w:w="8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TENANT:</w:t>
            </w:r>
          </w:p>
        </w:tc>
      </w:tr>
      <w:tr>
        <w:trPr>
          <w:trHeight w:val="173"/>
        </w:trPr>
        <w:tc>
          <w:tcPr>
            <w:tcW w:w="5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MACRO GENICS, INC.</w:t>
            </w:r>
          </w:p>
        </w:tc>
      </w:tr>
      <w:tr>
        <w:trPr>
          <w:trHeight w:val="33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c>
          <w:tcPr>
            <w:tcW w:w="8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[ILLEGIBLE]</w:t>
            </w:r>
          </w:p>
        </w:tc>
      </w:tr>
      <w:tr>
        <w:trPr>
          <w:trHeight w:val="167"/>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By: [ILLEGIBLE]</w:t>
            </w:r>
          </w:p>
        </w:tc>
      </w:tr>
    </w:tbl>
    <w:p>
      <w:pPr>
        <w:sectPr>
          <w:pgSz w:w="11900" w:h="16838" w:orient="portrait"/>
          <w:cols w:equalWidth="0" w:num="1">
            <w:col w:w="11460"/>
          </w:cols>
          <w:pgMar w:left="220" w:top="130" w:right="2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4"/>
          <w:szCs w:val="14"/>
          <w:b w:val="1"/>
          <w:bCs w:val="1"/>
          <w:color w:val="auto"/>
        </w:rPr>
        <w:t>Exhibit 10.13</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SUBLEASE</w:t>
      </w:r>
    </w:p>
    <w:p>
      <w:pPr>
        <w:spacing w:after="0" w:line="132"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HIS</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UBLEASE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i w:val="1"/>
          <w:iCs w:val="1"/>
          <w:color w:val="auto"/>
        </w:rPr>
        <w:t>Sublease</w:t>
      </w:r>
      <w:r>
        <w:rPr>
          <w:rFonts w:ascii="Arial" w:cs="Arial" w:eastAsia="Arial" w:hAnsi="Arial"/>
          <w:sz w:val="14"/>
          <w:szCs w:val="14"/>
          <w:color w:val="auto"/>
        </w:rPr>
        <w:t>”), dated November 21, 2006, is entered into by and between</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MGEN</w:t>
      </w:r>
      <w:r>
        <w:rPr>
          <w:rFonts w:ascii="Arial" w:cs="Arial" w:eastAsia="Arial" w:hAnsi="Arial"/>
          <w:sz w:val="14"/>
          <w:szCs w:val="14"/>
          <w:b w:val="1"/>
          <w:bCs w:val="1"/>
          <w:color w:val="auto"/>
        </w:rPr>
        <w:t xml:space="preserve"> SF, LLC</w:t>
      </w:r>
      <w:r>
        <w:rPr>
          <w:rFonts w:ascii="Arial" w:cs="Arial" w:eastAsia="Arial" w:hAnsi="Arial"/>
          <w:sz w:val="14"/>
          <w:szCs w:val="14"/>
          <w:color w:val="auto"/>
        </w:rPr>
        <w:t>, a Delaware limited liability company, as successor by merger to Tularik, Inc., a Delaware</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w:t>
      </w:r>
      <w:r>
        <w:rPr>
          <w:rFonts w:ascii="Arial" w:cs="Arial" w:eastAsia="Arial" w:hAnsi="Arial"/>
          <w:sz w:val="14"/>
          <w:szCs w:val="14"/>
          <w:b w:val="1"/>
          <w:bCs w:val="1"/>
          <w:i w:val="1"/>
          <w:iCs w:val="1"/>
          <w:color w:val="auto"/>
        </w:rPr>
        <w:t>“Sublandlord”</w:t>
      </w:r>
      <w:r>
        <w:rPr>
          <w:rFonts w:ascii="Arial" w:cs="Arial" w:eastAsia="Arial" w:hAnsi="Arial"/>
          <w:sz w:val="14"/>
          <w:szCs w:val="14"/>
          <w:color w:val="auto"/>
        </w:rPr>
        <w:t xml:space="preserve">), and </w:t>
      </w:r>
      <w:r>
        <w:rPr>
          <w:rFonts w:ascii="Arial" w:cs="Arial" w:eastAsia="Arial" w:hAnsi="Arial"/>
          <w:sz w:val="14"/>
          <w:szCs w:val="14"/>
          <w:b w:val="1"/>
          <w:bCs w:val="1"/>
          <w:color w:val="auto"/>
        </w:rPr>
        <w:t>R</w:t>
      </w:r>
      <w:r>
        <w:rPr>
          <w:rFonts w:ascii="Arial" w:cs="Arial" w:eastAsia="Arial" w:hAnsi="Arial"/>
          <w:sz w:val="11"/>
          <w:szCs w:val="11"/>
          <w:b w:val="1"/>
          <w:bCs w:val="1"/>
          <w:color w:val="auto"/>
        </w:rPr>
        <w:t>AVEN BIOTECHNOLOGIES</w:t>
      </w:r>
      <w:r>
        <w:rPr>
          <w:rFonts w:ascii="Arial" w:cs="Arial" w:eastAsia="Arial" w:hAnsi="Arial"/>
          <w:sz w:val="14"/>
          <w:szCs w:val="14"/>
          <w:color w:val="auto"/>
        </w:rPr>
        <w:t xml:space="preserve">, </w:t>
      </w:r>
      <w:r>
        <w:rPr>
          <w:rFonts w:ascii="Arial" w:cs="Arial" w:eastAsia="Arial" w:hAnsi="Arial"/>
          <w:sz w:val="11"/>
          <w:szCs w:val="11"/>
          <w:b w:val="1"/>
          <w:bCs w:val="1"/>
          <w:color w:val="auto"/>
        </w:rPr>
        <w:t>INC</w:t>
      </w:r>
      <w:r>
        <w:rPr>
          <w:rFonts w:ascii="Arial" w:cs="Arial" w:eastAsia="Arial" w:hAnsi="Arial"/>
          <w:sz w:val="14"/>
          <w:szCs w:val="14"/>
          <w:color w:val="auto"/>
        </w:rPr>
        <w:t>., a Delaware corporation (“</w:t>
      </w:r>
      <w:r>
        <w:rPr>
          <w:rFonts w:ascii="Arial" w:cs="Arial" w:eastAsia="Arial" w:hAnsi="Arial"/>
          <w:sz w:val="14"/>
          <w:szCs w:val="14"/>
          <w:b w:val="1"/>
          <w:bCs w:val="1"/>
          <w:i w:val="1"/>
          <w:iCs w:val="1"/>
          <w:color w:val="auto"/>
        </w:rPr>
        <w:t>Subtenant</w:t>
      </w:r>
      <w:r>
        <w:rPr>
          <w:rFonts w:ascii="Arial" w:cs="Arial" w:eastAsia="Arial" w:hAnsi="Arial"/>
          <w:sz w:val="14"/>
          <w:szCs w:val="14"/>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ECITALS</w:t>
      </w:r>
    </w:p>
    <w:p>
      <w:pPr>
        <w:spacing w:after="0" w:line="132" w:lineRule="exact"/>
        <w:rPr>
          <w:sz w:val="20"/>
          <w:szCs w:val="20"/>
          <w:color w:val="auto"/>
        </w:rPr>
      </w:pPr>
    </w:p>
    <w:p>
      <w:pPr>
        <w:ind w:right="160" w:firstLine="458"/>
        <w:spacing w:after="0" w:line="306" w:lineRule="auto"/>
        <w:rPr>
          <w:sz w:val="20"/>
          <w:szCs w:val="20"/>
          <w:color w:val="auto"/>
        </w:rPr>
      </w:pPr>
      <w:r>
        <w:rPr>
          <w:rFonts w:ascii="Arial" w:cs="Arial" w:eastAsia="Arial" w:hAnsi="Arial"/>
          <w:sz w:val="12"/>
          <w:szCs w:val="12"/>
          <w:b w:val="1"/>
          <w:bCs w:val="1"/>
          <w:color w:val="auto"/>
        </w:rPr>
        <w:t xml:space="preserve">A. </w:t>
      </w:r>
      <w:r>
        <w:rPr>
          <w:rFonts w:ascii="Arial" w:cs="Arial" w:eastAsia="Arial" w:hAnsi="Arial"/>
          <w:sz w:val="12"/>
          <w:szCs w:val="12"/>
          <w:color w:val="auto"/>
        </w:rPr>
        <w:t>Sublandlord leases certain premises (the “</w:t>
      </w:r>
      <w:r>
        <w:rPr>
          <w:rFonts w:ascii="Arial" w:cs="Arial" w:eastAsia="Arial" w:hAnsi="Arial"/>
          <w:sz w:val="12"/>
          <w:szCs w:val="12"/>
          <w:b w:val="1"/>
          <w:bCs w:val="1"/>
          <w:i w:val="1"/>
          <w:iCs w:val="1"/>
          <w:color w:val="auto"/>
        </w:rPr>
        <w:t>Premises</w:t>
      </w:r>
      <w:r>
        <w:rPr>
          <w:rFonts w:ascii="Arial" w:cs="Arial" w:eastAsia="Arial" w:hAnsi="Arial"/>
          <w:sz w:val="12"/>
          <w:szCs w:val="12"/>
          <w:color w:val="auto"/>
        </w:rPr>
        <w:t>”) consisting of approximately 66,127 rentable square feet of space located in that certain building located at One Corporate Drive, South San</w:t>
      </w:r>
      <w:r>
        <w:rPr>
          <w:rFonts w:ascii="Arial" w:cs="Arial" w:eastAsia="Arial" w:hAnsi="Arial"/>
          <w:sz w:val="12"/>
          <w:szCs w:val="12"/>
          <w:b w:val="1"/>
          <w:bCs w:val="1"/>
          <w:color w:val="auto"/>
        </w:rPr>
        <w:t xml:space="preserve"> </w:t>
      </w:r>
      <w:r>
        <w:rPr>
          <w:rFonts w:ascii="Arial" w:cs="Arial" w:eastAsia="Arial" w:hAnsi="Arial"/>
          <w:sz w:val="12"/>
          <w:szCs w:val="12"/>
          <w:color w:val="auto"/>
        </w:rPr>
        <w:t>Francisco, California (the “</w:t>
      </w:r>
      <w:r>
        <w:rPr>
          <w:rFonts w:ascii="Arial" w:cs="Arial" w:eastAsia="Arial" w:hAnsi="Arial"/>
          <w:sz w:val="12"/>
          <w:szCs w:val="12"/>
          <w:b w:val="1"/>
          <w:bCs w:val="1"/>
          <w:i w:val="1"/>
          <w:iCs w:val="1"/>
          <w:color w:val="auto"/>
        </w:rPr>
        <w:t>Building</w:t>
      </w:r>
      <w:r>
        <w:rPr>
          <w:rFonts w:ascii="Arial" w:cs="Arial" w:eastAsia="Arial" w:hAnsi="Arial"/>
          <w:sz w:val="12"/>
          <w:szCs w:val="12"/>
          <w:color w:val="auto"/>
        </w:rPr>
        <w:t xml:space="preserve">”), as more particularly shown on </w:t>
      </w:r>
      <w:r>
        <w:rPr>
          <w:rFonts w:ascii="Arial" w:cs="Arial" w:eastAsia="Arial" w:hAnsi="Arial"/>
          <w:sz w:val="12"/>
          <w:szCs w:val="12"/>
          <w:b w:val="1"/>
          <w:bCs w:val="1"/>
          <w:color w:val="auto"/>
        </w:rPr>
        <w:t>Exhibit B</w:t>
      </w:r>
      <w:r>
        <w:rPr>
          <w:rFonts w:ascii="Arial" w:cs="Arial" w:eastAsia="Arial" w:hAnsi="Arial"/>
          <w:sz w:val="12"/>
          <w:szCs w:val="12"/>
          <w:color w:val="auto"/>
        </w:rPr>
        <w:t xml:space="preserve"> attached hereto and incorporated herein. Sublandlord is the tenant under that certain Build-To-Suit Lease dated the 20th day of April, 1995, with Britannia Biotech Gateway Limited Partnership, a Delaware limited partnership (“</w:t>
      </w:r>
      <w:r>
        <w:rPr>
          <w:rFonts w:ascii="Arial" w:cs="Arial" w:eastAsia="Arial" w:hAnsi="Arial"/>
          <w:sz w:val="12"/>
          <w:szCs w:val="12"/>
          <w:b w:val="1"/>
          <w:bCs w:val="1"/>
          <w:i w:val="1"/>
          <w:iCs w:val="1"/>
          <w:color w:val="auto"/>
        </w:rPr>
        <w:t>Master Landlord</w:t>
      </w:r>
      <w:r>
        <w:rPr>
          <w:rFonts w:ascii="Arial" w:cs="Arial" w:eastAsia="Arial" w:hAnsi="Arial"/>
          <w:sz w:val="12"/>
          <w:szCs w:val="12"/>
          <w:color w:val="auto"/>
        </w:rPr>
        <w:t>”) as amended by that certain First Amendment to Lease, dated February 10, 1998, and as further amended by that certain Second Amendment to Build-To-Suit Lease, dated August 12, 2004 (collectively, the “</w:t>
      </w:r>
      <w:r>
        <w:rPr>
          <w:rFonts w:ascii="Arial" w:cs="Arial" w:eastAsia="Arial" w:hAnsi="Arial"/>
          <w:sz w:val="12"/>
          <w:szCs w:val="12"/>
          <w:b w:val="1"/>
          <w:bCs w:val="1"/>
          <w:i w:val="1"/>
          <w:iCs w:val="1"/>
          <w:color w:val="auto"/>
        </w:rPr>
        <w:t>Master Lease</w:t>
      </w:r>
      <w:r>
        <w:rPr>
          <w:rFonts w:ascii="Arial" w:cs="Arial" w:eastAsia="Arial" w:hAnsi="Arial"/>
          <w:sz w:val="12"/>
          <w:szCs w:val="12"/>
          <w:color w:val="auto"/>
        </w:rPr>
        <w:t xml:space="preserve">”). A copy of the Master Lease is attached hereto as </w:t>
      </w:r>
      <w:r>
        <w:rPr>
          <w:rFonts w:ascii="Arial" w:cs="Arial" w:eastAsia="Arial" w:hAnsi="Arial"/>
          <w:sz w:val="12"/>
          <w:szCs w:val="12"/>
          <w:b w:val="1"/>
          <w:bCs w:val="1"/>
          <w:color w:val="auto"/>
        </w:rPr>
        <w:t>Exhibit A</w:t>
      </w:r>
      <w:r>
        <w:rPr>
          <w:rFonts w:ascii="Arial" w:cs="Arial" w:eastAsia="Arial" w:hAnsi="Arial"/>
          <w:sz w:val="12"/>
          <w:szCs w:val="12"/>
          <w:color w:val="auto"/>
        </w:rPr>
        <w:t>. Except as otherwise expressly provided herein, any capitalized terms herein without definition shall have the same meaning as they have in the Master Lease.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B. </w:t>
      </w:r>
      <w:r>
        <w:rPr>
          <w:rFonts w:ascii="Arial" w:cs="Arial" w:eastAsia="Arial" w:hAnsi="Arial"/>
          <w:sz w:val="12"/>
          <w:szCs w:val="12"/>
          <w:color w:val="auto"/>
        </w:rPr>
        <w:t>Sublandlord desires to sublease to Subtenant, and Subtenant desires to Sublease from Sublandlord, the Premises during the Term, pursuant to the terms and provisions hereof.</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OW</w:t>
      </w:r>
      <w:r>
        <w:rPr>
          <w:rFonts w:ascii="Arial" w:cs="Arial" w:eastAsia="Arial" w:hAnsi="Arial"/>
          <w:sz w:val="14"/>
          <w:szCs w:val="14"/>
          <w:b w:val="1"/>
          <w:bCs w:val="1"/>
          <w:color w:val="auto"/>
        </w:rPr>
        <w:t>, T</w:t>
      </w:r>
      <w:r>
        <w:rPr>
          <w:rFonts w:ascii="Arial" w:cs="Arial" w:eastAsia="Arial" w:hAnsi="Arial"/>
          <w:sz w:val="11"/>
          <w:szCs w:val="11"/>
          <w:b w:val="1"/>
          <w:bCs w:val="1"/>
          <w:color w:val="auto"/>
        </w:rPr>
        <w:t>HEREFORE</w:t>
      </w:r>
      <w:r>
        <w:rPr>
          <w:rFonts w:ascii="Arial" w:cs="Arial" w:eastAsia="Arial" w:hAnsi="Arial"/>
          <w:sz w:val="14"/>
          <w:szCs w:val="14"/>
          <w:color w:val="auto"/>
        </w:rPr>
        <w:t>, in consideration of the covenants and conditions contained herein, Sublandlord and Subtenant agree as follows: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GREEMENT</w:t>
      </w:r>
    </w:p>
    <w:p>
      <w:pPr>
        <w:spacing w:after="0" w:line="132" w:lineRule="exact"/>
        <w:rPr>
          <w:sz w:val="20"/>
          <w:szCs w:val="20"/>
          <w:color w:val="auto"/>
        </w:rPr>
      </w:pPr>
    </w:p>
    <w:p>
      <w:pPr>
        <w:ind w:left="600" w:hanging="138"/>
        <w:spacing w:after="0"/>
        <w:tabs>
          <w:tab w:leader="none" w:pos="600" w:val="left"/>
        </w:tabs>
        <w:numPr>
          <w:ilvl w:val="0"/>
          <w:numId w:val="284"/>
        </w:numPr>
        <w:rPr>
          <w:rFonts w:ascii="Arial" w:cs="Arial" w:eastAsia="Arial" w:hAnsi="Arial"/>
          <w:sz w:val="14"/>
          <w:szCs w:val="14"/>
          <w:b w:val="1"/>
          <w:bCs w:val="1"/>
          <w:color w:val="auto"/>
        </w:rPr>
      </w:pPr>
      <w:r>
        <w:rPr>
          <w:rFonts w:ascii="Arial" w:cs="Arial" w:eastAsia="Arial" w:hAnsi="Arial"/>
          <w:sz w:val="14"/>
          <w:szCs w:val="14"/>
          <w:b w:val="1"/>
          <w:bCs w:val="1"/>
          <w:color w:val="auto"/>
        </w:rPr>
        <w:t>Premises</w:t>
      </w:r>
      <w:r>
        <w:rPr>
          <w:rFonts w:ascii="Arial" w:cs="Arial" w:eastAsia="Arial" w:hAnsi="Arial"/>
          <w:sz w:val="14"/>
          <w:szCs w:val="14"/>
          <w:color w:val="auto"/>
        </w:rPr>
        <w:t>. Sublandlord hereby subleases to Subtenant and Subtenant hereby subleases from Sublandlord the Premises.</w:t>
      </w:r>
    </w:p>
    <w:p>
      <w:pPr>
        <w:spacing w:after="0" w:line="131" w:lineRule="exact"/>
        <w:rPr>
          <w:rFonts w:ascii="Arial" w:cs="Arial" w:eastAsia="Arial" w:hAnsi="Arial"/>
          <w:sz w:val="14"/>
          <w:szCs w:val="14"/>
          <w:b w:val="1"/>
          <w:bCs w:val="1"/>
          <w:color w:val="auto"/>
        </w:rPr>
      </w:pPr>
    </w:p>
    <w:p>
      <w:pPr>
        <w:ind w:left="600" w:hanging="138"/>
        <w:spacing w:after="0"/>
        <w:tabs>
          <w:tab w:leader="none" w:pos="600" w:val="left"/>
        </w:tabs>
        <w:numPr>
          <w:ilvl w:val="0"/>
          <w:numId w:val="284"/>
        </w:numPr>
        <w:rPr>
          <w:rFonts w:ascii="Arial" w:cs="Arial" w:eastAsia="Arial" w:hAnsi="Arial"/>
          <w:sz w:val="14"/>
          <w:szCs w:val="14"/>
          <w:b w:val="1"/>
          <w:bCs w:val="1"/>
          <w:color w:val="auto"/>
        </w:rPr>
      </w:pPr>
      <w:r>
        <w:rPr>
          <w:rFonts w:ascii="Arial" w:cs="Arial" w:eastAsia="Arial" w:hAnsi="Arial"/>
          <w:sz w:val="14"/>
          <w:szCs w:val="14"/>
          <w:b w:val="1"/>
          <w:bCs w:val="1"/>
          <w:color w:val="auto"/>
        </w:rPr>
        <w:t>Term</w:t>
      </w:r>
      <w:r>
        <w:rPr>
          <w:rFonts w:ascii="Arial" w:cs="Arial" w:eastAsia="Arial" w:hAnsi="Arial"/>
          <w:sz w:val="14"/>
          <w:szCs w:val="14"/>
          <w:color w:val="auto"/>
        </w:rPr>
        <w:t>.</w:t>
      </w:r>
    </w:p>
    <w:p>
      <w:pPr>
        <w:spacing w:after="0" w:line="133" w:lineRule="exact"/>
        <w:rPr>
          <w:rFonts w:ascii="Arial" w:cs="Arial" w:eastAsia="Arial" w:hAnsi="Arial"/>
          <w:sz w:val="14"/>
          <w:szCs w:val="14"/>
          <w:b w:val="1"/>
          <w:bCs w:val="1"/>
          <w:color w:val="auto"/>
        </w:rPr>
      </w:pPr>
    </w:p>
    <w:p>
      <w:pPr>
        <w:ind w:firstLine="920"/>
        <w:spacing w:after="0" w:line="305" w:lineRule="auto"/>
        <w:tabs>
          <w:tab w:leader="none" w:pos="1109" w:val="left"/>
        </w:tabs>
        <w:numPr>
          <w:ilvl w:val="1"/>
          <w:numId w:val="284"/>
        </w:numPr>
        <w:rPr>
          <w:rFonts w:ascii="Arial" w:cs="Arial" w:eastAsia="Arial" w:hAnsi="Arial"/>
          <w:sz w:val="12"/>
          <w:szCs w:val="12"/>
          <w:b w:val="1"/>
          <w:bCs w:val="1"/>
          <w:color w:val="auto"/>
        </w:rPr>
      </w:pPr>
      <w:r>
        <w:rPr>
          <w:rFonts w:ascii="Arial" w:cs="Arial" w:eastAsia="Arial" w:hAnsi="Arial"/>
          <w:sz w:val="12"/>
          <w:szCs w:val="12"/>
          <w:color w:val="auto"/>
        </w:rPr>
        <w:t>The term of this Sublease (the “</w:t>
      </w:r>
      <w:r>
        <w:rPr>
          <w:rFonts w:ascii="Arial" w:cs="Arial" w:eastAsia="Arial" w:hAnsi="Arial"/>
          <w:sz w:val="12"/>
          <w:szCs w:val="12"/>
          <w:b w:val="1"/>
          <w:bCs w:val="1"/>
          <w:i w:val="1"/>
          <w:iCs w:val="1"/>
          <w:color w:val="auto"/>
        </w:rPr>
        <w:t>Term</w:t>
      </w:r>
      <w:r>
        <w:rPr>
          <w:rFonts w:ascii="Arial" w:cs="Arial" w:eastAsia="Arial" w:hAnsi="Arial"/>
          <w:sz w:val="12"/>
          <w:szCs w:val="12"/>
          <w:color w:val="auto"/>
        </w:rPr>
        <w:t>”) shall commence on the later of (i) November 21, 2006, (ii) the date Sublandlord has delivered possession of the Premises to Subtenant in the condition required by the terms of this Sublease, or (iii) the date Master Landlord consents to this Sublease (the “</w:t>
      </w:r>
      <w:r>
        <w:rPr>
          <w:rFonts w:ascii="Arial" w:cs="Arial" w:eastAsia="Arial" w:hAnsi="Arial"/>
          <w:sz w:val="12"/>
          <w:szCs w:val="12"/>
          <w:b w:val="1"/>
          <w:bCs w:val="1"/>
          <w:i w:val="1"/>
          <w:iCs w:val="1"/>
          <w:color w:val="auto"/>
        </w:rPr>
        <w:t>Commencement Date</w:t>
      </w:r>
      <w:r>
        <w:rPr>
          <w:rFonts w:ascii="Arial" w:cs="Arial" w:eastAsia="Arial" w:hAnsi="Arial"/>
          <w:sz w:val="12"/>
          <w:szCs w:val="12"/>
          <w:color w:val="auto"/>
        </w:rPr>
        <w:t>”) and shall expire, unless sooner terminated pursuant to the further provisions hereof, at 11:59 p.m. (Pacific time) on December 31, 2013, or such earlier date as the Master Lease may be terminated pursuant to the terms thereof. If the Commencement Date does not occur on or before the date that is ten (10) days after the execution of this Sublease, then Subtenant shall have the right to terminate this Sublease within ten (10) days thereafter upon ten (10) days’ prior written notice to Sublandlord, and in such event Sublandlord shall immediately return to Subtenant all monies previously paid by Subtenant to Sublandlord pursuant to this Sublease.</w:t>
      </w:r>
    </w:p>
    <w:p>
      <w:pPr>
        <w:spacing w:after="0" w:line="84" w:lineRule="exact"/>
        <w:rPr>
          <w:rFonts w:ascii="Arial" w:cs="Arial" w:eastAsia="Arial" w:hAnsi="Arial"/>
          <w:sz w:val="12"/>
          <w:szCs w:val="12"/>
          <w:b w:val="1"/>
          <w:bCs w:val="1"/>
          <w:color w:val="auto"/>
        </w:rPr>
      </w:pPr>
    </w:p>
    <w:p>
      <w:pPr>
        <w:ind w:left="1120" w:hanging="200"/>
        <w:spacing w:after="0"/>
        <w:tabs>
          <w:tab w:leader="none" w:pos="1120" w:val="left"/>
        </w:tabs>
        <w:numPr>
          <w:ilvl w:val="1"/>
          <w:numId w:val="284"/>
        </w:numPr>
        <w:rPr>
          <w:rFonts w:ascii="Arial" w:cs="Arial" w:eastAsia="Arial" w:hAnsi="Arial"/>
          <w:sz w:val="14"/>
          <w:szCs w:val="14"/>
          <w:b w:val="1"/>
          <w:bCs w:val="1"/>
          <w:color w:val="auto"/>
        </w:rPr>
      </w:pPr>
      <w:r>
        <w:rPr>
          <w:rFonts w:ascii="Arial" w:cs="Arial" w:eastAsia="Arial" w:hAnsi="Arial"/>
          <w:sz w:val="14"/>
          <w:szCs w:val="14"/>
          <w:color w:val="auto"/>
        </w:rPr>
        <w:t>Upon the Commencement Date, Subtenant shall have the right to enter the Premises to commence the Tenant Improvements (as defined in Exhibit C attached hereto)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130" w:right="219" w:bottom="1440" w:gutter="0" w:footer="0" w:header="0"/>
        </w:sectPr>
      </w:pPr>
    </w:p>
    <w:bookmarkStart w:id="369" w:name="page370"/>
    <w:bookmarkEnd w:id="369"/>
    <w:p>
      <w:pPr>
        <w:ind w:right="1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and for installation of furniture, fixtures and equipment and otherwise to prepare the Premises for Subtenant’s occupancy. During such period of occupancy, Subtenant shall comply with all of the terms of this Sublease, including, without limitation, Section 11 hereof, other than the payment of Rent pursuant to Section 3(a). Prior to Subtenant’s entry into the Premises, Subtenant shall provide Sublandlord with evidence that Subtenant has obtained the insurance required by Section 11 hereof.</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3. Rent.</w:t>
      </w:r>
    </w:p>
    <w:p>
      <w:pPr>
        <w:spacing w:after="0" w:line="134" w:lineRule="exact"/>
        <w:rPr>
          <w:sz w:val="20"/>
          <w:szCs w:val="20"/>
          <w:color w:val="auto"/>
        </w:rPr>
      </w:pPr>
    </w:p>
    <w:p>
      <w:pPr>
        <w:ind w:right="20" w:firstLine="920"/>
        <w:spacing w:after="0" w:line="252" w:lineRule="auto"/>
        <w:tabs>
          <w:tab w:leader="none" w:pos="1109" w:val="left"/>
        </w:tabs>
        <w:numPr>
          <w:ilvl w:val="0"/>
          <w:numId w:val="285"/>
        </w:numPr>
        <w:rPr>
          <w:rFonts w:ascii="Arial" w:cs="Arial" w:eastAsia="Arial" w:hAnsi="Arial"/>
          <w:sz w:val="14"/>
          <w:szCs w:val="14"/>
          <w:b w:val="1"/>
          <w:bCs w:val="1"/>
          <w:color w:val="auto"/>
        </w:rPr>
      </w:pPr>
      <w:r>
        <w:rPr>
          <w:rFonts w:ascii="Arial" w:cs="Arial" w:eastAsia="Arial" w:hAnsi="Arial"/>
          <w:sz w:val="14"/>
          <w:szCs w:val="14"/>
          <w:color w:val="auto"/>
        </w:rPr>
        <w:t xml:space="preserve">Commencing on April 1, 2007 (the </w:t>
      </w:r>
      <w:r>
        <w:rPr>
          <w:rFonts w:ascii="Arial" w:cs="Arial" w:eastAsia="Arial" w:hAnsi="Arial"/>
          <w:sz w:val="14"/>
          <w:szCs w:val="14"/>
          <w:b w:val="1"/>
          <w:bCs w:val="1"/>
          <w:i w:val="1"/>
          <w:iCs w:val="1"/>
          <w:color w:val="auto"/>
        </w:rPr>
        <w:t>“Rent Commencement Date”</w:t>
      </w:r>
      <w:r>
        <w:rPr>
          <w:rFonts w:ascii="Arial" w:cs="Arial" w:eastAsia="Arial" w:hAnsi="Arial"/>
          <w:sz w:val="14"/>
          <w:szCs w:val="14"/>
          <w:color w:val="auto"/>
        </w:rPr>
        <w:t xml:space="preserve">), and continuing throughout the term of this Sublease, Subtenant shall pay monthly rent consisting of Base Rent and Additional Rent (as defined below) (collectively, </w:t>
      </w:r>
      <w:r>
        <w:rPr>
          <w:rFonts w:ascii="Arial" w:cs="Arial" w:eastAsia="Arial" w:hAnsi="Arial"/>
          <w:sz w:val="14"/>
          <w:szCs w:val="14"/>
          <w:b w:val="1"/>
          <w:bCs w:val="1"/>
          <w:i w:val="1"/>
          <w:iCs w:val="1"/>
          <w:color w:val="auto"/>
        </w:rPr>
        <w:t>“Rent”</w:t>
      </w:r>
      <w:r>
        <w:rPr>
          <w:rFonts w:ascii="Arial" w:cs="Arial" w:eastAsia="Arial" w:hAnsi="Arial"/>
          <w:sz w:val="14"/>
          <w:szCs w:val="14"/>
          <w:color w:val="auto"/>
        </w:rPr>
        <w:t>) to Sublandlord in the amounts set forth below. To the extent substantial completion of the Tenant Improvements (as defined in Exhibit C) is delayed beyond April 1, 2007, the Rent Commencement Date shall be extended beyond April 1, 2007, on a day for day basis: (i) for each day after December 7, 2007, that a building permit for the Tenant Improvements is not issued, provided Subtenant, no later than November 22, 2006, submits all necessary information and materials for the issuance of the building permit and such delay is not caused by Subtenant or its affiliates, contractors or consultants; or (ii) for each day substantial completion of the Tenant Improvements is delayed beyond April 1, 2007 as a result of Sublandlord’s failure to complete its Decommissioning work, as defined in Section 5 below.</w:t>
      </w:r>
    </w:p>
    <w:p>
      <w:pPr>
        <w:spacing w:after="0" w:line="114" w:lineRule="exact"/>
        <w:rPr>
          <w:rFonts w:ascii="Arial" w:cs="Arial" w:eastAsia="Arial" w:hAnsi="Arial"/>
          <w:sz w:val="14"/>
          <w:szCs w:val="14"/>
          <w:b w:val="1"/>
          <w:bCs w:val="1"/>
          <w:color w:val="auto"/>
        </w:rPr>
      </w:pPr>
    </w:p>
    <w:p>
      <w:pPr>
        <w:ind w:left="1660" w:hanging="167"/>
        <w:spacing w:after="0"/>
        <w:tabs>
          <w:tab w:leader="none" w:pos="1660" w:val="left"/>
        </w:tabs>
        <w:numPr>
          <w:ilvl w:val="1"/>
          <w:numId w:val="285"/>
        </w:numPr>
        <w:rPr>
          <w:rFonts w:ascii="Arial" w:cs="Arial" w:eastAsia="Arial" w:hAnsi="Arial"/>
          <w:sz w:val="14"/>
          <w:szCs w:val="14"/>
          <w:b w:val="1"/>
          <w:bCs w:val="1"/>
          <w:color w:val="auto"/>
        </w:rPr>
      </w:pPr>
      <w:r>
        <w:rPr>
          <w:rFonts w:ascii="Arial" w:cs="Arial" w:eastAsia="Arial" w:hAnsi="Arial"/>
          <w:sz w:val="14"/>
          <w:szCs w:val="14"/>
          <w:u w:val="single" w:color="auto"/>
          <w:color w:val="auto"/>
        </w:rPr>
        <w:t>Base Rent</w:t>
      </w:r>
      <w:r>
        <w:rPr>
          <w:rFonts w:ascii="Arial" w:cs="Arial" w:eastAsia="Arial" w:hAnsi="Arial"/>
          <w:sz w:val="14"/>
          <w:szCs w:val="14"/>
          <w:color w:val="auto"/>
        </w:rPr>
        <w:t>. Subtenant shall pay to Sublandlord monthly base rent (</w:t>
      </w:r>
      <w:r>
        <w:rPr>
          <w:rFonts w:ascii="Arial" w:cs="Arial" w:eastAsia="Arial" w:hAnsi="Arial"/>
          <w:sz w:val="14"/>
          <w:szCs w:val="14"/>
          <w:b w:val="1"/>
          <w:bCs w:val="1"/>
          <w:i w:val="1"/>
          <w:iCs w:val="1"/>
          <w:color w:val="auto"/>
        </w:rPr>
        <w:t>“Base Rent”</w:t>
      </w:r>
      <w:r>
        <w:rPr>
          <w:rFonts w:ascii="Arial" w:cs="Arial" w:eastAsia="Arial" w:hAnsi="Arial"/>
          <w:sz w:val="14"/>
          <w:szCs w:val="14"/>
          <w:color w:val="auto"/>
        </w:rPr>
        <w:t>) in the following amount:</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142"/>
        </w:trPr>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9"/>
              </w:rPr>
              <w:t>Period</w:t>
            </w:r>
          </w:p>
        </w:tc>
        <w:tc>
          <w:tcPr>
            <w:tcW w:w="6260" w:type="dxa"/>
            <w:vAlign w:val="bottom"/>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0"/>
                <w:szCs w:val="10"/>
                <w:color w:val="auto"/>
              </w:rPr>
              <w:t>Monthly Base Rent Amount</w:t>
            </w:r>
          </w:p>
        </w:tc>
      </w:tr>
      <w:tr>
        <w:trPr>
          <w:trHeight w:val="148"/>
        </w:trPr>
        <w:tc>
          <w:tcPr>
            <w:tcW w:w="654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color w:val="auto"/>
              </w:rPr>
              <w:t>Rent Commencement-12/31/07</w:t>
            </w:r>
          </w:p>
        </w:tc>
        <w:tc>
          <w:tcPr>
            <w:tcW w:w="3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104,850.00</w:t>
            </w: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01/01/08-12/31/08</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108,000.00</w:t>
            </w:r>
          </w:p>
        </w:tc>
      </w:tr>
      <w:tr>
        <w:trPr>
          <w:trHeight w:val="167"/>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01/01/09-12/31/09</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111,150.00</w:t>
            </w: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01/01/10-12/31/10</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114,300.00</w:t>
            </w:r>
          </w:p>
        </w:tc>
      </w:tr>
      <w:tr>
        <w:trPr>
          <w:trHeight w:val="167"/>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01/01/11-12/31/11</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117,900.00</w:t>
            </w: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01/01/12-12/31/12</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121,500.00</w:t>
            </w:r>
          </w:p>
        </w:tc>
      </w:tr>
      <w:tr>
        <w:trPr>
          <w:trHeight w:val="167"/>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01/01/13-12/31/13</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125,150.00</w:t>
            </w:r>
          </w:p>
        </w:tc>
      </w:tr>
    </w:tbl>
    <w:p>
      <w:pPr>
        <w:spacing w:after="0" w:line="118" w:lineRule="exact"/>
        <w:rPr>
          <w:sz w:val="20"/>
          <w:szCs w:val="20"/>
          <w:color w:val="auto"/>
        </w:rPr>
      </w:pPr>
    </w:p>
    <w:p>
      <w:pPr>
        <w:ind w:firstLine="1493"/>
        <w:spacing w:after="0" w:line="305" w:lineRule="auto"/>
        <w:tabs>
          <w:tab w:leader="none" w:pos="1690" w:val="left"/>
        </w:tabs>
        <w:numPr>
          <w:ilvl w:val="0"/>
          <w:numId w:val="286"/>
        </w:numPr>
        <w:rPr>
          <w:rFonts w:ascii="Arial" w:cs="Arial" w:eastAsia="Arial" w:hAnsi="Arial"/>
          <w:sz w:val="12"/>
          <w:szCs w:val="12"/>
          <w:b w:val="1"/>
          <w:bCs w:val="1"/>
          <w:color w:val="auto"/>
        </w:rPr>
      </w:pPr>
      <w:r>
        <w:rPr>
          <w:rFonts w:ascii="Arial" w:cs="Arial" w:eastAsia="Arial" w:hAnsi="Arial"/>
          <w:sz w:val="12"/>
          <w:szCs w:val="12"/>
          <w:u w:val="single" w:color="auto"/>
          <w:color w:val="auto"/>
        </w:rPr>
        <w:t>Additional Rent</w:t>
      </w:r>
      <w:r>
        <w:rPr>
          <w:rFonts w:ascii="Arial" w:cs="Arial" w:eastAsia="Arial" w:hAnsi="Arial"/>
          <w:sz w:val="12"/>
          <w:szCs w:val="12"/>
          <w:color w:val="auto"/>
        </w:rPr>
        <w:t>. In addition to Base Rent, commencing on the Rent Commencement Date, Subtenant shall also pay to Sublandlord the Operating Expenses (as that term is defined in Section 9.2 of the Master Lease) and all other costs payable by Sublandlord under the Master Lease that may accrue after the Rent Commencement Date (</w:t>
      </w:r>
      <w:r>
        <w:rPr>
          <w:rFonts w:ascii="Arial" w:cs="Arial" w:eastAsia="Arial" w:hAnsi="Arial"/>
          <w:sz w:val="12"/>
          <w:szCs w:val="12"/>
          <w:b w:val="1"/>
          <w:bCs w:val="1"/>
          <w:i w:val="1"/>
          <w:iCs w:val="1"/>
          <w:color w:val="auto"/>
        </w:rPr>
        <w:t>“Additional Rent”</w:t>
      </w:r>
      <w:r>
        <w:rPr>
          <w:rFonts w:ascii="Arial" w:cs="Arial" w:eastAsia="Arial" w:hAnsi="Arial"/>
          <w:sz w:val="12"/>
          <w:szCs w:val="12"/>
          <w:color w:val="auto"/>
        </w:rPr>
        <w:t>). Additional Rent shall also include all amounts paid directly by Sublandlord to parties other than Sublandlord to the extent related to the Premises (e.g. real property taxes assessed against the tenant improvements in the Premises, landscape maintenance, and parking lot maintenance). Sublandlord shall use its commercially reasonable efforts to induce Master Landlord to agree to bill Subtenant directly for Additional Rent. If Master Landlord does not agree to bill Subtenant directly for Additional Rent, then prior to the Rent Commencement Date,</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20" w:top="247" w:right="259" w:bottom="1440" w:gutter="0" w:footer="0" w:header="0"/>
        </w:sectPr>
      </w:pPr>
    </w:p>
    <w:bookmarkStart w:id="370" w:name="page371"/>
    <w:bookmarkEnd w:id="370"/>
    <w:p>
      <w:pPr>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and then on or before December 1 of each year, Sublandlord shall give Tenant a yearly expense estimate statement which shall set forth Sublandlord’s reasonable estimate of the total amount of Additional Rent for the succeeding calendar year, Subtenant shall pay Additional Rent in equal monthly installments based upon such estimate; provided, that the estimate statement may be reasonably revised and reissued by Sublandlord from time to time. Within 120 days after the end of each calendar year (subject to corresponding delivery to Sublandlord from Master Landlord), Sublandlord shall give to Tenant a statement, which shall indicate the Additional Rent incurred or accrued for such preceding calendar year, and which shall indicate the amount, if any, of any amounts due from Subtenant in excess of the amounts previously paid, or the amount of any refund due. Upon receipt of the statement for each expense year ending during the Term, Tenant shall pay, with its next installment of Base Rent due, but in no event later than thirty</w:t>
      </w:r>
    </w:p>
    <w:p>
      <w:pPr>
        <w:spacing w:after="0" w:line="2" w:lineRule="exact"/>
        <w:rPr>
          <w:sz w:val="20"/>
          <w:szCs w:val="20"/>
          <w:color w:val="auto"/>
        </w:rPr>
      </w:pPr>
    </w:p>
    <w:p>
      <w:pPr>
        <w:ind w:right="80" w:firstLine="4"/>
        <w:spacing w:after="0" w:line="307" w:lineRule="auto"/>
        <w:tabs>
          <w:tab w:leader="none" w:pos="26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days after receipt of such statement the full amount of any excess for such expense year. If a refund is due, Sublandlord shall provide such refund at the time it provides the statement. The failure of Sublandlord to timely furnish the statement for any expense year shall not prejudice Sublandlord from enforcing its rights under this Section 3. Even though the Term has expired and Tenant has vacated the Premises, when the final determination is made of the Additional Rent due from Subtenant for the Term, Tenant shall immediately pay to Sublandlord any amounts due. Upon request, Sublandlord shall furnish to Subtenant copies of any invoices for items constituting Additional Rent hereunder (to the extent obtainable from Master Landlord).</w:t>
      </w:r>
    </w:p>
    <w:p>
      <w:pPr>
        <w:spacing w:after="0" w:line="82" w:lineRule="exact"/>
        <w:rPr>
          <w:rFonts w:ascii="Arial" w:cs="Arial" w:eastAsia="Arial" w:hAnsi="Arial"/>
          <w:sz w:val="12"/>
          <w:szCs w:val="12"/>
          <w:color w:val="auto"/>
        </w:rPr>
      </w:pPr>
    </w:p>
    <w:p>
      <w:pPr>
        <w:ind w:right="100" w:firstLine="1493"/>
        <w:spacing w:after="0" w:line="321" w:lineRule="auto"/>
        <w:tabs>
          <w:tab w:leader="none" w:pos="1727" w:val="left"/>
        </w:tabs>
        <w:numPr>
          <w:ilvl w:val="3"/>
          <w:numId w:val="287"/>
        </w:numPr>
        <w:rPr>
          <w:rFonts w:ascii="Arial" w:cs="Arial" w:eastAsia="Arial" w:hAnsi="Arial"/>
          <w:sz w:val="12"/>
          <w:szCs w:val="12"/>
          <w:b w:val="1"/>
          <w:bCs w:val="1"/>
          <w:color w:val="auto"/>
        </w:rPr>
      </w:pPr>
      <w:r>
        <w:rPr>
          <w:rFonts w:ascii="Arial" w:cs="Arial" w:eastAsia="Arial" w:hAnsi="Arial"/>
          <w:sz w:val="12"/>
          <w:szCs w:val="12"/>
          <w:u w:val="single" w:color="auto"/>
          <w:color w:val="auto"/>
        </w:rPr>
        <w:t>Direct Costs</w:t>
      </w:r>
      <w:r>
        <w:rPr>
          <w:rFonts w:ascii="Arial" w:cs="Arial" w:eastAsia="Arial" w:hAnsi="Arial"/>
          <w:sz w:val="12"/>
          <w:szCs w:val="12"/>
          <w:color w:val="auto"/>
        </w:rPr>
        <w:t>. Commencing on the Commencement Date, Subtenant shall pay directly to the provider thereof all costs and expenses for, utilities, janitorial services, HVAC maintenance and security for the Premises, and shall pay its own personal property taxes. The level of utilities, janitorial service, HVAC maintenance and security for the Premises to be obtained shall be at the reasonable discretion of the Subtenant, provided Subtenant shall exercise its discretion in such manner as will avoid a default under the Master Lease.</w:t>
      </w:r>
    </w:p>
    <w:p>
      <w:pPr>
        <w:spacing w:after="0" w:line="73" w:lineRule="exact"/>
        <w:rPr>
          <w:rFonts w:ascii="Arial" w:cs="Arial" w:eastAsia="Arial" w:hAnsi="Arial"/>
          <w:sz w:val="12"/>
          <w:szCs w:val="12"/>
          <w:b w:val="1"/>
          <w:bCs w:val="1"/>
          <w:color w:val="auto"/>
        </w:rPr>
      </w:pPr>
    </w:p>
    <w:p>
      <w:pPr>
        <w:ind w:right="520" w:firstLine="920"/>
        <w:spacing w:after="0" w:line="351" w:lineRule="auto"/>
        <w:tabs>
          <w:tab w:leader="none" w:pos="1117" w:val="left"/>
        </w:tabs>
        <w:numPr>
          <w:ilvl w:val="2"/>
          <w:numId w:val="287"/>
        </w:numPr>
        <w:rPr>
          <w:rFonts w:ascii="Arial" w:cs="Arial" w:eastAsia="Arial" w:hAnsi="Arial"/>
          <w:sz w:val="12"/>
          <w:szCs w:val="12"/>
          <w:b w:val="1"/>
          <w:bCs w:val="1"/>
          <w:color w:val="auto"/>
        </w:rPr>
      </w:pPr>
      <w:r>
        <w:rPr>
          <w:rFonts w:ascii="Arial" w:cs="Arial" w:eastAsia="Arial" w:hAnsi="Arial"/>
          <w:sz w:val="12"/>
          <w:szCs w:val="12"/>
          <w:color w:val="auto"/>
        </w:rPr>
        <w:t>Subtenant shall also be liable for any amounts payable by Sublandlord to Master Landlord which are (A) due to Subtenant’s breach of any provision of the Master Lease, (B) due to Subtenant’s negligence or willful misconduct, or (C) for the sole benefit of Subtenant, and any such amounts shall be the sole responsibility of Subtenant.</w:t>
      </w:r>
    </w:p>
    <w:p>
      <w:pPr>
        <w:spacing w:after="0" w:line="56" w:lineRule="exact"/>
        <w:rPr>
          <w:rFonts w:ascii="Arial" w:cs="Arial" w:eastAsia="Arial" w:hAnsi="Arial"/>
          <w:sz w:val="12"/>
          <w:szCs w:val="12"/>
          <w:b w:val="1"/>
          <w:bCs w:val="1"/>
          <w:color w:val="auto"/>
        </w:rPr>
      </w:pPr>
    </w:p>
    <w:p>
      <w:pPr>
        <w:ind w:right="220" w:firstLine="920"/>
        <w:spacing w:after="0" w:line="258" w:lineRule="auto"/>
        <w:tabs>
          <w:tab w:leader="none" w:pos="1101" w:val="left"/>
        </w:tabs>
        <w:numPr>
          <w:ilvl w:val="2"/>
          <w:numId w:val="287"/>
        </w:numPr>
        <w:rPr>
          <w:rFonts w:ascii="Arial" w:cs="Arial" w:eastAsia="Arial" w:hAnsi="Arial"/>
          <w:sz w:val="14"/>
          <w:szCs w:val="14"/>
          <w:b w:val="1"/>
          <w:bCs w:val="1"/>
          <w:color w:val="auto"/>
        </w:rPr>
      </w:pPr>
      <w:r>
        <w:rPr>
          <w:rFonts w:ascii="Arial" w:cs="Arial" w:eastAsia="Arial" w:hAnsi="Arial"/>
          <w:sz w:val="14"/>
          <w:szCs w:val="14"/>
          <w:color w:val="auto"/>
        </w:rPr>
        <w:t>Upon the written request of Subtenant to Sublandlord, Sublandlord shall exercise its audit rights under Section 9.3 of the Master Lease at the sole cost and expense of Subtenant and shall promptly provide the results thereof to Subtenant without warranty of any kind or nature. Sublandlord shall use its commercially reasonable efforts to induce Master Landlord to agree in its consent to this Sublease that Subtenant may exercise Sublandlord’s audit rights under Section 9.3 of the Master Lease directly.</w:t>
      </w:r>
    </w:p>
    <w:p>
      <w:pPr>
        <w:spacing w:after="0" w:line="105" w:lineRule="exact"/>
        <w:rPr>
          <w:rFonts w:ascii="Arial" w:cs="Arial" w:eastAsia="Arial" w:hAnsi="Arial"/>
          <w:sz w:val="14"/>
          <w:szCs w:val="14"/>
          <w:b w:val="1"/>
          <w:bCs w:val="1"/>
          <w:color w:val="auto"/>
        </w:rPr>
      </w:pPr>
    </w:p>
    <w:p>
      <w:pPr>
        <w:ind w:left="600" w:hanging="138"/>
        <w:spacing w:after="0"/>
        <w:tabs>
          <w:tab w:leader="none" w:pos="600" w:val="left"/>
        </w:tabs>
        <w:numPr>
          <w:ilvl w:val="1"/>
          <w:numId w:val="28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Security Deposit. </w:t>
      </w:r>
      <w:r>
        <w:rPr>
          <w:rFonts w:ascii="Arial" w:cs="Arial" w:eastAsia="Arial" w:hAnsi="Arial"/>
          <w:sz w:val="12"/>
          <w:szCs w:val="12"/>
          <w:color w:val="auto"/>
        </w:rPr>
        <w:t>Upon execution of this Sublease, Subtenant shall deposit with Sublandlord the sum of $104,850.00 as a security deposit (</w:t>
      </w:r>
      <w:r>
        <w:rPr>
          <w:rFonts w:ascii="Arial" w:cs="Arial" w:eastAsia="Arial" w:hAnsi="Arial"/>
          <w:sz w:val="12"/>
          <w:szCs w:val="12"/>
          <w:b w:val="1"/>
          <w:bCs w:val="1"/>
          <w:i w:val="1"/>
          <w:iCs w:val="1"/>
          <w:color w:val="auto"/>
        </w:rPr>
        <w:t>“Security Deposit”</w:t>
      </w:r>
      <w:r>
        <w:rPr>
          <w:rFonts w:ascii="Arial" w:cs="Arial" w:eastAsia="Arial" w:hAnsi="Arial"/>
          <w:sz w:val="12"/>
          <w:szCs w:val="12"/>
          <w:color w:val="auto"/>
        </w:rPr>
        <w:t>). Subtenant hereby grants to</w:t>
      </w:r>
    </w:p>
    <w:p>
      <w:pPr>
        <w:spacing w:after="0" w:line="37" w:lineRule="exact"/>
        <w:rPr>
          <w:rFonts w:ascii="Arial" w:cs="Arial" w:eastAsia="Arial" w:hAnsi="Arial"/>
          <w:sz w:val="12"/>
          <w:szCs w:val="12"/>
          <w:b w:val="1"/>
          <w:bCs w:val="1"/>
          <w:color w:val="auto"/>
        </w:rPr>
      </w:pPr>
    </w:p>
    <w:p>
      <w:pPr>
        <w:jc w:val="both"/>
        <w:spacing w:after="0" w:line="253" w:lineRule="auto"/>
        <w:rPr>
          <w:rFonts w:ascii="Arial" w:cs="Arial" w:eastAsia="Arial" w:hAnsi="Arial"/>
          <w:sz w:val="12"/>
          <w:szCs w:val="12"/>
          <w:b w:val="1"/>
          <w:bCs w:val="1"/>
          <w:color w:val="auto"/>
        </w:rPr>
      </w:pPr>
      <w:r>
        <w:rPr>
          <w:rFonts w:ascii="Arial" w:cs="Arial" w:eastAsia="Arial" w:hAnsi="Arial"/>
          <w:sz w:val="14"/>
          <w:szCs w:val="14"/>
          <w:color w:val="auto"/>
        </w:rPr>
        <w:t>Sublandlord a security interest in the Security Deposit, including but not limited to replenishments thereof. If Subtenant fails to pay Rent or other charges when due under this Sublease, or fails to perform any of its other obligations hereunder, and such failure is not cured within the relevant cure period, Sublandlord may use or apply all or any portion of the Security Deposit for the payment of any Rent or other amount then due hereunder and unpaid, for the payment of any other sum for which Sublandlord may become obligated by reason of</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247" w:right="259" w:bottom="1440" w:gutter="0" w:footer="0" w:header="0"/>
        </w:sectPr>
      </w:pPr>
    </w:p>
    <w:bookmarkStart w:id="371" w:name="page372"/>
    <w:bookmarkEnd w:id="371"/>
    <w:p>
      <w:pPr>
        <w:ind w:right="10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Subtenant’s default or breach, or for any loss or damage sustained by Sublandlord as a result of Subtenant’s default or breach. If Sublandlord so uses any portion of the Security Deposit, Subtenant shall restore the Security Deposit to the full amount originally deposited within ten (10) days after Sublandlord’s written demand. Sublandlord shall not be required to keep the Security Deposit separate from its general accounts, and shall have no obligation or liability for payment of interest on the Security Deposit. The Security Deposit, or so much thereof as had not theretofore been applied by Sublandlord, shall be returned to Subtenant within thirty (30) days of the expiration or earlier termination of this Sublease, provided Subtenant has vacated the Premises.</w:t>
      </w:r>
    </w:p>
    <w:p>
      <w:pPr>
        <w:spacing w:after="0" w:line="79" w:lineRule="exact"/>
        <w:rPr>
          <w:sz w:val="20"/>
          <w:szCs w:val="20"/>
          <w:color w:val="auto"/>
        </w:rPr>
      </w:pPr>
    </w:p>
    <w:p>
      <w:pPr>
        <w:ind w:firstLine="458"/>
        <w:spacing w:after="0" w:line="296" w:lineRule="auto"/>
        <w:rPr>
          <w:sz w:val="20"/>
          <w:szCs w:val="20"/>
          <w:color w:val="auto"/>
        </w:rPr>
      </w:pPr>
      <w:r>
        <w:rPr>
          <w:rFonts w:ascii="Arial" w:cs="Arial" w:eastAsia="Arial" w:hAnsi="Arial"/>
          <w:sz w:val="12"/>
          <w:szCs w:val="12"/>
          <w:color w:val="auto"/>
        </w:rPr>
        <w:t xml:space="preserve">In lieu of making the cash deposit described above, Subtenant shall have the option to instead deliver to Sublandlord a letter of credit in the amount of the Security Deposit in the form attached hereto as </w:t>
      </w:r>
      <w:r>
        <w:rPr>
          <w:rFonts w:ascii="Arial" w:cs="Arial" w:eastAsia="Arial" w:hAnsi="Arial"/>
          <w:sz w:val="12"/>
          <w:szCs w:val="12"/>
          <w:b w:val="1"/>
          <w:bCs w:val="1"/>
          <w:color w:val="auto"/>
        </w:rPr>
        <w:t xml:space="preserve">Exhibit D </w:t>
      </w:r>
      <w:r>
        <w:rPr>
          <w:rFonts w:ascii="Arial" w:cs="Arial" w:eastAsia="Arial" w:hAnsi="Arial"/>
          <w:sz w:val="12"/>
          <w:szCs w:val="12"/>
          <w:color w:val="auto"/>
        </w:rPr>
        <w:t>from an institution reasonably satisfactory to Sublandlord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“Initial LOC”</w:t>
      </w:r>
      <w:r>
        <w:rPr>
          <w:rFonts w:ascii="Arial" w:cs="Arial" w:eastAsia="Arial" w:hAnsi="Arial"/>
          <w:sz w:val="12"/>
          <w:szCs w:val="12"/>
          <w:color w:val="auto"/>
        </w:rPr>
        <w:t>; the Initial LOC and all letters of credit issued in renewal or replacement thereof being individually referred to hereinafter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as an </w:t>
      </w:r>
      <w:r>
        <w:rPr>
          <w:rFonts w:ascii="Arial" w:cs="Arial" w:eastAsia="Arial" w:hAnsi="Arial"/>
          <w:sz w:val="12"/>
          <w:szCs w:val="12"/>
          <w:b w:val="1"/>
          <w:bCs w:val="1"/>
          <w:i w:val="1"/>
          <w:iCs w:val="1"/>
          <w:color w:val="auto"/>
        </w:rPr>
        <w:t>“LOC”</w:t>
      </w:r>
      <w:r>
        <w:rPr>
          <w:rFonts w:ascii="Arial" w:cs="Arial" w:eastAsia="Arial" w:hAnsi="Arial"/>
          <w:sz w:val="12"/>
          <w:szCs w:val="12"/>
          <w:color w:val="auto"/>
        </w:rPr>
        <w:t>). Sublandlord may, in its sole discretion but with no obligation to do so, draw upon each LOC at any time following an event of default, which is not cured within the applicable cure period, in accordance with this Section 4. Each LOC delivered hereunder shall (a) be in a form and from Greater Bay Bank or another institution acceptable to Sublandlord, in its reasonable discretion, (b) allow for multiple draws, and (c) be transferable, irrevocable and payable on sight draft made by Sublandlord or its successors and assigns. In the event Sublandlord draws upon any LOC in accordance with this Section 4, Subtenant shall replenish the LOC within ten (10) days of notice of such draw so that the amount of the LOC shall equal the sum of $104,850.00. Sublandlord may, in its sole discretion but with no obligation to do so, draw upon each LOC for the failure of any LOC to be renewed or replaced in compliance with the terms of this Section 4 on or before the date that is thirty (30) days prior to the expiration of any LOC, such draw to be in the full amount of any such expiring LOC, with such drawn amount thereafter to be held by Sublandlord as the Security Deposit under this Sublease. Sublandlord will not be required to declare any default or event of default as a condition to any such draw. In the event Sublandlord fails to draw upon any expiring LOC and such LOC actually expires, Subtenant shall cause a replacement LOC to be issued in favor of Sublandlord in the amount of any such expired LOC, with any failure to provide such a replacement LOC to constitute a default hereunder within ten (10) days of notice from Sublandlord to Subtenant of any such expired LOC, and without any further cure period being allowed to Subtenant.</w:t>
      </w:r>
    </w:p>
    <w:p>
      <w:pPr>
        <w:spacing w:after="0" w:line="90" w:lineRule="exact"/>
        <w:rPr>
          <w:sz w:val="20"/>
          <w:szCs w:val="20"/>
          <w:color w:val="auto"/>
        </w:rPr>
      </w:pPr>
    </w:p>
    <w:p>
      <w:pPr>
        <w:ind w:left="600" w:hanging="138"/>
        <w:spacing w:after="0"/>
        <w:tabs>
          <w:tab w:leader="none" w:pos="600" w:val="left"/>
        </w:tabs>
        <w:numPr>
          <w:ilvl w:val="0"/>
          <w:numId w:val="288"/>
        </w:numPr>
        <w:rPr>
          <w:rFonts w:ascii="Arial" w:cs="Arial" w:eastAsia="Arial" w:hAnsi="Arial"/>
          <w:sz w:val="14"/>
          <w:szCs w:val="14"/>
          <w:b w:val="1"/>
          <w:bCs w:val="1"/>
          <w:color w:val="auto"/>
        </w:rPr>
      </w:pPr>
      <w:r>
        <w:rPr>
          <w:rFonts w:ascii="Arial" w:cs="Arial" w:eastAsia="Arial" w:hAnsi="Arial"/>
          <w:sz w:val="14"/>
          <w:szCs w:val="14"/>
          <w:b w:val="1"/>
          <w:bCs w:val="1"/>
          <w:color w:val="auto"/>
        </w:rPr>
        <w:t>Condition of the Premises.</w:t>
      </w:r>
    </w:p>
    <w:p>
      <w:pPr>
        <w:spacing w:after="0" w:line="133" w:lineRule="exact"/>
        <w:rPr>
          <w:rFonts w:ascii="Arial" w:cs="Arial" w:eastAsia="Arial" w:hAnsi="Arial"/>
          <w:sz w:val="14"/>
          <w:szCs w:val="14"/>
          <w:b w:val="1"/>
          <w:bCs w:val="1"/>
          <w:color w:val="auto"/>
        </w:rPr>
      </w:pPr>
    </w:p>
    <w:p>
      <w:pPr>
        <w:ind w:right="20" w:firstLine="920"/>
        <w:spacing w:after="0" w:line="311" w:lineRule="auto"/>
        <w:tabs>
          <w:tab w:leader="none" w:pos="1109" w:val="left"/>
        </w:tabs>
        <w:numPr>
          <w:ilvl w:val="1"/>
          <w:numId w:val="288"/>
        </w:numPr>
        <w:rPr>
          <w:rFonts w:ascii="Arial" w:cs="Arial" w:eastAsia="Arial" w:hAnsi="Arial"/>
          <w:sz w:val="12"/>
          <w:szCs w:val="12"/>
          <w:b w:val="1"/>
          <w:bCs w:val="1"/>
          <w:color w:val="auto"/>
        </w:rPr>
      </w:pPr>
      <w:r>
        <w:rPr>
          <w:rFonts w:ascii="Arial" w:cs="Arial" w:eastAsia="Arial" w:hAnsi="Arial"/>
          <w:sz w:val="12"/>
          <w:szCs w:val="12"/>
          <w:color w:val="auto"/>
        </w:rPr>
        <w:t xml:space="preserve">Subtenant agrees that (i) except as specifically set forth in this Sublease, Sublandlord has made no other representations or warranties of any kind or nature whatsoever respecting the Premises or the alterations, additions and improvements, title to which is held by Sublandlord under Section 11.2 of the Master Lease (the </w:t>
      </w:r>
      <w:r>
        <w:rPr>
          <w:rFonts w:ascii="Arial" w:cs="Arial" w:eastAsia="Arial" w:hAnsi="Arial"/>
          <w:sz w:val="12"/>
          <w:szCs w:val="12"/>
          <w:b w:val="1"/>
          <w:bCs w:val="1"/>
          <w:i w:val="1"/>
          <w:iCs w:val="1"/>
          <w:color w:val="auto"/>
        </w:rPr>
        <w:t>“Sublandlord Owned Property”</w:t>
      </w:r>
      <w:r>
        <w:rPr>
          <w:rFonts w:ascii="Arial" w:cs="Arial" w:eastAsia="Arial" w:hAnsi="Arial"/>
          <w:sz w:val="12"/>
          <w:szCs w:val="12"/>
          <w:color w:val="auto"/>
        </w:rPr>
        <w:t xml:space="preserve">) located in or serving the Premises, or their condition or suitability for Subtenant’s use; and (ii) Subtenant agrees to accept the Premises and Sublandlord Owned Property located in or serving the Premises “as is, where is,” with all faults, without any obligation on the part of Sublandlord to modify, improve or otherwise prepare the Premises for Subtenant’s occupancy, except as provided in </w:t>
      </w:r>
      <w:r>
        <w:rPr>
          <w:rFonts w:ascii="Arial" w:cs="Arial" w:eastAsia="Arial" w:hAnsi="Arial"/>
          <w:sz w:val="12"/>
          <w:szCs w:val="12"/>
          <w:b w:val="1"/>
          <w:bCs w:val="1"/>
          <w:color w:val="auto"/>
        </w:rPr>
        <w:t>Exhibit C</w:t>
      </w:r>
      <w:r>
        <w:rPr>
          <w:rFonts w:ascii="Arial" w:cs="Arial" w:eastAsia="Arial" w:hAnsi="Arial"/>
          <w:sz w:val="12"/>
          <w:szCs w:val="12"/>
          <w:color w:val="auto"/>
        </w:rPr>
        <w:t xml:space="preserve"> attached hereto.</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47" w:right="219" w:bottom="1440" w:gutter="0" w:footer="0" w:header="0"/>
        </w:sectPr>
      </w:pPr>
    </w:p>
    <w:bookmarkStart w:id="372" w:name="page373"/>
    <w:bookmarkEnd w:id="372"/>
    <w:p>
      <w:pPr>
        <w:ind w:left="-20" w:firstLine="920"/>
        <w:spacing w:after="0" w:line="294" w:lineRule="auto"/>
        <w:tabs>
          <w:tab w:leader="none" w:pos="1097" w:val="left"/>
        </w:tabs>
        <w:numPr>
          <w:ilvl w:val="0"/>
          <w:numId w:val="289"/>
        </w:numPr>
        <w:rPr>
          <w:rFonts w:ascii="Arial" w:cs="Arial" w:eastAsia="Arial" w:hAnsi="Arial"/>
          <w:sz w:val="12"/>
          <w:szCs w:val="12"/>
          <w:b w:val="1"/>
          <w:bCs w:val="1"/>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No later than sixty (60) days after the Commencement Date, Sublandlord shall at its sole cost and expense obtain and deliver to Master Landlord and to Subtenant an environmental study, performed by an expert reasonably satisfactory to Master Landlord and Subtenant, evaluating the presence or absence of hazardous substances and wastes, radiation and radioactive materials on and about the Property (as defined in the Master Lease) (the </w:t>
      </w:r>
      <w:r>
        <w:rPr>
          <w:rFonts w:ascii="Arial" w:cs="Arial" w:eastAsia="Arial" w:hAnsi="Arial"/>
          <w:sz w:val="12"/>
          <w:szCs w:val="12"/>
          <w:b w:val="1"/>
          <w:bCs w:val="1"/>
          <w:i w:val="1"/>
          <w:iCs w:val="1"/>
          <w:color w:val="auto"/>
        </w:rPr>
        <w:t>“Environmental Study”</w:t>
      </w:r>
      <w:r>
        <w:rPr>
          <w:rFonts w:ascii="Arial" w:cs="Arial" w:eastAsia="Arial" w:hAnsi="Arial"/>
          <w:sz w:val="12"/>
          <w:szCs w:val="12"/>
          <w:color w:val="auto"/>
        </w:rPr>
        <w:t xml:space="preserve">). Such study shall be based on a reasonable and prudent level of tests and investigations of the Property and shall be intended to satisfy, on an interim basis, Sublandlord’s obligations under Section 13(b)(xi) of the Master Lease. Liability for any remedial actions required or recommended on the basis of such study shall be allocated between Master Landlord and Sublandlord in accordance with the Master Lease. Within thirty (30) days of the date of the aforementioned report, Sublandlord shall commence, and thereafter shall diligently pursue to completion, all actions required under the Master Lease with respect to hazardous substances and wastes, radiation and radioactive materials on and about the Property, and Subtenant shall have no liability whatsoever in connection therewith; provided Subtenant shall reasonably cooperate with Sublandlord in the performance of Sublandlord’s obligations in this regard. Sublandlord hereby certifies that Sublandlord has taken all commercially reasonable steps necessary to decommission the areas of the Premises that contain levels of radiation higher than permitted pursuant to applicable environmental laws, and has complied with the Master Lease and all applicable laws with respect to any portion of the Building used in connection with hazardous substances and/or hazardous waste, as such terms are used in the Master Lease (the </w:t>
      </w:r>
      <w:r>
        <w:rPr>
          <w:rFonts w:ascii="Arial" w:cs="Arial" w:eastAsia="Arial" w:hAnsi="Arial"/>
          <w:sz w:val="12"/>
          <w:szCs w:val="12"/>
          <w:b w:val="1"/>
          <w:bCs w:val="1"/>
          <w:i w:val="1"/>
          <w:iCs w:val="1"/>
          <w:color w:val="auto"/>
        </w:rPr>
        <w:t>“Decommissioning”</w:t>
      </w:r>
      <w:r>
        <w:rPr>
          <w:rFonts w:ascii="Arial" w:cs="Arial" w:eastAsia="Arial" w:hAnsi="Arial"/>
          <w:sz w:val="12"/>
          <w:szCs w:val="12"/>
          <w:color w:val="auto"/>
        </w:rPr>
        <w:t xml:space="preserve"> work). At the termination or expiration of this Sublease, Subtenant shall be responsible, at its sole cost and expense, for the obligations arising under the Section 13 of the Master Lease, including Section 13.6(b)(xi) thereof only with respect to hazardous substances caused to be present in the Premises by Subtenant or its agents, and Subtenant does hereby agree to indemnify and hold harmless Sublandlord from any and all costs, claims, and liabilities arising from or attributable to such obligations, and such obligation to indemnify and hold harmless shall survive the expiration or earlier termination of this Sublease. Throughout the term of this Sublease and at the termination or expiration of this Sublease, Sublandlord shall remain responsible, at its sole cost and expense, for the obligations arising under the Section 13 of the Master Lease, including Section 13.6(b)(xi) thereof arising out of or in connection with any Sublandlord Hazardous Substances, and Sublandlord does hereby agree to indemnify and hold harmless Subtenant from any and all costs, claims, and liabilities arising from or attributable to such obligations, and such obligation to indemnify and hold harmless shall survive the expiration or earlier termination of this Sublease. As used herein, the term </w:t>
      </w:r>
      <w:r>
        <w:rPr>
          <w:rFonts w:ascii="Arial" w:cs="Arial" w:eastAsia="Arial" w:hAnsi="Arial"/>
          <w:sz w:val="12"/>
          <w:szCs w:val="12"/>
          <w:b w:val="1"/>
          <w:bCs w:val="1"/>
          <w:i w:val="1"/>
          <w:iCs w:val="1"/>
          <w:color w:val="auto"/>
        </w:rPr>
        <w:t>“Sublandlord Hazardous Substances”</w:t>
      </w:r>
      <w:r>
        <w:rPr>
          <w:rFonts w:ascii="Arial" w:cs="Arial" w:eastAsia="Arial" w:hAnsi="Arial"/>
          <w:sz w:val="12"/>
          <w:szCs w:val="12"/>
          <w:color w:val="auto"/>
        </w:rPr>
        <w:t xml:space="preserve"> shall mean any and all hazardous substances located within the Premises to the extent (I) such hazardous substances are identified as being present within the Premises by the Environmental Study as of the date thereof or (II) Subtenant can reasonably demonstrate that the presence of such hazardous substances was caused by Sublandlord.</w:t>
      </w:r>
    </w:p>
    <w:p>
      <w:pPr>
        <w:spacing w:after="0" w:line="260" w:lineRule="exact"/>
        <w:rPr>
          <w:rFonts w:ascii="Arial" w:cs="Arial" w:eastAsia="Arial" w:hAnsi="Arial"/>
          <w:sz w:val="12"/>
          <w:szCs w:val="12"/>
          <w:b w:val="1"/>
          <w:bCs w:val="1"/>
          <w:color w:val="auto"/>
        </w:rPr>
      </w:pPr>
    </w:p>
    <w:p>
      <w:pPr>
        <w:ind w:left="-20" w:right="220" w:firstLine="920"/>
        <w:spacing w:after="0" w:line="351" w:lineRule="auto"/>
        <w:tabs>
          <w:tab w:leader="none" w:pos="1081" w:val="left"/>
        </w:tabs>
        <w:numPr>
          <w:ilvl w:val="0"/>
          <w:numId w:val="289"/>
        </w:numPr>
        <w:rPr>
          <w:rFonts w:ascii="Arial" w:cs="Arial" w:eastAsia="Arial" w:hAnsi="Arial"/>
          <w:sz w:val="12"/>
          <w:szCs w:val="12"/>
          <w:b w:val="1"/>
          <w:bCs w:val="1"/>
          <w:color w:val="auto"/>
        </w:rPr>
      </w:pPr>
      <w:r>
        <w:rPr>
          <w:rFonts w:ascii="Arial" w:cs="Arial" w:eastAsia="Arial" w:hAnsi="Arial"/>
          <w:sz w:val="12"/>
          <w:szCs w:val="12"/>
          <w:color w:val="auto"/>
        </w:rPr>
        <w:t>Except as addressed in Section 5(b) above, Sublandlord has not made an independent investigation of the Premises or determination with respect to the physical condition of the Premises including without limitation compliance with The Americans With Disabilities Act. Except as otherwise provided in this Section 5(c), Subtenant shall rely solely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47" w:right="239" w:bottom="1440" w:gutter="0" w:footer="0" w:header="0"/>
        </w:sectPr>
      </w:pPr>
    </w:p>
    <w:bookmarkStart w:id="373" w:name="page374"/>
    <w:bookmarkEnd w:id="373"/>
    <w:p>
      <w:pPr>
        <w:ind w:right="4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on its own investigations and/or that of a licensed professional specializing in the areas referenced in this Section 5(c). Notwithstanding the foregoing, Sublandlord hereby represents and warrants that as of the Commencement Date all mechanical, plumbing and electrical systems within the Premises shall be in good working order and condition, and to the best of its knowledge, Sublandlord has complied in all material respects with the terms and conditions of the Master Lease with respect to Sublandlord’s repair and maintenance obligations. Subtenant shall notify Sublandlord of its discovery of any non-compliance with the foregoing warranty within six (6) months of the Rent Commencement Date, and Sublandlord shall promptly repair or correct the defect. Sublandlord’s obligation to repair in accordance with the foregoing warranty shall expire unless Subtenant notifies Sublandlord of a specific breach of the warranty within six (6) months of the Rent Commencement Date, in which event such warranty shall continue as to only such specific breach.</w:t>
      </w:r>
    </w:p>
    <w:p>
      <w:pPr>
        <w:spacing w:after="0" w:line="114" w:lineRule="exact"/>
        <w:rPr>
          <w:sz w:val="20"/>
          <w:szCs w:val="20"/>
          <w:color w:val="auto"/>
        </w:rPr>
      </w:pPr>
    </w:p>
    <w:p>
      <w:pPr>
        <w:ind w:right="40" w:firstLine="920"/>
        <w:spacing w:after="0" w:line="321" w:lineRule="auto"/>
        <w:tabs>
          <w:tab w:leader="none" w:pos="1117" w:val="left"/>
        </w:tabs>
        <w:numPr>
          <w:ilvl w:val="1"/>
          <w:numId w:val="290"/>
        </w:numPr>
        <w:rPr>
          <w:rFonts w:ascii="Arial" w:cs="Arial" w:eastAsia="Arial" w:hAnsi="Arial"/>
          <w:sz w:val="12"/>
          <w:szCs w:val="12"/>
          <w:b w:val="1"/>
          <w:bCs w:val="1"/>
          <w:color w:val="auto"/>
        </w:rPr>
      </w:pPr>
      <w:r>
        <w:rPr>
          <w:rFonts w:ascii="Arial" w:cs="Arial" w:eastAsia="Arial" w:hAnsi="Arial"/>
          <w:sz w:val="12"/>
          <w:szCs w:val="12"/>
          <w:color w:val="auto"/>
        </w:rPr>
        <w:t xml:space="preserve">Subtenant’s alterations and modifications of the Premises shall be governed by Article 11 of the Master Lease (as incorporated by Section 8 of this Sublease); provided, however, that Subtenant shall not be obligated to remove any Sublandlord Owned Property present in the Premises on the Commencement Date, or any of the Tenant Improvements described in </w:t>
      </w:r>
      <w:r>
        <w:rPr>
          <w:rFonts w:ascii="Arial" w:cs="Arial" w:eastAsia="Arial" w:hAnsi="Arial"/>
          <w:sz w:val="12"/>
          <w:szCs w:val="12"/>
          <w:b w:val="1"/>
          <w:bCs w:val="1"/>
          <w:color w:val="auto"/>
        </w:rPr>
        <w:t>Exhibit C</w:t>
      </w:r>
      <w:r>
        <w:rPr>
          <w:rFonts w:ascii="Arial" w:cs="Arial" w:eastAsia="Arial" w:hAnsi="Arial"/>
          <w:sz w:val="12"/>
          <w:szCs w:val="12"/>
          <w:color w:val="auto"/>
        </w:rPr>
        <w:t>, at the end of the Term. In addition, Subtenant agrees that if any of Subtenant’s alterations or modifications require a building permit, Subtenant shall engage only licensed contractors to perform such alterations or modifications.</w:t>
      </w:r>
    </w:p>
    <w:p>
      <w:pPr>
        <w:spacing w:after="0" w:line="71" w:lineRule="exact"/>
        <w:rPr>
          <w:rFonts w:ascii="Arial" w:cs="Arial" w:eastAsia="Arial" w:hAnsi="Arial"/>
          <w:sz w:val="12"/>
          <w:szCs w:val="12"/>
          <w:b w:val="1"/>
          <w:bCs w:val="1"/>
          <w:color w:val="auto"/>
        </w:rPr>
      </w:pPr>
    </w:p>
    <w:p>
      <w:pPr>
        <w:ind w:right="100" w:firstLine="462"/>
        <w:spacing w:after="0" w:line="303" w:lineRule="auto"/>
        <w:tabs>
          <w:tab w:leader="none" w:pos="594" w:val="left"/>
        </w:tabs>
        <w:numPr>
          <w:ilvl w:val="0"/>
          <w:numId w:val="29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Use. </w:t>
      </w:r>
      <w:r>
        <w:rPr>
          <w:rFonts w:ascii="Arial" w:cs="Arial" w:eastAsia="Arial" w:hAnsi="Arial"/>
          <w:sz w:val="12"/>
          <w:szCs w:val="12"/>
          <w:color w:val="auto"/>
        </w:rPr>
        <w:t>Subtenant may use the Premises twenty four hours a day, seven days a week, as administrative offices, for research and development purposes and/or for laboratory purposes to the extent</w:t>
      </w:r>
      <w:r>
        <w:rPr>
          <w:rFonts w:ascii="Arial" w:cs="Arial" w:eastAsia="Arial" w:hAnsi="Arial"/>
          <w:sz w:val="12"/>
          <w:szCs w:val="12"/>
          <w:b w:val="1"/>
          <w:bCs w:val="1"/>
          <w:color w:val="auto"/>
        </w:rPr>
        <w:t xml:space="preserve"> </w:t>
      </w:r>
      <w:r>
        <w:rPr>
          <w:rFonts w:ascii="Arial" w:cs="Arial" w:eastAsia="Arial" w:hAnsi="Arial"/>
          <w:sz w:val="12"/>
          <w:szCs w:val="12"/>
          <w:color w:val="auto"/>
        </w:rPr>
        <w:t>permitted under the Master Lease and for no other purpose without the approval of the Master Landlord and Sublandlord. Sublandlord shall have the right to inspect the Premises at any time after giving Subtenant twenty-four (24) hours notice; provided that Subtenant may require that Sublandlord be escorted by an employee of Subtenant. Notwithstanding the foregoing, Sublandlord shall have the unrestricted right to access the Premises at any time, without notice and without escort, in the event of an emergency. Subtenant acknowledges and agrees that the operation and use of the Premises may require that Subtenant apply for and receive licenses and/or permits from various federal, state and local governments, and Subtenant covenants and agrees to apply for and receive such licenses and/or permits as are required. Upon receipt of Sublandlord’s written request therefore, Subtenant shall provide to Sublandlord copies of any such licenses and/or permits.</w:t>
      </w:r>
    </w:p>
    <w:p>
      <w:pPr>
        <w:spacing w:after="0" w:line="83" w:lineRule="exact"/>
        <w:rPr>
          <w:rFonts w:ascii="Arial" w:cs="Arial" w:eastAsia="Arial" w:hAnsi="Arial"/>
          <w:sz w:val="12"/>
          <w:szCs w:val="12"/>
          <w:b w:val="1"/>
          <w:bCs w:val="1"/>
          <w:color w:val="auto"/>
        </w:rPr>
      </w:pPr>
    </w:p>
    <w:p>
      <w:pPr>
        <w:ind w:right="40" w:firstLine="462"/>
        <w:spacing w:after="0" w:line="259" w:lineRule="auto"/>
        <w:tabs>
          <w:tab w:leader="none" w:pos="594" w:val="left"/>
        </w:tabs>
        <w:numPr>
          <w:ilvl w:val="0"/>
          <w:numId w:val="29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Master Lease. </w:t>
      </w:r>
      <w:r>
        <w:rPr>
          <w:rFonts w:ascii="Arial" w:cs="Arial" w:eastAsia="Arial" w:hAnsi="Arial"/>
          <w:sz w:val="14"/>
          <w:szCs w:val="14"/>
          <w:color w:val="auto"/>
        </w:rPr>
        <w:t>This Sublease shall be subject and subordinate to all of the terms and provisions of the Master Lease. Except for payments of Rent (which payments shall be made by Sublandlord) and</w:t>
      </w:r>
      <w:r>
        <w:rPr>
          <w:rFonts w:ascii="Arial" w:cs="Arial" w:eastAsia="Arial" w:hAnsi="Arial"/>
          <w:sz w:val="14"/>
          <w:szCs w:val="14"/>
          <w:b w:val="1"/>
          <w:bCs w:val="1"/>
          <w:color w:val="auto"/>
        </w:rPr>
        <w:t xml:space="preserve"> </w:t>
      </w:r>
      <w:r>
        <w:rPr>
          <w:rFonts w:ascii="Arial" w:cs="Arial" w:eastAsia="Arial" w:hAnsi="Arial"/>
          <w:sz w:val="14"/>
          <w:szCs w:val="14"/>
          <w:color w:val="auto"/>
        </w:rPr>
        <w:t>except for those provisions of the Master Lease excluded by Section 8 below, Subtenant hereby assumes and agrees to perform, during the Term, all of Sublandlord’s obligations under the Master Lease to the extent such obligations are applicable to the Premises and accrue after the date hereof pursuant to this Sublease.</w:t>
      </w:r>
    </w:p>
    <w:p>
      <w:pPr>
        <w:spacing w:after="0" w:line="105" w:lineRule="exact"/>
        <w:rPr>
          <w:rFonts w:ascii="Arial" w:cs="Arial" w:eastAsia="Arial" w:hAnsi="Arial"/>
          <w:sz w:val="14"/>
          <w:szCs w:val="14"/>
          <w:b w:val="1"/>
          <w:bCs w:val="1"/>
          <w:color w:val="auto"/>
        </w:rPr>
      </w:pPr>
    </w:p>
    <w:p>
      <w:pPr>
        <w:ind w:left="600" w:hanging="138"/>
        <w:spacing w:after="0"/>
        <w:tabs>
          <w:tab w:leader="none" w:pos="600" w:val="left"/>
        </w:tabs>
        <w:numPr>
          <w:ilvl w:val="0"/>
          <w:numId w:val="291"/>
        </w:numPr>
        <w:rPr>
          <w:rFonts w:ascii="Arial" w:cs="Arial" w:eastAsia="Arial" w:hAnsi="Arial"/>
          <w:sz w:val="14"/>
          <w:szCs w:val="14"/>
          <w:b w:val="1"/>
          <w:bCs w:val="1"/>
          <w:color w:val="auto"/>
        </w:rPr>
      </w:pPr>
      <w:r>
        <w:rPr>
          <w:rFonts w:ascii="Arial" w:cs="Arial" w:eastAsia="Arial" w:hAnsi="Arial"/>
          <w:sz w:val="14"/>
          <w:szCs w:val="14"/>
          <w:b w:val="1"/>
          <w:bCs w:val="1"/>
          <w:color w:val="auto"/>
        </w:rPr>
        <w:t>Incorporation of Master Lease.</w:t>
      </w:r>
    </w:p>
    <w:p>
      <w:pPr>
        <w:spacing w:after="0" w:line="134"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Except as otherwise provided herein, all of the terms and provisions of the Master Lease are incorporated into and made a part of this Sublease and the rights and obligations of the parties under the Master Lease are hereby imposed upon the parties hereto with respect to the Premises, the Sublandlord being substituted for the “Landlord” in the Master Lease, the Subtenant being</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247" w:right="219" w:bottom="1440" w:gutter="0" w:footer="0" w:header="0"/>
        </w:sectPr>
      </w:pPr>
    </w:p>
    <w:bookmarkStart w:id="374" w:name="page375"/>
    <w:bookmarkEnd w:id="374"/>
    <w:p>
      <w:pPr>
        <w:spacing w:after="0" w:line="29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substituted for the “Tenant” in the Master Lease, and this Sublease being substituted for the “Lease” and the “Premises” being substituted for the “Property” in the Master Lease (except in Section 13.6(b)(viii), and Section 14.6, where the “Property” shall mean the Property); provided, however, that the term “Landlord” in Sections 1.2 and 12.1 (a), Article 19, and Section 21.14 shall mean Master Landlord, not Sublandlord. The parties specifically agree that any provisions relating to any construction obligations of “Landlord” under the Master Lease with respect to construction that occurred or was to have occurred prior to the Commencement Date hereof, are hereby deleted. Sublandlord shall not be liable to Subtenant for any failure by Master Landlord to perform its obligations under the Master Lease, nor shall such failure by Master Landlord excuse performance by Subtenant of its obligations hereunder; provided, however, that Sublandlord shall use its commercially reasonable efforts to cause Master Landlord to perform its obligations under the Master Lease. Anything in the Master Lease to the contrary notwithstanding, no personal liability shall at any time be asserted or enforceable against Sublandlord’s stockholders, directors, officers or partners on account of Sublandlord’s obligations or actions under this Sublease. The following Sections of the Master Lease are not incorporated herein: Section 1.1, Section 2.1, Section 2.2, Section 2.3, Section 2.4, Section 2.6, Section 3.1, Article 4, Article 5, Article 6, Article 7, Section 9.1, Section 9.3, Section 10.1, Section 12.1(b), Section 12.2(c), Section 13.6(d), Section 16.1, Section 16.2, Article 17, Section 20.1, Section 21.11, Section 21.12, Section 21.15, Section 21.16, Section 21.17, Exhibits C, D and E, the First Amendment and the Second Amendment.</w:t>
      </w:r>
    </w:p>
    <w:p>
      <w:pPr>
        <w:spacing w:after="0" w:line="88" w:lineRule="exact"/>
        <w:rPr>
          <w:sz w:val="20"/>
          <w:szCs w:val="20"/>
          <w:color w:val="auto"/>
        </w:rPr>
      </w:pPr>
    </w:p>
    <w:p>
      <w:pPr>
        <w:ind w:right="220" w:firstLine="458"/>
        <w:spacing w:after="0" w:line="267" w:lineRule="auto"/>
        <w:rPr>
          <w:sz w:val="20"/>
          <w:szCs w:val="20"/>
          <w:color w:val="auto"/>
        </w:rPr>
      </w:pPr>
      <w:r>
        <w:rPr>
          <w:rFonts w:ascii="Arial" w:cs="Arial" w:eastAsia="Arial" w:hAnsi="Arial"/>
          <w:sz w:val="14"/>
          <w:szCs w:val="14"/>
          <w:color w:val="auto"/>
        </w:rPr>
        <w:t>Notwithstanding the foregoing, for purposes of the incorporation set forth in this Section 8, Section 13.6(b)(vi) of the Master Lease is amended to delete “Nuclear Regulatory Commission” and insert “California Department of Health Services (</w:t>
      </w:r>
      <w:r>
        <w:rPr>
          <w:rFonts w:ascii="Arial" w:cs="Arial" w:eastAsia="Arial" w:hAnsi="Arial"/>
          <w:sz w:val="14"/>
          <w:szCs w:val="14"/>
          <w:b w:val="1"/>
          <w:bCs w:val="1"/>
          <w:i w:val="1"/>
          <w:iCs w:val="1"/>
          <w:color w:val="auto"/>
        </w:rPr>
        <w:t>“DHS”</w:t>
      </w:r>
      <w:r>
        <w:rPr>
          <w:rFonts w:ascii="Arial" w:cs="Arial" w:eastAsia="Arial" w:hAnsi="Arial"/>
          <w:sz w:val="14"/>
          <w:szCs w:val="14"/>
          <w:color w:val="auto"/>
        </w:rPr>
        <w:t>).”</w:t>
      </w:r>
    </w:p>
    <w:p>
      <w:pPr>
        <w:spacing w:after="0" w:line="99" w:lineRule="exact"/>
        <w:rPr>
          <w:sz w:val="20"/>
          <w:szCs w:val="20"/>
          <w:color w:val="auto"/>
        </w:rPr>
      </w:pPr>
    </w:p>
    <w:p>
      <w:pPr>
        <w:ind w:left="600" w:hanging="138"/>
        <w:spacing w:after="0"/>
        <w:tabs>
          <w:tab w:leader="none" w:pos="600" w:val="left"/>
        </w:tabs>
        <w:numPr>
          <w:ilvl w:val="0"/>
          <w:numId w:val="292"/>
        </w:numPr>
        <w:rPr>
          <w:rFonts w:ascii="Arial" w:cs="Arial" w:eastAsia="Arial" w:hAnsi="Arial"/>
          <w:sz w:val="14"/>
          <w:szCs w:val="14"/>
          <w:b w:val="1"/>
          <w:bCs w:val="1"/>
          <w:color w:val="auto"/>
        </w:rPr>
      </w:pPr>
      <w:r>
        <w:rPr>
          <w:rFonts w:ascii="Arial" w:cs="Arial" w:eastAsia="Arial" w:hAnsi="Arial"/>
          <w:sz w:val="14"/>
          <w:szCs w:val="14"/>
          <w:b w:val="1"/>
          <w:bCs w:val="1"/>
          <w:color w:val="auto"/>
        </w:rPr>
        <w:t>Sublandlord’s Obligations.</w:t>
      </w:r>
    </w:p>
    <w:p>
      <w:pPr>
        <w:spacing w:after="0" w:line="133" w:lineRule="exact"/>
        <w:rPr>
          <w:rFonts w:ascii="Arial" w:cs="Arial" w:eastAsia="Arial" w:hAnsi="Arial"/>
          <w:sz w:val="14"/>
          <w:szCs w:val="14"/>
          <w:b w:val="1"/>
          <w:bCs w:val="1"/>
          <w:color w:val="auto"/>
        </w:rPr>
      </w:pPr>
    </w:p>
    <w:p>
      <w:pPr>
        <w:jc w:val="both"/>
        <w:ind w:right="200" w:firstLine="920"/>
        <w:spacing w:after="0" w:line="321" w:lineRule="auto"/>
        <w:tabs>
          <w:tab w:leader="none" w:pos="1109" w:val="left"/>
        </w:tabs>
        <w:numPr>
          <w:ilvl w:val="1"/>
          <w:numId w:val="292"/>
        </w:numPr>
        <w:rPr>
          <w:rFonts w:ascii="Arial" w:cs="Arial" w:eastAsia="Arial" w:hAnsi="Arial"/>
          <w:sz w:val="12"/>
          <w:szCs w:val="12"/>
          <w:b w:val="1"/>
          <w:bCs w:val="1"/>
          <w:color w:val="auto"/>
        </w:rPr>
      </w:pPr>
      <w:r>
        <w:rPr>
          <w:rFonts w:ascii="Arial" w:cs="Arial" w:eastAsia="Arial" w:hAnsi="Arial"/>
          <w:sz w:val="12"/>
          <w:szCs w:val="12"/>
          <w:color w:val="auto"/>
        </w:rPr>
        <w:t>Provided that Subtenant is not in default under the terms of this Sublease, Sublandlord agrees (i) to make timely payments of the Rent due under the Master Lease and to perform all of its other obligations under the Master Lease (except to the extent assumed by Subtenant hereunder), (ii) subject to Sublandlord’s right to exercise a discretionary right to terminate the Master Lease as set forth in the second sentence of Section 15 hereof, to maintain the Master Lease in full force and effect and (iii) not to amend the Master Lease in any way which could have a material adverse impact on Subtenant.</w:t>
      </w:r>
    </w:p>
    <w:p>
      <w:pPr>
        <w:spacing w:after="0" w:line="73" w:lineRule="exact"/>
        <w:rPr>
          <w:rFonts w:ascii="Arial" w:cs="Arial" w:eastAsia="Arial" w:hAnsi="Arial"/>
          <w:sz w:val="12"/>
          <w:szCs w:val="12"/>
          <w:b w:val="1"/>
          <w:bCs w:val="1"/>
          <w:color w:val="auto"/>
        </w:rPr>
      </w:pPr>
    </w:p>
    <w:p>
      <w:pPr>
        <w:ind w:right="280" w:firstLine="920"/>
        <w:spacing w:after="0" w:line="302" w:lineRule="auto"/>
        <w:tabs>
          <w:tab w:leader="none" w:pos="1117" w:val="left"/>
        </w:tabs>
        <w:numPr>
          <w:ilvl w:val="1"/>
          <w:numId w:val="292"/>
        </w:numPr>
        <w:rPr>
          <w:rFonts w:ascii="Arial" w:cs="Arial" w:eastAsia="Arial" w:hAnsi="Arial"/>
          <w:sz w:val="12"/>
          <w:szCs w:val="12"/>
          <w:b w:val="1"/>
          <w:bCs w:val="1"/>
          <w:color w:val="auto"/>
        </w:rPr>
      </w:pPr>
      <w:r>
        <w:rPr>
          <w:rFonts w:ascii="Arial" w:cs="Arial" w:eastAsia="Arial" w:hAnsi="Arial"/>
          <w:sz w:val="12"/>
          <w:szCs w:val="12"/>
          <w:color w:val="auto"/>
        </w:rPr>
        <w:t xml:space="preserve">To the extent that the provision of any services or the performance of any maintenance or any other act is the responsibility of Master Landlord (collectively </w:t>
      </w:r>
      <w:r>
        <w:rPr>
          <w:rFonts w:ascii="Arial" w:cs="Arial" w:eastAsia="Arial" w:hAnsi="Arial"/>
          <w:sz w:val="12"/>
          <w:szCs w:val="12"/>
          <w:b w:val="1"/>
          <w:bCs w:val="1"/>
          <w:i w:val="1"/>
          <w:iCs w:val="1"/>
          <w:color w:val="auto"/>
        </w:rPr>
        <w:t>“Master Landlord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Obligations”</w:t>
      </w:r>
      <w:r>
        <w:rPr>
          <w:rFonts w:ascii="Arial" w:cs="Arial" w:eastAsia="Arial" w:hAnsi="Arial"/>
          <w:sz w:val="12"/>
          <w:szCs w:val="12"/>
          <w:color w:val="auto"/>
        </w:rPr>
        <w:t>), Sublandlord, upon Subtenant’s request, shall make commercially reasonable efforts to cause Master Landlord under the Master Lease to perform such Master Landlord Obligations; provided,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however, that Sublandlord shall not be liable to Subtenant for any liability, loss or damage whatsoever in the event that Master Landlord should fail to perform the same, nor shall Subtenant be entitled to withhold the payment of Rent or Terminate this Sublease, unless such failure is the result of an event of default on the part of Sublandlord under this Sublease (including Sublandlord’s obligation to use commercially reasonable efforts to cause Master Landlord to perform the Master Landlord Obligations), the Master Lease, or both. It is expressly understood that Sublandlord does not assume the Master Landlord Obligations and that the services and repairs that are incorporated herein by reference, including</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247" w:right="219" w:bottom="1440" w:gutter="0" w:footer="0" w:header="0"/>
        </w:sectPr>
      </w:pPr>
    </w:p>
    <w:bookmarkStart w:id="375" w:name="page376"/>
    <w:bookmarkEnd w:id="375"/>
    <w:p>
      <w:pPr>
        <w:ind w:right="1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but not limited to the furnishing of elevators or other services or maintenance, restoration (following casualty or destruction), or repairs to the Building or the Premises which are Master Landlord Obligations will in fact be furnished by Master Landlord and not Sublandlord, except to the extent otherwise provided herein.</w:t>
      </w:r>
    </w:p>
    <w:p>
      <w:pPr>
        <w:spacing w:after="0" w:line="101" w:lineRule="exact"/>
        <w:rPr>
          <w:sz w:val="20"/>
          <w:szCs w:val="20"/>
          <w:color w:val="auto"/>
        </w:rPr>
      </w:pPr>
    </w:p>
    <w:p>
      <w:pPr>
        <w:ind w:left="1100" w:hanging="180"/>
        <w:spacing w:after="0"/>
        <w:tabs>
          <w:tab w:leader="none" w:pos="1100" w:val="left"/>
        </w:tabs>
        <w:numPr>
          <w:ilvl w:val="1"/>
          <w:numId w:val="293"/>
        </w:numPr>
        <w:rPr>
          <w:rFonts w:ascii="Arial" w:cs="Arial" w:eastAsia="Arial" w:hAnsi="Arial"/>
          <w:sz w:val="12"/>
          <w:szCs w:val="12"/>
          <w:b w:val="1"/>
          <w:bCs w:val="1"/>
          <w:color w:val="auto"/>
        </w:rPr>
      </w:pPr>
      <w:r>
        <w:rPr>
          <w:rFonts w:ascii="Arial" w:cs="Arial" w:eastAsia="Arial" w:hAnsi="Arial"/>
          <w:sz w:val="12"/>
          <w:szCs w:val="12"/>
          <w:color w:val="auto"/>
        </w:rPr>
        <w:t>Except as provided in this Sublease, Sublandlord shall have no other obligations to Subtenant with respect to the Premises or the performance of the Master Landlord Obligations.</w:t>
      </w:r>
    </w:p>
    <w:p>
      <w:pPr>
        <w:spacing w:after="0" w:line="152" w:lineRule="exact"/>
        <w:rPr>
          <w:rFonts w:ascii="Arial" w:cs="Arial" w:eastAsia="Arial" w:hAnsi="Arial"/>
          <w:sz w:val="12"/>
          <w:szCs w:val="12"/>
          <w:b w:val="1"/>
          <w:bCs w:val="1"/>
          <w:color w:val="auto"/>
        </w:rPr>
      </w:pPr>
    </w:p>
    <w:p>
      <w:pPr>
        <w:ind w:left="660" w:hanging="198"/>
        <w:spacing w:after="0"/>
        <w:tabs>
          <w:tab w:leader="none" w:pos="660" w:val="left"/>
        </w:tabs>
        <w:numPr>
          <w:ilvl w:val="0"/>
          <w:numId w:val="294"/>
        </w:numPr>
        <w:rPr>
          <w:rFonts w:ascii="Arial" w:cs="Arial" w:eastAsia="Arial" w:hAnsi="Arial"/>
          <w:sz w:val="14"/>
          <w:szCs w:val="14"/>
          <w:b w:val="1"/>
          <w:bCs w:val="1"/>
          <w:color w:val="auto"/>
        </w:rPr>
      </w:pPr>
      <w:r>
        <w:rPr>
          <w:rFonts w:ascii="Arial" w:cs="Arial" w:eastAsia="Arial" w:hAnsi="Arial"/>
          <w:sz w:val="14"/>
          <w:szCs w:val="14"/>
          <w:b w:val="1"/>
          <w:bCs w:val="1"/>
          <w:color w:val="auto"/>
        </w:rPr>
        <w:t>Intentionally Omitted.</w:t>
      </w:r>
    </w:p>
    <w:p>
      <w:pPr>
        <w:spacing w:after="0" w:line="131" w:lineRule="exact"/>
        <w:rPr>
          <w:rFonts w:ascii="Arial" w:cs="Arial" w:eastAsia="Arial" w:hAnsi="Arial"/>
          <w:sz w:val="14"/>
          <w:szCs w:val="14"/>
          <w:b w:val="1"/>
          <w:bCs w:val="1"/>
          <w:color w:val="auto"/>
        </w:rPr>
      </w:pPr>
    </w:p>
    <w:p>
      <w:pPr>
        <w:ind w:left="660" w:hanging="198"/>
        <w:spacing w:after="0"/>
        <w:tabs>
          <w:tab w:leader="none" w:pos="660" w:val="left"/>
        </w:tabs>
        <w:numPr>
          <w:ilvl w:val="0"/>
          <w:numId w:val="294"/>
        </w:numPr>
        <w:rPr>
          <w:rFonts w:ascii="Arial" w:cs="Arial" w:eastAsia="Arial" w:hAnsi="Arial"/>
          <w:sz w:val="14"/>
          <w:szCs w:val="14"/>
          <w:b w:val="1"/>
          <w:bCs w:val="1"/>
          <w:color w:val="auto"/>
        </w:rPr>
      </w:pPr>
      <w:r>
        <w:rPr>
          <w:rFonts w:ascii="Arial" w:cs="Arial" w:eastAsia="Arial" w:hAnsi="Arial"/>
          <w:sz w:val="14"/>
          <w:szCs w:val="14"/>
          <w:b w:val="1"/>
          <w:bCs w:val="1"/>
          <w:color w:val="auto"/>
        </w:rPr>
        <w:t>Insurance.</w:t>
      </w:r>
    </w:p>
    <w:p>
      <w:pPr>
        <w:spacing w:after="0" w:line="133" w:lineRule="exact"/>
        <w:rPr>
          <w:rFonts w:ascii="Arial" w:cs="Arial" w:eastAsia="Arial" w:hAnsi="Arial"/>
          <w:sz w:val="14"/>
          <w:szCs w:val="14"/>
          <w:b w:val="1"/>
          <w:bCs w:val="1"/>
          <w:color w:val="auto"/>
        </w:rPr>
      </w:pPr>
    </w:p>
    <w:p>
      <w:pPr>
        <w:jc w:val="both"/>
        <w:ind w:firstLine="920"/>
        <w:spacing w:after="0" w:line="255" w:lineRule="auto"/>
        <w:tabs>
          <w:tab w:leader="none" w:pos="1109" w:val="left"/>
        </w:tabs>
        <w:numPr>
          <w:ilvl w:val="1"/>
          <w:numId w:val="294"/>
        </w:numPr>
        <w:rPr>
          <w:rFonts w:ascii="Arial" w:cs="Arial" w:eastAsia="Arial" w:hAnsi="Arial"/>
          <w:sz w:val="14"/>
          <w:szCs w:val="14"/>
          <w:b w:val="1"/>
          <w:bCs w:val="1"/>
          <w:color w:val="auto"/>
        </w:rPr>
      </w:pPr>
      <w:r>
        <w:rPr>
          <w:rFonts w:ascii="Arial" w:cs="Arial" w:eastAsia="Arial" w:hAnsi="Arial"/>
          <w:sz w:val="14"/>
          <w:szCs w:val="14"/>
          <w:color w:val="auto"/>
        </w:rPr>
        <w:t>Subtenant shall be responsible for compliance with the insurance provisions applicable to the Tenant under the Master Lease. Such insurance shall insure the performance by Subtenant of its indemnification obligations hereunder and shall name Master Landlord and Sublandlord as additional insureds. All insurance required under this Sublease shall contain an endorsement requiring thirty (30) days written notice from the insurance company to Subtenant and Sublandlord before cancellation or change in the coverage, insureds or amount of any policy. Subtenant shall provide Sublandlord with certificates of insurance evidencing such coverage prior to the commencement of this Sublease.</w:t>
      </w:r>
    </w:p>
    <w:p>
      <w:pPr>
        <w:spacing w:after="0" w:line="109" w:lineRule="exact"/>
        <w:rPr>
          <w:rFonts w:ascii="Arial" w:cs="Arial" w:eastAsia="Arial" w:hAnsi="Arial"/>
          <w:sz w:val="14"/>
          <w:szCs w:val="14"/>
          <w:b w:val="1"/>
          <w:bCs w:val="1"/>
          <w:color w:val="auto"/>
        </w:rPr>
      </w:pPr>
    </w:p>
    <w:p>
      <w:pPr>
        <w:ind w:right="160" w:firstLine="920"/>
        <w:spacing w:after="0" w:line="267" w:lineRule="auto"/>
        <w:tabs>
          <w:tab w:leader="none" w:pos="1117" w:val="left"/>
        </w:tabs>
        <w:numPr>
          <w:ilvl w:val="1"/>
          <w:numId w:val="294"/>
        </w:numPr>
        <w:rPr>
          <w:rFonts w:ascii="Arial" w:cs="Arial" w:eastAsia="Arial" w:hAnsi="Arial"/>
          <w:sz w:val="14"/>
          <w:szCs w:val="14"/>
          <w:b w:val="1"/>
          <w:bCs w:val="1"/>
          <w:color w:val="auto"/>
        </w:rPr>
      </w:pPr>
      <w:r>
        <w:rPr>
          <w:rFonts w:ascii="Arial" w:cs="Arial" w:eastAsia="Arial" w:hAnsi="Arial"/>
          <w:sz w:val="14"/>
          <w:szCs w:val="14"/>
          <w:color w:val="auto"/>
        </w:rPr>
        <w:t>The waiver of subrogation provision contained in Section 14.4 of the Master Lease shall be deemed to be a three party agreement binding among and inuring to the benefit of Sublandlord, Subtenant and Master Landlord (by reason of its consent hereto).</w:t>
      </w:r>
    </w:p>
    <w:p>
      <w:pPr>
        <w:spacing w:after="0" w:line="99" w:lineRule="exact"/>
        <w:rPr>
          <w:rFonts w:ascii="Arial" w:cs="Arial" w:eastAsia="Arial" w:hAnsi="Arial"/>
          <w:sz w:val="14"/>
          <w:szCs w:val="14"/>
          <w:b w:val="1"/>
          <w:bCs w:val="1"/>
          <w:color w:val="auto"/>
        </w:rPr>
      </w:pPr>
    </w:p>
    <w:p>
      <w:pPr>
        <w:ind w:right="20" w:firstLine="462"/>
        <w:spacing w:after="0" w:line="322" w:lineRule="auto"/>
        <w:tabs>
          <w:tab w:leader="none" w:pos="662" w:val="left"/>
        </w:tabs>
        <w:numPr>
          <w:ilvl w:val="0"/>
          <w:numId w:val="29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Default. </w:t>
      </w:r>
      <w:r>
        <w:rPr>
          <w:rFonts w:ascii="Arial" w:cs="Arial" w:eastAsia="Arial" w:hAnsi="Arial"/>
          <w:sz w:val="12"/>
          <w:szCs w:val="12"/>
          <w:color w:val="auto"/>
        </w:rPr>
        <w:t>In addition to the events of default described in the Master Lease which have been incorporated by reference in Section 8(a) of this Sublease, failure of Subtenant to make any payment of</w:t>
      </w:r>
      <w:r>
        <w:rPr>
          <w:rFonts w:ascii="Arial" w:cs="Arial" w:eastAsia="Arial" w:hAnsi="Arial"/>
          <w:sz w:val="12"/>
          <w:szCs w:val="12"/>
          <w:b w:val="1"/>
          <w:bCs w:val="1"/>
          <w:color w:val="auto"/>
        </w:rPr>
        <w:t xml:space="preserve"> </w:t>
      </w:r>
      <w:r>
        <w:rPr>
          <w:rFonts w:ascii="Arial" w:cs="Arial" w:eastAsia="Arial" w:hAnsi="Arial"/>
          <w:sz w:val="12"/>
          <w:szCs w:val="12"/>
          <w:color w:val="auto"/>
        </w:rPr>
        <w:t>Rent as and when due shall constitute an event of default hereunder. If Subtenant’s event of default causes an event of default by Sublandlord under the Master Lease, Subtenant shall defend, indemnify and hold Sublandlord harmless from all damages, costs (including reasonable attorneys’ fees), liability, expenses or claims relating to such default.</w:t>
      </w:r>
    </w:p>
    <w:p>
      <w:pPr>
        <w:spacing w:after="0" w:line="71" w:lineRule="exact"/>
        <w:rPr>
          <w:rFonts w:ascii="Arial" w:cs="Arial" w:eastAsia="Arial" w:hAnsi="Arial"/>
          <w:sz w:val="12"/>
          <w:szCs w:val="12"/>
          <w:b w:val="1"/>
          <w:bCs w:val="1"/>
          <w:color w:val="auto"/>
        </w:rPr>
      </w:pPr>
    </w:p>
    <w:p>
      <w:pPr>
        <w:ind w:right="40" w:firstLine="462"/>
        <w:spacing w:after="0" w:line="301" w:lineRule="auto"/>
        <w:tabs>
          <w:tab w:leader="none" w:pos="662" w:val="left"/>
        </w:tabs>
        <w:numPr>
          <w:ilvl w:val="0"/>
          <w:numId w:val="29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Assignment and Subletting. </w:t>
      </w:r>
      <w:r>
        <w:rPr>
          <w:rFonts w:ascii="Arial" w:cs="Arial" w:eastAsia="Arial" w:hAnsi="Arial"/>
          <w:sz w:val="12"/>
          <w:szCs w:val="12"/>
          <w:color w:val="auto"/>
        </w:rPr>
        <w:t>Subtenant may not assign, sublet, transfer, pledge, hypothecate or otherwise encumber the Premises, in whole or in part, or permit the use or occupancy of the Premises</w:t>
      </w:r>
      <w:r>
        <w:rPr>
          <w:rFonts w:ascii="Arial" w:cs="Arial" w:eastAsia="Arial" w:hAnsi="Arial"/>
          <w:sz w:val="12"/>
          <w:szCs w:val="12"/>
          <w:b w:val="1"/>
          <w:bCs w:val="1"/>
          <w:color w:val="auto"/>
        </w:rPr>
        <w:t xml:space="preserve"> </w:t>
      </w:r>
      <w:r>
        <w:rPr>
          <w:rFonts w:ascii="Arial" w:cs="Arial" w:eastAsia="Arial" w:hAnsi="Arial"/>
          <w:sz w:val="12"/>
          <w:szCs w:val="12"/>
          <w:color w:val="auto"/>
        </w:rPr>
        <w:t>by anyone other than Subtenant, unless Subtenant has obtained Sublandlord’s consent thereto (which shall not be unreasonably withheld) and the consent of Master Landlord; provided, however, that Subtenant shall have the right to engage in a Permitted Transfer (as defined in Section 15.1 of the Master Lease) without such consent (but with prior written notice by Subtenant to Sublandlord unless such prior notice is prohibited by applicable law, in which case notice shall be given as soon as reasonably practical and permitted by applicable law). Regardless of Sublandlord’s consent, no subletting or assignment shall release Subtenant of its obligations hereunder. Any rent or other consideration payable to Subtenant pursuant to any sublease or assignment permitted by this paragraph shall be the sole property of Subtenant. Neither the Master Lease nor any other agreement between Master Landlord and Sublandlord requires Sublandlord to remit to Master Landlord any rent or other consideration payable pursuant to any sublease or assignment, provided the foregoing will not negate Subtenant’s obligation to pay Rent or any other amount due hereunder.</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20" w:top="246" w:right="239" w:bottom="1440" w:gutter="0" w:footer="0" w:header="0"/>
        </w:sectPr>
      </w:pPr>
    </w:p>
    <w:bookmarkStart w:id="376" w:name="page377"/>
    <w:bookmarkEnd w:id="376"/>
    <w:p>
      <w:pPr>
        <w:ind w:left="640" w:hanging="198"/>
        <w:spacing w:after="0"/>
        <w:tabs>
          <w:tab w:leader="none" w:pos="640" w:val="left"/>
        </w:tabs>
        <w:numPr>
          <w:ilvl w:val="0"/>
          <w:numId w:val="295"/>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Parking. </w:t>
      </w:r>
      <w:r>
        <w:rPr>
          <w:rFonts w:ascii="Arial" w:cs="Arial" w:eastAsia="Arial" w:hAnsi="Arial"/>
          <w:sz w:val="14"/>
          <w:szCs w:val="14"/>
          <w:color w:val="auto"/>
        </w:rPr>
        <w:t>Subtenant shall have such parking rights as Sublandlord may have in connection with the Premises pursuant to the Master Lease.</w:t>
      </w:r>
    </w:p>
    <w:p>
      <w:pPr>
        <w:spacing w:after="0" w:line="131" w:lineRule="exact"/>
        <w:rPr>
          <w:rFonts w:ascii="Arial" w:cs="Arial" w:eastAsia="Arial" w:hAnsi="Arial"/>
          <w:sz w:val="14"/>
          <w:szCs w:val="14"/>
          <w:b w:val="1"/>
          <w:bCs w:val="1"/>
          <w:color w:val="auto"/>
        </w:rPr>
      </w:pPr>
    </w:p>
    <w:p>
      <w:pPr>
        <w:ind w:left="-20" w:firstLine="462"/>
        <w:spacing w:after="0" w:line="259" w:lineRule="auto"/>
        <w:tabs>
          <w:tab w:leader="none" w:pos="642" w:val="left"/>
        </w:tabs>
        <w:numPr>
          <w:ilvl w:val="0"/>
          <w:numId w:val="29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Early Termination of Master Lease. </w:t>
      </w:r>
      <w:r>
        <w:rPr>
          <w:rFonts w:ascii="Arial" w:cs="Arial" w:eastAsia="Arial" w:hAnsi="Arial"/>
          <w:sz w:val="14"/>
          <w:szCs w:val="14"/>
          <w:color w:val="auto"/>
        </w:rPr>
        <w:t>If, without the fault of Sublandlord or Subtenant, the Master Lease should terminate prior to the expiration of this Sublease, neither party shall have any</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liability to the other party. To the extent that the Master Lease grants Sublandlord any discretionary right to terminate the Master Lease, whether due to casualty, condemnation or otherwise, Sublandlord shall not be entitled to exercise such right without Subtenant’s consent, which may be granted or withheld in Subtenant’s sole discretion.</w:t>
      </w:r>
    </w:p>
    <w:p>
      <w:pPr>
        <w:spacing w:after="0" w:line="105" w:lineRule="exact"/>
        <w:rPr>
          <w:rFonts w:ascii="Arial" w:cs="Arial" w:eastAsia="Arial" w:hAnsi="Arial"/>
          <w:sz w:val="14"/>
          <w:szCs w:val="14"/>
          <w:b w:val="1"/>
          <w:bCs w:val="1"/>
          <w:color w:val="auto"/>
        </w:rPr>
      </w:pPr>
    </w:p>
    <w:p>
      <w:pPr>
        <w:ind w:left="-20" w:right="40" w:firstLine="462"/>
        <w:spacing w:after="0" w:line="299" w:lineRule="auto"/>
        <w:tabs>
          <w:tab w:leader="none" w:pos="642" w:val="left"/>
        </w:tabs>
        <w:numPr>
          <w:ilvl w:val="0"/>
          <w:numId w:val="29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Consent of Master Landlord. </w:t>
      </w:r>
      <w:r>
        <w:rPr>
          <w:rFonts w:ascii="Arial" w:cs="Arial" w:eastAsia="Arial" w:hAnsi="Arial"/>
          <w:sz w:val="12"/>
          <w:szCs w:val="12"/>
          <w:color w:val="auto"/>
        </w:rPr>
        <w:t>If Subtenant desires to take any action that requires the consent of Master Landlord pursuant to the terms of the Master Lease, including, without limitation, making</w:t>
      </w:r>
      <w:r>
        <w:rPr>
          <w:rFonts w:ascii="Arial" w:cs="Arial" w:eastAsia="Arial" w:hAnsi="Arial"/>
          <w:sz w:val="12"/>
          <w:szCs w:val="12"/>
          <w:b w:val="1"/>
          <w:bCs w:val="1"/>
          <w:color w:val="auto"/>
        </w:rPr>
        <w:t xml:space="preserve"> </w:t>
      </w:r>
      <w:r>
        <w:rPr>
          <w:rFonts w:ascii="Arial" w:cs="Arial" w:eastAsia="Arial" w:hAnsi="Arial"/>
          <w:sz w:val="12"/>
          <w:szCs w:val="12"/>
          <w:color w:val="auto"/>
        </w:rPr>
        <w:t>any modification, alteration or improvement of the Premises or entering into a further sublease or assignment of this Sublease, and in any event if Subtenant desires to make any alternation to the Premises, then, notwithstanding anything to the contrary herein, (a) if Master Landlord consents, then Sublandlord shall not unreasonably withhold or delay its consent to any such action (and Sublandlord shall be deemed to have consented to such action if Sublandlord does not expressly withhold its consent on or before the date that is ten (10) business days after Master Landlord consents to such action), (b) Subtenant shall not take any such action until it obtains the consent of both Sublandlord and Master Landlord and (c) Subtenant shall request that Sublandlord obtain Master Landlord’s consent on Subtenant’s behalf, unless Sublandlord agrees that Subtenant may contact Master Landlord directly with respect to the specific action for which Master Landlord’s consent is required. If Subtenant requests that Sublandlord obtain Master Landlord’s consent on any matter, Sublandlord shall use its commercially reasonable efforts, at no out-of-pocket expense to Sublandlord, to obtain such consent from Master Landlord, unless Master Landlord and Sublandlord agree that Subtenant may contact Master Landlord directly with respect to the specific action for which Master Landlord’s consent is required.</w:t>
      </w:r>
    </w:p>
    <w:p>
      <w:pPr>
        <w:spacing w:after="0" w:line="87" w:lineRule="exact"/>
        <w:rPr>
          <w:rFonts w:ascii="Arial" w:cs="Arial" w:eastAsia="Arial" w:hAnsi="Arial"/>
          <w:sz w:val="12"/>
          <w:szCs w:val="12"/>
          <w:b w:val="1"/>
          <w:bCs w:val="1"/>
          <w:color w:val="auto"/>
        </w:rPr>
      </w:pPr>
    </w:p>
    <w:p>
      <w:pPr>
        <w:ind w:left="-20" w:right="20" w:firstLine="462"/>
        <w:spacing w:after="0" w:line="299" w:lineRule="auto"/>
        <w:tabs>
          <w:tab w:leader="none" w:pos="642" w:val="left"/>
        </w:tabs>
        <w:numPr>
          <w:ilvl w:val="0"/>
          <w:numId w:val="29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Surrender of Premises. </w:t>
      </w:r>
      <w:r>
        <w:rPr>
          <w:rFonts w:ascii="Arial" w:cs="Arial" w:eastAsia="Arial" w:hAnsi="Arial"/>
          <w:sz w:val="12"/>
          <w:szCs w:val="12"/>
          <w:color w:val="auto"/>
        </w:rPr>
        <w:t>In lieu of any obligation or liability set forth in the Master Lease, upon the termination of this Sublease, Subtenant shall surrender the Premises to Sublandlord broom-clean</w:t>
      </w:r>
      <w:r>
        <w:rPr>
          <w:rFonts w:ascii="Arial" w:cs="Arial" w:eastAsia="Arial" w:hAnsi="Arial"/>
          <w:sz w:val="12"/>
          <w:szCs w:val="12"/>
          <w:b w:val="1"/>
          <w:bCs w:val="1"/>
          <w:color w:val="auto"/>
        </w:rPr>
        <w:t xml:space="preserve"> </w:t>
      </w:r>
      <w:r>
        <w:rPr>
          <w:rFonts w:ascii="Arial" w:cs="Arial" w:eastAsia="Arial" w:hAnsi="Arial"/>
          <w:sz w:val="12"/>
          <w:szCs w:val="12"/>
          <w:color w:val="auto"/>
        </w:rPr>
        <w:t>and in as good a condition as on the Commencement Date, ordinary wear and tear excepted. In addition, except as further set forth below, Subtenant shall remove any alterations, additions and improvements made by or at the request of Subtenant (whether or not made with Sublandlord’s consent) prior to the termination of this Sublease and restore the Premises to its prior condition, ordinary wear and tear excepted, repairing all damage caused by or related to any such removal, all at Subtenant’s expense; provided, however, that Subtenant shall not be obligated to remove any of the Tenant Improvements, or any subsequent alteration, addition or improvement which Sublandlord or Master Landlord did not elect to require Subtenant to remove pursuant to Section 11.2 of the Master Lease (as incorporated by reference herein) or to the extent that Sublandlord had previously waived in writing the right to require Subtenant to remove certain alterations at the time of construction or installation of such alterations. Notwithstanding anything to the contrary contained in this Sublease, to the extent that Subtenant continues to occupy the Premises pursuant to a direct lease with Master Landlord and Master Landlord does not require any such action on the part of Sublandlord under the Master Lease, the provisions of the preceding sentence shall not apply upon the expiration of the Sublease.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40" w:top="244" w:right="219" w:bottom="1440" w:gutter="0" w:footer="0" w:header="0"/>
        </w:sectPr>
      </w:pPr>
    </w:p>
    <w:bookmarkStart w:id="377" w:name="page378"/>
    <w:bookmarkEnd w:id="377"/>
    <w:p>
      <w:pPr>
        <w:ind w:left="-120" w:right="700" w:firstLine="462"/>
        <w:spacing w:after="0" w:line="270" w:lineRule="auto"/>
        <w:tabs>
          <w:tab w:leader="none" w:pos="542" w:val="left"/>
        </w:tabs>
        <w:numPr>
          <w:ilvl w:val="0"/>
          <w:numId w:val="296"/>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No Third Party Rights. </w:t>
      </w:r>
      <w:r>
        <w:rPr>
          <w:rFonts w:ascii="Arial" w:cs="Arial" w:eastAsia="Arial" w:hAnsi="Arial"/>
          <w:sz w:val="14"/>
          <w:szCs w:val="14"/>
          <w:color w:val="auto"/>
        </w:rPr>
        <w:t>The benefit of the provisions of this Sublease is expressly limited to Sublandlord and Subtenant and their respective permitted successors and assigns. Under no</w:t>
      </w:r>
      <w:r>
        <w:rPr>
          <w:rFonts w:ascii="Arial" w:cs="Arial" w:eastAsia="Arial" w:hAnsi="Arial"/>
          <w:sz w:val="14"/>
          <w:szCs w:val="14"/>
          <w:b w:val="1"/>
          <w:bCs w:val="1"/>
          <w:color w:val="auto"/>
        </w:rPr>
        <w:t xml:space="preserve"> </w:t>
      </w:r>
      <w:r>
        <w:rPr>
          <w:rFonts w:ascii="Arial" w:cs="Arial" w:eastAsia="Arial" w:hAnsi="Arial"/>
          <w:sz w:val="14"/>
          <w:szCs w:val="14"/>
          <w:color w:val="auto"/>
        </w:rPr>
        <w:t>circumstances will any third party be construed to have any rights as a third party beneficiary with respect to any of said provisions.</w:t>
      </w:r>
    </w:p>
    <w:p>
      <w:pPr>
        <w:spacing w:after="0" w:line="97" w:lineRule="exact"/>
        <w:rPr>
          <w:rFonts w:ascii="Arial" w:cs="Arial" w:eastAsia="Arial" w:hAnsi="Arial"/>
          <w:sz w:val="14"/>
          <w:szCs w:val="14"/>
          <w:b w:val="1"/>
          <w:bCs w:val="1"/>
          <w:color w:val="auto"/>
        </w:rPr>
      </w:pPr>
    </w:p>
    <w:p>
      <w:pPr>
        <w:ind w:left="540" w:hanging="198"/>
        <w:spacing w:after="0"/>
        <w:tabs>
          <w:tab w:leader="none" w:pos="540" w:val="left"/>
        </w:tabs>
        <w:numPr>
          <w:ilvl w:val="0"/>
          <w:numId w:val="29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Time of Essence. </w:t>
      </w:r>
      <w:r>
        <w:rPr>
          <w:rFonts w:ascii="Arial" w:cs="Arial" w:eastAsia="Arial" w:hAnsi="Arial"/>
          <w:sz w:val="14"/>
          <w:szCs w:val="14"/>
          <w:color w:val="auto"/>
        </w:rPr>
        <w:t>It is expressly understood and agreed that time is of the essence of this Sublease.</w:t>
      </w:r>
    </w:p>
    <w:p>
      <w:pPr>
        <w:spacing w:after="0" w:line="131" w:lineRule="exact"/>
        <w:rPr>
          <w:rFonts w:ascii="Arial" w:cs="Arial" w:eastAsia="Arial" w:hAnsi="Arial"/>
          <w:sz w:val="14"/>
          <w:szCs w:val="14"/>
          <w:b w:val="1"/>
          <w:bCs w:val="1"/>
          <w:color w:val="auto"/>
        </w:rPr>
      </w:pPr>
    </w:p>
    <w:p>
      <w:pPr>
        <w:ind w:left="-120" w:firstLine="462"/>
        <w:spacing w:after="0" w:line="270" w:lineRule="auto"/>
        <w:tabs>
          <w:tab w:leader="none" w:pos="542" w:val="left"/>
        </w:tabs>
        <w:numPr>
          <w:ilvl w:val="0"/>
          <w:numId w:val="29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Attorneys’ Fees. </w:t>
      </w:r>
      <w:r>
        <w:rPr>
          <w:rFonts w:ascii="Arial" w:cs="Arial" w:eastAsia="Arial" w:hAnsi="Arial"/>
          <w:sz w:val="14"/>
          <w:szCs w:val="14"/>
          <w:color w:val="auto"/>
        </w:rPr>
        <w:t>If any action or proceeding at law or in equity shall be brought to enforce or interpret any of the provisions of this Sublease, the prevailing party shall be entitled to recover from the</w:t>
      </w:r>
      <w:r>
        <w:rPr>
          <w:rFonts w:ascii="Arial" w:cs="Arial" w:eastAsia="Arial" w:hAnsi="Arial"/>
          <w:sz w:val="14"/>
          <w:szCs w:val="14"/>
          <w:b w:val="1"/>
          <w:bCs w:val="1"/>
          <w:color w:val="auto"/>
        </w:rPr>
        <w:t xml:space="preserve"> </w:t>
      </w:r>
      <w:r>
        <w:rPr>
          <w:rFonts w:ascii="Arial" w:cs="Arial" w:eastAsia="Arial" w:hAnsi="Arial"/>
          <w:sz w:val="14"/>
          <w:szCs w:val="14"/>
          <w:color w:val="auto"/>
        </w:rPr>
        <w:t>other party its reasonable attorneys’ fees and costs incurred in connection with the prosecution or defense of such action or proceeding.</w:t>
      </w:r>
    </w:p>
    <w:p>
      <w:pPr>
        <w:spacing w:after="0" w:line="97" w:lineRule="exact"/>
        <w:rPr>
          <w:rFonts w:ascii="Arial" w:cs="Arial" w:eastAsia="Arial" w:hAnsi="Arial"/>
          <w:sz w:val="14"/>
          <w:szCs w:val="14"/>
          <w:b w:val="1"/>
          <w:bCs w:val="1"/>
          <w:color w:val="auto"/>
        </w:rPr>
      </w:pPr>
    </w:p>
    <w:p>
      <w:pPr>
        <w:ind w:left="-120" w:right="60" w:firstLine="462"/>
        <w:spacing w:after="0" w:line="299" w:lineRule="auto"/>
        <w:tabs>
          <w:tab w:leader="none" w:pos="542" w:val="left"/>
        </w:tabs>
        <w:numPr>
          <w:ilvl w:val="0"/>
          <w:numId w:val="29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Approval of Master Landlord. </w:t>
      </w:r>
      <w:r>
        <w:rPr>
          <w:rFonts w:ascii="Arial" w:cs="Arial" w:eastAsia="Arial" w:hAnsi="Arial"/>
          <w:sz w:val="12"/>
          <w:szCs w:val="12"/>
          <w:color w:val="auto"/>
        </w:rPr>
        <w:t>This Sublease shall be conditioned upon, and shall not take effect until, receipt of the written consent of Master Landlord hereto. Upon receipt of such consent, this</w:t>
      </w:r>
      <w:r>
        <w:rPr>
          <w:rFonts w:ascii="Arial" w:cs="Arial" w:eastAsia="Arial" w:hAnsi="Arial"/>
          <w:sz w:val="12"/>
          <w:szCs w:val="12"/>
          <w:b w:val="1"/>
          <w:bCs w:val="1"/>
          <w:color w:val="auto"/>
        </w:rPr>
        <w:t xml:space="preserve"> </w:t>
      </w:r>
      <w:r>
        <w:rPr>
          <w:rFonts w:ascii="Arial" w:cs="Arial" w:eastAsia="Arial" w:hAnsi="Arial"/>
          <w:sz w:val="12"/>
          <w:szCs w:val="12"/>
          <w:color w:val="auto"/>
        </w:rPr>
        <w:t>Sublease shall be effective as of the Commencement Date. Sublandlord and Subtenant acknowledge and agree that in granting such consent, notwithstanding any other provisions contained in or implied in this Sublease, Master Landlord shall not be deemed or construed (a) to have released Sublandlord from any responsibility for the full and timely performance of all obligations of Sublandlord as Tenant under the Master Lease as it pertains to the Premises, nor (b) to have authorized Sublandlord to act on Master Landlord’s behalf in exercising or waiving any rights, remedies or privileges of Master Landlord as Landlord under the Master Lease as it pertains to the Premises, nor (c) to have assumed, incurred or undertaken any obligations or liabilities running directly to Subtenant with respect to the Premises, it being the explicit intention and understanding of the parties that, notwithstanding the incorporation by reference of a portion of the Master Lease into this Sublease, Master Landlord and Sublandlord shall look solely to one another for the performance of their respective obligations with respect to the Premises as Landlord and Tenant under the Master Lease, and that Sublandlord and Subtenant shall look solely to one another for the performance of their respective obligations with respect to the Premises under this Sublease.</w:t>
      </w:r>
    </w:p>
    <w:p>
      <w:pPr>
        <w:spacing w:after="0" w:line="87" w:lineRule="exact"/>
        <w:rPr>
          <w:rFonts w:ascii="Arial" w:cs="Arial" w:eastAsia="Arial" w:hAnsi="Arial"/>
          <w:sz w:val="12"/>
          <w:szCs w:val="12"/>
          <w:b w:val="1"/>
          <w:bCs w:val="1"/>
          <w:color w:val="auto"/>
        </w:rPr>
      </w:pPr>
    </w:p>
    <w:p>
      <w:pPr>
        <w:ind w:left="540" w:hanging="198"/>
        <w:spacing w:after="0"/>
        <w:tabs>
          <w:tab w:leader="none" w:pos="540" w:val="left"/>
        </w:tabs>
        <w:numPr>
          <w:ilvl w:val="0"/>
          <w:numId w:val="29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The addresses specified in the Master Lease for receipt of notices to each of the parties are deleted and replaced with the following:</w:t>
      </w:r>
    </w:p>
    <w:p>
      <w:pPr>
        <w:sectPr>
          <w:pgSz w:w="11900" w:h="16838" w:orient="portrait"/>
          <w:cols w:equalWidth="0" w:num="1">
            <w:col w:w="11320"/>
          </w:cols>
          <w:pgMar w:left="340" w:top="244" w:right="239" w:bottom="1440" w:gutter="0" w:footer="0" w:header="0"/>
        </w:sectPr>
      </w:pPr>
    </w:p>
    <w:p>
      <w:pPr>
        <w:spacing w:after="0" w:line="226"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To Sublandlord at: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Amgen SF, LLC</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One Amgen Center Drive - 28-3-D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Thousand Oaks, CA 91320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Jerry Bernie</w:t>
      </w:r>
    </w:p>
    <w:p>
      <w:pPr>
        <w:spacing w:after="0" w:line="165" w:lineRule="exact"/>
        <w:rPr>
          <w:sz w:val="20"/>
          <w:szCs w:val="20"/>
          <w:color w:val="auto"/>
        </w:rPr>
      </w:pPr>
    </w:p>
    <w:p>
      <w:pPr>
        <w:sectPr>
          <w:pgSz w:w="11900" w:h="16838" w:orient="portrait"/>
          <w:cols w:equalWidth="0" w:num="2">
            <w:col w:w="3220" w:space="720"/>
            <w:col w:w="7380"/>
          </w:cols>
          <w:pgMar w:left="340" w:top="244" w:right="2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To Subtenant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Raven biotechnologies, inc.</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1140 Veterans Drive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South San Francisco, CA 94080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Attn: CFO</w:t>
      </w:r>
    </w:p>
    <w:p>
      <w:pPr>
        <w:spacing w:after="0" w:line="124" w:lineRule="exact"/>
        <w:rPr>
          <w:sz w:val="20"/>
          <w:szCs w:val="20"/>
          <w:color w:val="auto"/>
        </w:rPr>
      </w:pPr>
    </w:p>
    <w:p>
      <w:pPr>
        <w:sectPr>
          <w:pgSz w:w="11900" w:h="16838" w:orient="portrait"/>
          <w:cols w:equalWidth="0" w:num="2">
            <w:col w:w="3220" w:space="720"/>
            <w:col w:w="7380"/>
          </w:cols>
          <w:pgMar w:left="340" w:top="244" w:right="239" w:bottom="1440" w:gutter="0" w:footer="0" w:header="0"/>
          <w:type w:val="continuous"/>
        </w:sectPr>
      </w:pPr>
    </w:p>
    <w:p>
      <w:pPr>
        <w:ind w:left="-120" w:right="100" w:firstLine="462"/>
        <w:spacing w:after="0" w:line="355" w:lineRule="auto"/>
        <w:tabs>
          <w:tab w:leader="none" w:pos="542" w:val="left"/>
        </w:tabs>
        <w:numPr>
          <w:ilvl w:val="0"/>
          <w:numId w:val="29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Brokers. </w:t>
      </w:r>
      <w:r>
        <w:rPr>
          <w:rFonts w:ascii="Arial" w:cs="Arial" w:eastAsia="Arial" w:hAnsi="Arial"/>
          <w:sz w:val="12"/>
          <w:szCs w:val="12"/>
          <w:color w:val="auto"/>
        </w:rPr>
        <w:t>Each party hereto represents and warrants that it has dealt with no broker in connection with this Sublease and the transactions contemplated herein other than Gerald A. Porter of CRESA</w:t>
      </w:r>
      <w:r>
        <w:rPr>
          <w:rFonts w:ascii="Arial" w:cs="Arial" w:eastAsia="Arial" w:hAnsi="Arial"/>
          <w:sz w:val="12"/>
          <w:szCs w:val="12"/>
          <w:b w:val="1"/>
          <w:bCs w:val="1"/>
          <w:color w:val="auto"/>
        </w:rPr>
        <w:t xml:space="preserve"> </w:t>
      </w:r>
      <w:r>
        <w:rPr>
          <w:rFonts w:ascii="Arial" w:cs="Arial" w:eastAsia="Arial" w:hAnsi="Arial"/>
          <w:sz w:val="12"/>
          <w:szCs w:val="12"/>
          <w:color w:val="auto"/>
        </w:rPr>
        <w:t>Partners on behalf of Sublandlord and Chris Jacobs of CB Richard Ellis, on behalf of Subtenant (collectively “Brokers”). Sublandlord shall be responsible for</w:t>
      </w:r>
    </w:p>
    <w:p>
      <w:pPr>
        <w:spacing w:after="0" w:line="4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20"/>
          </w:cols>
          <w:pgMar w:left="340" w:top="244" w:right="239" w:bottom="1440" w:gutter="0" w:footer="0" w:header="0"/>
          <w:type w:val="continuous"/>
        </w:sectPr>
      </w:pPr>
    </w:p>
    <w:bookmarkStart w:id="378" w:name="page379"/>
    <w:bookmarkEnd w:id="378"/>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payment of any commissions due to Brokers as a result of this Sublease. Each party shall indemnify, protect, defend and hold the other party harmless from all costs and expenses (including reasonable attorneys’ fees) arising from or relating to a breach of the foregoing representation and warranty.</w:t>
      </w:r>
    </w:p>
    <w:p>
      <w:pPr>
        <w:spacing w:after="0" w:line="99" w:lineRule="exact"/>
        <w:rPr>
          <w:sz w:val="20"/>
          <w:szCs w:val="20"/>
          <w:color w:val="auto"/>
        </w:rPr>
      </w:pPr>
    </w:p>
    <w:p>
      <w:pPr>
        <w:ind w:right="80" w:firstLine="462"/>
        <w:spacing w:after="0" w:line="355" w:lineRule="auto"/>
        <w:tabs>
          <w:tab w:leader="none" w:pos="662" w:val="left"/>
        </w:tabs>
        <w:numPr>
          <w:ilvl w:val="0"/>
          <w:numId w:val="29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 Existing Defaults. </w:t>
      </w:r>
      <w:r>
        <w:rPr>
          <w:rFonts w:ascii="Arial" w:cs="Arial" w:eastAsia="Arial" w:hAnsi="Arial"/>
          <w:sz w:val="12"/>
          <w:szCs w:val="12"/>
          <w:color w:val="auto"/>
        </w:rPr>
        <w:t>Sublandlord represents and warrants to Subtenant that as of the date hereof the Master Lease is in full force and effect, that Sublandlord has neither given nor received written</w:t>
      </w:r>
      <w:r>
        <w:rPr>
          <w:rFonts w:ascii="Arial" w:cs="Arial" w:eastAsia="Arial" w:hAnsi="Arial"/>
          <w:sz w:val="12"/>
          <w:szCs w:val="12"/>
          <w:b w:val="1"/>
          <w:bCs w:val="1"/>
          <w:color w:val="auto"/>
        </w:rPr>
        <w:t xml:space="preserve"> </w:t>
      </w:r>
      <w:r>
        <w:rPr>
          <w:rFonts w:ascii="Arial" w:cs="Arial" w:eastAsia="Arial" w:hAnsi="Arial"/>
          <w:sz w:val="12"/>
          <w:szCs w:val="12"/>
          <w:color w:val="auto"/>
        </w:rPr>
        <w:t>notice of default under the Master Lease, and that Sublandlord is not aware of any event which with the giving of notice or the passage of time could give rise to a default under the Master Lease.</w:t>
      </w:r>
    </w:p>
    <w:p>
      <w:pPr>
        <w:spacing w:after="0" w:line="51" w:lineRule="exact"/>
        <w:rPr>
          <w:rFonts w:ascii="Arial" w:cs="Arial" w:eastAsia="Arial" w:hAnsi="Arial"/>
          <w:sz w:val="12"/>
          <w:szCs w:val="12"/>
          <w:b w:val="1"/>
          <w:bCs w:val="1"/>
          <w:color w:val="auto"/>
        </w:rPr>
      </w:pPr>
    </w:p>
    <w:p>
      <w:pPr>
        <w:ind w:right="260" w:firstLine="462"/>
        <w:spacing w:after="0" w:line="270" w:lineRule="auto"/>
        <w:tabs>
          <w:tab w:leader="none" w:pos="662" w:val="left"/>
        </w:tabs>
        <w:numPr>
          <w:ilvl w:val="0"/>
          <w:numId w:val="2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Quiet Enjoyment. </w:t>
      </w:r>
      <w:r>
        <w:rPr>
          <w:rFonts w:ascii="Arial" w:cs="Arial" w:eastAsia="Arial" w:hAnsi="Arial"/>
          <w:sz w:val="14"/>
          <w:szCs w:val="14"/>
          <w:color w:val="auto"/>
        </w:rPr>
        <w:t>Sublandlord covenants that Subtenant shall peacefully have, hold and enjoy the Premises, subject to the terms and conditions of this Sublease and subject to the Master Lease,</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that Subtenant pays all rent and performs all of Subtenant’s covenants and agreements contained herein.</w:t>
      </w:r>
    </w:p>
    <w:p>
      <w:pPr>
        <w:spacing w:after="0" w:line="97" w:lineRule="exact"/>
        <w:rPr>
          <w:rFonts w:ascii="Arial" w:cs="Arial" w:eastAsia="Arial" w:hAnsi="Arial"/>
          <w:sz w:val="14"/>
          <w:szCs w:val="14"/>
          <w:b w:val="1"/>
          <w:bCs w:val="1"/>
          <w:color w:val="auto"/>
        </w:rPr>
      </w:pPr>
    </w:p>
    <w:p>
      <w:pPr>
        <w:ind w:left="660" w:hanging="198"/>
        <w:spacing w:after="0"/>
        <w:tabs>
          <w:tab w:leader="none" w:pos="660" w:val="left"/>
        </w:tabs>
        <w:numPr>
          <w:ilvl w:val="0"/>
          <w:numId w:val="298"/>
        </w:numPr>
        <w:rPr>
          <w:rFonts w:ascii="Arial" w:cs="Arial" w:eastAsia="Arial" w:hAnsi="Arial"/>
          <w:sz w:val="14"/>
          <w:szCs w:val="14"/>
          <w:b w:val="1"/>
          <w:bCs w:val="1"/>
          <w:color w:val="auto"/>
        </w:rPr>
      </w:pPr>
      <w:r>
        <w:rPr>
          <w:rFonts w:ascii="Arial" w:cs="Arial" w:eastAsia="Arial" w:hAnsi="Arial"/>
          <w:sz w:val="14"/>
          <w:szCs w:val="14"/>
          <w:b w:val="1"/>
          <w:bCs w:val="1"/>
          <w:color w:val="auto"/>
        </w:rPr>
        <w:t>Damage and Destruction.</w:t>
      </w:r>
    </w:p>
    <w:p>
      <w:pPr>
        <w:spacing w:after="0" w:line="133" w:lineRule="exact"/>
        <w:rPr>
          <w:rFonts w:ascii="Arial" w:cs="Arial" w:eastAsia="Arial" w:hAnsi="Arial"/>
          <w:sz w:val="14"/>
          <w:szCs w:val="14"/>
          <w:b w:val="1"/>
          <w:bCs w:val="1"/>
          <w:color w:val="auto"/>
        </w:rPr>
      </w:pPr>
    </w:p>
    <w:p>
      <w:pPr>
        <w:jc w:val="both"/>
        <w:ind w:right="100" w:firstLine="920"/>
        <w:spacing w:after="0" w:line="255" w:lineRule="auto"/>
        <w:tabs>
          <w:tab w:leader="none" w:pos="1109" w:val="left"/>
        </w:tabs>
        <w:numPr>
          <w:ilvl w:val="1"/>
          <w:numId w:val="298"/>
        </w:numPr>
        <w:rPr>
          <w:rFonts w:ascii="Arial" w:cs="Arial" w:eastAsia="Arial" w:hAnsi="Arial"/>
          <w:sz w:val="14"/>
          <w:szCs w:val="14"/>
          <w:b w:val="1"/>
          <w:bCs w:val="1"/>
          <w:color w:val="auto"/>
        </w:rPr>
      </w:pPr>
      <w:r>
        <w:rPr>
          <w:rFonts w:ascii="Arial" w:cs="Arial" w:eastAsia="Arial" w:hAnsi="Arial"/>
          <w:sz w:val="14"/>
          <w:szCs w:val="14"/>
          <w:u w:val="single" w:color="auto"/>
          <w:color w:val="auto"/>
        </w:rPr>
        <w:t>Termination of Master Lease</w:t>
      </w:r>
      <w:r>
        <w:rPr>
          <w:rFonts w:ascii="Arial" w:cs="Arial" w:eastAsia="Arial" w:hAnsi="Arial"/>
          <w:sz w:val="14"/>
          <w:szCs w:val="14"/>
          <w:color w:val="auto"/>
        </w:rPr>
        <w:t>. If the Premises is damaged or destroyed and the Master Landlord, or Sublandlord with Subtenant’s consent, exercises any option either may have to terminate the Master Lease, if any, this Sublease shall terminate as of the date of the casualty. In the event that after a damage or destruction of the Premises, where the time estimated to restore the Premises exceeds 180 days, Subtenant shall have the right to terminate this Sublease on written notice to Sublandlord given within thirty (30) days after determination of the amount of time to restore the Premises, which termination shall be effective as of the date of the casualty.</w:t>
      </w:r>
    </w:p>
    <w:p>
      <w:pPr>
        <w:spacing w:after="0" w:line="109" w:lineRule="exact"/>
        <w:rPr>
          <w:rFonts w:ascii="Arial" w:cs="Arial" w:eastAsia="Arial" w:hAnsi="Arial"/>
          <w:sz w:val="14"/>
          <w:szCs w:val="14"/>
          <w:b w:val="1"/>
          <w:bCs w:val="1"/>
          <w:color w:val="auto"/>
        </w:rPr>
      </w:pPr>
    </w:p>
    <w:p>
      <w:pPr>
        <w:ind w:right="180" w:firstLine="920"/>
        <w:spacing w:after="0" w:line="267" w:lineRule="auto"/>
        <w:tabs>
          <w:tab w:leader="none" w:pos="1117" w:val="left"/>
        </w:tabs>
        <w:numPr>
          <w:ilvl w:val="1"/>
          <w:numId w:val="298"/>
        </w:numPr>
        <w:rPr>
          <w:rFonts w:ascii="Arial" w:cs="Arial" w:eastAsia="Arial" w:hAnsi="Arial"/>
          <w:sz w:val="14"/>
          <w:szCs w:val="14"/>
          <w:b w:val="1"/>
          <w:bCs w:val="1"/>
          <w:color w:val="auto"/>
        </w:rPr>
      </w:pPr>
      <w:r>
        <w:rPr>
          <w:rFonts w:ascii="Arial" w:cs="Arial" w:eastAsia="Arial" w:hAnsi="Arial"/>
          <w:sz w:val="14"/>
          <w:szCs w:val="14"/>
          <w:u w:val="single" w:color="auto"/>
          <w:color w:val="auto"/>
        </w:rPr>
        <w:t>Continuation of Sublease</w:t>
      </w:r>
      <w:r>
        <w:rPr>
          <w:rFonts w:ascii="Arial" w:cs="Arial" w:eastAsia="Arial" w:hAnsi="Arial"/>
          <w:sz w:val="14"/>
          <w:szCs w:val="14"/>
          <w:color w:val="auto"/>
        </w:rPr>
        <w:t>. If the Master Lease or this Sublease is not terminated following any damage or destruction as provided in subsection (a) above, this Sublease shall remain in full force and effect, and Rent shall be abated proportionately to the extent rent payable under the Master Lease is abated.</w:t>
      </w:r>
    </w:p>
    <w:p>
      <w:pPr>
        <w:spacing w:after="0" w:line="99" w:lineRule="exact"/>
        <w:rPr>
          <w:rFonts w:ascii="Arial" w:cs="Arial" w:eastAsia="Arial" w:hAnsi="Arial"/>
          <w:sz w:val="14"/>
          <w:szCs w:val="14"/>
          <w:b w:val="1"/>
          <w:bCs w:val="1"/>
          <w:color w:val="auto"/>
        </w:rPr>
      </w:pPr>
    </w:p>
    <w:p>
      <w:pPr>
        <w:ind w:right="360" w:firstLine="462"/>
        <w:spacing w:after="0" w:line="355" w:lineRule="auto"/>
        <w:tabs>
          <w:tab w:leader="none" w:pos="662" w:val="left"/>
        </w:tabs>
        <w:numPr>
          <w:ilvl w:val="0"/>
          <w:numId w:val="29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Eminent Domain. </w:t>
      </w:r>
      <w:r>
        <w:rPr>
          <w:rFonts w:ascii="Arial" w:cs="Arial" w:eastAsia="Arial" w:hAnsi="Arial"/>
          <w:sz w:val="12"/>
          <w:szCs w:val="12"/>
          <w:color w:val="auto"/>
        </w:rPr>
        <w:t>If all or any material portion of the Premises is condemned by eminent domain, inversely condemned or sold in lieu of condemnation, for any public or a quasi-public use or</w:t>
      </w:r>
      <w:r>
        <w:rPr>
          <w:rFonts w:ascii="Arial" w:cs="Arial" w:eastAsia="Arial" w:hAnsi="Arial"/>
          <w:sz w:val="12"/>
          <w:szCs w:val="12"/>
          <w:b w:val="1"/>
          <w:bCs w:val="1"/>
          <w:color w:val="auto"/>
        </w:rPr>
        <w:t xml:space="preserve"> </w:t>
      </w:r>
      <w:r>
        <w:rPr>
          <w:rFonts w:ascii="Arial" w:cs="Arial" w:eastAsia="Arial" w:hAnsi="Arial"/>
          <w:sz w:val="12"/>
          <w:szCs w:val="12"/>
          <w:color w:val="auto"/>
        </w:rPr>
        <w:t>purpose, this Sublease may be terminated as of the date of title vesting in such proceeding by either party, and Rent shall be adjusted to the date of termination.</w:t>
      </w:r>
    </w:p>
    <w:p>
      <w:pPr>
        <w:spacing w:after="0" w:line="51" w:lineRule="exact"/>
        <w:rPr>
          <w:rFonts w:ascii="Arial" w:cs="Arial" w:eastAsia="Arial" w:hAnsi="Arial"/>
          <w:sz w:val="12"/>
          <w:szCs w:val="12"/>
          <w:b w:val="1"/>
          <w:bCs w:val="1"/>
          <w:color w:val="auto"/>
        </w:rPr>
      </w:pPr>
    </w:p>
    <w:p>
      <w:pPr>
        <w:ind w:left="660" w:hanging="198"/>
        <w:spacing w:after="0"/>
        <w:tabs>
          <w:tab w:leader="none" w:pos="660" w:val="left"/>
        </w:tabs>
        <w:numPr>
          <w:ilvl w:val="0"/>
          <w:numId w:val="298"/>
        </w:numPr>
        <w:rPr>
          <w:rFonts w:ascii="Arial" w:cs="Arial" w:eastAsia="Arial" w:hAnsi="Arial"/>
          <w:sz w:val="14"/>
          <w:szCs w:val="14"/>
          <w:b w:val="1"/>
          <w:bCs w:val="1"/>
          <w:color w:val="auto"/>
        </w:rPr>
      </w:pPr>
      <w:r>
        <w:rPr>
          <w:rFonts w:ascii="Arial" w:cs="Arial" w:eastAsia="Arial" w:hAnsi="Arial"/>
          <w:sz w:val="14"/>
          <w:szCs w:val="14"/>
          <w:b w:val="1"/>
          <w:bCs w:val="1"/>
          <w:color w:val="auto"/>
        </w:rPr>
        <w:t>Tenant Improvements and Subtenant Allowance.</w:t>
      </w:r>
    </w:p>
    <w:p>
      <w:pPr>
        <w:spacing w:after="0" w:line="134" w:lineRule="exact"/>
        <w:rPr>
          <w:sz w:val="20"/>
          <w:szCs w:val="20"/>
          <w:color w:val="auto"/>
        </w:rPr>
      </w:pPr>
    </w:p>
    <w:p>
      <w:pPr>
        <w:ind w:right="180" w:firstLine="458"/>
        <w:spacing w:after="0" w:line="267" w:lineRule="auto"/>
        <w:rPr>
          <w:sz w:val="20"/>
          <w:szCs w:val="20"/>
          <w:color w:val="auto"/>
        </w:rPr>
      </w:pPr>
      <w:r>
        <w:rPr>
          <w:rFonts w:ascii="Arial" w:cs="Arial" w:eastAsia="Arial" w:hAnsi="Arial"/>
          <w:sz w:val="14"/>
          <w:szCs w:val="14"/>
          <w:color w:val="auto"/>
        </w:rPr>
        <w:t>Construction of the Tenant Improvements (as defined in Exhibit C) shall be governed by the Tenant Improvement Agreement attached hereto as Exhibit C. Sublandlord and Subtenant agree to comply with all of the terms and provisions of the Tenant Improvement Agreement, which is hereby incorporated by reference as though fully set forth 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[THIS SPACE INTENTIONALLY LEFT BLANK]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46" w:right="219"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w:t>
      </w:r>
      <w:r>
        <w:rPr>
          <w:rFonts w:ascii="Arial" w:cs="Arial" w:eastAsia="Arial" w:hAnsi="Arial"/>
          <w:sz w:val="11"/>
          <w:szCs w:val="11"/>
          <w:b w:val="1"/>
          <w:bCs w:val="1"/>
          <w:color w:val="auto"/>
        </w:rPr>
        <w:t>XECUTED</w:t>
      </w:r>
      <w:r>
        <w:rPr>
          <w:rFonts w:ascii="Arial" w:cs="Arial" w:eastAsia="Arial" w:hAnsi="Arial"/>
          <w:sz w:val="14"/>
          <w:szCs w:val="14"/>
          <w:b w:val="1"/>
          <w:bCs w:val="1"/>
          <w:color w:val="auto"/>
        </w:rPr>
        <w:t xml:space="preserve"> </w:t>
      </w:r>
      <w:r>
        <w:rPr>
          <w:rFonts w:ascii="Arial" w:cs="Arial" w:eastAsia="Arial" w:hAnsi="Arial"/>
          <w:sz w:val="14"/>
          <w:szCs w:val="14"/>
          <w:color w:val="auto"/>
        </w:rPr>
        <w:t>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613410</wp:posOffset>
            </wp:positionV>
            <wp:extent cx="450850" cy="417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0850"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r>
        <w:rPr>
          <w:rFonts w:ascii="Arial" w:cs="Arial" w:eastAsia="Arial" w:hAnsi="Arial"/>
          <w:sz w:val="14"/>
          <w:szCs w:val="14"/>
          <w:color w:val="auto"/>
        </w:rPr>
        <w:t xml:space="preserve"> P</w:t>
      </w:r>
      <w:r>
        <w:rPr>
          <w:rFonts w:ascii="Arial" w:cs="Arial" w:eastAsia="Arial" w:hAnsi="Arial"/>
          <w:sz w:val="11"/>
          <w:szCs w:val="11"/>
          <w:color w:val="auto"/>
        </w:rPr>
        <w:t>AGE TO</w:t>
      </w:r>
      <w:r>
        <w:rPr>
          <w:rFonts w:ascii="Arial" w:cs="Arial" w:eastAsia="Arial" w:hAnsi="Arial"/>
          <w:sz w:val="14"/>
          <w:szCs w:val="14"/>
          <w:color w:val="auto"/>
        </w:rPr>
        <w:t xml:space="preserve"> S</w:t>
      </w:r>
      <w:r>
        <w:rPr>
          <w:rFonts w:ascii="Arial" w:cs="Arial" w:eastAsia="Arial" w:hAnsi="Arial"/>
          <w:sz w:val="11"/>
          <w:szCs w:val="11"/>
          <w:color w:val="auto"/>
        </w:rPr>
        <w:t>UBLEASE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SUBLANDLORD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MGEN</w:t>
      </w:r>
      <w:r>
        <w:rPr>
          <w:rFonts w:ascii="Arial" w:cs="Arial" w:eastAsia="Arial" w:hAnsi="Arial"/>
          <w:sz w:val="14"/>
          <w:szCs w:val="14"/>
          <w:b w:val="1"/>
          <w:bCs w:val="1"/>
          <w:color w:val="auto"/>
        </w:rPr>
        <w:t xml:space="preserve"> SF, LLC,</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 Delaware limited liability company</w:t>
      </w:r>
    </w:p>
    <w:p>
      <w:pPr>
        <w:spacing w:after="0" w:line="149"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8890</wp:posOffset>
            </wp:positionV>
            <wp:extent cx="2155825"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5825" cy="6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-7620</wp:posOffset>
            </wp:positionV>
            <wp:extent cx="215582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5825" cy="63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SUBTENANT</w:t>
      </w:r>
    </w:p>
    <w:p>
      <w:pPr>
        <w:spacing w:after="0" w:line="184" w:lineRule="exact"/>
        <w:rPr>
          <w:sz w:val="20"/>
          <w:szCs w:val="20"/>
          <w:color w:val="auto"/>
        </w:rPr>
      </w:pPr>
    </w:p>
    <w:p>
      <w:pPr>
        <w:ind w:right="819"/>
        <w:spacing w:after="0" w:line="270" w:lineRule="auto"/>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AVEN BIOTECHNOLOGIES</w:t>
      </w: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INC</w:t>
      </w:r>
      <w:r>
        <w:rPr>
          <w:rFonts w:ascii="Arial" w:cs="Arial" w:eastAsia="Arial" w:hAnsi="Arial"/>
          <w:sz w:val="14"/>
          <w:szCs w:val="14"/>
          <w:b w:val="1"/>
          <w:bCs w:val="1"/>
          <w:color w:val="auto"/>
        </w:rPr>
        <w:t xml:space="preserve">., </w:t>
      </w:r>
      <w:r>
        <w:rPr>
          <w:rFonts w:ascii="Arial" w:cs="Arial" w:eastAsia="Arial" w:hAnsi="Arial"/>
          <w:sz w:val="14"/>
          <w:szCs w:val="14"/>
          <w:color w:val="auto"/>
        </w:rPr>
        <w:t>a Delaware corporation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-3810</wp:posOffset>
            </wp:positionV>
            <wp:extent cx="215582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582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-7620</wp:posOffset>
            </wp:positionV>
            <wp:extent cx="2155825"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5825" cy="6350"/>
                    </a:xfrm>
                    <a:prstGeom prst="rect">
                      <a:avLst/>
                    </a:prstGeom>
                    <a:noFill/>
                  </pic:spPr>
                </pic:pic>
              </a:graphicData>
            </a:graphic>
          </wp:anchor>
        </w:drawing>
      </w:r>
    </w:p>
    <w:p>
      <w:pPr>
        <w:sectPr>
          <w:pgSz w:w="11900" w:h="16838" w:orient="portrait"/>
          <w:cols w:equalWidth="0" w:num="2">
            <w:col w:w="6340" w:space="720"/>
            <w:col w:w="2719"/>
          </w:cols>
          <w:pgMar w:left="680" w:top="245" w:right="1440"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w:t>
      </w:r>
      <w:r>
        <w:rPr>
          <w:rFonts w:ascii="Arial" w:cs="Arial" w:eastAsia="Arial" w:hAnsi="Arial"/>
          <w:sz w:val="11"/>
          <w:szCs w:val="11"/>
          <w:b w:val="1"/>
          <w:bCs w:val="1"/>
          <w:color w:val="auto"/>
        </w:rPr>
        <w:t>XECUTED</w:t>
      </w:r>
      <w:r>
        <w:rPr>
          <w:rFonts w:ascii="Arial" w:cs="Arial" w:eastAsia="Arial" w:hAnsi="Arial"/>
          <w:sz w:val="14"/>
          <w:szCs w:val="14"/>
          <w:b w:val="1"/>
          <w:bCs w:val="1"/>
          <w:color w:val="auto"/>
        </w:rPr>
        <w:t xml:space="preserve"> </w:t>
      </w:r>
      <w:r>
        <w:rPr>
          <w:rFonts w:ascii="Arial" w:cs="Arial" w:eastAsia="Arial" w:hAnsi="Arial"/>
          <w:sz w:val="14"/>
          <w:szCs w:val="14"/>
          <w:color w:val="auto"/>
        </w:rPr>
        <w:t>as of the date first written above.</w:t>
      </w:r>
    </w:p>
    <w:p>
      <w:pPr>
        <w:spacing w:after="0" w:line="16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SUBLANDLORD</w:t>
      </w:r>
    </w:p>
    <w:p>
      <w:pPr>
        <w:spacing w:after="0" w:line="17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MGEN</w:t>
      </w:r>
      <w:r>
        <w:rPr>
          <w:rFonts w:ascii="Arial" w:cs="Arial" w:eastAsia="Arial" w:hAnsi="Arial"/>
          <w:sz w:val="14"/>
          <w:szCs w:val="14"/>
          <w:b w:val="1"/>
          <w:bCs w:val="1"/>
          <w:color w:val="auto"/>
        </w:rPr>
        <w:t xml:space="preserve"> SF, LLC,</w:t>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a Delaware limited liability company</w:t>
      </w:r>
    </w:p>
    <w:p>
      <w:pPr>
        <w:spacing w:after="0" w:line="14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-3810</wp:posOffset>
            </wp:positionV>
            <wp:extent cx="258064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80640" cy="635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-7620</wp:posOffset>
            </wp:positionV>
            <wp:extent cx="258064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80640" cy="6350"/>
                    </a:xfrm>
                    <a:prstGeom prst="rect">
                      <a:avLst/>
                    </a:prstGeom>
                    <a:noFill/>
                  </pic:spPr>
                </pic:pic>
              </a:graphicData>
            </a:graphic>
          </wp:anchor>
        </w:drawing>
      </w:r>
    </w:p>
    <w:p>
      <w:pPr>
        <w:spacing w:after="0" w:line="145"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SUBTENANT</w:t>
      </w:r>
    </w:p>
    <w:p>
      <w:pPr>
        <w:spacing w:after="0" w:line="17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AVEN BIOTECHNOLOGIES</w:t>
      </w: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INC</w:t>
      </w:r>
      <w:r>
        <w:rPr>
          <w:rFonts w:ascii="Arial" w:cs="Arial" w:eastAsia="Arial" w:hAnsi="Arial"/>
          <w:sz w:val="14"/>
          <w:szCs w:val="14"/>
          <w:b w:val="1"/>
          <w:bCs w:val="1"/>
          <w:color w:val="auto"/>
        </w:rPr>
        <w:t>.,</w:t>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a Delaware corporation</w:t>
      </w:r>
    </w:p>
    <w:p>
      <w:pPr>
        <w:spacing w:after="0" w:line="167"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8890</wp:posOffset>
            </wp:positionV>
            <wp:extent cx="258064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80640" cy="6350"/>
                    </a:xfrm>
                    <a:prstGeom prst="rect">
                      <a:avLst/>
                    </a:prstGeom>
                    <a:noFill/>
                  </pic:spPr>
                </pic:pic>
              </a:graphicData>
            </a:graphic>
          </wp:anchor>
        </w:drawing>
      </w:r>
    </w:p>
    <w:p>
      <w:pPr>
        <w:spacing w:after="0" w:line="7"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8890</wp:posOffset>
            </wp:positionV>
            <wp:extent cx="258064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80640" cy="6350"/>
                    </a:xfrm>
                    <a:prstGeom prst="rect">
                      <a:avLst/>
                    </a:prstGeom>
                    <a:noFill/>
                  </pic:spPr>
                </pic:pic>
              </a:graphicData>
            </a:graphic>
          </wp:anchor>
        </w:drawing>
      </w:r>
    </w:p>
    <w:p>
      <w:pPr>
        <w:spacing w:after="0" w:line="13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r>
        <w:rPr>
          <w:rFonts w:ascii="Arial" w:cs="Arial" w:eastAsia="Arial" w:hAnsi="Arial"/>
          <w:sz w:val="14"/>
          <w:szCs w:val="14"/>
          <w:color w:val="auto"/>
        </w:rPr>
        <w:t xml:space="preserve"> P</w:t>
      </w:r>
      <w:r>
        <w:rPr>
          <w:rFonts w:ascii="Arial" w:cs="Arial" w:eastAsia="Arial" w:hAnsi="Arial"/>
          <w:sz w:val="11"/>
          <w:szCs w:val="11"/>
          <w:color w:val="auto"/>
        </w:rPr>
        <w:t>AGE TO</w:t>
      </w:r>
      <w:r>
        <w:rPr>
          <w:rFonts w:ascii="Arial" w:cs="Arial" w:eastAsia="Arial" w:hAnsi="Arial"/>
          <w:sz w:val="14"/>
          <w:szCs w:val="14"/>
          <w:color w:val="auto"/>
        </w:rPr>
        <w:t xml:space="preserve"> S</w:t>
      </w:r>
      <w:r>
        <w:rPr>
          <w:rFonts w:ascii="Arial" w:cs="Arial" w:eastAsia="Arial" w:hAnsi="Arial"/>
          <w:sz w:val="11"/>
          <w:szCs w:val="11"/>
          <w:color w:val="auto"/>
        </w:rPr>
        <w:t>UBLEASE</w:t>
      </w:r>
      <w:r>
        <w:rPr>
          <w:rFonts w:ascii="Arial" w:cs="Arial" w:eastAsia="Arial" w:hAnsi="Arial"/>
          <w:sz w:val="14"/>
          <w:szCs w:val="14"/>
          <w:color w:val="auto"/>
        </w:rPr>
        <w: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779"/>
          </w:cols>
          <w:pgMar w:left="680" w:top="245" w:right="1440" w:bottom="1440" w:gutter="0" w:footer="0" w:header="0"/>
        </w:sectPr>
      </w:pPr>
    </w:p>
    <w:bookmarkStart w:id="381" w:name="page382"/>
    <w:bookmarkEnd w:id="381"/>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w:t>
      </w:r>
      <w:r>
        <w:rPr>
          <w:rFonts w:ascii="Arial" w:cs="Arial" w:eastAsia="Arial" w:hAnsi="Arial"/>
          <w:sz w:val="11"/>
          <w:szCs w:val="11"/>
          <w:b w:val="1"/>
          <w:bCs w:val="1"/>
          <w:color w:val="auto"/>
        </w:rPr>
        <w:t>XHIBIT</w:t>
      </w:r>
      <w:r>
        <w:rPr>
          <w:rFonts w:ascii="Arial" w:cs="Arial" w:eastAsia="Arial" w:hAnsi="Arial"/>
          <w:sz w:val="14"/>
          <w:szCs w:val="14"/>
          <w:b w:val="1"/>
          <w:bCs w:val="1"/>
          <w:color w:val="auto"/>
        </w:rPr>
        <w:t xml:space="preserve"> A</w:t>
      </w:r>
    </w:p>
    <w:p>
      <w:pPr>
        <w:spacing w:after="0" w:line="132" w:lineRule="exact"/>
        <w:rPr>
          <w:sz w:val="20"/>
          <w:szCs w:val="20"/>
          <w:color w:val="auto"/>
        </w:rPr>
      </w:pPr>
    </w:p>
    <w:p>
      <w:pPr>
        <w:jc w:val="right"/>
        <w:ind w:right="3979"/>
        <w:spacing w:after="0"/>
        <w:rPr>
          <w:sz w:val="20"/>
          <w:szCs w:val="20"/>
          <w:color w:val="auto"/>
        </w:rPr>
      </w:pPr>
      <w:r>
        <w:rPr>
          <w:rFonts w:ascii="Arial" w:cs="Arial" w:eastAsia="Arial" w:hAnsi="Arial"/>
          <w:sz w:val="14"/>
          <w:szCs w:val="14"/>
          <w:b w:val="1"/>
          <w:bCs w:val="1"/>
          <w:color w:val="auto"/>
        </w:rPr>
        <w:t>MASTER LEASE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See attached.</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239"/>
          </w:cols>
          <w:pgMar w:left="220" w:top="245" w:right="1440" w:bottom="1440" w:gutter="0" w:footer="0" w:header="0"/>
        </w:sectPr>
      </w:pPr>
    </w:p>
    <w:bookmarkStart w:id="382" w:name="page383"/>
    <w:bookmarkEnd w:id="38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BUILD-TO-SUIT LEASE</w:t>
      </w:r>
    </w:p>
    <w:p>
      <w:pPr>
        <w:sectPr>
          <w:pgSz w:w="11900" w:h="16838" w:orient="portrait"/>
          <w:cols w:equalWidth="0" w:num="1">
            <w:col w:w="9019"/>
          </w:cols>
          <w:pgMar w:left="1440" w:top="245" w:right="1440" w:bottom="1440" w:gutter="0" w:footer="0" w:header="0"/>
        </w:sectPr>
      </w:pPr>
    </w:p>
    <w:p>
      <w:pPr>
        <w:spacing w:after="0" w:line="188"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LANDLORD: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BRITANNIA DEVELOPMENTS, INC.</w:t>
      </w:r>
    </w:p>
    <w:p>
      <w:pPr>
        <w:spacing w:after="0" w:line="113" w:lineRule="exact"/>
        <w:rPr>
          <w:sz w:val="20"/>
          <w:szCs w:val="20"/>
          <w:color w:val="auto"/>
        </w:rPr>
      </w:pPr>
    </w:p>
    <w:p>
      <w:pPr>
        <w:sectPr>
          <w:pgSz w:w="11900" w:h="16838" w:orient="portrait"/>
          <w:cols w:equalWidth="0" w:num="2">
            <w:col w:w="2440" w:space="300"/>
            <w:col w:w="6279"/>
          </w:cols>
          <w:pgMar w:left="1440" w:top="245" w:right="1440"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TULARIK, INC.</w:t>
      </w:r>
    </w:p>
    <w:p>
      <w:pPr>
        <w:spacing w:after="0" w:line="113" w:lineRule="exact"/>
        <w:rPr>
          <w:sz w:val="20"/>
          <w:szCs w:val="20"/>
          <w:color w:val="auto"/>
        </w:rPr>
      </w:pPr>
    </w:p>
    <w:p>
      <w:pPr>
        <w:sectPr>
          <w:pgSz w:w="11900" w:h="16838" w:orient="portrait"/>
          <w:cols w:equalWidth="0" w:num="2">
            <w:col w:w="2220" w:space="520"/>
            <w:col w:w="6279"/>
          </w:cols>
          <w:pgMar w:left="1440" w:top="245" w:right="1440"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APRIL 20, 1995</w:t>
      </w:r>
    </w:p>
    <w:p>
      <w:pPr>
        <w:sectPr>
          <w:pgSz w:w="11900" w:h="16838" w:orient="portrait"/>
          <w:cols w:equalWidth="0" w:num="2">
            <w:col w:w="2040" w:space="700"/>
            <w:col w:w="6279"/>
          </w:cols>
          <w:pgMar w:left="1440" w:top="245" w:right="1440" w:bottom="1440" w:gutter="0" w:footer="0" w:header="0"/>
          <w:type w:val="continuous"/>
        </w:sectPr>
      </w:pPr>
    </w:p>
    <w:bookmarkStart w:id="383" w:name="page384"/>
    <w:bookmarkEnd w:id="383"/>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980" w:type="dxa"/>
            <w:vAlign w:val="bottom"/>
          </w:tcPr>
          <w:p>
            <w:pPr>
              <w:jc w:val="right"/>
              <w:ind w:right="4852"/>
              <w:spacing w:after="0"/>
              <w:rPr>
                <w:sz w:val="20"/>
                <w:szCs w:val="20"/>
                <w:color w:val="auto"/>
              </w:rPr>
            </w:pPr>
            <w:r>
              <w:rPr>
                <w:rFonts w:ascii="Arial" w:cs="Arial" w:eastAsia="Arial" w:hAnsi="Arial"/>
                <w:sz w:val="14"/>
                <w:szCs w:val="14"/>
                <w:b w:val="1"/>
                <w:bCs w:val="1"/>
                <w:color w:val="auto"/>
              </w:rPr>
              <w:t>BUILD-TO-SUIT-LEASE</w:t>
            </w:r>
          </w:p>
        </w:tc>
      </w:tr>
      <w:tr>
        <w:trPr>
          <w:trHeight w:val="293"/>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80" w:type="dxa"/>
            <w:vAlign w:val="bottom"/>
          </w:tcPr>
          <w:p>
            <w:pPr>
              <w:jc w:val="right"/>
              <w:ind w:right="4872"/>
              <w:spacing w:after="0"/>
              <w:rPr>
                <w:sz w:val="20"/>
                <w:szCs w:val="20"/>
                <w:color w:val="auto"/>
              </w:rPr>
            </w:pPr>
            <w:r>
              <w:rPr>
                <w:rFonts w:ascii="Arial" w:cs="Arial" w:eastAsia="Arial" w:hAnsi="Arial"/>
                <w:sz w:val="14"/>
                <w:szCs w:val="14"/>
                <w:b w:val="1"/>
                <w:bCs w:val="1"/>
                <w:color w:val="auto"/>
              </w:rPr>
              <w:t>TABLE OF CONTENTS</w:t>
            </w:r>
          </w:p>
        </w:tc>
      </w:tr>
      <w:tr>
        <w:trPr>
          <w:trHeight w:val="283"/>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8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234"/>
        </w:trPr>
        <w:tc>
          <w:tcPr>
            <w:tcW w:w="300" w:type="dxa"/>
            <w:vAlign w:val="bottom"/>
          </w:tcPr>
          <w:p>
            <w:pPr>
              <w:spacing w:after="0"/>
              <w:rPr>
                <w:sz w:val="20"/>
                <w:szCs w:val="20"/>
                <w:color w:val="auto"/>
              </w:rPr>
            </w:pPr>
            <w:r>
              <w:rPr>
                <w:rFonts w:ascii="Arial" w:cs="Arial" w:eastAsia="Arial" w:hAnsi="Arial"/>
                <w:sz w:val="14"/>
                <w:szCs w:val="14"/>
                <w:color w:val="auto"/>
              </w:rPr>
              <w:t>1.</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PROPERTY</w:t>
            </w:r>
          </w:p>
        </w:tc>
        <w:tc>
          <w:tcPr>
            <w:tcW w:w="6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1.1</w:t>
            </w:r>
          </w:p>
        </w:tc>
        <w:tc>
          <w:tcPr>
            <w:tcW w:w="3700" w:type="dxa"/>
            <w:vAlign w:val="bottom"/>
          </w:tcPr>
          <w:p>
            <w:pPr>
              <w:ind w:left="60"/>
              <w:spacing w:after="0"/>
              <w:rPr>
                <w:sz w:val="20"/>
                <w:szCs w:val="20"/>
                <w:color w:val="auto"/>
              </w:rPr>
            </w:pPr>
            <w:r>
              <w:rPr>
                <w:rFonts w:ascii="Arial" w:cs="Arial" w:eastAsia="Arial" w:hAnsi="Arial"/>
                <w:sz w:val="14"/>
                <w:szCs w:val="14"/>
                <w:color w:val="auto"/>
              </w:rPr>
              <w:t>Lease of Property.</w:t>
            </w:r>
          </w:p>
        </w:tc>
        <w:tc>
          <w:tcPr>
            <w:tcW w:w="6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1.2</w:t>
            </w:r>
          </w:p>
        </w:tc>
        <w:tc>
          <w:tcPr>
            <w:tcW w:w="3700" w:type="dxa"/>
            <w:vAlign w:val="bottom"/>
          </w:tcPr>
          <w:p>
            <w:pPr>
              <w:ind w:left="60"/>
              <w:spacing w:after="0"/>
              <w:rPr>
                <w:sz w:val="20"/>
                <w:szCs w:val="20"/>
                <w:color w:val="auto"/>
              </w:rPr>
            </w:pPr>
            <w:r>
              <w:rPr>
                <w:rFonts w:ascii="Arial" w:cs="Arial" w:eastAsia="Arial" w:hAnsi="Arial"/>
                <w:sz w:val="14"/>
                <w:szCs w:val="14"/>
                <w:color w:val="auto"/>
              </w:rPr>
              <w:t>Landlord’s Reserved Rights.</w:t>
            </w:r>
          </w:p>
        </w:tc>
        <w:tc>
          <w:tcPr>
            <w:tcW w:w="6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2.</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TERM</w:t>
            </w:r>
          </w:p>
        </w:tc>
        <w:tc>
          <w:tcPr>
            <w:tcW w:w="69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2.1</w:t>
            </w:r>
          </w:p>
        </w:tc>
        <w:tc>
          <w:tcPr>
            <w:tcW w:w="3700" w:type="dxa"/>
            <w:vAlign w:val="bottom"/>
          </w:tcPr>
          <w:p>
            <w:pPr>
              <w:ind w:left="60"/>
              <w:spacing w:after="0"/>
              <w:rPr>
                <w:sz w:val="20"/>
                <w:szCs w:val="20"/>
                <w:color w:val="auto"/>
              </w:rPr>
            </w:pPr>
            <w:r>
              <w:rPr>
                <w:rFonts w:ascii="Arial" w:cs="Arial" w:eastAsia="Arial" w:hAnsi="Arial"/>
                <w:sz w:val="14"/>
                <w:szCs w:val="14"/>
                <w:color w:val="auto"/>
              </w:rPr>
              <w:t>Term.</w:t>
            </w:r>
          </w:p>
        </w:tc>
        <w:tc>
          <w:tcPr>
            <w:tcW w:w="69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2.2</w:t>
            </w:r>
          </w:p>
        </w:tc>
        <w:tc>
          <w:tcPr>
            <w:tcW w:w="3700" w:type="dxa"/>
            <w:vAlign w:val="bottom"/>
          </w:tcPr>
          <w:p>
            <w:pPr>
              <w:ind w:left="60"/>
              <w:spacing w:after="0"/>
              <w:rPr>
                <w:sz w:val="20"/>
                <w:szCs w:val="20"/>
                <w:color w:val="auto"/>
              </w:rPr>
            </w:pPr>
            <w:r>
              <w:rPr>
                <w:rFonts w:ascii="Arial" w:cs="Arial" w:eastAsia="Arial" w:hAnsi="Arial"/>
                <w:sz w:val="14"/>
                <w:szCs w:val="14"/>
                <w:color w:val="auto"/>
              </w:rPr>
              <w:t>Early Possession.</w:t>
            </w:r>
          </w:p>
        </w:tc>
        <w:tc>
          <w:tcPr>
            <w:tcW w:w="69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2.3</w:t>
            </w:r>
          </w:p>
        </w:tc>
        <w:tc>
          <w:tcPr>
            <w:tcW w:w="3700" w:type="dxa"/>
            <w:vAlign w:val="bottom"/>
          </w:tcPr>
          <w:p>
            <w:pPr>
              <w:ind w:left="60"/>
              <w:spacing w:after="0"/>
              <w:rPr>
                <w:sz w:val="20"/>
                <w:szCs w:val="20"/>
                <w:color w:val="auto"/>
              </w:rPr>
            </w:pPr>
            <w:r>
              <w:rPr>
                <w:rFonts w:ascii="Arial" w:cs="Arial" w:eastAsia="Arial" w:hAnsi="Arial"/>
                <w:sz w:val="14"/>
                <w:szCs w:val="14"/>
                <w:color w:val="auto"/>
              </w:rPr>
              <w:t>Delay In Possession.</w:t>
            </w:r>
          </w:p>
        </w:tc>
        <w:tc>
          <w:tcPr>
            <w:tcW w:w="69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2.4</w:t>
            </w:r>
          </w:p>
        </w:tc>
        <w:tc>
          <w:tcPr>
            <w:tcW w:w="3700" w:type="dxa"/>
            <w:vAlign w:val="bottom"/>
          </w:tcPr>
          <w:p>
            <w:pPr>
              <w:ind w:left="60"/>
              <w:spacing w:after="0"/>
              <w:rPr>
                <w:sz w:val="20"/>
                <w:szCs w:val="20"/>
                <w:color w:val="auto"/>
              </w:rPr>
            </w:pPr>
            <w:r>
              <w:rPr>
                <w:rFonts w:ascii="Arial" w:cs="Arial" w:eastAsia="Arial" w:hAnsi="Arial"/>
                <w:sz w:val="14"/>
                <w:szCs w:val="14"/>
                <w:color w:val="auto"/>
              </w:rPr>
              <w:t>Acknowledgement Of Lease Commencement.</w:t>
            </w:r>
          </w:p>
        </w:tc>
        <w:tc>
          <w:tcPr>
            <w:tcW w:w="69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2.5</w:t>
            </w:r>
          </w:p>
        </w:tc>
        <w:tc>
          <w:tcPr>
            <w:tcW w:w="3700" w:type="dxa"/>
            <w:vAlign w:val="bottom"/>
          </w:tcPr>
          <w:p>
            <w:pPr>
              <w:ind w:left="60"/>
              <w:spacing w:after="0"/>
              <w:rPr>
                <w:sz w:val="20"/>
                <w:szCs w:val="20"/>
                <w:color w:val="auto"/>
              </w:rPr>
            </w:pPr>
            <w:r>
              <w:rPr>
                <w:rFonts w:ascii="Arial" w:cs="Arial" w:eastAsia="Arial" w:hAnsi="Arial"/>
                <w:sz w:val="14"/>
                <w:szCs w:val="14"/>
                <w:color w:val="auto"/>
              </w:rPr>
              <w:t>Holding Over.</w:t>
            </w:r>
          </w:p>
        </w:tc>
        <w:tc>
          <w:tcPr>
            <w:tcW w:w="69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2.6</w:t>
            </w:r>
          </w:p>
        </w:tc>
        <w:tc>
          <w:tcPr>
            <w:tcW w:w="3700" w:type="dxa"/>
            <w:vAlign w:val="bottom"/>
          </w:tcPr>
          <w:p>
            <w:pPr>
              <w:ind w:left="60"/>
              <w:spacing w:after="0"/>
              <w:rPr>
                <w:sz w:val="20"/>
                <w:szCs w:val="20"/>
                <w:color w:val="auto"/>
              </w:rPr>
            </w:pPr>
            <w:r>
              <w:rPr>
                <w:rFonts w:ascii="Arial" w:cs="Arial" w:eastAsia="Arial" w:hAnsi="Arial"/>
                <w:sz w:val="14"/>
                <w:szCs w:val="14"/>
                <w:color w:val="auto"/>
              </w:rPr>
              <w:t>Option To Extend Term.</w:t>
            </w:r>
          </w:p>
        </w:tc>
        <w:tc>
          <w:tcPr>
            <w:tcW w:w="69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3.</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RENTAL</w:t>
            </w:r>
          </w:p>
        </w:tc>
        <w:tc>
          <w:tcPr>
            <w:tcW w:w="69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3.1</w:t>
            </w:r>
          </w:p>
        </w:tc>
        <w:tc>
          <w:tcPr>
            <w:tcW w:w="3700" w:type="dxa"/>
            <w:vAlign w:val="bottom"/>
          </w:tcPr>
          <w:p>
            <w:pPr>
              <w:ind w:left="60"/>
              <w:spacing w:after="0"/>
              <w:rPr>
                <w:sz w:val="20"/>
                <w:szCs w:val="20"/>
                <w:color w:val="auto"/>
              </w:rPr>
            </w:pPr>
            <w:r>
              <w:rPr>
                <w:rFonts w:ascii="Arial" w:cs="Arial" w:eastAsia="Arial" w:hAnsi="Arial"/>
                <w:sz w:val="14"/>
                <w:szCs w:val="14"/>
                <w:color w:val="auto"/>
              </w:rPr>
              <w:t>Minimum Rental.</w:t>
            </w:r>
          </w:p>
        </w:tc>
        <w:tc>
          <w:tcPr>
            <w:tcW w:w="69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3.2</w:t>
            </w:r>
          </w:p>
        </w:tc>
        <w:tc>
          <w:tcPr>
            <w:tcW w:w="3700" w:type="dxa"/>
            <w:vAlign w:val="bottom"/>
          </w:tcPr>
          <w:p>
            <w:pPr>
              <w:ind w:left="60"/>
              <w:spacing w:after="0"/>
              <w:rPr>
                <w:sz w:val="20"/>
                <w:szCs w:val="20"/>
                <w:color w:val="auto"/>
              </w:rPr>
            </w:pPr>
            <w:r>
              <w:rPr>
                <w:rFonts w:ascii="Arial" w:cs="Arial" w:eastAsia="Arial" w:hAnsi="Arial"/>
                <w:sz w:val="14"/>
                <w:szCs w:val="14"/>
                <w:color w:val="auto"/>
              </w:rPr>
              <w:t>Late Charge.</w:t>
            </w:r>
          </w:p>
        </w:tc>
        <w:tc>
          <w:tcPr>
            <w:tcW w:w="69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4.</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STOCK WARRANTS</w:t>
            </w:r>
          </w:p>
        </w:tc>
        <w:tc>
          <w:tcPr>
            <w:tcW w:w="69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4.1</w:t>
            </w:r>
          </w:p>
        </w:tc>
        <w:tc>
          <w:tcPr>
            <w:tcW w:w="3700" w:type="dxa"/>
            <w:vAlign w:val="bottom"/>
          </w:tcPr>
          <w:p>
            <w:pPr>
              <w:ind w:left="60"/>
              <w:spacing w:after="0"/>
              <w:rPr>
                <w:sz w:val="20"/>
                <w:szCs w:val="20"/>
                <w:color w:val="auto"/>
              </w:rPr>
            </w:pPr>
            <w:r>
              <w:rPr>
                <w:rFonts w:ascii="Arial" w:cs="Arial" w:eastAsia="Arial" w:hAnsi="Arial"/>
                <w:sz w:val="14"/>
                <w:szCs w:val="14"/>
                <w:color w:val="auto"/>
              </w:rPr>
              <w:t>Stock Warrants.</w:t>
            </w:r>
          </w:p>
        </w:tc>
        <w:tc>
          <w:tcPr>
            <w:tcW w:w="69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5.</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CONSTRUCTION</w:t>
            </w:r>
          </w:p>
        </w:tc>
        <w:tc>
          <w:tcPr>
            <w:tcW w:w="6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5.1</w:t>
            </w:r>
          </w:p>
        </w:tc>
        <w:tc>
          <w:tcPr>
            <w:tcW w:w="3700" w:type="dxa"/>
            <w:vAlign w:val="bottom"/>
          </w:tcPr>
          <w:p>
            <w:pPr>
              <w:ind w:left="60"/>
              <w:spacing w:after="0"/>
              <w:rPr>
                <w:sz w:val="20"/>
                <w:szCs w:val="20"/>
                <w:color w:val="auto"/>
              </w:rPr>
            </w:pPr>
            <w:r>
              <w:rPr>
                <w:rFonts w:ascii="Arial" w:cs="Arial" w:eastAsia="Arial" w:hAnsi="Arial"/>
                <w:sz w:val="14"/>
                <w:szCs w:val="14"/>
                <w:color w:val="auto"/>
              </w:rPr>
              <w:t>Construction of Improvements.</w:t>
            </w:r>
          </w:p>
        </w:tc>
        <w:tc>
          <w:tcPr>
            <w:tcW w:w="6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5.2</w:t>
            </w:r>
          </w:p>
        </w:tc>
        <w:tc>
          <w:tcPr>
            <w:tcW w:w="3700" w:type="dxa"/>
            <w:vAlign w:val="bottom"/>
          </w:tcPr>
          <w:p>
            <w:pPr>
              <w:ind w:left="60"/>
              <w:spacing w:after="0"/>
              <w:rPr>
                <w:sz w:val="20"/>
                <w:szCs w:val="20"/>
                <w:color w:val="auto"/>
              </w:rPr>
            </w:pPr>
            <w:r>
              <w:rPr>
                <w:rFonts w:ascii="Arial" w:cs="Arial" w:eastAsia="Arial" w:hAnsi="Arial"/>
                <w:sz w:val="14"/>
                <w:szCs w:val="14"/>
                <w:color w:val="auto"/>
              </w:rPr>
              <w:t>Condition of Property.</w:t>
            </w:r>
          </w:p>
        </w:tc>
        <w:tc>
          <w:tcPr>
            <w:tcW w:w="6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5.3</w:t>
            </w:r>
          </w:p>
        </w:tc>
        <w:tc>
          <w:tcPr>
            <w:tcW w:w="3700" w:type="dxa"/>
            <w:vAlign w:val="bottom"/>
          </w:tcPr>
          <w:p>
            <w:pPr>
              <w:ind w:left="60"/>
              <w:spacing w:after="0"/>
              <w:rPr>
                <w:sz w:val="20"/>
                <w:szCs w:val="20"/>
                <w:color w:val="auto"/>
              </w:rPr>
            </w:pPr>
            <w:r>
              <w:rPr>
                <w:rFonts w:ascii="Arial" w:cs="Arial" w:eastAsia="Arial" w:hAnsi="Arial"/>
                <w:sz w:val="14"/>
                <w:szCs w:val="14"/>
                <w:color w:val="auto"/>
              </w:rPr>
              <w:t>Compliance with Law.</w:t>
            </w:r>
          </w:p>
        </w:tc>
        <w:tc>
          <w:tcPr>
            <w:tcW w:w="6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6.</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EXPANSION BUILDING</w:t>
            </w:r>
          </w:p>
        </w:tc>
        <w:tc>
          <w:tcPr>
            <w:tcW w:w="6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6.1</w:t>
            </w:r>
          </w:p>
        </w:tc>
        <w:tc>
          <w:tcPr>
            <w:tcW w:w="3700" w:type="dxa"/>
            <w:vAlign w:val="bottom"/>
          </w:tcPr>
          <w:p>
            <w:pPr>
              <w:ind w:left="60"/>
              <w:spacing w:after="0"/>
              <w:rPr>
                <w:sz w:val="20"/>
                <w:szCs w:val="20"/>
                <w:color w:val="auto"/>
              </w:rPr>
            </w:pPr>
            <w:r>
              <w:rPr>
                <w:rFonts w:ascii="Arial" w:cs="Arial" w:eastAsia="Arial" w:hAnsi="Arial"/>
                <w:sz w:val="14"/>
                <w:szCs w:val="14"/>
                <w:color w:val="auto"/>
              </w:rPr>
              <w:t>Lock-Up Option.</w:t>
            </w:r>
          </w:p>
        </w:tc>
        <w:tc>
          <w:tcPr>
            <w:tcW w:w="6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6.2</w:t>
            </w:r>
          </w:p>
        </w:tc>
        <w:tc>
          <w:tcPr>
            <w:tcW w:w="3700" w:type="dxa"/>
            <w:vAlign w:val="bottom"/>
          </w:tcPr>
          <w:p>
            <w:pPr>
              <w:ind w:left="60"/>
              <w:spacing w:after="0"/>
              <w:rPr>
                <w:sz w:val="20"/>
                <w:szCs w:val="20"/>
                <w:color w:val="auto"/>
              </w:rPr>
            </w:pPr>
            <w:r>
              <w:rPr>
                <w:rFonts w:ascii="Arial" w:cs="Arial" w:eastAsia="Arial" w:hAnsi="Arial"/>
                <w:sz w:val="14"/>
                <w:szCs w:val="14"/>
                <w:color w:val="auto"/>
              </w:rPr>
              <w:t>Exercise.</w:t>
            </w:r>
          </w:p>
        </w:tc>
        <w:tc>
          <w:tcPr>
            <w:tcW w:w="69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6.3</w:t>
            </w:r>
          </w:p>
        </w:tc>
        <w:tc>
          <w:tcPr>
            <w:tcW w:w="3700" w:type="dxa"/>
            <w:vAlign w:val="bottom"/>
          </w:tcPr>
          <w:p>
            <w:pPr>
              <w:ind w:left="60"/>
              <w:spacing w:after="0"/>
              <w:rPr>
                <w:sz w:val="20"/>
                <w:szCs w:val="20"/>
                <w:color w:val="auto"/>
              </w:rPr>
            </w:pPr>
            <w:r>
              <w:rPr>
                <w:rFonts w:ascii="Arial" w:cs="Arial" w:eastAsia="Arial" w:hAnsi="Arial"/>
                <w:sz w:val="14"/>
                <w:szCs w:val="14"/>
                <w:color w:val="auto"/>
              </w:rPr>
              <w:t>Carrying Costs.</w:t>
            </w:r>
          </w:p>
        </w:tc>
        <w:tc>
          <w:tcPr>
            <w:tcW w:w="69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6.4</w:t>
            </w:r>
          </w:p>
        </w:tc>
        <w:tc>
          <w:tcPr>
            <w:tcW w:w="3700" w:type="dxa"/>
            <w:vAlign w:val="bottom"/>
          </w:tcPr>
          <w:p>
            <w:pPr>
              <w:ind w:left="60"/>
              <w:spacing w:after="0"/>
              <w:rPr>
                <w:sz w:val="20"/>
                <w:szCs w:val="20"/>
                <w:color w:val="auto"/>
              </w:rPr>
            </w:pPr>
            <w:r>
              <w:rPr>
                <w:rFonts w:ascii="Arial" w:cs="Arial" w:eastAsia="Arial" w:hAnsi="Arial"/>
                <w:sz w:val="14"/>
                <w:szCs w:val="14"/>
                <w:color w:val="auto"/>
              </w:rPr>
              <w:t>First Negotiation Right and First Refusal Right to Lease.</w:t>
            </w:r>
          </w:p>
        </w:tc>
        <w:tc>
          <w:tcPr>
            <w:tcW w:w="69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7.</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FIRST REFUSAL RIGHT TO PURCHASE</w:t>
            </w:r>
          </w:p>
        </w:tc>
        <w:tc>
          <w:tcPr>
            <w:tcW w:w="69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7.1</w:t>
            </w:r>
          </w:p>
        </w:tc>
        <w:tc>
          <w:tcPr>
            <w:tcW w:w="3700" w:type="dxa"/>
            <w:vAlign w:val="bottom"/>
          </w:tcPr>
          <w:p>
            <w:pPr>
              <w:ind w:left="60"/>
              <w:spacing w:after="0"/>
              <w:rPr>
                <w:sz w:val="20"/>
                <w:szCs w:val="20"/>
                <w:color w:val="auto"/>
              </w:rPr>
            </w:pPr>
            <w:r>
              <w:rPr>
                <w:rFonts w:ascii="Arial" w:cs="Arial" w:eastAsia="Arial" w:hAnsi="Arial"/>
                <w:sz w:val="14"/>
                <w:szCs w:val="14"/>
                <w:color w:val="auto"/>
              </w:rPr>
              <w:t>Sale Restriction.</w:t>
            </w:r>
          </w:p>
        </w:tc>
        <w:tc>
          <w:tcPr>
            <w:tcW w:w="69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7.2</w:t>
            </w:r>
          </w:p>
        </w:tc>
        <w:tc>
          <w:tcPr>
            <w:tcW w:w="3700" w:type="dxa"/>
            <w:vAlign w:val="bottom"/>
          </w:tcPr>
          <w:p>
            <w:pPr>
              <w:ind w:left="60"/>
              <w:spacing w:after="0"/>
              <w:rPr>
                <w:sz w:val="20"/>
                <w:szCs w:val="20"/>
                <w:color w:val="auto"/>
              </w:rPr>
            </w:pPr>
            <w:r>
              <w:rPr>
                <w:rFonts w:ascii="Arial" w:cs="Arial" w:eastAsia="Arial" w:hAnsi="Arial"/>
                <w:sz w:val="14"/>
                <w:szCs w:val="14"/>
                <w:color w:val="auto"/>
              </w:rPr>
              <w:t>First Refusal Right.</w:t>
            </w:r>
          </w:p>
        </w:tc>
        <w:tc>
          <w:tcPr>
            <w:tcW w:w="69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7.3</w:t>
            </w:r>
          </w:p>
        </w:tc>
        <w:tc>
          <w:tcPr>
            <w:tcW w:w="3700" w:type="dxa"/>
            <w:vAlign w:val="bottom"/>
          </w:tcPr>
          <w:p>
            <w:pPr>
              <w:ind w:left="60"/>
              <w:spacing w:after="0"/>
              <w:rPr>
                <w:sz w:val="20"/>
                <w:szCs w:val="20"/>
                <w:color w:val="auto"/>
              </w:rPr>
            </w:pPr>
            <w:r>
              <w:rPr>
                <w:rFonts w:ascii="Arial" w:cs="Arial" w:eastAsia="Arial" w:hAnsi="Arial"/>
                <w:sz w:val="14"/>
                <w:szCs w:val="14"/>
                <w:color w:val="auto"/>
              </w:rPr>
              <w:t>Discount on Purchase Price.</w:t>
            </w:r>
          </w:p>
        </w:tc>
        <w:tc>
          <w:tcPr>
            <w:tcW w:w="6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8.</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TAXES</w:t>
            </w:r>
          </w:p>
        </w:tc>
        <w:tc>
          <w:tcPr>
            <w:tcW w:w="6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8.1</w:t>
            </w:r>
          </w:p>
        </w:tc>
        <w:tc>
          <w:tcPr>
            <w:tcW w:w="3700" w:type="dxa"/>
            <w:vAlign w:val="bottom"/>
          </w:tcPr>
          <w:p>
            <w:pPr>
              <w:ind w:left="60"/>
              <w:spacing w:after="0"/>
              <w:rPr>
                <w:sz w:val="20"/>
                <w:szCs w:val="20"/>
                <w:color w:val="auto"/>
              </w:rPr>
            </w:pPr>
            <w:r>
              <w:rPr>
                <w:rFonts w:ascii="Arial" w:cs="Arial" w:eastAsia="Arial" w:hAnsi="Arial"/>
                <w:sz w:val="14"/>
                <w:szCs w:val="14"/>
                <w:color w:val="auto"/>
              </w:rPr>
              <w:t>Personal Property.</w:t>
            </w:r>
          </w:p>
        </w:tc>
        <w:tc>
          <w:tcPr>
            <w:tcW w:w="6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8.2</w:t>
            </w:r>
          </w:p>
        </w:tc>
        <w:tc>
          <w:tcPr>
            <w:tcW w:w="3700" w:type="dxa"/>
            <w:vAlign w:val="bottom"/>
          </w:tcPr>
          <w:p>
            <w:pPr>
              <w:ind w:left="60"/>
              <w:spacing w:after="0"/>
              <w:rPr>
                <w:sz w:val="20"/>
                <w:szCs w:val="20"/>
                <w:color w:val="auto"/>
              </w:rPr>
            </w:pPr>
            <w:r>
              <w:rPr>
                <w:rFonts w:ascii="Arial" w:cs="Arial" w:eastAsia="Arial" w:hAnsi="Arial"/>
                <w:sz w:val="14"/>
                <w:szCs w:val="14"/>
                <w:color w:val="auto"/>
              </w:rPr>
              <w:t>Real Property.</w:t>
            </w:r>
          </w:p>
        </w:tc>
        <w:tc>
          <w:tcPr>
            <w:tcW w:w="6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9.</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OPERATING EXPENSES</w:t>
            </w:r>
          </w:p>
        </w:tc>
        <w:tc>
          <w:tcPr>
            <w:tcW w:w="6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9.1</w:t>
            </w:r>
          </w:p>
        </w:tc>
        <w:tc>
          <w:tcPr>
            <w:tcW w:w="3700" w:type="dxa"/>
            <w:vAlign w:val="bottom"/>
          </w:tcPr>
          <w:p>
            <w:pPr>
              <w:ind w:left="60"/>
              <w:spacing w:after="0"/>
              <w:rPr>
                <w:sz w:val="20"/>
                <w:szCs w:val="20"/>
                <w:color w:val="auto"/>
              </w:rPr>
            </w:pPr>
            <w:r>
              <w:rPr>
                <w:rFonts w:ascii="Arial" w:cs="Arial" w:eastAsia="Arial" w:hAnsi="Arial"/>
                <w:sz w:val="14"/>
                <w:szCs w:val="14"/>
                <w:color w:val="auto"/>
              </w:rPr>
              <w:t>Liability For Operating Expenses.</w:t>
            </w:r>
          </w:p>
        </w:tc>
        <w:tc>
          <w:tcPr>
            <w:tcW w:w="69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9.2</w:t>
            </w:r>
          </w:p>
        </w:tc>
        <w:tc>
          <w:tcPr>
            <w:tcW w:w="3700" w:type="dxa"/>
            <w:vAlign w:val="bottom"/>
          </w:tcPr>
          <w:p>
            <w:pPr>
              <w:ind w:left="60"/>
              <w:spacing w:after="0"/>
              <w:rPr>
                <w:sz w:val="20"/>
                <w:szCs w:val="20"/>
                <w:color w:val="auto"/>
              </w:rPr>
            </w:pPr>
            <w:r>
              <w:rPr>
                <w:rFonts w:ascii="Arial" w:cs="Arial" w:eastAsia="Arial" w:hAnsi="Arial"/>
                <w:sz w:val="14"/>
                <w:szCs w:val="14"/>
                <w:color w:val="auto"/>
              </w:rPr>
              <w:t>Definition Of Operating Expenses.</w:t>
            </w:r>
          </w:p>
        </w:tc>
        <w:tc>
          <w:tcPr>
            <w:tcW w:w="69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9.3</w:t>
            </w:r>
          </w:p>
        </w:tc>
        <w:tc>
          <w:tcPr>
            <w:tcW w:w="3700" w:type="dxa"/>
            <w:vAlign w:val="bottom"/>
          </w:tcPr>
          <w:p>
            <w:pPr>
              <w:ind w:left="60"/>
              <w:spacing w:after="0"/>
              <w:rPr>
                <w:sz w:val="20"/>
                <w:szCs w:val="20"/>
                <w:color w:val="auto"/>
              </w:rPr>
            </w:pPr>
            <w:r>
              <w:rPr>
                <w:rFonts w:ascii="Arial" w:cs="Arial" w:eastAsia="Arial" w:hAnsi="Arial"/>
                <w:sz w:val="14"/>
                <w:szCs w:val="14"/>
                <w:color w:val="auto"/>
              </w:rPr>
              <w:t>Determination and Payment Of Operating Expenses.</w:t>
            </w:r>
          </w:p>
        </w:tc>
        <w:tc>
          <w:tcPr>
            <w:tcW w:w="6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rPr>
              <w:t>9.4</w:t>
            </w:r>
          </w:p>
        </w:tc>
        <w:tc>
          <w:tcPr>
            <w:tcW w:w="3700" w:type="dxa"/>
            <w:vAlign w:val="bottom"/>
          </w:tcPr>
          <w:p>
            <w:pPr>
              <w:ind w:left="60"/>
              <w:spacing w:after="0"/>
              <w:rPr>
                <w:sz w:val="20"/>
                <w:szCs w:val="20"/>
                <w:color w:val="auto"/>
              </w:rPr>
            </w:pPr>
            <w:r>
              <w:rPr>
                <w:rFonts w:ascii="Arial" w:cs="Arial" w:eastAsia="Arial" w:hAnsi="Arial"/>
                <w:sz w:val="14"/>
                <w:szCs w:val="14"/>
                <w:color w:val="auto"/>
              </w:rPr>
              <w:t>Proration.</w:t>
            </w:r>
          </w:p>
        </w:tc>
        <w:tc>
          <w:tcPr>
            <w:tcW w:w="6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5"/>
        </w:trPr>
        <w:tc>
          <w:tcPr>
            <w:tcW w:w="300" w:type="dxa"/>
            <w:vAlign w:val="bottom"/>
          </w:tcPr>
          <w:p>
            <w:pPr>
              <w:spacing w:after="0"/>
              <w:rPr>
                <w:sz w:val="20"/>
                <w:szCs w:val="20"/>
                <w:color w:val="auto"/>
              </w:rPr>
            </w:pPr>
            <w:r>
              <w:rPr>
                <w:rFonts w:ascii="Arial" w:cs="Arial" w:eastAsia="Arial" w:hAnsi="Arial"/>
                <w:sz w:val="14"/>
                <w:szCs w:val="14"/>
                <w:color w:val="auto"/>
              </w:rPr>
              <w:t>10.</w:t>
            </w:r>
          </w:p>
        </w:tc>
        <w:tc>
          <w:tcPr>
            <w:tcW w:w="4120" w:type="dxa"/>
            <w:vAlign w:val="bottom"/>
            <w:gridSpan w:val="2"/>
          </w:tcPr>
          <w:p>
            <w:pPr>
              <w:ind w:left="140"/>
              <w:spacing w:after="0"/>
              <w:rPr>
                <w:sz w:val="20"/>
                <w:szCs w:val="20"/>
                <w:color w:val="auto"/>
              </w:rPr>
            </w:pPr>
            <w:r>
              <w:rPr>
                <w:rFonts w:ascii="Arial" w:cs="Arial" w:eastAsia="Arial" w:hAnsi="Arial"/>
                <w:sz w:val="14"/>
                <w:szCs w:val="14"/>
                <w:color w:val="auto"/>
              </w:rPr>
              <w:t>UTILITIES</w:t>
            </w:r>
          </w:p>
        </w:tc>
        <w:tc>
          <w:tcPr>
            <w:tcW w:w="69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30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w w:val="95"/>
              </w:rPr>
              <w:t>10.1</w:t>
            </w:r>
          </w:p>
        </w:tc>
        <w:tc>
          <w:tcPr>
            <w:tcW w:w="3700" w:type="dxa"/>
            <w:vAlign w:val="bottom"/>
          </w:tcPr>
          <w:p>
            <w:pPr>
              <w:ind w:left="60"/>
              <w:spacing w:after="0"/>
              <w:rPr>
                <w:sz w:val="20"/>
                <w:szCs w:val="20"/>
                <w:color w:val="auto"/>
              </w:rPr>
            </w:pPr>
            <w:r>
              <w:rPr>
                <w:rFonts w:ascii="Arial" w:cs="Arial" w:eastAsia="Arial" w:hAnsi="Arial"/>
                <w:sz w:val="14"/>
                <w:szCs w:val="14"/>
                <w:color w:val="auto"/>
              </w:rPr>
              <w:t>Payment.</w:t>
            </w:r>
          </w:p>
        </w:tc>
        <w:tc>
          <w:tcPr>
            <w:tcW w:w="69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73"/>
        </w:trPr>
        <w:tc>
          <w:tcPr>
            <w:tcW w:w="30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auto"/>
                <w:w w:val="95"/>
              </w:rPr>
              <w:t>10.2</w:t>
            </w:r>
          </w:p>
        </w:tc>
        <w:tc>
          <w:tcPr>
            <w:tcW w:w="3700" w:type="dxa"/>
            <w:vAlign w:val="bottom"/>
          </w:tcPr>
          <w:p>
            <w:pPr>
              <w:ind w:left="60"/>
              <w:spacing w:after="0"/>
              <w:rPr>
                <w:sz w:val="20"/>
                <w:szCs w:val="20"/>
                <w:color w:val="auto"/>
              </w:rPr>
            </w:pPr>
            <w:r>
              <w:rPr>
                <w:rFonts w:ascii="Arial" w:cs="Arial" w:eastAsia="Arial" w:hAnsi="Arial"/>
                <w:sz w:val="14"/>
                <w:szCs w:val="14"/>
                <w:color w:val="auto"/>
              </w:rPr>
              <w:t>Interruption.</w:t>
            </w:r>
          </w:p>
        </w:tc>
        <w:tc>
          <w:tcPr>
            <w:tcW w:w="6980" w:type="dxa"/>
            <w:vAlign w:val="bottom"/>
          </w:tcPr>
          <w:p>
            <w:pPr>
              <w:jc w:val="right"/>
              <w:spacing w:after="0"/>
              <w:rPr>
                <w:sz w:val="20"/>
                <w:szCs w:val="20"/>
                <w:color w:val="auto"/>
              </w:rPr>
            </w:pPr>
            <w:r>
              <w:rPr>
                <w:rFonts w:ascii="Arial" w:cs="Arial" w:eastAsia="Arial" w:hAnsi="Arial"/>
                <w:sz w:val="14"/>
                <w:szCs w:val="14"/>
                <w:color w:val="auto"/>
              </w:rPr>
              <w:t>12</w:t>
            </w:r>
          </w:p>
        </w:tc>
      </w:tr>
    </w:tbl>
    <w:p>
      <w:pPr>
        <w:jc w:val="right"/>
        <w:spacing w:after="0"/>
        <w:rPr>
          <w:sz w:val="20"/>
          <w:szCs w:val="20"/>
          <w:color w:val="auto"/>
        </w:rPr>
        <w:sectPr>
          <w:pgSz w:w="11900" w:h="16838" w:orient="portrait"/>
          <w:cols w:equalWidth="0" w:num="1">
            <w:col w:w="11400"/>
          </w:cols>
          <w:pgMar w:left="220" w:top="245" w:right="279" w:bottom="1440" w:gutter="0" w:footer="0" w:header="0"/>
        </w:sect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bookmarkStart w:id="384" w:name="page385"/>
    <w:bookmarkEnd w:id="384"/>
    <w:tbl>
      <w:tblPr>
        <w:tblLayout w:type="fixed"/>
        <w:tblInd w:w="0" w:type="dxa"/>
        <w:tblCellMar>
          <w:top w:w="0" w:type="dxa"/>
          <w:left w:w="0" w:type="dxa"/>
          <w:bottom w:w="0" w:type="dxa"/>
          <w:right w:w="0" w:type="dxa"/>
        </w:tblCellMar>
      </w:tblPr>
      <w:tr>
        <w:trPr>
          <w:trHeight w:val="167"/>
        </w:trPr>
        <w:tc>
          <w:tcPr>
            <w:tcW w:w="260" w:type="dxa"/>
            <w:vAlign w:val="bottom"/>
          </w:tcPr>
          <w:p>
            <w:pPr>
              <w:spacing w:after="0"/>
              <w:rPr>
                <w:sz w:val="20"/>
                <w:szCs w:val="20"/>
                <w:color w:val="auto"/>
              </w:rPr>
            </w:pPr>
            <w:r>
              <w:rPr>
                <w:rFonts w:ascii="Arial" w:cs="Arial" w:eastAsia="Arial" w:hAnsi="Arial"/>
                <w:sz w:val="14"/>
                <w:szCs w:val="14"/>
                <w:color w:val="auto"/>
              </w:rPr>
              <w:t>11.</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ALTERATION; SIGNS</w:t>
            </w:r>
          </w:p>
        </w:tc>
        <w:tc>
          <w:tcPr>
            <w:tcW w:w="42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260" w:type="dxa"/>
            <w:vAlign w:val="bottom"/>
          </w:tcPr>
          <w:p>
            <w:pPr>
              <w:spacing w:after="0"/>
              <w:rPr>
                <w:sz w:val="14"/>
                <w:szCs w:val="14"/>
                <w:color w:val="auto"/>
              </w:rPr>
            </w:pP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11.1  Right To Make Alterations.</w:t>
            </w:r>
          </w:p>
        </w:tc>
        <w:tc>
          <w:tcPr>
            <w:tcW w:w="42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11.2</w:t>
            </w:r>
          </w:p>
        </w:tc>
        <w:tc>
          <w:tcPr>
            <w:tcW w:w="6600" w:type="dxa"/>
            <w:vAlign w:val="bottom"/>
          </w:tcPr>
          <w:p>
            <w:pPr>
              <w:ind w:left="40"/>
              <w:spacing w:after="0"/>
              <w:rPr>
                <w:sz w:val="20"/>
                <w:szCs w:val="20"/>
                <w:color w:val="auto"/>
              </w:rPr>
            </w:pPr>
            <w:r>
              <w:rPr>
                <w:rFonts w:ascii="Arial" w:cs="Arial" w:eastAsia="Arial" w:hAnsi="Arial"/>
                <w:sz w:val="14"/>
                <w:szCs w:val="14"/>
                <w:color w:val="auto"/>
              </w:rPr>
              <w:t>Title To Alterations.</w:t>
            </w:r>
          </w:p>
        </w:tc>
        <w:tc>
          <w:tcPr>
            <w:tcW w:w="42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11.3</w:t>
            </w:r>
          </w:p>
        </w:tc>
        <w:tc>
          <w:tcPr>
            <w:tcW w:w="6600" w:type="dxa"/>
            <w:vAlign w:val="bottom"/>
          </w:tcPr>
          <w:p>
            <w:pPr>
              <w:ind w:left="40"/>
              <w:spacing w:after="0"/>
              <w:rPr>
                <w:sz w:val="20"/>
                <w:szCs w:val="20"/>
                <w:color w:val="auto"/>
              </w:rPr>
            </w:pPr>
            <w:r>
              <w:rPr>
                <w:rFonts w:ascii="Arial" w:cs="Arial" w:eastAsia="Arial" w:hAnsi="Arial"/>
                <w:sz w:val="14"/>
                <w:szCs w:val="14"/>
                <w:color w:val="auto"/>
              </w:rPr>
              <w:t>Tenant Fixtures.</w:t>
            </w:r>
          </w:p>
        </w:tc>
        <w:tc>
          <w:tcPr>
            <w:tcW w:w="42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11.4</w:t>
            </w:r>
          </w:p>
        </w:tc>
        <w:tc>
          <w:tcPr>
            <w:tcW w:w="6600" w:type="dxa"/>
            <w:vAlign w:val="bottom"/>
          </w:tcPr>
          <w:p>
            <w:pPr>
              <w:ind w:left="40"/>
              <w:spacing w:after="0"/>
              <w:rPr>
                <w:sz w:val="20"/>
                <w:szCs w:val="20"/>
                <w:color w:val="auto"/>
              </w:rPr>
            </w:pPr>
            <w:r>
              <w:rPr>
                <w:rFonts w:ascii="Arial" w:cs="Arial" w:eastAsia="Arial" w:hAnsi="Arial"/>
                <w:sz w:val="14"/>
                <w:szCs w:val="14"/>
                <w:color w:val="auto"/>
              </w:rPr>
              <w:t>No Liens.</w:t>
            </w:r>
          </w:p>
        </w:tc>
        <w:tc>
          <w:tcPr>
            <w:tcW w:w="4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11.5</w:t>
            </w:r>
          </w:p>
        </w:tc>
        <w:tc>
          <w:tcPr>
            <w:tcW w:w="6600" w:type="dxa"/>
            <w:vAlign w:val="bottom"/>
          </w:tcPr>
          <w:p>
            <w:pPr>
              <w:ind w:left="40"/>
              <w:spacing w:after="0"/>
              <w:rPr>
                <w:sz w:val="20"/>
                <w:szCs w:val="20"/>
                <w:color w:val="auto"/>
              </w:rPr>
            </w:pPr>
            <w:r>
              <w:rPr>
                <w:rFonts w:ascii="Arial" w:cs="Arial" w:eastAsia="Arial" w:hAnsi="Arial"/>
                <w:sz w:val="14"/>
                <w:szCs w:val="14"/>
                <w:color w:val="auto"/>
              </w:rPr>
              <w:t>Signs.</w:t>
            </w:r>
          </w:p>
        </w:tc>
        <w:tc>
          <w:tcPr>
            <w:tcW w:w="4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12.</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MAINTENANCE AND REPAIRS</w:t>
            </w:r>
          </w:p>
        </w:tc>
        <w:tc>
          <w:tcPr>
            <w:tcW w:w="4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12.1</w:t>
            </w:r>
          </w:p>
        </w:tc>
        <w:tc>
          <w:tcPr>
            <w:tcW w:w="6600" w:type="dxa"/>
            <w:vAlign w:val="bottom"/>
          </w:tcPr>
          <w:p>
            <w:pPr>
              <w:ind w:left="40"/>
              <w:spacing w:after="0"/>
              <w:rPr>
                <w:sz w:val="20"/>
                <w:szCs w:val="20"/>
                <w:color w:val="auto"/>
              </w:rPr>
            </w:pPr>
            <w:r>
              <w:rPr>
                <w:rFonts w:ascii="Arial" w:cs="Arial" w:eastAsia="Arial" w:hAnsi="Arial"/>
                <w:sz w:val="14"/>
                <w:szCs w:val="14"/>
                <w:color w:val="auto"/>
              </w:rPr>
              <w:t>Landlord’s Work.</w:t>
            </w:r>
          </w:p>
        </w:tc>
        <w:tc>
          <w:tcPr>
            <w:tcW w:w="4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12.2</w:t>
            </w:r>
          </w:p>
        </w:tc>
        <w:tc>
          <w:tcPr>
            <w:tcW w:w="6600" w:type="dxa"/>
            <w:vAlign w:val="bottom"/>
          </w:tcPr>
          <w:p>
            <w:pPr>
              <w:ind w:left="40"/>
              <w:spacing w:after="0"/>
              <w:rPr>
                <w:sz w:val="20"/>
                <w:szCs w:val="20"/>
                <w:color w:val="auto"/>
              </w:rPr>
            </w:pPr>
            <w:r>
              <w:rPr>
                <w:rFonts w:ascii="Arial" w:cs="Arial" w:eastAsia="Arial" w:hAnsi="Arial"/>
                <w:sz w:val="14"/>
                <w:szCs w:val="14"/>
                <w:color w:val="auto"/>
              </w:rPr>
              <w:t>Tenant’s Obligation For Maintenance.</w:t>
            </w:r>
          </w:p>
        </w:tc>
        <w:tc>
          <w:tcPr>
            <w:tcW w:w="4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13.</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USE OF PROPERTY</w:t>
            </w:r>
          </w:p>
        </w:tc>
        <w:tc>
          <w:tcPr>
            <w:tcW w:w="42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13.1</w:t>
            </w:r>
          </w:p>
        </w:tc>
        <w:tc>
          <w:tcPr>
            <w:tcW w:w="6600" w:type="dxa"/>
            <w:vAlign w:val="bottom"/>
          </w:tcPr>
          <w:p>
            <w:pPr>
              <w:ind w:left="40"/>
              <w:spacing w:after="0"/>
              <w:rPr>
                <w:sz w:val="20"/>
                <w:szCs w:val="20"/>
                <w:color w:val="auto"/>
              </w:rPr>
            </w:pPr>
            <w:r>
              <w:rPr>
                <w:rFonts w:ascii="Arial" w:cs="Arial" w:eastAsia="Arial" w:hAnsi="Arial"/>
                <w:sz w:val="14"/>
                <w:szCs w:val="14"/>
                <w:color w:val="auto"/>
              </w:rPr>
              <w:t>Permitted Use</w:t>
            </w:r>
          </w:p>
        </w:tc>
        <w:tc>
          <w:tcPr>
            <w:tcW w:w="42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13.2</w:t>
            </w:r>
          </w:p>
        </w:tc>
        <w:tc>
          <w:tcPr>
            <w:tcW w:w="6600" w:type="dxa"/>
            <w:vAlign w:val="bottom"/>
          </w:tcPr>
          <w:p>
            <w:pPr>
              <w:ind w:left="40"/>
              <w:spacing w:after="0"/>
              <w:rPr>
                <w:sz w:val="20"/>
                <w:szCs w:val="20"/>
                <w:color w:val="auto"/>
              </w:rPr>
            </w:pPr>
            <w:r>
              <w:rPr>
                <w:rFonts w:ascii="Arial" w:cs="Arial" w:eastAsia="Arial" w:hAnsi="Arial"/>
                <w:sz w:val="14"/>
                <w:szCs w:val="14"/>
                <w:color w:val="auto"/>
              </w:rPr>
              <w:t>[Omitted.]</w:t>
            </w:r>
          </w:p>
        </w:tc>
        <w:tc>
          <w:tcPr>
            <w:tcW w:w="42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13.3</w:t>
            </w:r>
          </w:p>
        </w:tc>
        <w:tc>
          <w:tcPr>
            <w:tcW w:w="6600" w:type="dxa"/>
            <w:vAlign w:val="bottom"/>
          </w:tcPr>
          <w:p>
            <w:pPr>
              <w:ind w:left="40"/>
              <w:spacing w:after="0"/>
              <w:rPr>
                <w:sz w:val="20"/>
                <w:szCs w:val="20"/>
                <w:color w:val="auto"/>
              </w:rPr>
            </w:pPr>
            <w:r>
              <w:rPr>
                <w:rFonts w:ascii="Arial" w:cs="Arial" w:eastAsia="Arial" w:hAnsi="Arial"/>
                <w:sz w:val="14"/>
                <w:szCs w:val="14"/>
                <w:color w:val="auto"/>
              </w:rPr>
              <w:t>No Nuisance.</w:t>
            </w:r>
          </w:p>
        </w:tc>
        <w:tc>
          <w:tcPr>
            <w:tcW w:w="42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13.4</w:t>
            </w:r>
          </w:p>
        </w:tc>
        <w:tc>
          <w:tcPr>
            <w:tcW w:w="6600" w:type="dxa"/>
            <w:vAlign w:val="bottom"/>
          </w:tcPr>
          <w:p>
            <w:pPr>
              <w:ind w:left="40"/>
              <w:spacing w:after="0"/>
              <w:rPr>
                <w:sz w:val="20"/>
                <w:szCs w:val="20"/>
                <w:color w:val="auto"/>
              </w:rPr>
            </w:pPr>
            <w:r>
              <w:rPr>
                <w:rFonts w:ascii="Arial" w:cs="Arial" w:eastAsia="Arial" w:hAnsi="Arial"/>
                <w:sz w:val="14"/>
                <w:szCs w:val="14"/>
                <w:color w:val="auto"/>
              </w:rPr>
              <w:t>Compliance With Laws.</w:t>
            </w:r>
          </w:p>
        </w:tc>
        <w:tc>
          <w:tcPr>
            <w:tcW w:w="42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13.5</w:t>
            </w:r>
          </w:p>
        </w:tc>
        <w:tc>
          <w:tcPr>
            <w:tcW w:w="6600" w:type="dxa"/>
            <w:vAlign w:val="bottom"/>
          </w:tcPr>
          <w:p>
            <w:pPr>
              <w:ind w:left="40"/>
              <w:spacing w:after="0"/>
              <w:rPr>
                <w:sz w:val="20"/>
                <w:szCs w:val="20"/>
                <w:color w:val="auto"/>
              </w:rPr>
            </w:pPr>
            <w:r>
              <w:rPr>
                <w:rFonts w:ascii="Arial" w:cs="Arial" w:eastAsia="Arial" w:hAnsi="Arial"/>
                <w:sz w:val="14"/>
                <w:szCs w:val="14"/>
                <w:color w:val="auto"/>
              </w:rPr>
              <w:t>Liquidation Sales.</w:t>
            </w:r>
          </w:p>
        </w:tc>
        <w:tc>
          <w:tcPr>
            <w:tcW w:w="42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13.6</w:t>
            </w:r>
          </w:p>
        </w:tc>
        <w:tc>
          <w:tcPr>
            <w:tcW w:w="6600" w:type="dxa"/>
            <w:vAlign w:val="bottom"/>
          </w:tcPr>
          <w:p>
            <w:pPr>
              <w:ind w:left="40"/>
              <w:spacing w:after="0"/>
              <w:rPr>
                <w:sz w:val="20"/>
                <w:szCs w:val="20"/>
                <w:color w:val="auto"/>
              </w:rPr>
            </w:pPr>
            <w:r>
              <w:rPr>
                <w:rFonts w:ascii="Arial" w:cs="Arial" w:eastAsia="Arial" w:hAnsi="Arial"/>
                <w:sz w:val="14"/>
                <w:szCs w:val="14"/>
                <w:color w:val="auto"/>
              </w:rPr>
              <w:t>Environmental Matters.</w:t>
            </w:r>
          </w:p>
        </w:tc>
        <w:tc>
          <w:tcPr>
            <w:tcW w:w="42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14.</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INSURANCE AND INDEMNITY</w:t>
            </w:r>
          </w:p>
        </w:tc>
        <w:tc>
          <w:tcPr>
            <w:tcW w:w="4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14.1</w:t>
            </w:r>
          </w:p>
        </w:tc>
        <w:tc>
          <w:tcPr>
            <w:tcW w:w="6600" w:type="dxa"/>
            <w:vAlign w:val="bottom"/>
          </w:tcPr>
          <w:p>
            <w:pPr>
              <w:ind w:left="40"/>
              <w:spacing w:after="0"/>
              <w:rPr>
                <w:sz w:val="20"/>
                <w:szCs w:val="20"/>
                <w:color w:val="auto"/>
              </w:rPr>
            </w:pPr>
            <w:r>
              <w:rPr>
                <w:rFonts w:ascii="Arial" w:cs="Arial" w:eastAsia="Arial" w:hAnsi="Arial"/>
                <w:sz w:val="14"/>
                <w:szCs w:val="14"/>
                <w:color w:val="auto"/>
              </w:rPr>
              <w:t>Liability and Property Insurance.</w:t>
            </w:r>
          </w:p>
        </w:tc>
        <w:tc>
          <w:tcPr>
            <w:tcW w:w="4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14.2</w:t>
            </w:r>
          </w:p>
        </w:tc>
        <w:tc>
          <w:tcPr>
            <w:tcW w:w="6600" w:type="dxa"/>
            <w:vAlign w:val="bottom"/>
          </w:tcPr>
          <w:p>
            <w:pPr>
              <w:ind w:left="40"/>
              <w:spacing w:after="0"/>
              <w:rPr>
                <w:sz w:val="20"/>
                <w:szCs w:val="20"/>
                <w:color w:val="auto"/>
              </w:rPr>
            </w:pPr>
            <w:r>
              <w:rPr>
                <w:rFonts w:ascii="Arial" w:cs="Arial" w:eastAsia="Arial" w:hAnsi="Arial"/>
                <w:sz w:val="14"/>
                <w:szCs w:val="14"/>
                <w:color w:val="auto"/>
              </w:rPr>
              <w:t>Quality Of Policies And Certificates.</w:t>
            </w:r>
          </w:p>
        </w:tc>
        <w:tc>
          <w:tcPr>
            <w:tcW w:w="4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14.3</w:t>
            </w:r>
          </w:p>
        </w:tc>
        <w:tc>
          <w:tcPr>
            <w:tcW w:w="6600" w:type="dxa"/>
            <w:vAlign w:val="bottom"/>
          </w:tcPr>
          <w:p>
            <w:pPr>
              <w:ind w:left="40"/>
              <w:spacing w:after="0"/>
              <w:rPr>
                <w:sz w:val="20"/>
                <w:szCs w:val="20"/>
                <w:color w:val="auto"/>
              </w:rPr>
            </w:pPr>
            <w:r>
              <w:rPr>
                <w:rFonts w:ascii="Arial" w:cs="Arial" w:eastAsia="Arial" w:hAnsi="Arial"/>
                <w:sz w:val="14"/>
                <w:szCs w:val="14"/>
                <w:color w:val="auto"/>
              </w:rPr>
              <w:t>Workers’ Compensation.</w:t>
            </w:r>
          </w:p>
        </w:tc>
        <w:tc>
          <w:tcPr>
            <w:tcW w:w="4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14.4</w:t>
            </w:r>
          </w:p>
        </w:tc>
        <w:tc>
          <w:tcPr>
            <w:tcW w:w="6600" w:type="dxa"/>
            <w:vAlign w:val="bottom"/>
          </w:tcPr>
          <w:p>
            <w:pPr>
              <w:ind w:left="40"/>
              <w:spacing w:after="0"/>
              <w:rPr>
                <w:sz w:val="20"/>
                <w:szCs w:val="20"/>
                <w:color w:val="auto"/>
              </w:rPr>
            </w:pPr>
            <w:r>
              <w:rPr>
                <w:rFonts w:ascii="Arial" w:cs="Arial" w:eastAsia="Arial" w:hAnsi="Arial"/>
                <w:sz w:val="14"/>
                <w:szCs w:val="14"/>
                <w:color w:val="auto"/>
              </w:rPr>
              <w:t>Waiver Of Subrogation.</w:t>
            </w:r>
          </w:p>
        </w:tc>
        <w:tc>
          <w:tcPr>
            <w:tcW w:w="4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14.5</w:t>
            </w:r>
          </w:p>
        </w:tc>
        <w:tc>
          <w:tcPr>
            <w:tcW w:w="6600" w:type="dxa"/>
            <w:vAlign w:val="bottom"/>
          </w:tcPr>
          <w:p>
            <w:pPr>
              <w:ind w:left="40"/>
              <w:spacing w:after="0"/>
              <w:rPr>
                <w:sz w:val="20"/>
                <w:szCs w:val="20"/>
                <w:color w:val="auto"/>
              </w:rPr>
            </w:pPr>
            <w:r>
              <w:rPr>
                <w:rFonts w:ascii="Arial" w:cs="Arial" w:eastAsia="Arial" w:hAnsi="Arial"/>
                <w:sz w:val="14"/>
                <w:szCs w:val="14"/>
                <w:color w:val="auto"/>
              </w:rPr>
              <w:t>Increase In Premiums.</w:t>
            </w:r>
          </w:p>
        </w:tc>
        <w:tc>
          <w:tcPr>
            <w:tcW w:w="4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14.6</w:t>
            </w:r>
          </w:p>
        </w:tc>
        <w:tc>
          <w:tcPr>
            <w:tcW w:w="6600" w:type="dxa"/>
            <w:vAlign w:val="bottom"/>
          </w:tcPr>
          <w:p>
            <w:pPr>
              <w:ind w:left="40"/>
              <w:spacing w:after="0"/>
              <w:rPr>
                <w:sz w:val="20"/>
                <w:szCs w:val="20"/>
                <w:color w:val="auto"/>
              </w:rPr>
            </w:pPr>
            <w:r>
              <w:rPr>
                <w:rFonts w:ascii="Arial" w:cs="Arial" w:eastAsia="Arial" w:hAnsi="Arial"/>
                <w:sz w:val="14"/>
                <w:szCs w:val="14"/>
                <w:color w:val="auto"/>
              </w:rPr>
              <w:t>Indemnification.</w:t>
            </w:r>
          </w:p>
        </w:tc>
        <w:tc>
          <w:tcPr>
            <w:tcW w:w="4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14.7</w:t>
            </w:r>
          </w:p>
        </w:tc>
        <w:tc>
          <w:tcPr>
            <w:tcW w:w="6600" w:type="dxa"/>
            <w:vAlign w:val="bottom"/>
          </w:tcPr>
          <w:p>
            <w:pPr>
              <w:ind w:left="40"/>
              <w:spacing w:after="0"/>
              <w:rPr>
                <w:sz w:val="20"/>
                <w:szCs w:val="20"/>
                <w:color w:val="auto"/>
              </w:rPr>
            </w:pPr>
            <w:r>
              <w:rPr>
                <w:rFonts w:ascii="Arial" w:cs="Arial" w:eastAsia="Arial" w:hAnsi="Arial"/>
                <w:sz w:val="14"/>
                <w:szCs w:val="14"/>
                <w:color w:val="auto"/>
              </w:rPr>
              <w:t>Blanket Policy.</w:t>
            </w:r>
          </w:p>
        </w:tc>
        <w:tc>
          <w:tcPr>
            <w:tcW w:w="42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15.</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SUBLEASE AND ASSIGNMENT</w:t>
            </w:r>
          </w:p>
        </w:tc>
        <w:tc>
          <w:tcPr>
            <w:tcW w:w="42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15.1</w:t>
            </w:r>
          </w:p>
        </w:tc>
        <w:tc>
          <w:tcPr>
            <w:tcW w:w="6600" w:type="dxa"/>
            <w:vAlign w:val="bottom"/>
          </w:tcPr>
          <w:p>
            <w:pPr>
              <w:ind w:left="40"/>
              <w:spacing w:after="0"/>
              <w:rPr>
                <w:sz w:val="20"/>
                <w:szCs w:val="20"/>
                <w:color w:val="auto"/>
              </w:rPr>
            </w:pPr>
            <w:r>
              <w:rPr>
                <w:rFonts w:ascii="Arial" w:cs="Arial" w:eastAsia="Arial" w:hAnsi="Arial"/>
                <w:sz w:val="14"/>
                <w:szCs w:val="14"/>
                <w:color w:val="auto"/>
              </w:rPr>
              <w:t>Assignment And Sublease Of Property.</w:t>
            </w:r>
          </w:p>
        </w:tc>
        <w:tc>
          <w:tcPr>
            <w:tcW w:w="42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15.2</w:t>
            </w:r>
          </w:p>
        </w:tc>
        <w:tc>
          <w:tcPr>
            <w:tcW w:w="6600" w:type="dxa"/>
            <w:vAlign w:val="bottom"/>
          </w:tcPr>
          <w:p>
            <w:pPr>
              <w:ind w:left="40"/>
              <w:spacing w:after="0"/>
              <w:rPr>
                <w:sz w:val="20"/>
                <w:szCs w:val="20"/>
                <w:color w:val="auto"/>
              </w:rPr>
            </w:pPr>
            <w:r>
              <w:rPr>
                <w:rFonts w:ascii="Arial" w:cs="Arial" w:eastAsia="Arial" w:hAnsi="Arial"/>
                <w:sz w:val="14"/>
                <w:szCs w:val="14"/>
                <w:color w:val="auto"/>
              </w:rPr>
              <w:t>Rights Of Landlord.</w:t>
            </w:r>
          </w:p>
        </w:tc>
        <w:tc>
          <w:tcPr>
            <w:tcW w:w="42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5"/>
        </w:trPr>
        <w:tc>
          <w:tcPr>
            <w:tcW w:w="7220" w:type="dxa"/>
            <w:vAlign w:val="bottom"/>
            <w:gridSpan w:val="3"/>
          </w:tcPr>
          <w:p>
            <w:pPr>
              <w:spacing w:after="0"/>
              <w:rPr>
                <w:sz w:val="20"/>
                <w:szCs w:val="20"/>
                <w:color w:val="auto"/>
              </w:rPr>
            </w:pPr>
            <w:r>
              <w:rPr>
                <w:rFonts w:ascii="Arial" w:cs="Arial" w:eastAsia="Arial" w:hAnsi="Arial"/>
                <w:sz w:val="14"/>
                <w:szCs w:val="14"/>
                <w:color w:val="auto"/>
              </w:rPr>
              <w:t>16.  RIGHT OF ENTRY AND QUIET ENJOYMENT</w:t>
            </w:r>
          </w:p>
        </w:tc>
        <w:tc>
          <w:tcPr>
            <w:tcW w:w="42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16.1</w:t>
            </w:r>
          </w:p>
        </w:tc>
        <w:tc>
          <w:tcPr>
            <w:tcW w:w="6600" w:type="dxa"/>
            <w:vAlign w:val="bottom"/>
          </w:tcPr>
          <w:p>
            <w:pPr>
              <w:ind w:left="40"/>
              <w:spacing w:after="0"/>
              <w:rPr>
                <w:sz w:val="20"/>
                <w:szCs w:val="20"/>
                <w:color w:val="auto"/>
              </w:rPr>
            </w:pPr>
            <w:r>
              <w:rPr>
                <w:rFonts w:ascii="Arial" w:cs="Arial" w:eastAsia="Arial" w:hAnsi="Arial"/>
                <w:sz w:val="14"/>
                <w:szCs w:val="14"/>
                <w:color w:val="auto"/>
              </w:rPr>
              <w:t>Right Of Entry.</w:t>
            </w:r>
          </w:p>
        </w:tc>
        <w:tc>
          <w:tcPr>
            <w:tcW w:w="42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16.2</w:t>
            </w:r>
          </w:p>
        </w:tc>
        <w:tc>
          <w:tcPr>
            <w:tcW w:w="6600" w:type="dxa"/>
            <w:vAlign w:val="bottom"/>
          </w:tcPr>
          <w:p>
            <w:pPr>
              <w:ind w:left="40"/>
              <w:spacing w:after="0"/>
              <w:rPr>
                <w:sz w:val="20"/>
                <w:szCs w:val="20"/>
                <w:color w:val="auto"/>
              </w:rPr>
            </w:pPr>
            <w:r>
              <w:rPr>
                <w:rFonts w:ascii="Arial" w:cs="Arial" w:eastAsia="Arial" w:hAnsi="Arial"/>
                <w:sz w:val="14"/>
                <w:szCs w:val="14"/>
                <w:color w:val="auto"/>
              </w:rPr>
              <w:t>Quiet Enjoyment.</w:t>
            </w:r>
          </w:p>
        </w:tc>
        <w:tc>
          <w:tcPr>
            <w:tcW w:w="42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17.</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CASUALTY AND TAKING</w:t>
            </w:r>
          </w:p>
        </w:tc>
        <w:tc>
          <w:tcPr>
            <w:tcW w:w="42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17.1</w:t>
            </w:r>
          </w:p>
        </w:tc>
        <w:tc>
          <w:tcPr>
            <w:tcW w:w="6600" w:type="dxa"/>
            <w:vAlign w:val="bottom"/>
          </w:tcPr>
          <w:p>
            <w:pPr>
              <w:ind w:left="40"/>
              <w:spacing w:after="0"/>
              <w:rPr>
                <w:sz w:val="20"/>
                <w:szCs w:val="20"/>
                <w:color w:val="auto"/>
              </w:rPr>
            </w:pPr>
            <w:r>
              <w:rPr>
                <w:rFonts w:ascii="Arial" w:cs="Arial" w:eastAsia="Arial" w:hAnsi="Arial"/>
                <w:sz w:val="14"/>
                <w:szCs w:val="14"/>
                <w:color w:val="auto"/>
              </w:rPr>
              <w:t>Damage or Destruction.</w:t>
            </w:r>
          </w:p>
        </w:tc>
        <w:tc>
          <w:tcPr>
            <w:tcW w:w="42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17.2</w:t>
            </w:r>
          </w:p>
        </w:tc>
        <w:tc>
          <w:tcPr>
            <w:tcW w:w="6600" w:type="dxa"/>
            <w:vAlign w:val="bottom"/>
          </w:tcPr>
          <w:p>
            <w:pPr>
              <w:ind w:left="40"/>
              <w:spacing w:after="0"/>
              <w:rPr>
                <w:sz w:val="20"/>
                <w:szCs w:val="20"/>
                <w:color w:val="auto"/>
              </w:rPr>
            </w:pPr>
            <w:r>
              <w:rPr>
                <w:rFonts w:ascii="Arial" w:cs="Arial" w:eastAsia="Arial" w:hAnsi="Arial"/>
                <w:sz w:val="14"/>
                <w:szCs w:val="14"/>
                <w:color w:val="auto"/>
              </w:rPr>
              <w:t>Condemnation.</w:t>
            </w:r>
          </w:p>
        </w:tc>
        <w:tc>
          <w:tcPr>
            <w:tcW w:w="42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17.3</w:t>
            </w:r>
          </w:p>
        </w:tc>
        <w:tc>
          <w:tcPr>
            <w:tcW w:w="6600" w:type="dxa"/>
            <w:vAlign w:val="bottom"/>
          </w:tcPr>
          <w:p>
            <w:pPr>
              <w:ind w:left="40"/>
              <w:spacing w:after="0"/>
              <w:rPr>
                <w:sz w:val="20"/>
                <w:szCs w:val="20"/>
                <w:color w:val="auto"/>
              </w:rPr>
            </w:pPr>
            <w:r>
              <w:rPr>
                <w:rFonts w:ascii="Arial" w:cs="Arial" w:eastAsia="Arial" w:hAnsi="Arial"/>
                <w:sz w:val="14"/>
                <w:szCs w:val="14"/>
                <w:color w:val="auto"/>
              </w:rPr>
              <w:t>Reservation Of Compensation.</w:t>
            </w:r>
          </w:p>
        </w:tc>
        <w:tc>
          <w:tcPr>
            <w:tcW w:w="42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17.4</w:t>
            </w:r>
          </w:p>
        </w:tc>
        <w:tc>
          <w:tcPr>
            <w:tcW w:w="6600" w:type="dxa"/>
            <w:vAlign w:val="bottom"/>
          </w:tcPr>
          <w:p>
            <w:pPr>
              <w:ind w:left="40"/>
              <w:spacing w:after="0"/>
              <w:rPr>
                <w:sz w:val="20"/>
                <w:szCs w:val="20"/>
                <w:color w:val="auto"/>
              </w:rPr>
            </w:pPr>
            <w:r>
              <w:rPr>
                <w:rFonts w:ascii="Arial" w:cs="Arial" w:eastAsia="Arial" w:hAnsi="Arial"/>
                <w:sz w:val="14"/>
                <w:szCs w:val="14"/>
                <w:color w:val="auto"/>
              </w:rPr>
              <w:t>Restoration Of Improvements.</w:t>
            </w:r>
          </w:p>
        </w:tc>
        <w:tc>
          <w:tcPr>
            <w:tcW w:w="42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18.</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DEFAULT</w:t>
            </w:r>
          </w:p>
        </w:tc>
        <w:tc>
          <w:tcPr>
            <w:tcW w:w="42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18.1</w:t>
            </w:r>
          </w:p>
        </w:tc>
        <w:tc>
          <w:tcPr>
            <w:tcW w:w="6600" w:type="dxa"/>
            <w:vAlign w:val="bottom"/>
          </w:tcPr>
          <w:p>
            <w:pPr>
              <w:ind w:left="40"/>
              <w:spacing w:after="0"/>
              <w:rPr>
                <w:sz w:val="20"/>
                <w:szCs w:val="20"/>
                <w:color w:val="auto"/>
              </w:rPr>
            </w:pPr>
            <w:r>
              <w:rPr>
                <w:rFonts w:ascii="Arial" w:cs="Arial" w:eastAsia="Arial" w:hAnsi="Arial"/>
                <w:sz w:val="14"/>
                <w:szCs w:val="14"/>
                <w:color w:val="auto"/>
              </w:rPr>
              <w:t>Events Of Default.</w:t>
            </w:r>
          </w:p>
        </w:tc>
        <w:tc>
          <w:tcPr>
            <w:tcW w:w="42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18.2</w:t>
            </w:r>
          </w:p>
        </w:tc>
        <w:tc>
          <w:tcPr>
            <w:tcW w:w="6600" w:type="dxa"/>
            <w:vAlign w:val="bottom"/>
          </w:tcPr>
          <w:p>
            <w:pPr>
              <w:ind w:left="40"/>
              <w:spacing w:after="0"/>
              <w:rPr>
                <w:sz w:val="20"/>
                <w:szCs w:val="20"/>
                <w:color w:val="auto"/>
              </w:rPr>
            </w:pPr>
            <w:r>
              <w:rPr>
                <w:rFonts w:ascii="Arial" w:cs="Arial" w:eastAsia="Arial" w:hAnsi="Arial"/>
                <w:sz w:val="14"/>
                <w:szCs w:val="14"/>
                <w:color w:val="auto"/>
              </w:rPr>
              <w:t>Remedies Upon Tenant’s Default.</w:t>
            </w:r>
          </w:p>
        </w:tc>
        <w:tc>
          <w:tcPr>
            <w:tcW w:w="42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18.3</w:t>
            </w:r>
          </w:p>
        </w:tc>
        <w:tc>
          <w:tcPr>
            <w:tcW w:w="6600" w:type="dxa"/>
            <w:vAlign w:val="bottom"/>
          </w:tcPr>
          <w:p>
            <w:pPr>
              <w:ind w:left="40"/>
              <w:spacing w:after="0"/>
              <w:rPr>
                <w:sz w:val="20"/>
                <w:szCs w:val="20"/>
                <w:color w:val="auto"/>
              </w:rPr>
            </w:pPr>
            <w:r>
              <w:rPr>
                <w:rFonts w:ascii="Arial" w:cs="Arial" w:eastAsia="Arial" w:hAnsi="Arial"/>
                <w:sz w:val="14"/>
                <w:szCs w:val="14"/>
                <w:color w:val="auto"/>
              </w:rPr>
              <w:t>Remedies Cumulative.</w:t>
            </w:r>
          </w:p>
        </w:tc>
        <w:tc>
          <w:tcPr>
            <w:tcW w:w="4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45"/>
        </w:trPr>
        <w:tc>
          <w:tcPr>
            <w:tcW w:w="7220" w:type="dxa"/>
            <w:vAlign w:val="bottom"/>
            <w:gridSpan w:val="3"/>
          </w:tcPr>
          <w:p>
            <w:pPr>
              <w:spacing w:after="0"/>
              <w:rPr>
                <w:sz w:val="20"/>
                <w:szCs w:val="20"/>
                <w:color w:val="auto"/>
              </w:rPr>
            </w:pPr>
            <w:r>
              <w:rPr>
                <w:rFonts w:ascii="Arial" w:cs="Arial" w:eastAsia="Arial" w:hAnsi="Arial"/>
                <w:sz w:val="14"/>
                <w:szCs w:val="14"/>
                <w:color w:val="auto"/>
              </w:rPr>
              <w:t>19.  SUBORDINATION, ATTORNMENT AND SALE</w:t>
            </w:r>
          </w:p>
        </w:tc>
        <w:tc>
          <w:tcPr>
            <w:tcW w:w="4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19.1</w:t>
            </w:r>
          </w:p>
        </w:tc>
        <w:tc>
          <w:tcPr>
            <w:tcW w:w="6600" w:type="dxa"/>
            <w:vAlign w:val="bottom"/>
          </w:tcPr>
          <w:p>
            <w:pPr>
              <w:ind w:left="40"/>
              <w:spacing w:after="0"/>
              <w:rPr>
                <w:sz w:val="20"/>
                <w:szCs w:val="20"/>
                <w:color w:val="auto"/>
              </w:rPr>
            </w:pPr>
            <w:r>
              <w:rPr>
                <w:rFonts w:ascii="Arial" w:cs="Arial" w:eastAsia="Arial" w:hAnsi="Arial"/>
                <w:sz w:val="14"/>
                <w:szCs w:val="14"/>
                <w:color w:val="auto"/>
              </w:rPr>
              <w:t>Subordination To Mortgage.</w:t>
            </w:r>
          </w:p>
        </w:tc>
        <w:tc>
          <w:tcPr>
            <w:tcW w:w="4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19.2</w:t>
            </w:r>
          </w:p>
        </w:tc>
        <w:tc>
          <w:tcPr>
            <w:tcW w:w="6600" w:type="dxa"/>
            <w:vAlign w:val="bottom"/>
          </w:tcPr>
          <w:p>
            <w:pPr>
              <w:ind w:left="40"/>
              <w:spacing w:after="0"/>
              <w:rPr>
                <w:sz w:val="20"/>
                <w:szCs w:val="20"/>
                <w:color w:val="auto"/>
              </w:rPr>
            </w:pPr>
            <w:r>
              <w:rPr>
                <w:rFonts w:ascii="Arial" w:cs="Arial" w:eastAsia="Arial" w:hAnsi="Arial"/>
                <w:sz w:val="14"/>
                <w:szCs w:val="14"/>
                <w:color w:val="auto"/>
              </w:rPr>
              <w:t>Sale Of Landlord’s Interest.</w:t>
            </w:r>
          </w:p>
        </w:tc>
        <w:tc>
          <w:tcPr>
            <w:tcW w:w="4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19.3</w:t>
            </w:r>
          </w:p>
        </w:tc>
        <w:tc>
          <w:tcPr>
            <w:tcW w:w="6600" w:type="dxa"/>
            <w:vAlign w:val="bottom"/>
          </w:tcPr>
          <w:p>
            <w:pPr>
              <w:ind w:left="40"/>
              <w:spacing w:after="0"/>
              <w:rPr>
                <w:sz w:val="20"/>
                <w:szCs w:val="20"/>
                <w:color w:val="auto"/>
              </w:rPr>
            </w:pPr>
            <w:r>
              <w:rPr>
                <w:rFonts w:ascii="Arial" w:cs="Arial" w:eastAsia="Arial" w:hAnsi="Arial"/>
                <w:sz w:val="14"/>
                <w:szCs w:val="14"/>
                <w:color w:val="auto"/>
              </w:rPr>
              <w:t>Estoppel Certificates.</w:t>
            </w:r>
          </w:p>
        </w:tc>
        <w:tc>
          <w:tcPr>
            <w:tcW w:w="4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19.4</w:t>
            </w:r>
          </w:p>
        </w:tc>
        <w:tc>
          <w:tcPr>
            <w:tcW w:w="6600" w:type="dxa"/>
            <w:vAlign w:val="bottom"/>
          </w:tcPr>
          <w:p>
            <w:pPr>
              <w:ind w:left="40"/>
              <w:spacing w:after="0"/>
              <w:rPr>
                <w:sz w:val="20"/>
                <w:szCs w:val="20"/>
                <w:color w:val="auto"/>
              </w:rPr>
            </w:pPr>
            <w:r>
              <w:rPr>
                <w:rFonts w:ascii="Arial" w:cs="Arial" w:eastAsia="Arial" w:hAnsi="Arial"/>
                <w:sz w:val="14"/>
                <w:szCs w:val="14"/>
                <w:color w:val="auto"/>
              </w:rPr>
              <w:t>Subordination to CC&amp;R’s.</w:t>
            </w:r>
          </w:p>
        </w:tc>
        <w:tc>
          <w:tcPr>
            <w:tcW w:w="42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19.5</w:t>
            </w:r>
          </w:p>
        </w:tc>
        <w:tc>
          <w:tcPr>
            <w:tcW w:w="6600" w:type="dxa"/>
            <w:vAlign w:val="bottom"/>
          </w:tcPr>
          <w:p>
            <w:pPr>
              <w:ind w:left="40"/>
              <w:spacing w:after="0"/>
              <w:rPr>
                <w:sz w:val="20"/>
                <w:szCs w:val="20"/>
                <w:color w:val="auto"/>
              </w:rPr>
            </w:pPr>
            <w:r>
              <w:rPr>
                <w:rFonts w:ascii="Arial" w:cs="Arial" w:eastAsia="Arial" w:hAnsi="Arial"/>
                <w:sz w:val="14"/>
                <w:szCs w:val="14"/>
                <w:color w:val="auto"/>
              </w:rPr>
              <w:t>Mortgagee Protection.</w:t>
            </w:r>
          </w:p>
        </w:tc>
        <w:tc>
          <w:tcPr>
            <w:tcW w:w="42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20.</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SECURITY</w:t>
            </w:r>
          </w:p>
        </w:tc>
        <w:tc>
          <w:tcPr>
            <w:tcW w:w="4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20.1</w:t>
            </w:r>
          </w:p>
        </w:tc>
        <w:tc>
          <w:tcPr>
            <w:tcW w:w="6600" w:type="dxa"/>
            <w:vAlign w:val="bottom"/>
          </w:tcPr>
          <w:p>
            <w:pPr>
              <w:ind w:left="40"/>
              <w:spacing w:after="0"/>
              <w:rPr>
                <w:sz w:val="20"/>
                <w:szCs w:val="20"/>
                <w:color w:val="auto"/>
              </w:rPr>
            </w:pPr>
            <w:r>
              <w:rPr>
                <w:rFonts w:ascii="Arial" w:cs="Arial" w:eastAsia="Arial" w:hAnsi="Arial"/>
                <w:sz w:val="14"/>
                <w:szCs w:val="14"/>
                <w:color w:val="auto"/>
              </w:rPr>
              <w:t>Deposit.</w:t>
            </w:r>
          </w:p>
        </w:tc>
        <w:tc>
          <w:tcPr>
            <w:tcW w:w="4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5"/>
        </w:trPr>
        <w:tc>
          <w:tcPr>
            <w:tcW w:w="260" w:type="dxa"/>
            <w:vAlign w:val="bottom"/>
          </w:tcPr>
          <w:p>
            <w:pPr>
              <w:spacing w:after="0"/>
              <w:rPr>
                <w:sz w:val="20"/>
                <w:szCs w:val="20"/>
                <w:color w:val="auto"/>
              </w:rPr>
            </w:pPr>
            <w:r>
              <w:rPr>
                <w:rFonts w:ascii="Arial" w:cs="Arial" w:eastAsia="Arial" w:hAnsi="Arial"/>
                <w:sz w:val="14"/>
                <w:szCs w:val="14"/>
                <w:color w:val="auto"/>
              </w:rPr>
              <w:t>21.</w:t>
            </w:r>
          </w:p>
        </w:tc>
        <w:tc>
          <w:tcPr>
            <w:tcW w:w="6960" w:type="dxa"/>
            <w:vAlign w:val="bottom"/>
            <w:gridSpan w:val="2"/>
          </w:tcPr>
          <w:p>
            <w:pPr>
              <w:ind w:left="60"/>
              <w:spacing w:after="0"/>
              <w:rPr>
                <w:sz w:val="20"/>
                <w:szCs w:val="20"/>
                <w:color w:val="auto"/>
              </w:rPr>
            </w:pPr>
            <w:r>
              <w:rPr>
                <w:rFonts w:ascii="Arial" w:cs="Arial" w:eastAsia="Arial" w:hAnsi="Arial"/>
                <w:sz w:val="14"/>
                <w:szCs w:val="14"/>
                <w:color w:val="auto"/>
              </w:rPr>
              <w:t>MISCELLANEOUS</w:t>
            </w:r>
          </w:p>
        </w:tc>
        <w:tc>
          <w:tcPr>
            <w:tcW w:w="4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21.1</w:t>
            </w:r>
          </w:p>
        </w:tc>
        <w:tc>
          <w:tcPr>
            <w:tcW w:w="6600" w:type="dxa"/>
            <w:vAlign w:val="bottom"/>
          </w:tcPr>
          <w:p>
            <w:pPr>
              <w:ind w:left="40"/>
              <w:spacing w:after="0"/>
              <w:rPr>
                <w:sz w:val="20"/>
                <w:szCs w:val="20"/>
                <w:color w:val="auto"/>
              </w:rPr>
            </w:pPr>
            <w:r>
              <w:rPr>
                <w:rFonts w:ascii="Arial" w:cs="Arial" w:eastAsia="Arial" w:hAnsi="Arial"/>
                <w:sz w:val="14"/>
                <w:szCs w:val="14"/>
                <w:color w:val="auto"/>
              </w:rPr>
              <w:t>Notices.</w:t>
            </w:r>
          </w:p>
        </w:tc>
        <w:tc>
          <w:tcPr>
            <w:tcW w:w="4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21.2</w:t>
            </w:r>
          </w:p>
        </w:tc>
        <w:tc>
          <w:tcPr>
            <w:tcW w:w="6600" w:type="dxa"/>
            <w:vAlign w:val="bottom"/>
          </w:tcPr>
          <w:p>
            <w:pPr>
              <w:ind w:left="40"/>
              <w:spacing w:after="0"/>
              <w:rPr>
                <w:sz w:val="20"/>
                <w:szCs w:val="20"/>
                <w:color w:val="auto"/>
              </w:rPr>
            </w:pPr>
            <w:r>
              <w:rPr>
                <w:rFonts w:ascii="Arial" w:cs="Arial" w:eastAsia="Arial" w:hAnsi="Arial"/>
                <w:sz w:val="14"/>
                <w:szCs w:val="14"/>
                <w:color w:val="auto"/>
              </w:rPr>
              <w:t>Successors And Assigns.</w:t>
            </w:r>
          </w:p>
        </w:tc>
        <w:tc>
          <w:tcPr>
            <w:tcW w:w="42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26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21.3</w:t>
            </w:r>
          </w:p>
        </w:tc>
        <w:tc>
          <w:tcPr>
            <w:tcW w:w="6600" w:type="dxa"/>
            <w:vAlign w:val="bottom"/>
          </w:tcPr>
          <w:p>
            <w:pPr>
              <w:ind w:left="40"/>
              <w:spacing w:after="0"/>
              <w:rPr>
                <w:sz w:val="20"/>
                <w:szCs w:val="20"/>
                <w:color w:val="auto"/>
              </w:rPr>
            </w:pPr>
            <w:r>
              <w:rPr>
                <w:rFonts w:ascii="Arial" w:cs="Arial" w:eastAsia="Arial" w:hAnsi="Arial"/>
                <w:sz w:val="14"/>
                <w:szCs w:val="14"/>
                <w:color w:val="auto"/>
              </w:rPr>
              <w:t>No Waiver.</w:t>
            </w:r>
          </w:p>
        </w:tc>
        <w:tc>
          <w:tcPr>
            <w:tcW w:w="42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73"/>
        </w:trPr>
        <w:tc>
          <w:tcPr>
            <w:tcW w:w="2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21.4</w:t>
            </w:r>
          </w:p>
        </w:tc>
        <w:tc>
          <w:tcPr>
            <w:tcW w:w="6600" w:type="dxa"/>
            <w:vAlign w:val="bottom"/>
          </w:tcPr>
          <w:p>
            <w:pPr>
              <w:ind w:left="40"/>
              <w:spacing w:after="0"/>
              <w:rPr>
                <w:sz w:val="20"/>
                <w:szCs w:val="20"/>
                <w:color w:val="auto"/>
              </w:rPr>
            </w:pPr>
            <w:r>
              <w:rPr>
                <w:rFonts w:ascii="Arial" w:cs="Arial" w:eastAsia="Arial" w:hAnsi="Arial"/>
                <w:sz w:val="14"/>
                <w:szCs w:val="14"/>
                <w:color w:val="auto"/>
              </w:rPr>
              <w:t>Severability.</w:t>
            </w:r>
          </w:p>
        </w:tc>
        <w:tc>
          <w:tcPr>
            <w:tcW w:w="424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ii -</w:t>
      </w:r>
    </w:p>
    <w:p>
      <w:pPr>
        <w:sectPr>
          <w:pgSz w:w="11900" w:h="16838" w:orient="portrait"/>
          <w:cols w:equalWidth="0" w:num="1">
            <w:col w:w="11460"/>
          </w:cols>
          <w:pgMar w:left="220" w:top="247" w:right="21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167"/>
        </w:trPr>
        <w:tc>
          <w:tcPr>
            <w:tcW w:w="620" w:type="dxa"/>
            <w:vAlign w:val="bottom"/>
          </w:tcPr>
          <w:p>
            <w:pPr>
              <w:ind w:left="320"/>
              <w:spacing w:after="0"/>
              <w:rPr>
                <w:sz w:val="20"/>
                <w:szCs w:val="20"/>
                <w:color w:val="auto"/>
              </w:rPr>
            </w:pPr>
            <w:r>
              <w:rPr>
                <w:rFonts w:ascii="Arial" w:cs="Arial" w:eastAsia="Arial" w:hAnsi="Arial"/>
                <w:sz w:val="14"/>
                <w:szCs w:val="14"/>
                <w:color w:val="auto"/>
              </w:rPr>
              <w:t>21.5</w:t>
            </w:r>
          </w:p>
        </w:tc>
        <w:tc>
          <w:tcPr>
            <w:tcW w:w="4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Litigation Between Parties.</w:t>
            </w:r>
          </w:p>
        </w:tc>
        <w:tc>
          <w:tcPr>
            <w:tcW w:w="68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620" w:type="dxa"/>
            <w:vAlign w:val="bottom"/>
          </w:tcPr>
          <w:p>
            <w:pPr>
              <w:ind w:left="320"/>
              <w:spacing w:after="0"/>
              <w:rPr>
                <w:sz w:val="20"/>
                <w:szCs w:val="20"/>
                <w:color w:val="auto"/>
              </w:rPr>
            </w:pPr>
            <w:r>
              <w:rPr>
                <w:rFonts w:ascii="Arial" w:cs="Arial" w:eastAsia="Arial" w:hAnsi="Arial"/>
                <w:sz w:val="14"/>
                <w:szCs w:val="14"/>
                <w:color w:val="auto"/>
              </w:rPr>
              <w:t>21.6</w:t>
            </w:r>
          </w:p>
        </w:tc>
        <w:tc>
          <w:tcPr>
            <w:tcW w:w="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color w:val="auto"/>
                <w:w w:val="84"/>
              </w:rPr>
              <w:t>Surrender.</w:t>
            </w:r>
          </w:p>
        </w:tc>
        <w:tc>
          <w:tcPr>
            <w:tcW w:w="3420" w:type="dxa"/>
            <w:vAlign w:val="bottom"/>
          </w:tcPr>
          <w:p>
            <w:pPr>
              <w:spacing w:after="0"/>
              <w:rPr>
                <w:sz w:val="14"/>
                <w:szCs w:val="14"/>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20" w:type="dxa"/>
            <w:vAlign w:val="bottom"/>
          </w:tcPr>
          <w:p>
            <w:pPr>
              <w:ind w:left="320"/>
              <w:spacing w:after="0"/>
              <w:rPr>
                <w:sz w:val="20"/>
                <w:szCs w:val="20"/>
                <w:color w:val="auto"/>
              </w:rPr>
            </w:pPr>
            <w:r>
              <w:rPr>
                <w:rFonts w:ascii="Arial" w:cs="Arial" w:eastAsia="Arial" w:hAnsi="Arial"/>
                <w:sz w:val="14"/>
                <w:szCs w:val="14"/>
                <w:color w:val="auto"/>
              </w:rPr>
              <w:t>21.7</w:t>
            </w:r>
          </w:p>
        </w:tc>
        <w:tc>
          <w:tcPr>
            <w:tcW w:w="4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Interpretation.</w:t>
            </w: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20" w:type="dxa"/>
            <w:vAlign w:val="bottom"/>
          </w:tcPr>
          <w:p>
            <w:pPr>
              <w:ind w:left="320"/>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Entire Agreement.</w:t>
            </w: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20" w:type="dxa"/>
            <w:vAlign w:val="bottom"/>
          </w:tcPr>
          <w:p>
            <w:pPr>
              <w:ind w:left="320"/>
              <w:spacing w:after="0"/>
              <w:rPr>
                <w:sz w:val="20"/>
                <w:szCs w:val="20"/>
                <w:color w:val="auto"/>
              </w:rPr>
            </w:pPr>
            <w:r>
              <w:rPr>
                <w:rFonts w:ascii="Arial" w:cs="Arial" w:eastAsia="Arial" w:hAnsi="Arial"/>
                <w:sz w:val="14"/>
                <w:szCs w:val="14"/>
                <w:color w:val="auto"/>
              </w:rPr>
              <w:t>21.9</w:t>
            </w:r>
          </w:p>
        </w:tc>
        <w:tc>
          <w:tcPr>
            <w:tcW w:w="4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Governing Law.</w:t>
            </w: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21.10</w:t>
            </w:r>
          </w:p>
        </w:tc>
        <w:tc>
          <w:tcPr>
            <w:tcW w:w="4000" w:type="dxa"/>
            <w:vAlign w:val="bottom"/>
            <w:gridSpan w:val="2"/>
          </w:tcPr>
          <w:p>
            <w:pPr>
              <w:spacing w:after="0"/>
              <w:rPr>
                <w:sz w:val="20"/>
                <w:szCs w:val="20"/>
                <w:color w:val="auto"/>
              </w:rPr>
            </w:pPr>
            <w:r>
              <w:rPr>
                <w:rFonts w:ascii="Arial" w:cs="Arial" w:eastAsia="Arial" w:hAnsi="Arial"/>
                <w:sz w:val="14"/>
                <w:szCs w:val="14"/>
                <w:color w:val="auto"/>
              </w:rPr>
              <w:t>No Partnership.</w:t>
            </w: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4660" w:type="dxa"/>
            <w:vAlign w:val="bottom"/>
            <w:gridSpan w:val="4"/>
          </w:tcPr>
          <w:p>
            <w:pPr>
              <w:ind w:left="320"/>
              <w:spacing w:after="0"/>
              <w:rPr>
                <w:sz w:val="20"/>
                <w:szCs w:val="20"/>
                <w:color w:val="auto"/>
              </w:rPr>
            </w:pPr>
            <w:r>
              <w:rPr>
                <w:rFonts w:ascii="Arial" w:cs="Arial" w:eastAsia="Arial" w:hAnsi="Arial"/>
                <w:sz w:val="14"/>
                <w:szCs w:val="14"/>
                <w:color w:val="auto"/>
              </w:rPr>
              <w:t>21.11 Financial Information.</w:t>
            </w: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21.12</w:t>
            </w:r>
          </w:p>
        </w:tc>
        <w:tc>
          <w:tcPr>
            <w:tcW w:w="580" w:type="dxa"/>
            <w:vAlign w:val="bottom"/>
          </w:tcPr>
          <w:p>
            <w:pPr>
              <w:spacing w:after="0"/>
              <w:rPr>
                <w:sz w:val="20"/>
                <w:szCs w:val="20"/>
                <w:color w:val="auto"/>
              </w:rPr>
            </w:pPr>
            <w:r>
              <w:rPr>
                <w:rFonts w:ascii="Arial" w:cs="Arial" w:eastAsia="Arial" w:hAnsi="Arial"/>
                <w:sz w:val="14"/>
                <w:szCs w:val="14"/>
                <w:color w:val="auto"/>
              </w:rPr>
              <w:t>Costs.</w:t>
            </w:r>
          </w:p>
        </w:tc>
        <w:tc>
          <w:tcPr>
            <w:tcW w:w="3420" w:type="dxa"/>
            <w:vAlign w:val="bottom"/>
          </w:tcPr>
          <w:p>
            <w:pPr>
              <w:spacing w:after="0"/>
              <w:rPr>
                <w:sz w:val="14"/>
                <w:szCs w:val="14"/>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21.13</w:t>
            </w:r>
          </w:p>
        </w:tc>
        <w:tc>
          <w:tcPr>
            <w:tcW w:w="580" w:type="dxa"/>
            <w:vAlign w:val="bottom"/>
          </w:tcPr>
          <w:p>
            <w:pPr>
              <w:spacing w:after="0"/>
              <w:rPr>
                <w:sz w:val="20"/>
                <w:szCs w:val="20"/>
                <w:color w:val="auto"/>
              </w:rPr>
            </w:pPr>
            <w:r>
              <w:rPr>
                <w:rFonts w:ascii="Arial" w:cs="Arial" w:eastAsia="Arial" w:hAnsi="Arial"/>
                <w:sz w:val="14"/>
                <w:szCs w:val="14"/>
                <w:color w:val="auto"/>
              </w:rPr>
              <w:t>Time.</w:t>
            </w:r>
          </w:p>
        </w:tc>
        <w:tc>
          <w:tcPr>
            <w:tcW w:w="3420" w:type="dxa"/>
            <w:vAlign w:val="bottom"/>
          </w:tcPr>
          <w:p>
            <w:pPr>
              <w:spacing w:after="0"/>
              <w:rPr>
                <w:sz w:val="14"/>
                <w:szCs w:val="14"/>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21.14</w:t>
            </w:r>
          </w:p>
        </w:tc>
        <w:tc>
          <w:tcPr>
            <w:tcW w:w="4000" w:type="dxa"/>
            <w:vAlign w:val="bottom"/>
            <w:gridSpan w:val="2"/>
          </w:tcPr>
          <w:p>
            <w:pPr>
              <w:spacing w:after="0"/>
              <w:rPr>
                <w:sz w:val="20"/>
                <w:szCs w:val="20"/>
                <w:color w:val="auto"/>
              </w:rPr>
            </w:pPr>
            <w:r>
              <w:rPr>
                <w:rFonts w:ascii="Arial" w:cs="Arial" w:eastAsia="Arial" w:hAnsi="Arial"/>
                <w:sz w:val="14"/>
                <w:szCs w:val="14"/>
                <w:color w:val="auto"/>
              </w:rPr>
              <w:t>Rules And Regulations.</w:t>
            </w:r>
          </w:p>
        </w:tc>
        <w:tc>
          <w:tcPr>
            <w:tcW w:w="6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21.15</w:t>
            </w:r>
          </w:p>
        </w:tc>
        <w:tc>
          <w:tcPr>
            <w:tcW w:w="580" w:type="dxa"/>
            <w:vAlign w:val="bottom"/>
          </w:tcPr>
          <w:p>
            <w:pPr>
              <w:spacing w:after="0"/>
              <w:rPr>
                <w:sz w:val="20"/>
                <w:szCs w:val="20"/>
                <w:color w:val="auto"/>
              </w:rPr>
            </w:pPr>
            <w:r>
              <w:rPr>
                <w:rFonts w:ascii="Arial" w:cs="Arial" w:eastAsia="Arial" w:hAnsi="Arial"/>
                <w:sz w:val="14"/>
                <w:szCs w:val="14"/>
                <w:color w:val="auto"/>
              </w:rPr>
              <w:t>Brokers.</w:t>
            </w:r>
          </w:p>
        </w:tc>
        <w:tc>
          <w:tcPr>
            <w:tcW w:w="3420" w:type="dxa"/>
            <w:vAlign w:val="bottom"/>
          </w:tcPr>
          <w:p>
            <w:pPr>
              <w:spacing w:after="0"/>
              <w:rPr>
                <w:sz w:val="14"/>
                <w:szCs w:val="14"/>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4660" w:type="dxa"/>
            <w:vAlign w:val="bottom"/>
            <w:gridSpan w:val="4"/>
          </w:tcPr>
          <w:p>
            <w:pPr>
              <w:ind w:left="320"/>
              <w:spacing w:after="0"/>
              <w:rPr>
                <w:sz w:val="20"/>
                <w:szCs w:val="20"/>
                <w:color w:val="auto"/>
              </w:rPr>
            </w:pPr>
            <w:r>
              <w:rPr>
                <w:rFonts w:ascii="Arial" w:cs="Arial" w:eastAsia="Arial" w:hAnsi="Arial"/>
                <w:sz w:val="14"/>
                <w:szCs w:val="14"/>
                <w:color w:val="auto"/>
              </w:rPr>
              <w:t>21.16 Memorandum Of Lease.</w:t>
            </w:r>
          </w:p>
        </w:tc>
        <w:tc>
          <w:tcPr>
            <w:tcW w:w="6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21.17</w:t>
            </w:r>
          </w:p>
        </w:tc>
        <w:tc>
          <w:tcPr>
            <w:tcW w:w="4000" w:type="dxa"/>
            <w:vAlign w:val="bottom"/>
            <w:gridSpan w:val="2"/>
          </w:tcPr>
          <w:p>
            <w:pPr>
              <w:spacing w:after="0"/>
              <w:rPr>
                <w:sz w:val="20"/>
                <w:szCs w:val="20"/>
                <w:color w:val="auto"/>
              </w:rPr>
            </w:pPr>
            <w:r>
              <w:rPr>
                <w:rFonts w:ascii="Arial" w:cs="Arial" w:eastAsia="Arial" w:hAnsi="Arial"/>
                <w:sz w:val="14"/>
                <w:szCs w:val="14"/>
                <w:color w:val="auto"/>
              </w:rPr>
              <w:t>Corporate Authority.</w:t>
            </w:r>
          </w:p>
        </w:tc>
        <w:tc>
          <w:tcPr>
            <w:tcW w:w="6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21.18</w:t>
            </w:r>
          </w:p>
        </w:tc>
        <w:tc>
          <w:tcPr>
            <w:tcW w:w="4000" w:type="dxa"/>
            <w:vAlign w:val="bottom"/>
            <w:gridSpan w:val="2"/>
          </w:tcPr>
          <w:p>
            <w:pPr>
              <w:spacing w:after="0"/>
              <w:rPr>
                <w:sz w:val="20"/>
                <w:szCs w:val="20"/>
                <w:color w:val="auto"/>
              </w:rPr>
            </w:pPr>
            <w:r>
              <w:rPr>
                <w:rFonts w:ascii="Arial" w:cs="Arial" w:eastAsia="Arial" w:hAnsi="Arial"/>
                <w:sz w:val="14"/>
                <w:szCs w:val="14"/>
                <w:color w:val="auto"/>
              </w:rPr>
              <w:t>Execution and Delivery.</w:t>
            </w:r>
          </w:p>
        </w:tc>
        <w:tc>
          <w:tcPr>
            <w:tcW w:w="6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73"/>
        </w:trPr>
        <w:tc>
          <w:tcPr>
            <w:tcW w:w="660" w:type="dxa"/>
            <w:vAlign w:val="bottom"/>
            <w:gridSpan w:val="2"/>
          </w:tcPr>
          <w:p>
            <w:pPr>
              <w:ind w:left="320"/>
              <w:spacing w:after="0"/>
              <w:rPr>
                <w:sz w:val="20"/>
                <w:szCs w:val="20"/>
                <w:color w:val="auto"/>
              </w:rPr>
            </w:pPr>
            <w:r>
              <w:rPr>
                <w:rFonts w:ascii="Arial" w:cs="Arial" w:eastAsia="Arial" w:hAnsi="Arial"/>
                <w:sz w:val="14"/>
                <w:szCs w:val="14"/>
                <w:color w:val="auto"/>
                <w:w w:val="91"/>
              </w:rPr>
              <w:t>21.19</w:t>
            </w:r>
          </w:p>
        </w:tc>
        <w:tc>
          <w:tcPr>
            <w:tcW w:w="580" w:type="dxa"/>
            <w:vAlign w:val="bottom"/>
          </w:tcPr>
          <w:p>
            <w:pPr>
              <w:spacing w:after="0"/>
              <w:rPr>
                <w:sz w:val="20"/>
                <w:szCs w:val="20"/>
                <w:color w:val="auto"/>
              </w:rPr>
            </w:pPr>
            <w:r>
              <w:rPr>
                <w:rFonts w:ascii="Arial" w:cs="Arial" w:eastAsia="Arial" w:hAnsi="Arial"/>
                <w:sz w:val="14"/>
                <w:szCs w:val="14"/>
                <w:color w:val="auto"/>
              </w:rPr>
              <w:t>Survival.</w:t>
            </w:r>
          </w:p>
        </w:tc>
        <w:tc>
          <w:tcPr>
            <w:tcW w:w="3420" w:type="dxa"/>
            <w:vAlign w:val="bottom"/>
          </w:tcPr>
          <w:p>
            <w:pPr>
              <w:spacing w:after="0"/>
              <w:rPr>
                <w:sz w:val="15"/>
                <w:szCs w:val="15"/>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26"/>
        </w:trPr>
        <w:tc>
          <w:tcPr>
            <w:tcW w:w="660" w:type="dxa"/>
            <w:vAlign w:val="bottom"/>
            <w:gridSpan w:val="2"/>
          </w:tcPr>
          <w:p>
            <w:pPr>
              <w:spacing w:after="0"/>
              <w:rPr>
                <w:sz w:val="20"/>
                <w:szCs w:val="20"/>
                <w:color w:val="auto"/>
              </w:rPr>
            </w:pPr>
            <w:r>
              <w:rPr>
                <w:rFonts w:ascii="Arial" w:cs="Arial" w:eastAsia="Arial" w:hAnsi="Arial"/>
                <w:sz w:val="14"/>
                <w:szCs w:val="14"/>
                <w:color w:val="auto"/>
              </w:rPr>
              <w:t>EXHIBITS</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333"/>
        </w:trPr>
        <w:tc>
          <w:tcPr>
            <w:tcW w:w="660" w:type="dxa"/>
            <w:vAlign w:val="bottom"/>
            <w:gridSpan w:val="2"/>
          </w:tcPr>
          <w:p>
            <w:pPr>
              <w:spacing w:after="0"/>
              <w:rPr>
                <w:sz w:val="20"/>
                <w:szCs w:val="20"/>
                <w:color w:val="auto"/>
              </w:rPr>
            </w:pPr>
            <w:r>
              <w:rPr>
                <w:rFonts w:ascii="Arial" w:cs="Arial" w:eastAsia="Arial" w:hAnsi="Arial"/>
                <w:sz w:val="14"/>
                <w:szCs w:val="14"/>
                <w:color w:val="auto"/>
                <w:w w:val="94"/>
              </w:rPr>
              <w:t>EXHIBIT A</w:t>
            </w:r>
          </w:p>
        </w:tc>
        <w:tc>
          <w:tcPr>
            <w:tcW w:w="580" w:type="dxa"/>
            <w:vAlign w:val="bottom"/>
          </w:tcPr>
          <w:p>
            <w:pPr>
              <w:spacing w:after="0"/>
              <w:rPr>
                <w:sz w:val="24"/>
                <w:szCs w:val="24"/>
                <w:color w:val="auto"/>
              </w:rPr>
            </w:pPr>
          </w:p>
        </w:tc>
        <w:tc>
          <w:tcPr>
            <w:tcW w:w="3420" w:type="dxa"/>
            <w:vAlign w:val="bottom"/>
          </w:tcPr>
          <w:p>
            <w:pPr>
              <w:ind w:left="20"/>
              <w:spacing w:after="0"/>
              <w:rPr>
                <w:sz w:val="20"/>
                <w:szCs w:val="20"/>
                <w:color w:val="auto"/>
              </w:rPr>
            </w:pPr>
            <w:r>
              <w:rPr>
                <w:rFonts w:ascii="Arial" w:cs="Arial" w:eastAsia="Arial" w:hAnsi="Arial"/>
                <w:sz w:val="14"/>
                <w:szCs w:val="14"/>
                <w:color w:val="auto"/>
              </w:rPr>
              <w:t>Real Property Description (Site)</w:t>
            </w:r>
          </w:p>
        </w:tc>
        <w:tc>
          <w:tcPr>
            <w:tcW w:w="6800" w:type="dxa"/>
            <w:vAlign w:val="bottom"/>
          </w:tcPr>
          <w:p>
            <w:pPr>
              <w:spacing w:after="0"/>
              <w:rPr>
                <w:sz w:val="24"/>
                <w:szCs w:val="24"/>
                <w:color w:val="auto"/>
              </w:rPr>
            </w:pPr>
          </w:p>
        </w:tc>
      </w:tr>
      <w:tr>
        <w:trPr>
          <w:trHeight w:val="251"/>
        </w:trPr>
        <w:tc>
          <w:tcPr>
            <w:tcW w:w="1240" w:type="dxa"/>
            <w:vAlign w:val="bottom"/>
            <w:gridSpan w:val="3"/>
          </w:tcPr>
          <w:p>
            <w:pPr>
              <w:spacing w:after="0"/>
              <w:rPr>
                <w:sz w:val="20"/>
                <w:szCs w:val="20"/>
                <w:color w:val="auto"/>
              </w:rPr>
            </w:pPr>
            <w:r>
              <w:rPr>
                <w:rFonts w:ascii="Arial" w:cs="Arial" w:eastAsia="Arial" w:hAnsi="Arial"/>
                <w:sz w:val="14"/>
                <w:szCs w:val="14"/>
                <w:color w:val="auto"/>
              </w:rPr>
              <w:t>EXHIBIT B</w:t>
            </w:r>
          </w:p>
        </w:tc>
        <w:tc>
          <w:tcPr>
            <w:tcW w:w="3420" w:type="dxa"/>
            <w:vAlign w:val="bottom"/>
          </w:tcPr>
          <w:p>
            <w:pPr>
              <w:ind w:left="20"/>
              <w:spacing w:after="0"/>
              <w:rPr>
                <w:sz w:val="20"/>
                <w:szCs w:val="20"/>
                <w:color w:val="auto"/>
              </w:rPr>
            </w:pPr>
            <w:r>
              <w:rPr>
                <w:rFonts w:ascii="Arial" w:cs="Arial" w:eastAsia="Arial" w:hAnsi="Arial"/>
                <w:sz w:val="14"/>
                <w:szCs w:val="14"/>
                <w:color w:val="auto"/>
              </w:rPr>
              <w:t>Site Plan</w:t>
            </w:r>
          </w:p>
        </w:tc>
        <w:tc>
          <w:tcPr>
            <w:tcW w:w="6800" w:type="dxa"/>
            <w:vAlign w:val="bottom"/>
          </w:tcPr>
          <w:p>
            <w:pPr>
              <w:spacing w:after="0"/>
              <w:rPr>
                <w:sz w:val="21"/>
                <w:szCs w:val="21"/>
                <w:color w:val="auto"/>
              </w:rPr>
            </w:pPr>
          </w:p>
        </w:tc>
      </w:tr>
      <w:tr>
        <w:trPr>
          <w:trHeight w:val="251"/>
        </w:trPr>
        <w:tc>
          <w:tcPr>
            <w:tcW w:w="1240" w:type="dxa"/>
            <w:vAlign w:val="bottom"/>
            <w:gridSpan w:val="3"/>
          </w:tcPr>
          <w:p>
            <w:pPr>
              <w:spacing w:after="0"/>
              <w:rPr>
                <w:sz w:val="20"/>
                <w:szCs w:val="20"/>
                <w:color w:val="auto"/>
              </w:rPr>
            </w:pPr>
            <w:r>
              <w:rPr>
                <w:rFonts w:ascii="Arial" w:cs="Arial" w:eastAsia="Arial" w:hAnsi="Arial"/>
                <w:sz w:val="14"/>
                <w:szCs w:val="14"/>
                <w:color w:val="auto"/>
              </w:rPr>
              <w:t>EXHIBIT C</w:t>
            </w:r>
          </w:p>
        </w:tc>
        <w:tc>
          <w:tcPr>
            <w:tcW w:w="3420" w:type="dxa"/>
            <w:vAlign w:val="bottom"/>
          </w:tcPr>
          <w:p>
            <w:pPr>
              <w:ind w:left="20"/>
              <w:spacing w:after="0"/>
              <w:rPr>
                <w:sz w:val="20"/>
                <w:szCs w:val="20"/>
                <w:color w:val="auto"/>
              </w:rPr>
            </w:pPr>
            <w:r>
              <w:rPr>
                <w:rFonts w:ascii="Arial" w:cs="Arial" w:eastAsia="Arial" w:hAnsi="Arial"/>
                <w:sz w:val="14"/>
                <w:szCs w:val="14"/>
                <w:color w:val="auto"/>
              </w:rPr>
              <w:t>Workletter</w:t>
            </w:r>
          </w:p>
        </w:tc>
        <w:tc>
          <w:tcPr>
            <w:tcW w:w="6800" w:type="dxa"/>
            <w:vAlign w:val="bottom"/>
          </w:tcPr>
          <w:p>
            <w:pPr>
              <w:spacing w:after="0"/>
              <w:rPr>
                <w:sz w:val="21"/>
                <w:szCs w:val="21"/>
                <w:color w:val="auto"/>
              </w:rPr>
            </w:pPr>
          </w:p>
        </w:tc>
      </w:tr>
      <w:tr>
        <w:trPr>
          <w:trHeight w:val="251"/>
        </w:trPr>
        <w:tc>
          <w:tcPr>
            <w:tcW w:w="1240" w:type="dxa"/>
            <w:vAlign w:val="bottom"/>
            <w:gridSpan w:val="3"/>
          </w:tcPr>
          <w:p>
            <w:pPr>
              <w:spacing w:after="0"/>
              <w:rPr>
                <w:sz w:val="20"/>
                <w:szCs w:val="20"/>
                <w:color w:val="auto"/>
              </w:rPr>
            </w:pPr>
            <w:r>
              <w:rPr>
                <w:rFonts w:ascii="Arial" w:cs="Arial" w:eastAsia="Arial" w:hAnsi="Arial"/>
                <w:sz w:val="14"/>
                <w:szCs w:val="14"/>
                <w:color w:val="auto"/>
              </w:rPr>
              <w:t>EXHIBIT D</w:t>
            </w:r>
          </w:p>
        </w:tc>
        <w:tc>
          <w:tcPr>
            <w:tcW w:w="3420" w:type="dxa"/>
            <w:vAlign w:val="bottom"/>
          </w:tcPr>
          <w:p>
            <w:pPr>
              <w:ind w:left="20"/>
              <w:spacing w:after="0"/>
              <w:rPr>
                <w:sz w:val="20"/>
                <w:szCs w:val="20"/>
                <w:color w:val="auto"/>
              </w:rPr>
            </w:pPr>
            <w:r>
              <w:rPr>
                <w:rFonts w:ascii="Arial" w:cs="Arial" w:eastAsia="Arial" w:hAnsi="Arial"/>
                <w:sz w:val="14"/>
                <w:szCs w:val="14"/>
                <w:color w:val="auto"/>
              </w:rPr>
              <w:t>Estimated Construction Schedule</w:t>
            </w:r>
          </w:p>
        </w:tc>
        <w:tc>
          <w:tcPr>
            <w:tcW w:w="6800" w:type="dxa"/>
            <w:vAlign w:val="bottom"/>
          </w:tcPr>
          <w:p>
            <w:pPr>
              <w:spacing w:after="0"/>
              <w:rPr>
                <w:sz w:val="21"/>
                <w:szCs w:val="21"/>
                <w:color w:val="auto"/>
              </w:rPr>
            </w:pPr>
          </w:p>
        </w:tc>
      </w:tr>
      <w:tr>
        <w:trPr>
          <w:trHeight w:val="251"/>
        </w:trPr>
        <w:tc>
          <w:tcPr>
            <w:tcW w:w="660" w:type="dxa"/>
            <w:vAlign w:val="bottom"/>
            <w:gridSpan w:val="2"/>
          </w:tcPr>
          <w:p>
            <w:pPr>
              <w:spacing w:after="0"/>
              <w:rPr>
                <w:sz w:val="20"/>
                <w:szCs w:val="20"/>
                <w:color w:val="auto"/>
              </w:rPr>
            </w:pPr>
            <w:r>
              <w:rPr>
                <w:rFonts w:ascii="Arial" w:cs="Arial" w:eastAsia="Arial" w:hAnsi="Arial"/>
                <w:sz w:val="14"/>
                <w:szCs w:val="14"/>
                <w:color w:val="auto"/>
                <w:w w:val="94"/>
              </w:rPr>
              <w:t>EXHIBIT E</w:t>
            </w:r>
          </w:p>
        </w:tc>
        <w:tc>
          <w:tcPr>
            <w:tcW w:w="58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4"/>
                <w:szCs w:val="14"/>
                <w:color w:val="auto"/>
              </w:rPr>
              <w:t>Acknowledgement of Lease Commencement</w:t>
            </w:r>
          </w:p>
        </w:tc>
        <w:tc>
          <w:tcPr>
            <w:tcW w:w="6800" w:type="dxa"/>
            <w:vAlign w:val="bottom"/>
          </w:tcPr>
          <w:p>
            <w:pPr>
              <w:spacing w:after="0"/>
              <w:rPr>
                <w:sz w:val="21"/>
                <w:szCs w:val="21"/>
                <w:color w:val="auto"/>
              </w:rPr>
            </w:pPr>
          </w:p>
        </w:tc>
      </w:tr>
      <w:tr>
        <w:trPr>
          <w:trHeight w:val="282"/>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00" w:type="dxa"/>
            <w:vAlign w:val="bottom"/>
          </w:tcPr>
          <w:p>
            <w:pPr>
              <w:jc w:val="right"/>
              <w:ind w:right="5532"/>
              <w:spacing w:after="0"/>
              <w:rPr>
                <w:sz w:val="20"/>
                <w:szCs w:val="20"/>
                <w:color w:val="auto"/>
              </w:rPr>
            </w:pPr>
            <w:r>
              <w:rPr>
                <w:rFonts w:ascii="Arial" w:cs="Arial" w:eastAsia="Arial" w:hAnsi="Arial"/>
                <w:sz w:val="14"/>
                <w:szCs w:val="14"/>
                <w:color w:val="auto"/>
              </w:rPr>
              <w:t>- iii -</w:t>
            </w:r>
          </w:p>
        </w:tc>
      </w:tr>
    </w:tbl>
    <w:p>
      <w:pPr>
        <w:jc w:val="right"/>
        <w:ind w:right="5532"/>
        <w:spacing w:after="0"/>
        <w:rPr>
          <w:sz w:val="20"/>
          <w:szCs w:val="20"/>
          <w:color w:val="auto"/>
        </w:rPr>
        <w:sectPr>
          <w:pgSz w:w="11900" w:h="16838" w:orient="portrait"/>
          <w:cols w:equalWidth="0" w:num="1">
            <w:col w:w="11460"/>
          </w:cols>
          <w:pgMar w:left="220" w:top="247" w:right="219" w:bottom="1440" w:gutter="0" w:footer="0" w:header="0"/>
        </w:sect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bookmarkStart w:id="386" w:name="page387"/>
    <w:bookmarkEnd w:id="386"/>
    <w:p>
      <w:pPr>
        <w:jc w:val="center"/>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BUILD-TO-SUIT LEASE</w:t>
      </w:r>
    </w:p>
    <w:p>
      <w:pPr>
        <w:spacing w:after="0" w:line="132"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THIS BUILD-TO-SUIT LEASE (“Lease”) is made and entered into as of the 20th day of April, 1995, by and between BRITANNIA DEVELOPMENTS, INC., a California corporation (“Landlord”), and TULARIK INC., a California corporation (“Tenant”).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PARTIES AGREE AS FOLLOWS:</w:t>
      </w:r>
    </w:p>
    <w:p>
      <w:pPr>
        <w:spacing w:after="0" w:line="132" w:lineRule="exact"/>
        <w:rPr>
          <w:sz w:val="20"/>
          <w:szCs w:val="20"/>
          <w:color w:val="auto"/>
        </w:rPr>
      </w:pPr>
    </w:p>
    <w:p>
      <w:pPr>
        <w:ind w:left="5460" w:hanging="137"/>
        <w:spacing w:after="0"/>
        <w:tabs>
          <w:tab w:leader="none" w:pos="5460" w:val="left"/>
        </w:tabs>
        <w:numPr>
          <w:ilvl w:val="0"/>
          <w:numId w:val="299"/>
        </w:numPr>
        <w:rPr>
          <w:rFonts w:ascii="Arial" w:cs="Arial" w:eastAsia="Arial" w:hAnsi="Arial"/>
          <w:sz w:val="14"/>
          <w:szCs w:val="14"/>
          <w:color w:val="auto"/>
        </w:rPr>
      </w:pPr>
      <w:r>
        <w:rPr>
          <w:rFonts w:ascii="Arial" w:cs="Arial" w:eastAsia="Arial" w:hAnsi="Arial"/>
          <w:sz w:val="14"/>
          <w:szCs w:val="14"/>
          <w:u w:val="single" w:color="auto"/>
          <w:color w:val="auto"/>
        </w:rPr>
        <w:t>PROPERTY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Lease of Property</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300" w:lineRule="auto"/>
        <w:tabs>
          <w:tab w:leader="none" w:pos="1101" w:val="left"/>
        </w:tabs>
        <w:numPr>
          <w:ilvl w:val="0"/>
          <w:numId w:val="300"/>
        </w:numPr>
        <w:rPr>
          <w:rFonts w:ascii="Arial" w:cs="Arial" w:eastAsia="Arial" w:hAnsi="Arial"/>
          <w:sz w:val="12"/>
          <w:szCs w:val="12"/>
          <w:color w:val="auto"/>
        </w:rPr>
      </w:pPr>
      <w:r>
        <w:rPr>
          <w:rFonts w:ascii="Arial" w:cs="Arial" w:eastAsia="Arial" w:hAnsi="Arial"/>
          <w:sz w:val="12"/>
          <w:szCs w:val="12"/>
          <w:color w:val="auto"/>
        </w:rPr>
        <w:t xml:space="preserve">Landlord leases to Tenant and Tenant hires and leases from Landlord, on the terms, covenants and conditions hereinafter set forth, the building (the “Initial Building”) to be constructed pursuant to Article 5 hereof and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attached hereto on the real property described in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hereto (the “Site”), to consist of a two-story office and laboratory building containing approximately 66,127 square feet (measured in accordance with the BOMA standard most closely applicable to a two-story, single-tenant building of this nature). The location of the Initial Building on the Site is intended to be substantially as shown for “Building B” on the site plan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The Initial Building and the other improvements to be constructed, pursuant to Article 5 hereof and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attached hereto, on the portion of the Site designated as “Phase I”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attached hereto (the “Phase I Site”) are sometimes referred to collectively herein as the “Improvements,” and the Improvements and the Phase I Site are sometimes referred to collectively herein as the “Property.” The parking areas, driveways, sidewalks, landscaped areas and other portions of the Phase I Site that lie outside the exterior walls of the Initial Building, as depicted on the site plan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are sometimes referred to herein as the “Common Areas.” The Site is part of The Britannia Biotechnology Center in South San Francisco, California.</w:t>
      </w:r>
    </w:p>
    <w:p>
      <w:pPr>
        <w:spacing w:after="0" w:line="255" w:lineRule="exact"/>
        <w:rPr>
          <w:rFonts w:ascii="Arial" w:cs="Arial" w:eastAsia="Arial" w:hAnsi="Arial"/>
          <w:sz w:val="12"/>
          <w:szCs w:val="12"/>
          <w:color w:val="auto"/>
        </w:rPr>
      </w:pPr>
    </w:p>
    <w:p>
      <w:pPr>
        <w:ind w:right="20" w:firstLine="920"/>
        <w:spacing w:after="0" w:line="302" w:lineRule="auto"/>
        <w:tabs>
          <w:tab w:leader="none" w:pos="1109" w:val="left"/>
        </w:tabs>
        <w:numPr>
          <w:ilvl w:val="0"/>
          <w:numId w:val="300"/>
        </w:numPr>
        <w:rPr>
          <w:rFonts w:ascii="Arial" w:cs="Arial" w:eastAsia="Arial" w:hAnsi="Arial"/>
          <w:sz w:val="12"/>
          <w:szCs w:val="12"/>
          <w:color w:val="auto"/>
        </w:rPr>
      </w:pPr>
      <w:r>
        <w:rPr>
          <w:rFonts w:ascii="Arial" w:cs="Arial" w:eastAsia="Arial" w:hAnsi="Arial"/>
          <w:sz w:val="12"/>
          <w:szCs w:val="12"/>
          <w:color w:val="auto"/>
        </w:rPr>
        <w:t xml:space="preserve">As an appurtenance to Tenant’s leasing of the Initial Building pursuant to Section l.l(a), Landlord hereby grants to Tenant, for the benefit of Tenant and its employees, suppliers, shippers, customers and invitees, during the term of this Lease, the non-exclusive right to use, in common with others entitled to such use, (i) those portions of the Common Areas improved from time to time for use as parking areas, driveways, sidewalks, landscaped areas, or for other common purposes, and (ii) all easements, access rights and similar rights and privileges relating to or appurtenant to the Property and created or existing from time to time under any easement agreements, declarations of covenants, conditions and restrictions, or other written agreements now of record with respect to the Site, including (but not limited to) the portion of the Site designated as “Phase II”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attached hereto (the “Phase II Site”), subject however to any limitations applicable to such rights and privileges under applicable law and/or under the written agreements creating such rights and privileges.</w:t>
      </w:r>
    </w:p>
    <w:p>
      <w:pPr>
        <w:spacing w:after="0" w:line="86" w:lineRule="exact"/>
        <w:rPr>
          <w:sz w:val="20"/>
          <w:szCs w:val="20"/>
          <w:color w:val="auto"/>
        </w:rPr>
      </w:pPr>
    </w:p>
    <w:p>
      <w:pPr>
        <w:ind w:right="60" w:firstLine="458"/>
        <w:spacing w:after="0" w:line="29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Landlord’s Reserved Rights</w:t>
      </w:r>
      <w:r>
        <w:rPr>
          <w:rFonts w:ascii="Arial" w:cs="Arial" w:eastAsia="Arial" w:hAnsi="Arial"/>
          <w:sz w:val="12"/>
          <w:szCs w:val="12"/>
          <w:color w:val="auto"/>
        </w:rPr>
        <w:t xml:space="preserve">. To the extent reasonably necessary to permit Landlord to exercise any rights of Landlord and discharge any obligations of Landlord under this Lease, Landlord shall have, in addition to the right of entry set forth in Section 16.1 hereof, the following rights: (i) to make changes to the Common Areas, including, without limitation, changes in the location, size or shape of any portion of the Common Areas and to relocate (but not materially decrease the number of) parking spaces on the Phase I Site; (ii) to close temporarily any of the Common Areas for maintenance or other reasonable purposes, provided that reasonable parking and reasonable access to the Initial Building remain available; (iii) to construct, alter or add to other buildings or improvements on the Site (including, but not limited to, construction of a building in the area designated as “Building A” on the site plan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and construction of site improvements and common area improvements in the Phase</w:t>
      </w:r>
    </w:p>
    <w:p>
      <w:pPr>
        <w:spacing w:after="0" w:line="2" w:lineRule="exact"/>
        <w:rPr>
          <w:sz w:val="20"/>
          <w:szCs w:val="20"/>
          <w:color w:val="auto"/>
        </w:rPr>
      </w:pPr>
    </w:p>
    <w:p>
      <w:pPr>
        <w:ind w:right="180" w:firstLine="4"/>
        <w:spacing w:after="0" w:line="307" w:lineRule="auto"/>
        <w:tabs>
          <w:tab w:leader="none" w:pos="124" w:val="left"/>
        </w:tabs>
        <w:numPr>
          <w:ilvl w:val="0"/>
          <w:numId w:val="301"/>
        </w:numPr>
        <w:rPr>
          <w:rFonts w:ascii="Arial" w:cs="Arial" w:eastAsia="Arial" w:hAnsi="Arial"/>
          <w:sz w:val="12"/>
          <w:szCs w:val="12"/>
          <w:color w:val="auto"/>
        </w:rPr>
      </w:pPr>
      <w:r>
        <w:rPr>
          <w:rFonts w:ascii="Arial" w:cs="Arial" w:eastAsia="Arial" w:hAnsi="Arial"/>
          <w:sz w:val="12"/>
          <w:szCs w:val="12"/>
          <w:color w:val="auto"/>
        </w:rPr>
        <w:t xml:space="preserve">Site; (iv) to build adjoining to the Property and/or the Site; (v) to use the Common Areas while engaged in making additional improvements, repairs or alterations to the Property, or any portion thereof; and (vi) to do and perform such other acts with respect to the Common Areas and the Property as may be necessary or appropriate;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notwithstanding anything to the contrary in this Section 1.2, Landlord’s exercise of its rights hereunder (x) shall not cause any material diminution of Tenant’s rights, nor any material increase of Tenant’s obligations, under this Lease or with respect to the Improvements, (y) shall not authorize Landlord to make any material, permanent alterations in the Improvements without</w:t>
      </w:r>
    </w:p>
    <w:p>
      <w:pPr>
        <w:sectPr>
          <w:pgSz w:w="11900" w:h="16838" w:orient="portrait"/>
          <w:cols w:equalWidth="0" w:num="1">
            <w:col w:w="11460"/>
          </w:cols>
          <w:pgMar w:left="220" w:top="247" w:right="219" w:bottom="1440" w:gutter="0" w:footer="0" w:header="0"/>
        </w:sectPr>
      </w:pPr>
    </w:p>
    <w:bookmarkStart w:id="387" w:name="page388"/>
    <w:bookmarkEnd w:id="387"/>
    <w:p>
      <w:pPr>
        <w:jc w:val="both"/>
        <w:ind w:right="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prior written consent of Tenant, which consent shall not be unreasonably withheld or delayed, and (z) shall be conducted in such a manner as to minimize, to the extent reasonably possible, any adverse effect on Tenant’s business operations on the Phase I Site (including, but not limited to, reasonable prior notice to Tenant of any pile-driving or other activities that will cause significant noise or vibration on the Phase I Site).</w:t>
      </w:r>
    </w:p>
    <w:p>
      <w:pPr>
        <w:spacing w:after="0" w:line="233" w:lineRule="exact"/>
        <w:rPr>
          <w:sz w:val="20"/>
          <w:szCs w:val="20"/>
          <w:color w:val="auto"/>
        </w:rPr>
      </w:pPr>
    </w:p>
    <w:p>
      <w:pPr>
        <w:ind w:left="5620" w:hanging="143"/>
        <w:spacing w:after="0"/>
        <w:tabs>
          <w:tab w:leader="none" w:pos="5620"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TERM</w:t>
      </w:r>
    </w:p>
    <w:p>
      <w:pPr>
        <w:spacing w:after="0" w:line="132" w:lineRule="exact"/>
        <w:rPr>
          <w:sz w:val="20"/>
          <w:szCs w:val="20"/>
          <w:color w:val="auto"/>
        </w:rPr>
      </w:pPr>
    </w:p>
    <w:p>
      <w:pPr>
        <w:ind w:right="40" w:firstLine="458"/>
        <w:spacing w:after="0" w:line="321"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Term</w:t>
      </w:r>
      <w:r>
        <w:rPr>
          <w:rFonts w:ascii="Arial" w:cs="Arial" w:eastAsia="Arial" w:hAnsi="Arial"/>
          <w:sz w:val="12"/>
          <w:szCs w:val="12"/>
          <w:color w:val="auto"/>
        </w:rPr>
        <w:t xml:space="preserve">. The term of this Lease shall commence on the later to occur of (i) the date which is six (6) months after the date Landlord delivers to Tenant a Structural Completion Certificate pursuant to the Workletter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subject to any adjustments authorized or required under the provisions of such </w:t>
      </w:r>
      <w:r>
        <w:rPr>
          <w:rFonts w:ascii="Arial" w:cs="Arial" w:eastAsia="Arial" w:hAnsi="Arial"/>
          <w:sz w:val="12"/>
          <w:szCs w:val="12"/>
          <w:u w:val="single" w:color="auto"/>
          <w:color w:val="auto"/>
        </w:rPr>
        <w:t>Exhibit C</w:t>
      </w:r>
      <w:r>
        <w:rPr>
          <w:rFonts w:ascii="Arial" w:cs="Arial" w:eastAsia="Arial" w:hAnsi="Arial"/>
          <w:sz w:val="12"/>
          <w:szCs w:val="12"/>
          <w:color w:val="auto"/>
        </w:rPr>
        <w:t>, or (ii) February 1, 1996, the later of such dates being herein called the “Commencement Date,” and shall end on the day immediately preceding the date fifteen (15) years thereafter, unless sooner terminated or extended (if applicable) as hereinafter provided.</w:t>
      </w:r>
    </w:p>
    <w:p>
      <w:pPr>
        <w:spacing w:after="0" w:line="73" w:lineRule="exact"/>
        <w:rPr>
          <w:sz w:val="20"/>
          <w:szCs w:val="20"/>
          <w:color w:val="auto"/>
        </w:rPr>
      </w:pPr>
    </w:p>
    <w:p>
      <w:pPr>
        <w:ind w:firstLine="458"/>
        <w:spacing w:after="0" w:line="295"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Early Possession</w:t>
      </w:r>
      <w:r>
        <w:rPr>
          <w:rFonts w:ascii="Arial" w:cs="Arial" w:eastAsia="Arial" w:hAnsi="Arial"/>
          <w:sz w:val="12"/>
          <w:szCs w:val="12"/>
          <w:color w:val="auto"/>
        </w:rPr>
        <w:t xml:space="preserve">. Tenant shall have the nonexclusive right to occupy and take possession of the Phase I Site from and after the date of Landlord’s delivery of the Structural Completion Certificate described in clause (i) of Section 2.1, even though such date is prior to the Commencement Date determined under Section 2.1 and even though Landlord will be continuing to construct the balance of Landlord’s Work as contemplated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for the purpose of constructing Tenant’s Work as contemplated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Such occupancy and possession, and any early access under the next sentence of this Section 2.2, shall be subject to and upon all of the terms and conditions of this Lease and of the Workletter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(including, but not limited to, conditions relating to the maintenance of required insurance), except that Tenant shall have no obligation to pay minimum rental or Operating Expenses for any period prior to the Commencement Date as determined under Section 2.1; such early possession shall not advance or otherwise affect the Commencement Date or termination date determined under Section 2.1. Tenant shall also be entitled to have early access to the Phase I Site at all appropriate times prior to Landlord’s delivery of the Structural Completion Certificate, subject to the approval of Landlord and its contractor (which approval shall not be unreasonably withheld or delayed), solely for the purpose of installing fixtures and equipment and other similar work preparatory to the construction of Tenant’s Work and the commencement of Tenant’s business on the Property, and Tenant shall not be required to pay minimum rental or Operating Expenses by reason of such early access until the Commencement Date otherwise occurs. Tenant shall not interfere with or delay Landlord’s contractors by any such early access, occupancy or possession under this Section 2.2 prior to Landlord’s delivery of the Structural Completion Certificate, shall coordinate and cooperate with Landlord and its contractors (who shall similarly coordinate and cooperate with Tenant and its contractors) to minimize any interference or delay by either party with respect to the other party’s work following Landlord’s delivery of the Structural Completion Certificate, and shall indemnify, defend and hold harmless Landlord and its agents and employees from and against any and all claims, demands, liabilities, actions, losses, costs and expenses, including (but not limited to) reasonable attorneys’ fees, arising out of or in connection with Tenant’s early entry upon the Phase I Site hereunder.</w:t>
      </w:r>
    </w:p>
    <w:p>
      <w:pPr>
        <w:spacing w:after="0" w:line="93" w:lineRule="exact"/>
        <w:rPr>
          <w:sz w:val="20"/>
          <w:szCs w:val="20"/>
          <w:color w:val="auto"/>
        </w:rPr>
      </w:pPr>
    </w:p>
    <w:p>
      <w:pPr>
        <w:ind w:right="40" w:firstLine="458"/>
        <w:spacing w:after="0" w:line="300"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Delay In Possession</w:t>
      </w:r>
      <w:r>
        <w:rPr>
          <w:rFonts w:ascii="Arial" w:cs="Arial" w:eastAsia="Arial" w:hAnsi="Arial"/>
          <w:sz w:val="12"/>
          <w:szCs w:val="12"/>
          <w:color w:val="auto"/>
        </w:rPr>
        <w:t xml:space="preserve">. Landlord agrees to use its best reasonable efforts to complete promptly its portion of the work described in Section 5.1 and </w:t>
      </w:r>
      <w:r>
        <w:rPr>
          <w:rFonts w:ascii="Arial" w:cs="Arial" w:eastAsia="Arial" w:hAnsi="Arial"/>
          <w:sz w:val="12"/>
          <w:szCs w:val="12"/>
          <w:u w:val="single" w:color="auto"/>
          <w:color w:val="auto"/>
        </w:rPr>
        <w:t>Exhibit C</w:t>
      </w:r>
      <w:r>
        <w:rPr>
          <w:rFonts w:ascii="Arial" w:cs="Arial" w:eastAsia="Arial" w:hAnsi="Arial"/>
          <w:sz w:val="12"/>
          <w:szCs w:val="12"/>
          <w:color w:val="auto"/>
        </w:rPr>
        <w:t>; provided, however, Landlord shall not be liable for any damages caused by any delay in the completion of such work, nor shall any such delay affect the validity of this Lease or the obligations of Tenant hereunder. Notwithstanding any other provision of this Section 2.3, however, if Landlord fails to deliver the Structural Completion Certificate and tender possession of the completed structural portions of the Building Shell (</w:t>
      </w:r>
      <w:r>
        <w:rPr>
          <w:rFonts w:ascii="Arial" w:cs="Arial" w:eastAsia="Arial" w:hAnsi="Arial"/>
          <w:sz w:val="12"/>
          <w:szCs w:val="12"/>
          <w:u w:val="single" w:color="auto"/>
          <w:color w:val="auto"/>
        </w:rPr>
        <w:t>i.e.</w:t>
      </w:r>
      <w:r>
        <w:rPr>
          <w:rFonts w:ascii="Arial" w:cs="Arial" w:eastAsia="Arial" w:hAnsi="Arial"/>
          <w:sz w:val="12"/>
          <w:szCs w:val="12"/>
          <w:color w:val="auto"/>
        </w:rPr>
        <w:t xml:space="preserve">, those portions required to be completed as a condition of delivery of the Structural Completion Certificate) to Tenant by April 30, 1996, then Tenant shall have the right to terminate this Lease without further liability hereunder by written notice delivered to Landlord at any time prior to Landlord’s delivery of the Structural Completion Certificate and tender of possession of the completed structural portions of the Building Shell to Tenant;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the deadline of April 30, 1996 set forth in this sentence shall be extended, day for day, for a period equal to the length of any delay beyond May 31, 1995 in Tenant’s delivery to Landlord of all information reasonably necessary for Landlord to complete the preparation of all drawings, designs and specifications for the Building Shell.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47" w:right="219" w:bottom="1440" w:gutter="0" w:footer="0" w:header="0"/>
        </w:sectPr>
      </w:pPr>
    </w:p>
    <w:bookmarkStart w:id="388" w:name="page389"/>
    <w:bookmarkEnd w:id="388"/>
    <w:p>
      <w:pPr>
        <w:ind w:right="220" w:firstLine="458"/>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2.4 </w:t>
      </w:r>
      <w:r>
        <w:rPr>
          <w:rFonts w:ascii="Arial" w:cs="Arial" w:eastAsia="Arial" w:hAnsi="Arial"/>
          <w:sz w:val="14"/>
          <w:szCs w:val="14"/>
          <w:u w:val="single" w:color="auto"/>
          <w:color w:val="auto"/>
        </w:rPr>
        <w:t>Acknowledgement Of Lease Commencement</w:t>
      </w:r>
      <w:r>
        <w:rPr>
          <w:rFonts w:ascii="Arial" w:cs="Arial" w:eastAsia="Arial" w:hAnsi="Arial"/>
          <w:sz w:val="14"/>
          <w:szCs w:val="14"/>
          <w:color w:val="auto"/>
        </w:rPr>
        <w:t xml:space="preserve">. Upon commencement of the term of this Lease, Landlord and Tenant shall execute a written acknowledgement of the Commencement Date, date of termination and related matters, substantially in the form attached hereto as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(with appropriate insertions), which acknowledgement shall be deemed to be incorporated herein by this reference. Notwithstanding the foregoing requirement, the failure of Tenant to execute such a written acknowledgement shall not affect the determination of the Commencement Date, date of termination and related matters in accordance with the provisions of this Lease.</w:t>
      </w:r>
    </w:p>
    <w:p>
      <w:pPr>
        <w:spacing w:after="0" w:line="110" w:lineRule="exact"/>
        <w:rPr>
          <w:sz w:val="20"/>
          <w:szCs w:val="20"/>
          <w:color w:val="auto"/>
        </w:rPr>
      </w:pPr>
    </w:p>
    <w:p>
      <w:pPr>
        <w:ind w:right="60" w:firstLine="458"/>
        <w:spacing w:after="0" w:line="299"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Holding Over</w:t>
      </w:r>
      <w:r>
        <w:rPr>
          <w:rFonts w:ascii="Arial" w:cs="Arial" w:eastAsia="Arial" w:hAnsi="Arial"/>
          <w:sz w:val="12"/>
          <w:szCs w:val="12"/>
          <w:color w:val="auto"/>
        </w:rPr>
        <w:t>. If Tenant holds possession of the Property or any portion thereof after the term of this Lease with Landlord’s written consent, then except as otherwise specified in such consent, Tenant shall become a tenant from month to month at one hundred twenty-five percent (125%) of the rental and otherwise upon the terms herein specified for the period immediately prior to such holding over and shall continue in such status until the tenancy is terminated by either party upon not less than thirty (30) days prior written notice. If Tenant holds possession of the Property or any portion thereof after the term of this Lease without Landlord’s written consent, then Landlord in its sole discretion may elect (by written notice to Tenant) to have Tenant become a tenant either from month to month or at will, at one hundred fifty percent (150%) of the rental (prorated on a daily basis for an at-will tenancy, if applicable) and otherwise upon the terms herein specified for the period immediately prior to such holding over, or may elect to pursue any and all legal remedies available to Landlord under applicable law with respect to such unconsented holding over by Tenant. Tenant shall indemnify and hold Landlord harmless from any loss, damage, claim, liability, cost or expense (including reasonable attorneys’ fees) resulting from any delay by Tenant in surrendering the Property (except with Landlord’s prior written consent), including but not limited to any claims made by a succeeding tenant by reason of such delay. Acceptance of rent by Landlord following expiration or termination of this Lease shall not constitute a renewal of this Lease.</w:t>
      </w:r>
    </w:p>
    <w:p>
      <w:pPr>
        <w:spacing w:after="0" w:line="87" w:lineRule="exact"/>
        <w:rPr>
          <w:sz w:val="20"/>
          <w:szCs w:val="20"/>
          <w:color w:val="auto"/>
        </w:rPr>
      </w:pPr>
    </w:p>
    <w:p>
      <w:pPr>
        <w:ind w:firstLine="458"/>
        <w:spacing w:after="0" w:line="299" w:lineRule="auto"/>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Option To Extend Term</w:t>
      </w:r>
      <w:r>
        <w:rPr>
          <w:rFonts w:ascii="Arial" w:cs="Arial" w:eastAsia="Arial" w:hAnsi="Arial"/>
          <w:sz w:val="12"/>
          <w:szCs w:val="12"/>
          <w:color w:val="auto"/>
        </w:rPr>
        <w:t>. Tenant shall have the option to extend the term of this Lease, at the minimum rental set forth in Section 3.1(b) and (c) and otherwise upon all the terms and provisions set forth herein with respect to the initial term of this Lease, for up to two (2) additional periods of five (5) years each, the first commencing upon the expiration of the initial term hereof and the second commencing upon the expiration of the first extended term, if any. Exercise of such option with respect to the first such extended term shall be by written notice to Landlord at least nine (9) months prior to the expiration of the initial term hereof, exercise of such option with respect to the second extended term, if the first extension option has been duly exercised, shall be by like written notice to Landlord at least nine (9) months prior to the expiration of the first extended term hereof. If Tenant is in default hereunder on the date of such notice or on the date any extended term is to commence, then the option shall be of no force or effect, the extended term shall not commence and this Lease shall expire at the end of the then current term hereof (or at such earlier time as Landlord may elect pursuant to the default provisions of this Lease). If Tenant properly exercises one or more extension options under this Section, then all references in this Lease (other than in this Section 2.6) to the “term” of this Lease shall be construed to include the extension term(s) thus elected by Tenant. Except as expressly set forth in this Section 2.6, Tenant shall have no right to extend the term of this Lease beyond its prescribed term.</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47" w:right="219" w:bottom="1440" w:gutter="0" w:footer="0" w:header="0"/>
        </w:sectPr>
      </w:pPr>
    </w:p>
    <w:bookmarkStart w:id="389" w:name="page390"/>
    <w:bookmarkEnd w:id="389"/>
    <w:p>
      <w:pPr>
        <w:ind w:left="5540" w:hanging="136"/>
        <w:spacing w:after="0"/>
        <w:tabs>
          <w:tab w:leader="none" w:pos="5540"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RENTAL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Minimum Rental</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267" w:lineRule="auto"/>
        <w:tabs>
          <w:tab w:leader="none" w:pos="1101" w:val="left"/>
        </w:tabs>
        <w:numPr>
          <w:ilvl w:val="0"/>
          <w:numId w:val="304"/>
        </w:numPr>
        <w:rPr>
          <w:rFonts w:ascii="Arial" w:cs="Arial" w:eastAsia="Arial" w:hAnsi="Arial"/>
          <w:sz w:val="14"/>
          <w:szCs w:val="14"/>
          <w:color w:val="auto"/>
        </w:rPr>
      </w:pPr>
      <w:r>
        <w:rPr>
          <w:rFonts w:ascii="Arial" w:cs="Arial" w:eastAsia="Arial" w:hAnsi="Arial"/>
          <w:sz w:val="14"/>
          <w:szCs w:val="14"/>
          <w:color w:val="auto"/>
        </w:rPr>
        <w:t xml:space="preserve">Tenant shall pay to Landlord as minimum rental for the Property, in advance, </w:t>
      </w:r>
      <w:r>
        <w:rPr>
          <w:rFonts w:ascii="Arial" w:cs="Arial" w:eastAsia="Arial" w:hAnsi="Arial"/>
          <w:sz w:val="14"/>
          <w:szCs w:val="14"/>
          <w:i w:val="1"/>
          <w:iCs w:val="1"/>
          <w:color w:val="auto"/>
        </w:rPr>
        <w:t>without deduction, offset, notice or demand, on or before the Commencement Date</w:t>
      </w:r>
      <w:r>
        <w:rPr>
          <w:rFonts w:ascii="Arial" w:cs="Arial" w:eastAsia="Arial" w:hAnsi="Arial"/>
          <w:sz w:val="14"/>
          <w:szCs w:val="14"/>
          <w:color w:val="auto"/>
        </w:rPr>
        <w:t xml:space="preserve"> and on or before the first day of each subsequent calendar month of the term of this Lease, the following amounts per month:</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123"/>
        </w:trPr>
        <w:tc>
          <w:tcPr>
            <w:tcW w:w="6920" w:type="dxa"/>
            <w:vAlign w:val="bottom"/>
            <w:gridSpan w:val="3"/>
          </w:tcPr>
          <w:p>
            <w:pPr>
              <w:spacing w:after="0"/>
              <w:rPr>
                <w:sz w:val="20"/>
                <w:szCs w:val="20"/>
                <w:color w:val="auto"/>
              </w:rPr>
            </w:pPr>
            <w:r>
              <w:rPr>
                <w:rFonts w:ascii="Arial" w:cs="Arial" w:eastAsia="Arial" w:hAnsi="Arial"/>
                <w:sz w:val="10"/>
                <w:szCs w:val="10"/>
                <w:color w:val="auto"/>
              </w:rPr>
              <w:t>Months</w:t>
            </w:r>
          </w:p>
        </w:tc>
        <w:tc>
          <w:tcPr>
            <w:tcW w:w="860" w:type="dxa"/>
            <w:vAlign w:val="bottom"/>
            <w:gridSpan w:val="3"/>
          </w:tcPr>
          <w:p>
            <w:pPr>
              <w:jc w:val="right"/>
              <w:ind w:right="100"/>
              <w:spacing w:after="0"/>
              <w:rPr>
                <w:sz w:val="20"/>
                <w:szCs w:val="20"/>
                <w:color w:val="auto"/>
              </w:rPr>
            </w:pPr>
            <w:r>
              <w:rPr>
                <w:rFonts w:ascii="Arial" w:cs="Arial" w:eastAsia="Arial" w:hAnsi="Arial"/>
                <w:sz w:val="10"/>
                <w:szCs w:val="10"/>
                <w:color w:val="auto"/>
              </w:rPr>
              <w:t>Minimum Rental</w:t>
            </w:r>
          </w:p>
        </w:tc>
      </w:tr>
      <w:tr>
        <w:trPr>
          <w:trHeight w:val="73"/>
        </w:trPr>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67"/>
        </w:trPr>
        <w:tc>
          <w:tcPr>
            <w:tcW w:w="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1 - 6</w:t>
            </w:r>
          </w:p>
        </w:tc>
        <w:tc>
          <w:tcPr>
            <w:tcW w:w="65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119,240</w:t>
            </w:r>
          </w:p>
        </w:tc>
      </w:tr>
      <w:tr>
        <w:trPr>
          <w:trHeight w:val="167"/>
        </w:trPr>
        <w:tc>
          <w:tcPr>
            <w:tcW w:w="340" w:type="dxa"/>
            <w:vAlign w:val="bottom"/>
            <w:gridSpan w:val="2"/>
          </w:tcPr>
          <w:p>
            <w:pPr>
              <w:spacing w:after="0"/>
              <w:rPr>
                <w:sz w:val="20"/>
                <w:szCs w:val="20"/>
                <w:color w:val="auto"/>
              </w:rPr>
            </w:pPr>
            <w:r>
              <w:rPr>
                <w:rFonts w:ascii="Arial" w:cs="Arial" w:eastAsia="Arial" w:hAnsi="Arial"/>
                <w:sz w:val="14"/>
                <w:szCs w:val="14"/>
                <w:color w:val="auto"/>
                <w:w w:val="89"/>
              </w:rPr>
              <w:t>7 - 12</w:t>
            </w:r>
          </w:p>
        </w:tc>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132,840</w:t>
            </w:r>
          </w:p>
        </w:tc>
        <w:tc>
          <w:tcPr>
            <w:tcW w:w="80" w:type="dxa"/>
            <w:vAlign w:val="bottom"/>
          </w:tcPr>
          <w:p>
            <w:pPr>
              <w:spacing w:after="0"/>
              <w:rPr>
                <w:sz w:val="14"/>
                <w:szCs w:val="14"/>
                <w:color w:val="auto"/>
              </w:rPr>
            </w:pPr>
          </w:p>
        </w:tc>
      </w:tr>
      <w:tr>
        <w:trPr>
          <w:trHeight w:val="167"/>
        </w:trPr>
        <w:tc>
          <w:tcPr>
            <w:tcW w:w="160" w:type="dxa"/>
            <w:vAlign w:val="bottom"/>
            <w:shd w:val="clear" w:color="auto" w:fill="CCEEFF"/>
          </w:tcPr>
          <w:p>
            <w:pPr>
              <w:spacing w:after="0"/>
              <w:rPr>
                <w:sz w:val="20"/>
                <w:szCs w:val="20"/>
                <w:color w:val="auto"/>
              </w:rPr>
            </w:pPr>
            <w:r>
              <w:rPr>
                <w:rFonts w:ascii="Arial" w:cs="Arial" w:eastAsia="Arial" w:hAnsi="Arial"/>
                <w:sz w:val="14"/>
                <w:szCs w:val="14"/>
                <w:color w:val="auto"/>
                <w:w w:val="89"/>
              </w:rPr>
              <w:t>13</w:t>
            </w: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- 24</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150,770</w:t>
            </w:r>
          </w:p>
        </w:tc>
        <w:tc>
          <w:tcPr>
            <w:tcW w:w="80" w:type="dxa"/>
            <w:vAlign w:val="bottom"/>
            <w:shd w:val="clear" w:color="auto" w:fill="CCEEFF"/>
          </w:tcPr>
          <w:p>
            <w:pPr>
              <w:spacing w:after="0"/>
              <w:rPr>
                <w:sz w:val="14"/>
                <w:szCs w:val="14"/>
                <w:color w:val="auto"/>
              </w:rPr>
            </w:pP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w w:val="89"/>
              </w:rPr>
              <w:t>25</w:t>
            </w:r>
          </w:p>
        </w:tc>
        <w:tc>
          <w:tcPr>
            <w:tcW w:w="6760" w:type="dxa"/>
            <w:vAlign w:val="bottom"/>
            <w:gridSpan w:val="2"/>
          </w:tcPr>
          <w:p>
            <w:pPr>
              <w:ind w:left="20"/>
              <w:spacing w:after="0"/>
              <w:rPr>
                <w:sz w:val="20"/>
                <w:szCs w:val="20"/>
                <w:color w:val="auto"/>
              </w:rPr>
            </w:pPr>
            <w:r>
              <w:rPr>
                <w:rFonts w:ascii="Arial" w:cs="Arial" w:eastAsia="Arial" w:hAnsi="Arial"/>
                <w:sz w:val="14"/>
                <w:szCs w:val="14"/>
                <w:color w:val="auto"/>
              </w:rPr>
              <w:t>- 36</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160,689</w:t>
            </w:r>
          </w:p>
        </w:tc>
        <w:tc>
          <w:tcPr>
            <w:tcW w:w="80" w:type="dxa"/>
            <w:vAlign w:val="bottom"/>
          </w:tcPr>
          <w:p>
            <w:pPr>
              <w:spacing w:after="0"/>
              <w:rPr>
                <w:sz w:val="14"/>
                <w:szCs w:val="14"/>
                <w:color w:val="auto"/>
              </w:rPr>
            </w:pPr>
          </w:p>
        </w:tc>
      </w:tr>
      <w:tr>
        <w:trPr>
          <w:trHeight w:val="167"/>
        </w:trPr>
        <w:tc>
          <w:tcPr>
            <w:tcW w:w="160" w:type="dxa"/>
            <w:vAlign w:val="bottom"/>
            <w:shd w:val="clear" w:color="auto" w:fill="CCEEFF"/>
          </w:tcPr>
          <w:p>
            <w:pPr>
              <w:spacing w:after="0"/>
              <w:rPr>
                <w:sz w:val="20"/>
                <w:szCs w:val="20"/>
                <w:color w:val="auto"/>
              </w:rPr>
            </w:pPr>
            <w:r>
              <w:rPr>
                <w:rFonts w:ascii="Arial" w:cs="Arial" w:eastAsia="Arial" w:hAnsi="Arial"/>
                <w:sz w:val="14"/>
                <w:szCs w:val="14"/>
                <w:color w:val="auto"/>
                <w:w w:val="89"/>
              </w:rPr>
              <w:t>37</w:t>
            </w: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- 48</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164,656</w:t>
            </w:r>
          </w:p>
        </w:tc>
        <w:tc>
          <w:tcPr>
            <w:tcW w:w="80" w:type="dxa"/>
            <w:vAlign w:val="bottom"/>
            <w:shd w:val="clear" w:color="auto" w:fill="CCEEFF"/>
          </w:tcPr>
          <w:p>
            <w:pPr>
              <w:spacing w:after="0"/>
              <w:rPr>
                <w:sz w:val="14"/>
                <w:szCs w:val="14"/>
                <w:color w:val="auto"/>
              </w:rPr>
            </w:pP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w w:val="89"/>
              </w:rPr>
              <w:t>49</w:t>
            </w:r>
          </w:p>
        </w:tc>
        <w:tc>
          <w:tcPr>
            <w:tcW w:w="6760" w:type="dxa"/>
            <w:vAlign w:val="bottom"/>
            <w:gridSpan w:val="2"/>
          </w:tcPr>
          <w:p>
            <w:pPr>
              <w:ind w:left="20"/>
              <w:spacing w:after="0"/>
              <w:rPr>
                <w:sz w:val="20"/>
                <w:szCs w:val="20"/>
                <w:color w:val="auto"/>
              </w:rPr>
            </w:pPr>
            <w:r>
              <w:rPr>
                <w:rFonts w:ascii="Arial" w:cs="Arial" w:eastAsia="Arial" w:hAnsi="Arial"/>
                <w:sz w:val="14"/>
                <w:szCs w:val="14"/>
                <w:color w:val="auto"/>
              </w:rPr>
              <w:t>- 60</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171,930</w:t>
            </w:r>
          </w:p>
        </w:tc>
        <w:tc>
          <w:tcPr>
            <w:tcW w:w="80" w:type="dxa"/>
            <w:vAlign w:val="bottom"/>
          </w:tcPr>
          <w:p>
            <w:pPr>
              <w:spacing w:after="0"/>
              <w:rPr>
                <w:sz w:val="14"/>
                <w:szCs w:val="14"/>
                <w:color w:val="auto"/>
              </w:rPr>
            </w:pPr>
          </w:p>
        </w:tc>
      </w:tr>
      <w:tr>
        <w:trPr>
          <w:trHeight w:val="167"/>
        </w:trPr>
        <w:tc>
          <w:tcPr>
            <w:tcW w:w="160" w:type="dxa"/>
            <w:vAlign w:val="bottom"/>
            <w:shd w:val="clear" w:color="auto" w:fill="CCEEFF"/>
          </w:tcPr>
          <w:p>
            <w:pPr>
              <w:spacing w:after="0"/>
              <w:rPr>
                <w:sz w:val="20"/>
                <w:szCs w:val="20"/>
                <w:color w:val="auto"/>
              </w:rPr>
            </w:pPr>
            <w:r>
              <w:rPr>
                <w:rFonts w:ascii="Arial" w:cs="Arial" w:eastAsia="Arial" w:hAnsi="Arial"/>
                <w:sz w:val="14"/>
                <w:szCs w:val="14"/>
                <w:color w:val="auto"/>
                <w:w w:val="89"/>
              </w:rPr>
              <w:t>61</w:t>
            </w: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- 72</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173,253</w:t>
            </w:r>
          </w:p>
        </w:tc>
        <w:tc>
          <w:tcPr>
            <w:tcW w:w="80" w:type="dxa"/>
            <w:vAlign w:val="bottom"/>
            <w:shd w:val="clear" w:color="auto" w:fill="CCEEFF"/>
          </w:tcPr>
          <w:p>
            <w:pPr>
              <w:spacing w:after="0"/>
              <w:rPr>
                <w:sz w:val="14"/>
                <w:szCs w:val="14"/>
                <w:color w:val="auto"/>
              </w:rPr>
            </w:pP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w w:val="89"/>
              </w:rPr>
              <w:t>73</w:t>
            </w:r>
          </w:p>
        </w:tc>
        <w:tc>
          <w:tcPr>
            <w:tcW w:w="6760" w:type="dxa"/>
            <w:vAlign w:val="bottom"/>
            <w:gridSpan w:val="2"/>
          </w:tcPr>
          <w:p>
            <w:pPr>
              <w:ind w:left="20"/>
              <w:spacing w:after="0"/>
              <w:rPr>
                <w:sz w:val="20"/>
                <w:szCs w:val="20"/>
                <w:color w:val="auto"/>
              </w:rPr>
            </w:pPr>
            <w:r>
              <w:rPr>
                <w:rFonts w:ascii="Arial" w:cs="Arial" w:eastAsia="Arial" w:hAnsi="Arial"/>
                <w:sz w:val="14"/>
                <w:szCs w:val="14"/>
                <w:color w:val="auto"/>
              </w:rPr>
              <w:t>- 84</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149,447</w:t>
            </w:r>
          </w:p>
        </w:tc>
        <w:tc>
          <w:tcPr>
            <w:tcW w:w="80" w:type="dxa"/>
            <w:vAlign w:val="bottom"/>
          </w:tcPr>
          <w:p>
            <w:pPr>
              <w:spacing w:after="0"/>
              <w:rPr>
                <w:sz w:val="14"/>
                <w:szCs w:val="14"/>
                <w:color w:val="auto"/>
              </w:rPr>
            </w:pPr>
          </w:p>
        </w:tc>
      </w:tr>
      <w:tr>
        <w:trPr>
          <w:trHeight w:val="167"/>
        </w:trPr>
        <w:tc>
          <w:tcPr>
            <w:tcW w:w="160" w:type="dxa"/>
            <w:vAlign w:val="bottom"/>
            <w:shd w:val="clear" w:color="auto" w:fill="CCEEFF"/>
          </w:tcPr>
          <w:p>
            <w:pPr>
              <w:spacing w:after="0"/>
              <w:rPr>
                <w:sz w:val="20"/>
                <w:szCs w:val="20"/>
                <w:color w:val="auto"/>
              </w:rPr>
            </w:pPr>
            <w:r>
              <w:rPr>
                <w:rFonts w:ascii="Arial" w:cs="Arial" w:eastAsia="Arial" w:hAnsi="Arial"/>
                <w:sz w:val="14"/>
                <w:szCs w:val="14"/>
                <w:color w:val="auto"/>
                <w:w w:val="89"/>
              </w:rPr>
              <w:t>85</w:t>
            </w: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- 96</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154,076</w:t>
            </w:r>
          </w:p>
        </w:tc>
        <w:tc>
          <w:tcPr>
            <w:tcW w:w="80" w:type="dxa"/>
            <w:vAlign w:val="bottom"/>
            <w:shd w:val="clear" w:color="auto" w:fill="CCEEFF"/>
          </w:tcPr>
          <w:p>
            <w:pPr>
              <w:spacing w:after="0"/>
              <w:rPr>
                <w:sz w:val="14"/>
                <w:szCs w:val="14"/>
                <w:color w:val="auto"/>
              </w:rPr>
            </w:pP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w w:val="89"/>
              </w:rPr>
              <w:t>97</w:t>
            </w:r>
          </w:p>
        </w:tc>
        <w:tc>
          <w:tcPr>
            <w:tcW w:w="6760" w:type="dxa"/>
            <w:vAlign w:val="bottom"/>
            <w:gridSpan w:val="2"/>
          </w:tcPr>
          <w:p>
            <w:pPr>
              <w:ind w:left="20"/>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158,705</w:t>
            </w:r>
          </w:p>
        </w:tc>
        <w:tc>
          <w:tcPr>
            <w:tcW w:w="80" w:type="dxa"/>
            <w:vAlign w:val="bottom"/>
          </w:tcPr>
          <w:p>
            <w:pPr>
              <w:spacing w:after="0"/>
              <w:rPr>
                <w:sz w:val="14"/>
                <w:szCs w:val="14"/>
                <w:color w:val="auto"/>
              </w:rPr>
            </w:pPr>
          </w:p>
        </w:tc>
      </w:tr>
      <w:tr>
        <w:trPr>
          <w:trHeight w:val="167"/>
        </w:trPr>
        <w:tc>
          <w:tcPr>
            <w:tcW w:w="6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109 - 120</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163,334</w:t>
            </w:r>
          </w:p>
        </w:tc>
        <w:tc>
          <w:tcPr>
            <w:tcW w:w="80" w:type="dxa"/>
            <w:vAlign w:val="bottom"/>
            <w:shd w:val="clear" w:color="auto" w:fill="CCEEFF"/>
          </w:tcPr>
          <w:p>
            <w:pPr>
              <w:spacing w:after="0"/>
              <w:rPr>
                <w:sz w:val="14"/>
                <w:szCs w:val="14"/>
                <w:color w:val="auto"/>
              </w:rPr>
            </w:pPr>
          </w:p>
        </w:tc>
      </w:tr>
      <w:tr>
        <w:trPr>
          <w:trHeight w:val="167"/>
        </w:trPr>
        <w:tc>
          <w:tcPr>
            <w:tcW w:w="6920" w:type="dxa"/>
            <w:vAlign w:val="bottom"/>
            <w:gridSpan w:val="3"/>
          </w:tcPr>
          <w:p>
            <w:pPr>
              <w:spacing w:after="0"/>
              <w:rPr>
                <w:sz w:val="20"/>
                <w:szCs w:val="20"/>
                <w:color w:val="auto"/>
              </w:rPr>
            </w:pPr>
            <w:r>
              <w:rPr>
                <w:rFonts w:ascii="Arial" w:cs="Arial" w:eastAsia="Arial" w:hAnsi="Arial"/>
                <w:sz w:val="14"/>
                <w:szCs w:val="14"/>
                <w:color w:val="auto"/>
              </w:rPr>
              <w:t>121 - 132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148,786</w:t>
            </w:r>
          </w:p>
        </w:tc>
        <w:tc>
          <w:tcPr>
            <w:tcW w:w="80" w:type="dxa"/>
            <w:vAlign w:val="bottom"/>
          </w:tcPr>
          <w:p>
            <w:pPr>
              <w:spacing w:after="0"/>
              <w:rPr>
                <w:sz w:val="14"/>
                <w:szCs w:val="14"/>
                <w:color w:val="auto"/>
              </w:rPr>
            </w:pPr>
          </w:p>
        </w:tc>
      </w:tr>
      <w:tr>
        <w:trPr>
          <w:trHeight w:val="167"/>
        </w:trPr>
        <w:tc>
          <w:tcPr>
            <w:tcW w:w="6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133 - 144</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154,076</w:t>
            </w:r>
          </w:p>
        </w:tc>
        <w:tc>
          <w:tcPr>
            <w:tcW w:w="80" w:type="dxa"/>
            <w:vAlign w:val="bottom"/>
            <w:shd w:val="clear" w:color="auto" w:fill="CCEEFF"/>
          </w:tcPr>
          <w:p>
            <w:pPr>
              <w:spacing w:after="0"/>
              <w:rPr>
                <w:sz w:val="14"/>
                <w:szCs w:val="14"/>
                <w:color w:val="auto"/>
              </w:rPr>
            </w:pPr>
          </w:p>
        </w:tc>
      </w:tr>
      <w:tr>
        <w:trPr>
          <w:trHeight w:val="167"/>
        </w:trPr>
        <w:tc>
          <w:tcPr>
            <w:tcW w:w="6920" w:type="dxa"/>
            <w:vAlign w:val="bottom"/>
            <w:gridSpan w:val="3"/>
          </w:tcPr>
          <w:p>
            <w:pPr>
              <w:spacing w:after="0"/>
              <w:rPr>
                <w:sz w:val="20"/>
                <w:szCs w:val="20"/>
                <w:color w:val="auto"/>
              </w:rPr>
            </w:pPr>
            <w:r>
              <w:rPr>
                <w:rFonts w:ascii="Arial" w:cs="Arial" w:eastAsia="Arial" w:hAnsi="Arial"/>
                <w:sz w:val="14"/>
                <w:szCs w:val="14"/>
                <w:color w:val="auto"/>
              </w:rPr>
              <w:t>145 - 156</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159,366</w:t>
            </w:r>
          </w:p>
        </w:tc>
        <w:tc>
          <w:tcPr>
            <w:tcW w:w="80" w:type="dxa"/>
            <w:vAlign w:val="bottom"/>
          </w:tcPr>
          <w:p>
            <w:pPr>
              <w:spacing w:after="0"/>
              <w:rPr>
                <w:sz w:val="14"/>
                <w:szCs w:val="14"/>
                <w:color w:val="auto"/>
              </w:rPr>
            </w:pPr>
          </w:p>
        </w:tc>
      </w:tr>
      <w:tr>
        <w:trPr>
          <w:trHeight w:val="167"/>
        </w:trPr>
        <w:tc>
          <w:tcPr>
            <w:tcW w:w="6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157 - 168</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165,318</w:t>
            </w:r>
          </w:p>
        </w:tc>
        <w:tc>
          <w:tcPr>
            <w:tcW w:w="80" w:type="dxa"/>
            <w:vAlign w:val="bottom"/>
            <w:shd w:val="clear" w:color="auto" w:fill="CCEEFF"/>
          </w:tcPr>
          <w:p>
            <w:pPr>
              <w:spacing w:after="0"/>
              <w:rPr>
                <w:sz w:val="14"/>
                <w:szCs w:val="14"/>
                <w:color w:val="auto"/>
              </w:rPr>
            </w:pPr>
          </w:p>
        </w:tc>
      </w:tr>
      <w:tr>
        <w:trPr>
          <w:trHeight w:val="173"/>
        </w:trPr>
        <w:tc>
          <w:tcPr>
            <w:tcW w:w="6920" w:type="dxa"/>
            <w:vAlign w:val="bottom"/>
            <w:gridSpan w:val="3"/>
          </w:tcPr>
          <w:p>
            <w:pPr>
              <w:spacing w:after="0"/>
              <w:rPr>
                <w:sz w:val="20"/>
                <w:szCs w:val="20"/>
                <w:color w:val="auto"/>
              </w:rPr>
            </w:pPr>
            <w:r>
              <w:rPr>
                <w:rFonts w:ascii="Arial" w:cs="Arial" w:eastAsia="Arial" w:hAnsi="Arial"/>
                <w:sz w:val="14"/>
                <w:szCs w:val="14"/>
                <w:color w:val="auto"/>
              </w:rPr>
              <w:t>169 - 180</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170,608</w:t>
            </w:r>
          </w:p>
        </w:tc>
        <w:tc>
          <w:tcPr>
            <w:tcW w:w="80" w:type="dxa"/>
            <w:vAlign w:val="bottom"/>
          </w:tcPr>
          <w:p>
            <w:pPr>
              <w:spacing w:after="0"/>
              <w:rPr>
                <w:sz w:val="15"/>
                <w:szCs w:val="15"/>
                <w:color w:val="auto"/>
              </w:rPr>
            </w:pPr>
          </w:p>
        </w:tc>
      </w:tr>
    </w:tbl>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If the obligation to pay minimum rental hereunder commences on other than the first day of a calendar month or if the term of this Lease terminates on other than the last day of a calendar month, the minimum rental for such first or last month of the term of this Lease, as the case may be, shall be prorated based on the number of days the term of this Lease is in effect during such month. If an increase in minimum rental becomes effective on a day other than the first day of a calendar month, the minimum rental for that month shall be the sum of the two applicable rates, each prorated for the portion of the month during which such rate is in effect.</w:t>
      </w:r>
    </w:p>
    <w:p>
      <w:pPr>
        <w:spacing w:after="0" w:line="110" w:lineRule="exact"/>
        <w:rPr>
          <w:sz w:val="20"/>
          <w:szCs w:val="20"/>
          <w:color w:val="auto"/>
        </w:rPr>
      </w:pPr>
    </w:p>
    <w:p>
      <w:pPr>
        <w:ind w:left="1120" w:hanging="200"/>
        <w:spacing w:after="0"/>
        <w:tabs>
          <w:tab w:leader="none" w:pos="112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If Tenant properly exercises its right to extend the term of this Lease pursuant to Section 2.6 hereof, the minimum rental during the first extended term shall be equal to the greater of</w:t>
      </w:r>
    </w:p>
    <w:p>
      <w:pPr>
        <w:spacing w:after="0" w:line="35" w:lineRule="exact"/>
        <w:rPr>
          <w:rFonts w:ascii="Arial" w:cs="Arial" w:eastAsia="Arial" w:hAnsi="Arial"/>
          <w:sz w:val="12"/>
          <w:szCs w:val="12"/>
          <w:color w:val="auto"/>
        </w:rPr>
      </w:pPr>
    </w:p>
    <w:p>
      <w:pPr>
        <w:ind w:firstLine="4"/>
        <w:spacing w:after="0" w:line="294" w:lineRule="auto"/>
        <w:tabs>
          <w:tab w:leader="none" w:pos="162" w:val="left"/>
        </w:tabs>
        <w:numPr>
          <w:ilvl w:val="0"/>
          <w:numId w:val="306"/>
        </w:numPr>
        <w:rPr>
          <w:rFonts w:ascii="Arial" w:cs="Arial" w:eastAsia="Arial" w:hAnsi="Arial"/>
          <w:sz w:val="12"/>
          <w:szCs w:val="12"/>
          <w:color w:val="auto"/>
        </w:rPr>
      </w:pPr>
      <w:r>
        <w:rPr>
          <w:rFonts w:ascii="Arial" w:cs="Arial" w:eastAsia="Arial" w:hAnsi="Arial"/>
          <w:sz w:val="12"/>
          <w:szCs w:val="12"/>
          <w:color w:val="auto"/>
        </w:rPr>
        <w:t xml:space="preserve">$144,157 per month or (ii) ninety-five percent (95%) of the fair market rental value of the Property (as defined below), including any rental increase provisions then customary in the relevant market for comparable commercial leases, determined as of the commencement of such extended term in accordance with this paragraph. Upon Landlord’s receipt of a proper notice of Tenant’s exercise of its option to extend the term of this Lease, the parties shall have sixty (60) days in which to agree on the fair market rental (including any applicable rental increase provisions) for the Property at the commencement of the first extended term for the uses permitted hereunder. If the parties agree on such fair market rental and rental increase provisions (if any), they shall execute an amendment to this Lease stating the amount of the applicable minimum monthly rental and any applicable rental increase provisions. If the parties are unable to agree on such rental (including any applicable rental increase provisions) within such sixty (60) day period, then within fifteen (15) days after the expiration of such period each party, at its cost and by giving notice to the other party, shall appoint a real estate appraiser with at least five (5) years experience appraising similar commercial properties in northeastern San Mateo County to appraise and set the fair market rental and any applicable rental increase provisions for the Property at the commencement of the first extended term. If either party fails to appoint an appraiser within the allotted time, the single appraiser appointed by the other party shall be the sole appraiser. If an appraiser is appointed by each party and the two appraisers so appointed are unable to agree upon a fair market rental (and any appropriate rental increase provisions) within thirty (30) days after the appointment of the second, they shall appoint a third qualified appraiser within ten (10) days after expiration of such 30-day period; if they are unable to agree upon a third appraiser, either party may, upon not less than five (5) days notice to the other party, apply to the Presiding Judge of the San Mateo County Superior Court for the appointment of a third qualified appraiser. Each party shall bear its own legal fees in connection with appointment of the third appraiser and shall bear one-half of any other costs of appointment of the third appraiser and of such third appraiser’s fee. The third appraiser, however selected, shall be a person who has not previously acted for either party in any capacity. Within thirty (30) days after the appointment of the third appraiser, a majority of the three appraisers shall set the fair market </w:t>
      </w:r>
      <w:r>
        <w:rPr>
          <w:rFonts w:ascii="Arial" w:cs="Arial" w:eastAsia="Arial" w:hAnsi="Arial"/>
          <w:sz w:val="12"/>
          <w:szCs w:val="12"/>
          <w:i w:val="1"/>
          <w:iCs w:val="1"/>
          <w:color w:val="auto"/>
        </w:rPr>
        <w:t>rental and any applicable rental increase provisions for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first extended term and shall so notify </w:t>
      </w:r>
      <w:r>
        <w:rPr>
          <w:rFonts w:ascii="Arial" w:cs="Arial" w:eastAsia="Arial" w:hAnsi="Arial"/>
          <w:sz w:val="12"/>
          <w:szCs w:val="12"/>
          <w:color w:val="auto"/>
        </w:rPr>
        <w:t>the parties. If a majority are unable to agree within the allotted time, (i) the three appraised fair market rentals shall be added together and divided by three and the resulting</w:t>
      </w:r>
      <w:r>
        <w:rPr>
          <w:rFonts w:ascii="Arial" w:cs="Arial" w:eastAsia="Arial" w:hAnsi="Arial"/>
          <w:sz w:val="12"/>
          <w:szCs w:val="12"/>
          <w:i w:val="1"/>
          <w:iCs w:val="1"/>
          <w:color w:val="auto"/>
        </w:rPr>
        <w:t xml:space="preserve"> </w:t>
      </w:r>
      <w:r>
        <w:rPr>
          <w:rFonts w:ascii="Arial" w:cs="Arial" w:eastAsia="Arial" w:hAnsi="Arial"/>
          <w:sz w:val="12"/>
          <w:szCs w:val="12"/>
          <w:color w:val="auto"/>
        </w:rPr>
        <w:t>quotient shall be the fair market rental for the first extended term, and (ii) the applicable rental increase provision shall be equal to the mathematical average (or the nearest reasonable approximation thereto) of the two</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20" w:top="247" w:right="259" w:bottom="1440" w:gutter="0" w:footer="0" w:header="0"/>
        </w:sectPr>
      </w:pPr>
    </w:p>
    <w:bookmarkStart w:id="390" w:name="page391"/>
    <w:bookmarkEnd w:id="390"/>
    <w:p>
      <w:pPr>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rental increase provisions that are most closely comparable, which determinations shall be binding on the parties and shall be enforceable in any further proceedings relating to this Lease. For purposes of this Section 3.1(b), the “fair market rental” of the Property shall be determined with reference to the then prevailing market rental rates for properties in northeastern San Mateo County with shell and standard office, research and development improvements and site (common area) improvements comparable to those then existing in the Initial Building and on the Property; no equipment or laboratory improvements shall be taken into account in determining such fair market rental.</w:t>
      </w:r>
    </w:p>
    <w:p>
      <w:pPr>
        <w:spacing w:after="0" w:line="110" w:lineRule="exact"/>
        <w:rPr>
          <w:sz w:val="20"/>
          <w:szCs w:val="20"/>
          <w:color w:val="auto"/>
        </w:rPr>
      </w:pPr>
    </w:p>
    <w:p>
      <w:pPr>
        <w:ind w:right="60" w:firstLine="920"/>
        <w:spacing w:after="0" w:line="351" w:lineRule="auto"/>
        <w:tabs>
          <w:tab w:leader="none" w:pos="1101" w:val="left"/>
        </w:tabs>
        <w:numPr>
          <w:ilvl w:val="0"/>
          <w:numId w:val="307"/>
        </w:numPr>
        <w:rPr>
          <w:rFonts w:ascii="Arial" w:cs="Arial" w:eastAsia="Arial" w:hAnsi="Arial"/>
          <w:sz w:val="12"/>
          <w:szCs w:val="12"/>
          <w:color w:val="auto"/>
        </w:rPr>
      </w:pPr>
      <w:r>
        <w:rPr>
          <w:rFonts w:ascii="Arial" w:cs="Arial" w:eastAsia="Arial" w:hAnsi="Arial"/>
          <w:sz w:val="12"/>
          <w:szCs w:val="12"/>
          <w:color w:val="auto"/>
        </w:rPr>
        <w:t>If Tenant properly exercises its right to a second extended term of this Lease pursuant to Section 2.6 hereof, the minimum rental during such second extended term shall be determined in the same manner provided in the preceding paragraph for the first extended term, except that the determination shall be made as of the commencement of the second extended term.</w:t>
      </w:r>
    </w:p>
    <w:p>
      <w:pPr>
        <w:spacing w:after="0" w:line="56" w:lineRule="exact"/>
        <w:rPr>
          <w:rFonts w:ascii="Arial" w:cs="Arial" w:eastAsia="Arial" w:hAnsi="Arial"/>
          <w:sz w:val="12"/>
          <w:szCs w:val="12"/>
          <w:color w:val="auto"/>
        </w:rPr>
      </w:pPr>
    </w:p>
    <w:p>
      <w:pPr>
        <w:ind w:right="160" w:firstLine="920"/>
        <w:spacing w:after="0" w:line="293" w:lineRule="auto"/>
        <w:tabs>
          <w:tab w:leader="none" w:pos="1109" w:val="left"/>
        </w:tabs>
        <w:numPr>
          <w:ilvl w:val="0"/>
          <w:numId w:val="307"/>
        </w:numPr>
        <w:rPr>
          <w:rFonts w:ascii="Arial" w:cs="Arial" w:eastAsia="Arial" w:hAnsi="Arial"/>
          <w:sz w:val="12"/>
          <w:szCs w:val="12"/>
          <w:color w:val="auto"/>
        </w:rPr>
      </w:pPr>
      <w:r>
        <w:rPr>
          <w:rFonts w:ascii="Arial" w:cs="Arial" w:eastAsia="Arial" w:hAnsi="Arial"/>
          <w:sz w:val="12"/>
          <w:szCs w:val="12"/>
          <w:color w:val="auto"/>
        </w:rPr>
        <w:t xml:space="preserve">The minimum rental amounts specified in this Section 3.1 are based upon an estimated area of 66,127 square feet for the Initial Building. If the actual area of the Initial Building, when completed, is greater or less than such estimated area, then the minimum rentals, specified in this Section 3.1 shall be adjusted proportionately to the change in the area of the Initial Building, measured in accordance with the BOMA standard most closely applicable to a two-story, single-tenant building of this nature;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the foregoing provision shall not apply to the minimum rental for months 1 through 12 of the initial term, which rental is based on a negotiated square footage of less than the full area of the Initial Building and is not intended to be subject to adjustment under this paragraph</w:t>
      </w:r>
    </w:p>
    <w:p>
      <w:pPr>
        <w:spacing w:after="0"/>
        <w:rPr>
          <w:rFonts w:ascii="Arial" w:cs="Arial" w:eastAsia="Arial" w:hAnsi="Arial"/>
          <w:sz w:val="12"/>
          <w:szCs w:val="12"/>
          <w:color w:val="auto"/>
        </w:rPr>
      </w:pPr>
      <w:r>
        <w:rPr>
          <w:rFonts w:ascii="Arial" w:cs="Arial" w:eastAsia="Arial" w:hAnsi="Arial"/>
          <w:sz w:val="14"/>
          <w:szCs w:val="14"/>
          <w:color w:val="auto"/>
        </w:rPr>
        <w:t>(d).</w:t>
      </w:r>
    </w:p>
    <w:p>
      <w:pPr>
        <w:spacing w:after="0" w:line="126" w:lineRule="exact"/>
        <w:rPr>
          <w:sz w:val="20"/>
          <w:szCs w:val="20"/>
          <w:color w:val="auto"/>
        </w:rPr>
      </w:pPr>
    </w:p>
    <w:p>
      <w:pPr>
        <w:ind w:firstLine="458"/>
        <w:spacing w:after="0" w:line="298"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Late Charge</w:t>
      </w:r>
      <w:r>
        <w:rPr>
          <w:rFonts w:ascii="Arial" w:cs="Arial" w:eastAsia="Arial" w:hAnsi="Arial"/>
          <w:sz w:val="12"/>
          <w:szCs w:val="12"/>
          <w:color w:val="auto"/>
        </w:rPr>
        <w:t>. If Tenant fails to pay when due rental or other amounts due Landlord hereunder, such unpaid amounts shall bear interest for the benefit of Landlord at a rate equal to the lesser of fifteen percent (15%) per annum or the maximum rate permitted by law, from the date due to the date of payment. In addition to such interest, Tenant shall pay to Landlord a late charge in an amount equal to ten percent (10%) of any installment of minimum rental and any other amounts due Landlord if not paid in full on or before the fifth (5th) day after such rental or other amount is due. Tenant acknowledges that late payment by Tenant to Landlord of rental or other amounts due hereunder will cause Landlord to incur costs not contemplated by this Lease, including, without limitation, processing and accounting charges and late charges which may be imposed on Landlord by the terms of any loan relating to the Property. Tenant further acknowledges that it is extremely difficult and impractical to fix the exact amount of such costs and that the late charge set forth in this Section 3.2 represents a fair and reasonable estimate thereof. Acceptance of any late charge by Landlord shall not constitute a waiver of Tenant’s default with respect to overdue rental or other amounts, nor shall such acceptance prevent Landlord from exercising any other rights and remedies available to it. Acceptance of rent or other payments by Landlord shall not constitute a waiver of late charges or interest accrued with respect to such rent or other payments or any prior installments thereof, nor of any other defaults by Tenant, whether monetary or non-monetary in nature, remaining uncured at the time of such ‘acceptance of rent or other payments.</w:t>
      </w:r>
    </w:p>
    <w:p>
      <w:pPr>
        <w:spacing w:after="0" w:line="213" w:lineRule="exact"/>
        <w:rPr>
          <w:sz w:val="20"/>
          <w:szCs w:val="20"/>
          <w:color w:val="auto"/>
        </w:rPr>
      </w:pPr>
    </w:p>
    <w:p>
      <w:pPr>
        <w:ind w:left="5200" w:hanging="146"/>
        <w:spacing w:after="0"/>
        <w:tabs>
          <w:tab w:leader="none" w:pos="5200" w:val="left"/>
        </w:tabs>
        <w:numPr>
          <w:ilvl w:val="0"/>
          <w:numId w:val="308"/>
        </w:numPr>
        <w:rPr>
          <w:rFonts w:ascii="Arial" w:cs="Arial" w:eastAsia="Arial" w:hAnsi="Arial"/>
          <w:sz w:val="14"/>
          <w:szCs w:val="14"/>
          <w:color w:val="auto"/>
        </w:rPr>
      </w:pPr>
      <w:r>
        <w:rPr>
          <w:rFonts w:ascii="Arial" w:cs="Arial" w:eastAsia="Arial" w:hAnsi="Arial"/>
          <w:sz w:val="14"/>
          <w:szCs w:val="14"/>
          <w:u w:val="single" w:color="auto"/>
          <w:color w:val="auto"/>
        </w:rPr>
        <w:t>STOCK WARRANTS</w:t>
      </w:r>
    </w:p>
    <w:p>
      <w:pPr>
        <w:spacing w:after="0" w:line="132" w:lineRule="exact"/>
        <w:rPr>
          <w:sz w:val="20"/>
          <w:szCs w:val="20"/>
          <w:color w:val="auto"/>
        </w:rPr>
      </w:pPr>
    </w:p>
    <w:p>
      <w:pPr>
        <w:ind w:right="100" w:firstLine="458"/>
        <w:spacing w:after="0" w:line="311"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Stock Warrants</w:t>
      </w:r>
      <w:r>
        <w:rPr>
          <w:rFonts w:ascii="Arial" w:cs="Arial" w:eastAsia="Arial" w:hAnsi="Arial"/>
          <w:sz w:val="12"/>
          <w:szCs w:val="12"/>
          <w:color w:val="auto"/>
        </w:rPr>
        <w:t>. Within fifteen (15) days after written request by Landlord at any time after execution hereof (but in all events no later than four (4) months after execution hereof), as a condition to Landlord’s obligations hereunder. Tenant shall deliver to Landlord, subject to compliance by Tenant and Landlord with all applicable securities laws, a warrant registered in Landlord’s name to purchase two hundred thousand (200,000) shares of Tenant’s common stock. The warrant shall have an exercise price of seven dollars and fifty cents ($7.50) per share and shall be exercisable only after the closing of the initial public offering of Tenant’s common stock and for a period of five (5) years thereafter, and shall be on the terms and conditions as set forth therein.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246" w:right="239" w:bottom="1440" w:gutter="0" w:footer="0" w:header="0"/>
        </w:sectPr>
      </w:pPr>
    </w:p>
    <w:bookmarkStart w:id="391" w:name="page392"/>
    <w:bookmarkEnd w:id="391"/>
    <w:p>
      <w:pPr>
        <w:ind w:left="5280" w:hanging="138"/>
        <w:spacing w:after="0"/>
        <w:tabs>
          <w:tab w:leader="none" w:pos="5280" w:val="left"/>
        </w:tabs>
        <w:numPr>
          <w:ilvl w:val="0"/>
          <w:numId w:val="30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CONSTRUCTION</w:t>
      </w:r>
    </w:p>
    <w:p>
      <w:pPr>
        <w:spacing w:after="0" w:line="132"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Construction of Improvements</w:t>
      </w:r>
      <w:r>
        <w:rPr>
          <w:rFonts w:ascii="Arial" w:cs="Arial" w:eastAsia="Arial" w:hAnsi="Arial"/>
          <w:sz w:val="12"/>
          <w:szCs w:val="12"/>
          <w:color w:val="auto"/>
        </w:rPr>
        <w:t xml:space="preserve">. Landlord shall, at Landlord’s cost and expense (except as otherwise provided herein and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construct Landlord’s Work as defined in and in accordance with the terms and conditions of the Workletter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(the “Workletter”). Landlord shall use its best efforts to complete such construction in accordance with the estimated construction schedule attached hereto as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as the same may be modified or revised from time to time in accordance with the Workletter. Tenant shall, at Tenant’s cost and expense (except as otherwise provided herein and in </w:t>
      </w:r>
      <w:r>
        <w:rPr>
          <w:rFonts w:ascii="Arial" w:cs="Arial" w:eastAsia="Arial" w:hAnsi="Arial"/>
          <w:sz w:val="12"/>
          <w:szCs w:val="12"/>
          <w:u w:val="single" w:color="auto"/>
          <w:color w:val="auto"/>
        </w:rPr>
        <w:t>Exhibit C</w:t>
      </w:r>
      <w:r>
        <w:rPr>
          <w:rFonts w:ascii="Arial" w:cs="Arial" w:eastAsia="Arial" w:hAnsi="Arial"/>
          <w:sz w:val="12"/>
          <w:szCs w:val="12"/>
          <w:color w:val="auto"/>
        </w:rPr>
        <w:t>), construct Tenant’s Work as defined in and in accordance with the terms and conditions of the Workletter.</w:t>
      </w:r>
    </w:p>
    <w:p>
      <w:pPr>
        <w:spacing w:after="0" w:line="79" w:lineRule="exact"/>
        <w:rPr>
          <w:sz w:val="20"/>
          <w:szCs w:val="20"/>
          <w:color w:val="auto"/>
        </w:rPr>
      </w:pPr>
    </w:p>
    <w:p>
      <w:pPr>
        <w:ind w:firstLine="458"/>
        <w:spacing w:after="0" w:line="297"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Condition of Property</w:t>
      </w:r>
      <w:r>
        <w:rPr>
          <w:rFonts w:ascii="Arial" w:cs="Arial" w:eastAsia="Arial" w:hAnsi="Arial"/>
          <w:sz w:val="12"/>
          <w:szCs w:val="12"/>
          <w:color w:val="auto"/>
        </w:rPr>
        <w:t>. Landlord shall deliver the Building Shell and other Improvements constructed by Landlord to Tenant clean and free of debris, promptly upon completion of construction thereof, and Landlord warrants to Tenant that the Building Shell and other Improvements constructed by Landlord (i) shall be free from material structural defects and (ii) shall be constructed in compliance in all material respects with any and all applicable specifications mutually approved by Landlord and Tenant, subject to any changes implemented in such specifications in accordance with the procedures set forth in the Workletter. If it is determined that this warranty has been violated in any respect, then it shall be the obligation of Landlord, after receipt of written notice from Tenant setting forth with specificity the nature of the violation, to promptly, at Landlord’s sole cost, correct the condition(s) constituting such violation. Tenant’s failure to give such written notice to Landlord within one hundred eighty (180) days after the Commencement Date shall give rise to a conclusive presumption that Landlord has complied with all Landlord’s obligations hereunder, except with respect to latent defects. Landlord shall also assign to Tenant Landlord’s rights under all contractor’s and other warranties relating to the Building Shell and other Improvements constructed by Landlord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Landlord may reserve joint enforcement rights under such warranties to the extent of Landlord’s continuing obligations or warranties hereunder), and shall cooperate with Tenant in all reasonable respects in any enforcement of such assigned warranties. TENANT ACKNOWLEDGES THAT THE WARRANTY CONTAINED IN THIS SECTION IS IN LIEU OF ALL OTHER WARRANTIES, EXPRESS OR IMPLIED, WITH RESPECT TO THE PHYSICAL CONDITION OF THE IMPROVEMENTS TO BE CONSTRUCTED BY LANDLORD AND THAT LANDLORD MAKES NO OTHER WARRANTIES EXCEPT AS EXPRESSLY SET FORTH IN THIS LEASE.</w:t>
      </w:r>
    </w:p>
    <w:p>
      <w:pPr>
        <w:spacing w:after="0" w:line="256" w:lineRule="exact"/>
        <w:rPr>
          <w:sz w:val="20"/>
          <w:szCs w:val="20"/>
          <w:color w:val="auto"/>
        </w:rPr>
      </w:pPr>
    </w:p>
    <w:p>
      <w:pPr>
        <w:ind w:right="40" w:firstLine="458"/>
        <w:spacing w:after="0" w:line="302"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Compliance with Law</w:t>
      </w:r>
      <w:r>
        <w:rPr>
          <w:rFonts w:ascii="Arial" w:cs="Arial" w:eastAsia="Arial" w:hAnsi="Arial"/>
          <w:sz w:val="12"/>
          <w:szCs w:val="12"/>
          <w:color w:val="auto"/>
        </w:rPr>
        <w:t>. Landlord warrants to Tenant that the Building Shell and other Improvements constructed by Landlord (when constructed), as they exist on the Commencement Date, but without regard to the use for which Tenant will occupy the Property, shall not violate any covenants or restrictions of record or any applicable building code, regulation or ordinance in effect on the Commencement Date. Tenant warrants to Landlord that the Interior Improvements and any other improvements constructed by Tenant from time to time shall not violate any applicable building code, regulation or ordinance in effect on the Commencement Date or at the time such improvements are placed in service. If it is determined that this warranty has been violated, then it shall be the obligation of the warranting party, after written notice from the other party, to correct the condition(s) constituting such violation promptly, at the warranting party’s sole cost and expense. Tenant acknowledges that neither Landlord nor any agent of Landlord has made any representation or warranty as to the present or future suitability of the Property for the conduct of Tenant’s business or proposed business thereon.</w:t>
      </w:r>
    </w:p>
    <w:p>
      <w:pPr>
        <w:spacing w:after="0" w:line="212" w:lineRule="exact"/>
        <w:rPr>
          <w:sz w:val="20"/>
          <w:szCs w:val="20"/>
          <w:color w:val="auto"/>
        </w:rPr>
      </w:pPr>
    </w:p>
    <w:p>
      <w:pPr>
        <w:ind w:left="5080" w:hanging="138"/>
        <w:spacing w:after="0"/>
        <w:tabs>
          <w:tab w:leader="none" w:pos="5080" w:val="left"/>
        </w:tabs>
        <w:numPr>
          <w:ilvl w:val="0"/>
          <w:numId w:val="310"/>
        </w:numPr>
        <w:rPr>
          <w:rFonts w:ascii="Arial" w:cs="Arial" w:eastAsia="Arial" w:hAnsi="Arial"/>
          <w:sz w:val="14"/>
          <w:szCs w:val="14"/>
          <w:color w:val="auto"/>
        </w:rPr>
      </w:pPr>
      <w:r>
        <w:rPr>
          <w:rFonts w:ascii="Arial" w:cs="Arial" w:eastAsia="Arial" w:hAnsi="Arial"/>
          <w:sz w:val="14"/>
          <w:szCs w:val="14"/>
          <w:u w:val="single" w:color="auto"/>
          <w:color w:val="auto"/>
        </w:rPr>
        <w:t>EXPANSION BUILDING</w:t>
      </w:r>
    </w:p>
    <w:p>
      <w:pPr>
        <w:spacing w:after="0" w:line="132" w:lineRule="exact"/>
        <w:rPr>
          <w:sz w:val="20"/>
          <w:szCs w:val="20"/>
          <w:color w:val="auto"/>
        </w:rPr>
      </w:pPr>
    </w:p>
    <w:p>
      <w:pPr>
        <w:ind w:right="100" w:firstLine="458"/>
        <w:spacing w:after="0" w:line="253"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Lock-Up Option</w:t>
      </w:r>
      <w:r>
        <w:rPr>
          <w:rFonts w:ascii="Arial" w:cs="Arial" w:eastAsia="Arial" w:hAnsi="Arial"/>
          <w:sz w:val="14"/>
          <w:szCs w:val="14"/>
          <w:color w:val="auto"/>
        </w:rPr>
        <w:t xml:space="preserve">. The parties acknowledge that Landlord may, subject to the terms hereof, construct a building on the Phase II Site, including (but not limited to) a building in the area designated as “Building A” in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Tenant shall have four consecutive options (each, a “Lock-Up Option”) to prohibit Landlord from entering into an agreement with any party other than Tenant for the sale or leasing of any such other building then existing on or planned for the Phase II Site (in either case, the “Expansion Building”). Upon Tenant’s timely and proper exercise of a Lock-Up Option, Landlord shall refrain from entering into such an agreement for a period of six (6) months (a “Lock-Up Period”). Failure to exercise a Lock-Up Option on or before the deadline determined under Section 6.2 shall result in the forfeiture of that Lock-Up Option and all future Lock-Up Options, if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246" w:right="219" w:bottom="1440" w:gutter="0" w:footer="0" w:header="0"/>
        </w:sectPr>
      </w:pPr>
    </w:p>
    <w:bookmarkStart w:id="392" w:name="page393"/>
    <w:bookmarkEnd w:id="392"/>
    <w:p>
      <w:pPr>
        <w:ind w:firstLine="458"/>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6.2 </w:t>
      </w:r>
      <w:r>
        <w:rPr>
          <w:rFonts w:ascii="Arial" w:cs="Arial" w:eastAsia="Arial" w:hAnsi="Arial"/>
          <w:sz w:val="12"/>
          <w:szCs w:val="12"/>
          <w:u w:val="single" w:color="auto"/>
          <w:color w:val="auto"/>
        </w:rPr>
        <w:t>Exercise</w:t>
      </w:r>
      <w:r>
        <w:rPr>
          <w:rFonts w:ascii="Arial" w:cs="Arial" w:eastAsia="Arial" w:hAnsi="Arial"/>
          <w:sz w:val="12"/>
          <w:szCs w:val="12"/>
          <w:color w:val="auto"/>
        </w:rPr>
        <w:t>. To exercise a Lock-Up Option, Tenant shall provide written notice to Landlord of such exercise. In the case of the first Lock-Up Option, Tenant must provide such notice not later than fifteen (15) days after a certificate of occupancy or equivalent verbal or written permission to occupy the Initial Building has been given by the City of South San Francisco to Tenant (or, if the certificate of occupancy or equivalent permission is given to Landlord, then within fifteen (15) days after Landlord’s written notice to Tenant that such certificate of occupancy or equivalent permission has been given); the first six-month Lock-Up Period shall begin, retroactively, as of the date such certificate of occupancy or equivalent verbal or written permission is given by the City of South San Francisco. In the case of the subsequent Lock-Up Options, Tenant must provide such notice not later than fifteen (15) days prior to the final day of the Lock-Up Period then in effect. Within ten (10) days after such notice, Landlord shall provide Tenant with written notice of Landlord’s estimate of the Carrying Costs (as defined in Section 6.3) for the upcoming Lock-Up Period. Tenant shall then pay such amount to Landlord within five (5) days after receipt of such estimate. A Lock-Up Option shall be deemed validly exercised when and only when Tenant has timely paid such estimated amount pertaining to the applicable Lock-Up Period to Landlord. If Tenant is in default hereunder on the date of its exercise notice or on the date any Lock-Up Period is to commence, then the Lock-Up Option (and any future Lock-Up Options) shall be of no force or effect.</w:t>
      </w:r>
    </w:p>
    <w:p>
      <w:pPr>
        <w:spacing w:after="0" w:line="87" w:lineRule="exact"/>
        <w:rPr>
          <w:sz w:val="20"/>
          <w:szCs w:val="20"/>
          <w:color w:val="auto"/>
        </w:rPr>
      </w:pPr>
    </w:p>
    <w:p>
      <w:pPr>
        <w:ind w:firstLine="458"/>
        <w:spacing w:after="0" w:line="297"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Carrying Costs</w:t>
      </w:r>
      <w:r>
        <w:rPr>
          <w:rFonts w:ascii="Arial" w:cs="Arial" w:eastAsia="Arial" w:hAnsi="Arial"/>
          <w:sz w:val="12"/>
          <w:szCs w:val="12"/>
          <w:color w:val="auto"/>
        </w:rPr>
        <w:t xml:space="preserve">. As compensation for each Lock-Up Option, Tenant shall pay or reimburse to Landlord all Carrying Costs incurred by Landlord during or with respect to the applicable Lock-Up Period, including (i) interest expense on Landlord’s construction financing for any site work, off-site improvements or other construction (including, but not limited to, construction of the Expansion Building, if any) on the Phase II Site, (ii) interest expense on Landlord’s acquisition financing or refinancing for the Phase II Site, and (iii) real property taxes, assessments and insurance on or allocable to the Expansion Building and/or the Phase II Site;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Tenant shall not be obligated to pay Landlord an amount greater than one hundred fifty thousand dollars ($150,000) for Carrying Costs incurred during or with respect to any single Lock-Up Period. Tenant shall pay Landlord’s estimated Carrying Costs for each applicable Lock-Up Period in advance as contemplated in Section 6.2 hereof. Within ten (10) days after the end of each Lock-Up Period, Landlord shall notify Tenant in writing of Landlord’s actual Carrying Costs for such Lock-Up Period and within ten (10) days after such notice either (i) Tenant shall pay Landlord the amount by which such actual Carrying Costs exceeded the estimated Carrying Costs paid by Tenant for such period, up to the $150,000 maximum set forth in this Section 6.3, or (ii) Landlord shall pay Tenant the amount by which the estimated Carrying Costs paid by Tenant exceeded the actual Carrying Costs for such period. If taxes or other Carrying Costs allocable to any Lock-Up Period are increased or decreased (for example, by a tax reduction or additional tax assessment) following completion of the reconciliation process described in the preceding sentence, Landlord shall promptly notify Tenant in writing of such further increase or decrease and the parties shall make any further adjustment payments in cash in the same manner contemplated in the preceding sentence.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First Negotiation Right and First Refusal Right to Lease</w:t>
      </w:r>
      <w:r>
        <w:rPr>
          <w:rFonts w:ascii="Arial" w:cs="Arial" w:eastAsia="Arial" w:hAnsi="Arial"/>
          <w:sz w:val="14"/>
          <w:szCs w:val="14"/>
          <w:color w:val="auto"/>
        </w:rPr>
        <w:t>.</w:t>
      </w:r>
    </w:p>
    <w:p>
      <w:pPr>
        <w:spacing w:after="0" w:line="132" w:lineRule="exact"/>
        <w:rPr>
          <w:sz w:val="20"/>
          <w:szCs w:val="20"/>
          <w:color w:val="auto"/>
        </w:rPr>
      </w:pPr>
    </w:p>
    <w:p>
      <w:pPr>
        <w:ind w:right="400" w:firstLine="920"/>
        <w:spacing w:after="0" w:line="267" w:lineRule="auto"/>
        <w:tabs>
          <w:tab w:leader="none" w:pos="1101" w:val="left"/>
        </w:tabs>
        <w:numPr>
          <w:ilvl w:val="0"/>
          <w:numId w:val="311"/>
        </w:numPr>
        <w:rPr>
          <w:rFonts w:ascii="Arial" w:cs="Arial" w:eastAsia="Arial" w:hAnsi="Arial"/>
          <w:sz w:val="14"/>
          <w:szCs w:val="14"/>
          <w:color w:val="auto"/>
        </w:rPr>
      </w:pPr>
      <w:r>
        <w:rPr>
          <w:rFonts w:ascii="Arial" w:cs="Arial" w:eastAsia="Arial" w:hAnsi="Arial"/>
          <w:sz w:val="14"/>
          <w:szCs w:val="14"/>
          <w:color w:val="auto"/>
        </w:rPr>
        <w:t>Landlord shall not lease all or any portion of the Expansion Building at any time during the term of this Lease, except in compliance with this Section 6.4; provided, however, that the foregoing restriction shall not apply during any period in which Tenant is in default under this Lease.</w:t>
      </w:r>
    </w:p>
    <w:p>
      <w:pPr>
        <w:spacing w:after="0" w:line="101" w:lineRule="exact"/>
        <w:rPr>
          <w:rFonts w:ascii="Arial" w:cs="Arial" w:eastAsia="Arial" w:hAnsi="Arial"/>
          <w:sz w:val="14"/>
          <w:szCs w:val="14"/>
          <w:color w:val="auto"/>
        </w:rPr>
      </w:pPr>
    </w:p>
    <w:p>
      <w:pPr>
        <w:ind w:firstLine="920"/>
        <w:spacing w:after="0" w:line="302" w:lineRule="auto"/>
        <w:tabs>
          <w:tab w:leader="none" w:pos="1109" w:val="left"/>
        </w:tabs>
        <w:numPr>
          <w:ilvl w:val="0"/>
          <w:numId w:val="311"/>
        </w:numPr>
        <w:rPr>
          <w:rFonts w:ascii="Arial" w:cs="Arial" w:eastAsia="Arial" w:hAnsi="Arial"/>
          <w:sz w:val="12"/>
          <w:szCs w:val="12"/>
          <w:color w:val="auto"/>
        </w:rPr>
      </w:pPr>
      <w:r>
        <w:rPr>
          <w:rFonts w:ascii="Arial" w:cs="Arial" w:eastAsia="Arial" w:hAnsi="Arial"/>
          <w:sz w:val="12"/>
          <w:szCs w:val="12"/>
          <w:color w:val="auto"/>
        </w:rPr>
        <w:t>As specified in Section 6.1 hereof, during any Lock-Up Period duly and timely elected by Tenant, Landlord shall have no right to agree to sell or lease the Expansion Building to anyone other than Tenant, and therefore shall have no right to invoke the first refusal right provisions in Section 6.4(c). If, however, during any such Lock-Up Period, Tenant notifies Landlord in writing of Tenant’s desire to lease and occupy the Expansion Building, then Landlord and Tenant shall negotiate diligently and in good faith concerning such terms, subject to the following (unless otherwise mutually agreed by Landlord and Tenant at the time): Tenant shall have the option to have Landlord construct the building shell for the Expansion Building on substantially the same economic terms as the Initial Building, adjusted to reflect changes in costs of construction and in cost of money (determined by reference to changes in the Bank of America prime rate). At the time the option is exercised, Landlord and Tenant shall negotiate over tenant improvements and over any additional stock warrants, but Landlord is not required to agree to construct or fund tenant improvements and Tenant is not required to agree to have Landlord</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20" w:top="247" w:right="279" w:bottom="1440" w:gutter="0" w:footer="0" w:header="0"/>
        </w:sectPr>
      </w:pPr>
    </w:p>
    <w:bookmarkStart w:id="393" w:name="page394"/>
    <w:bookmarkEnd w:id="393"/>
    <w:p>
      <w:pPr>
        <w:ind w:right="12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construct or fund them. The new lease shall have a primary term of 15 years. Upon the commencement of the lease term for the Expansion Building, the term of this Lease for the Initial Building shall be extended, by amendment, to be coterminous with the primary term of the new lease. The initial rent on the Expansion Building as of Tenant’s occupancy shall take into account, in addition to the cost factors mentioned above, any required construction or funding of tenant improvements by Landlord, and shall also reflect any changes in Tenant’s financial condition at that time. In any event, however, the initial rent on the Expansion Building shall be no less than the prevailing rent at that time on the Initial Building, having regard for the fact that the Initial Building included a tenant improvement allowance of $105 per square foot.</w:t>
      </w:r>
    </w:p>
    <w:p>
      <w:pPr>
        <w:spacing w:after="0" w:line="113" w:lineRule="exact"/>
        <w:rPr>
          <w:sz w:val="20"/>
          <w:szCs w:val="20"/>
          <w:color w:val="auto"/>
        </w:rPr>
      </w:pPr>
    </w:p>
    <w:p>
      <w:pPr>
        <w:ind w:firstLine="920"/>
        <w:spacing w:after="0" w:line="291" w:lineRule="auto"/>
        <w:tabs>
          <w:tab w:leader="none" w:pos="1101" w:val="left"/>
        </w:tabs>
        <w:numPr>
          <w:ilvl w:val="1"/>
          <w:numId w:val="312"/>
        </w:numPr>
        <w:rPr>
          <w:rFonts w:ascii="Arial" w:cs="Arial" w:eastAsia="Arial" w:hAnsi="Arial"/>
          <w:sz w:val="12"/>
          <w:szCs w:val="12"/>
          <w:color w:val="auto"/>
        </w:rPr>
      </w:pPr>
      <w:r>
        <w:rPr>
          <w:rFonts w:ascii="Arial" w:cs="Arial" w:eastAsia="Arial" w:hAnsi="Arial"/>
          <w:sz w:val="12"/>
          <w:szCs w:val="12"/>
          <w:color w:val="auto"/>
        </w:rPr>
        <w:t xml:space="preserve">If, at any time during the term of this Lease after the expiration of any and all available Lock-Up Periods, Landlord receives and wishes to accept a </w:t>
      </w:r>
      <w:r>
        <w:rPr>
          <w:rFonts w:ascii="Arial" w:cs="Arial" w:eastAsia="Arial" w:hAnsi="Arial"/>
          <w:sz w:val="12"/>
          <w:szCs w:val="12"/>
          <w:u w:val="single" w:color="auto"/>
          <w:color w:val="auto"/>
        </w:rPr>
        <w:t>bona fide</w:t>
      </w:r>
      <w:r>
        <w:rPr>
          <w:rFonts w:ascii="Arial" w:cs="Arial" w:eastAsia="Arial" w:hAnsi="Arial"/>
          <w:sz w:val="12"/>
          <w:szCs w:val="12"/>
          <w:color w:val="auto"/>
        </w:rPr>
        <w:t xml:space="preserve"> written offer from a person or entity other than Tenant (the “Offeror”) to lease all or any portion of the Expansion Building and if Tenant is not then in default under this Lease, Landlord shall give written notice of such offer to Tenant, specifying the material terms on which the Offeror proposes to lease the Expansion Building or portion thereof (the “Offered Space”), and shall offer to Tenant the opportunity to lease the Offered Space on the terms specified in Landlord’s notice. For purposes of this Section 6.4(c), an offer shall be considered </w:t>
      </w:r>
      <w:r>
        <w:rPr>
          <w:rFonts w:ascii="Arial" w:cs="Arial" w:eastAsia="Arial" w:hAnsi="Arial"/>
          <w:sz w:val="12"/>
          <w:szCs w:val="12"/>
          <w:u w:val="single" w:color="auto"/>
          <w:color w:val="auto"/>
        </w:rPr>
        <w:t>bona fide</w:t>
      </w:r>
      <w:r>
        <w:rPr>
          <w:rFonts w:ascii="Arial" w:cs="Arial" w:eastAsia="Arial" w:hAnsi="Arial"/>
          <w:sz w:val="12"/>
          <w:szCs w:val="12"/>
          <w:color w:val="auto"/>
        </w:rPr>
        <w:t xml:space="preserve"> if it is contained in a letter of intent or other writing signed by the Offeror and specifies the material terms of such proposed lease. Tenant shall have fifteen (15) business days after the date of giving of such notice by Landlord in which to accept such offer by written notice to Landlord. Upon such acceptance by Tenant, the Offered Space shall be leased to Tenant on the terms set forth in Landlord’s notice and on the additional terms and provisions set forth in this Lease (except to the extent inconsistent with the terms set forth in Landlord’s said notice) and the parties shall promptly execute an agreement containing the terms of Landlord’s said notice and all other terms and provisions of this Lease not inconsistent with the terms of said notice, except as the parties may otherwise mutually agree. If Tenant does not accept Landlord’s offer within the allotted time, Landlord shall thereafter have the right to lease the Offered Space to the Offeror, at any time within one hundred eighty (180) days after Tenant’s failure to accept Landlord’s offer, at a minimum rental and on other terms and conditions not more favorable to the Offeror than the minimum rental and other terms offered to Tenant in Landlord’s said notice. If Tenant does not accept Landlord’s offer and Landlord does not lease the Offered Space to the Offeror within one hundred eighty</w:t>
      </w:r>
    </w:p>
    <w:p>
      <w:pPr>
        <w:spacing w:after="0" w:line="4" w:lineRule="exact"/>
        <w:rPr>
          <w:rFonts w:ascii="Arial" w:cs="Arial" w:eastAsia="Arial" w:hAnsi="Arial"/>
          <w:sz w:val="12"/>
          <w:szCs w:val="12"/>
          <w:color w:val="auto"/>
        </w:rPr>
      </w:pPr>
    </w:p>
    <w:p>
      <w:pPr>
        <w:ind w:right="60" w:firstLine="4"/>
        <w:spacing w:after="0" w:line="341" w:lineRule="auto"/>
        <w:tabs>
          <w:tab w:leader="none" w:pos="328" w:val="left"/>
        </w:tabs>
        <w:numPr>
          <w:ilvl w:val="0"/>
          <w:numId w:val="313"/>
        </w:numPr>
        <w:rPr>
          <w:rFonts w:ascii="Arial" w:cs="Arial" w:eastAsia="Arial" w:hAnsi="Arial"/>
          <w:sz w:val="12"/>
          <w:szCs w:val="12"/>
          <w:color w:val="auto"/>
        </w:rPr>
      </w:pPr>
      <w:r>
        <w:rPr>
          <w:rFonts w:ascii="Arial" w:cs="Arial" w:eastAsia="Arial" w:hAnsi="Arial"/>
          <w:sz w:val="12"/>
          <w:szCs w:val="12"/>
          <w:color w:val="auto"/>
        </w:rPr>
        <w:t>days, this First Refusal Right shall reattach to that space. This First Refusal Right shall be applicable in the case of either an offer to lease all or a portion of an already-built Expansion Building or an offer to enter into a build-to-suit lease for the Expansion Building. Tenant’s failure, if any, to exercise any or all Lock-Up Options shall not affect Tenant’s First Refusal Right under this Section 6.4.</w:t>
      </w:r>
    </w:p>
    <w:p>
      <w:pPr>
        <w:spacing w:after="0" w:line="187" w:lineRule="exact"/>
        <w:rPr>
          <w:sz w:val="20"/>
          <w:szCs w:val="20"/>
          <w:color w:val="auto"/>
        </w:rPr>
      </w:pPr>
    </w:p>
    <w:p>
      <w:pPr>
        <w:ind w:left="4600" w:hanging="140"/>
        <w:spacing w:after="0"/>
        <w:tabs>
          <w:tab w:leader="none" w:pos="4600"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FIRST REFUSAL RIGHT TO PURCHASE</w:t>
      </w:r>
    </w:p>
    <w:p>
      <w:pPr>
        <w:spacing w:after="0" w:line="132"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Sale Restriction</w:t>
      </w:r>
      <w:r>
        <w:rPr>
          <w:rFonts w:ascii="Arial" w:cs="Arial" w:eastAsia="Arial" w:hAnsi="Arial"/>
          <w:sz w:val="12"/>
          <w:szCs w:val="12"/>
          <w:color w:val="auto"/>
        </w:rPr>
        <w:t>. Landlord shall not sell the Site, or any portion thereof containing the Initial Building, the Expansion Building or both, at any time during the term of this Lease, except in compliance with this Article 7; provided, however, that the foregoing restriction shall not apply during any period in which Tenant is in default under this Lease. The parties acknowledge that the sale of any portion of the Site independent of the remainder of the Site as a separate legal parcel would require a subdivision of the Site. For purposes of this Article 7, the terms “purchase,” “sell” and “sale” shall be construed to include, without limitation, any exchange transaction in which Landlord transfers or conveys its interest in the Site (or any applicable portion thereof) in exchange for other real property or other non-cash consideration. Notwithstanding any other provisions of this Article 7, the provisions of this Article 7 shall not apply to any sale, transfer or other conveyance of the Site or any portion thereof by Landlord to any person or entity which controls, is controlled by or is under common control with Landlord, but the provisions of this Article 7 shall continue to apply to the Site in the hands of such affiliated transferee.</w:t>
      </w:r>
    </w:p>
    <w:p>
      <w:pPr>
        <w:spacing w:after="0" w:line="86" w:lineRule="exact"/>
        <w:rPr>
          <w:sz w:val="20"/>
          <w:szCs w:val="20"/>
          <w:color w:val="auto"/>
        </w:rPr>
      </w:pPr>
    </w:p>
    <w:p>
      <w:pPr>
        <w:jc w:val="both"/>
        <w:ind w:right="60" w:firstLine="458"/>
        <w:spacing w:after="0" w:line="321"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First Refusal Right</w:t>
      </w:r>
      <w:r>
        <w:rPr>
          <w:rFonts w:ascii="Arial" w:cs="Arial" w:eastAsia="Arial" w:hAnsi="Arial"/>
          <w:sz w:val="12"/>
          <w:szCs w:val="12"/>
          <w:color w:val="auto"/>
        </w:rPr>
        <w:t xml:space="preserve">. If, at any time during the term of this Lease after the expiration of any and all available Lock-Up Periods, Landlord receives and wishes to accept a </w:t>
      </w:r>
      <w:r>
        <w:rPr>
          <w:rFonts w:ascii="Arial" w:cs="Arial" w:eastAsia="Arial" w:hAnsi="Arial"/>
          <w:sz w:val="12"/>
          <w:szCs w:val="12"/>
          <w:u w:val="single" w:color="auto"/>
          <w:color w:val="auto"/>
        </w:rPr>
        <w:t>bona fide</w:t>
      </w:r>
      <w:r>
        <w:rPr>
          <w:rFonts w:ascii="Arial" w:cs="Arial" w:eastAsia="Arial" w:hAnsi="Arial"/>
          <w:sz w:val="12"/>
          <w:szCs w:val="12"/>
          <w:color w:val="auto"/>
        </w:rPr>
        <w:t xml:space="preserve"> written offer from a person or entity other than Tenant (the “Offeror”) to purchase the Site, or any portion thereof containing the Initial Building, the Expansion Building or both, and if Tenant is not then in default under this Lease, Landlord shall give written notice of such offer to Tenant, specifying the material terms on which the Offeror proposes to purchase the Site or specified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247" w:right="219" w:bottom="1440" w:gutter="0" w:footer="0" w:header="0"/>
        </w:sectPr>
      </w:pPr>
    </w:p>
    <w:bookmarkStart w:id="394" w:name="page395"/>
    <w:bookmarkEnd w:id="394"/>
    <w:p>
      <w:pPr>
        <w:ind w:right="40"/>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portion thereof (the “Offered Property”), and shall offer to Tenant the opportunity to purchase the Offered Property on the terms specified in Landlord’s notice, as modified by Section 7.3 (if applicable). For purposes of this Section 7.2, an offer shall be considered </w:t>
      </w:r>
      <w:r>
        <w:rPr>
          <w:rFonts w:ascii="Arial" w:cs="Arial" w:eastAsia="Arial" w:hAnsi="Arial"/>
          <w:sz w:val="12"/>
          <w:szCs w:val="12"/>
          <w:u w:val="single" w:color="auto"/>
          <w:color w:val="auto"/>
        </w:rPr>
        <w:t>bona fide</w:t>
      </w:r>
      <w:r>
        <w:rPr>
          <w:rFonts w:ascii="Arial" w:cs="Arial" w:eastAsia="Arial" w:hAnsi="Arial"/>
          <w:sz w:val="12"/>
          <w:szCs w:val="12"/>
          <w:color w:val="auto"/>
        </w:rPr>
        <w:t xml:space="preserve"> if it is contained in a letter of intent or other writing signed by the Offeror and specifies the material terms of such proposed purchase. Tenant shall have twenty (20) days after the date of giving of such notice by Landlord in which to accept such offer by written notice to Landlord. Upon such acceptance by Tenant, the Offered Property shall be sold to Tenant on the terms set forth in Landlord’s notice, as modified by Section 7.3 hereof (if applicable), and the parties shall promptly execute an agreement containing the terms of Landlord’s said notice and such other reasonable and customary terms as the parties shall agree. If Tenant does not accept Landlord’s offer within the allotted time, Landlord shall thereafter have the right to sell the Offered Property to the Offeror, at any time within one hundred eighty (180) days after Tenant’s failure to accept Landlord’s offer, at a price and on other terms and conditions not more favorable to the Offeror than the price and other terms of the original offer specified in Landlord’s said notice. If Tenant does not accept Landlord’s offer and Landlord does not sell the Offered Property to the Offeror within one hundred eighty (180) days, this First Refusal Right shall reattach to the Offered Property. Tenant’s failure, if any, to exercise any or all Lock-Up Options shall not affect Tenant’s First Refusal Right under this Section 7.2.</w:t>
      </w:r>
    </w:p>
    <w:p>
      <w:pPr>
        <w:spacing w:after="0" w:line="87"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Discount on Purchase Price</w:t>
      </w:r>
      <w:r>
        <w:rPr>
          <w:rFonts w:ascii="Arial" w:cs="Arial" w:eastAsia="Arial" w:hAnsi="Arial"/>
          <w:sz w:val="14"/>
          <w:szCs w:val="14"/>
          <w:color w:val="auto"/>
        </w:rPr>
        <w:t xml:space="preserve">. If, at the time Landlord is required to give Tenant a notice specified in Section 7.2, Tenant has at least one class of equity securities listed on any national stock exchange, the NASDAQ National Market System or the NASDAQ Small Cap Market, or registered for public trading pursuant to the Securities Exchange Act of 1934, as amended, and Tenant has received gross revenues of at least one hundred fifty million dollars ($150,000,000) during Tenant’s most recently completed fiscal year, then the price at which Tenant is entitled to purchase the Offered Property pursuant to the notice specified in Section 7.2 shall be four percent (4%) lower than the price specified in the </w:t>
      </w:r>
      <w:r>
        <w:rPr>
          <w:rFonts w:ascii="Arial" w:cs="Arial" w:eastAsia="Arial" w:hAnsi="Arial"/>
          <w:sz w:val="14"/>
          <w:szCs w:val="14"/>
          <w:u w:val="single" w:color="auto"/>
          <w:color w:val="auto"/>
        </w:rPr>
        <w:t>bona fide</w:t>
      </w:r>
      <w:r>
        <w:rPr>
          <w:rFonts w:ascii="Arial" w:cs="Arial" w:eastAsia="Arial" w:hAnsi="Arial"/>
          <w:sz w:val="14"/>
          <w:szCs w:val="14"/>
          <w:color w:val="auto"/>
        </w:rPr>
        <w:t xml:space="preserve"> offer. For purposes of this Section 7.3, “gross revenues” shall include equity investments, research and development funding, milestone payments and royalty revenue.</w:t>
      </w:r>
    </w:p>
    <w:p>
      <w:pPr>
        <w:spacing w:after="0" w:line="238" w:lineRule="exact"/>
        <w:rPr>
          <w:sz w:val="20"/>
          <w:szCs w:val="20"/>
          <w:color w:val="auto"/>
        </w:rPr>
      </w:pPr>
    </w:p>
    <w:p>
      <w:pPr>
        <w:ind w:left="5580" w:hanging="127"/>
        <w:spacing w:after="0"/>
        <w:tabs>
          <w:tab w:leader="none" w:pos="5580" w:val="left"/>
        </w:tabs>
        <w:numPr>
          <w:ilvl w:val="0"/>
          <w:numId w:val="315"/>
        </w:numPr>
        <w:rPr>
          <w:rFonts w:ascii="Arial" w:cs="Arial" w:eastAsia="Arial" w:hAnsi="Arial"/>
          <w:sz w:val="14"/>
          <w:szCs w:val="14"/>
          <w:color w:val="auto"/>
        </w:rPr>
      </w:pPr>
      <w:r>
        <w:rPr>
          <w:rFonts w:ascii="Arial" w:cs="Arial" w:eastAsia="Arial" w:hAnsi="Arial"/>
          <w:sz w:val="14"/>
          <w:szCs w:val="14"/>
          <w:u w:val="single" w:color="auto"/>
          <w:color w:val="auto"/>
        </w:rPr>
        <w:t>TAXES</w:t>
      </w:r>
    </w:p>
    <w:p>
      <w:pPr>
        <w:spacing w:after="0" w:line="132" w:lineRule="exact"/>
        <w:rPr>
          <w:sz w:val="20"/>
          <w:szCs w:val="20"/>
          <w:color w:val="auto"/>
        </w:rPr>
      </w:pPr>
    </w:p>
    <w:p>
      <w:pPr>
        <w:ind w:right="20" w:firstLine="458"/>
        <w:spacing w:after="0" w:line="305"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Personal Property</w:t>
      </w:r>
      <w:r>
        <w:rPr>
          <w:rFonts w:ascii="Arial" w:cs="Arial" w:eastAsia="Arial" w:hAnsi="Arial"/>
          <w:sz w:val="12"/>
          <w:szCs w:val="12"/>
          <w:color w:val="auto"/>
        </w:rPr>
        <w:t>. Tenant shall be responsible for and shall pay prior to delinquency all taxes and assessments levied against or by reason of (a) any and all alterations, additions and items installed or placed on the Property and taxed as personal property rather than as real property, and/or (b) all personal property, trade fixtures and other property placed by Tenant on or about the Property. Upon request by Landlord, Tenant shall furnish Landlord with satisfactory evidence of Tenant’s payment thereof. If at any time during the term of this Lease any of said alterations, additions or personal property, whether or not belonging to Tenant, shall be taxed or assessed as part of the Property, then such tax or assessment shall be paid by Tenant to Landlord immediately upon presentation by Landlord of copies of the tax bills in which such taxes and assessments are included and shall, for the purposes of this Lease, be deemed to be personal property taxes or assessments under this Section 8.1.</w:t>
      </w:r>
    </w:p>
    <w:p>
      <w:pPr>
        <w:spacing w:after="0" w:line="84" w:lineRule="exact"/>
        <w:rPr>
          <w:sz w:val="20"/>
          <w:szCs w:val="20"/>
          <w:color w:val="auto"/>
        </w:rPr>
      </w:pPr>
    </w:p>
    <w:p>
      <w:pPr>
        <w:jc w:val="both"/>
        <w:ind w:right="20" w:firstLine="458"/>
        <w:spacing w:after="0" w:line="311" w:lineRule="auto"/>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Real Property</w:t>
      </w:r>
      <w:r>
        <w:rPr>
          <w:rFonts w:ascii="Arial" w:cs="Arial" w:eastAsia="Arial" w:hAnsi="Arial"/>
          <w:sz w:val="12"/>
          <w:szCs w:val="12"/>
          <w:color w:val="auto"/>
        </w:rPr>
        <w:t>. To the extent any real property taxes and assessments on the Property (including, but not limited to, the Improvements) are assessed directly to Tenant, Tenant shall be responsible for and shall pay prior to delinquency all such taxes and assessments levied against the Property. Upon request by Landlord, Tenant shall furnish Landlord with satisfactory evidence of Tenant’s payment thereof. To the extent the Property and/or Improvements are taxed or assessed to Landlord following the Commencement Date, such real property taxes and assessments shall constitute Operating Expenses (as that term is defined in Section 9.2 of this Lease) and shall be paid in accordance with the provisions of Article 9 of this Lease.</w:t>
      </w:r>
    </w:p>
    <w:p>
      <w:pPr>
        <w:spacing w:after="0" w:line="204" w:lineRule="exact"/>
        <w:rPr>
          <w:sz w:val="20"/>
          <w:szCs w:val="20"/>
          <w:color w:val="auto"/>
        </w:rPr>
      </w:pPr>
    </w:p>
    <w:p>
      <w:pPr>
        <w:ind w:left="5080" w:hanging="144"/>
        <w:spacing w:after="0"/>
        <w:tabs>
          <w:tab w:leader="none" w:pos="5080" w:val="left"/>
        </w:tabs>
        <w:numPr>
          <w:ilvl w:val="0"/>
          <w:numId w:val="316"/>
        </w:numPr>
        <w:rPr>
          <w:rFonts w:ascii="Arial" w:cs="Arial" w:eastAsia="Arial" w:hAnsi="Arial"/>
          <w:sz w:val="14"/>
          <w:szCs w:val="14"/>
          <w:color w:val="auto"/>
        </w:rPr>
      </w:pPr>
      <w:r>
        <w:rPr>
          <w:rFonts w:ascii="Arial" w:cs="Arial" w:eastAsia="Arial" w:hAnsi="Arial"/>
          <w:sz w:val="14"/>
          <w:szCs w:val="14"/>
          <w:u w:val="single" w:color="auto"/>
          <w:color w:val="auto"/>
        </w:rPr>
        <w:t>OPERATING EXPENSES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Liability For Operating Expenses</w:t>
      </w:r>
      <w:r>
        <w:rPr>
          <w:rFonts w:ascii="Arial" w:cs="Arial" w:eastAsia="Arial" w:hAnsi="Arial"/>
          <w:sz w:val="14"/>
          <w:szCs w:val="14"/>
          <w:color w:val="auto"/>
        </w:rPr>
        <w:t>.</w:t>
      </w:r>
    </w:p>
    <w:p>
      <w:pPr>
        <w:spacing w:after="0" w:line="132" w:lineRule="exact"/>
        <w:rPr>
          <w:sz w:val="20"/>
          <w:szCs w:val="20"/>
          <w:color w:val="auto"/>
        </w:rPr>
      </w:pPr>
    </w:p>
    <w:p>
      <w:pPr>
        <w:ind w:right="180" w:firstLine="920"/>
        <w:spacing w:after="0" w:line="267" w:lineRule="auto"/>
        <w:tabs>
          <w:tab w:leader="none" w:pos="1101" w:val="left"/>
        </w:tabs>
        <w:numPr>
          <w:ilvl w:val="0"/>
          <w:numId w:val="317"/>
        </w:numPr>
        <w:rPr>
          <w:rFonts w:ascii="Arial" w:cs="Arial" w:eastAsia="Arial" w:hAnsi="Arial"/>
          <w:sz w:val="14"/>
          <w:szCs w:val="14"/>
          <w:color w:val="auto"/>
        </w:rPr>
      </w:pPr>
      <w:r>
        <w:rPr>
          <w:rFonts w:ascii="Arial" w:cs="Arial" w:eastAsia="Arial" w:hAnsi="Arial"/>
          <w:sz w:val="14"/>
          <w:szCs w:val="14"/>
          <w:color w:val="auto"/>
        </w:rPr>
        <w:t>Tenant shall pay to Landlord, at the time and in the manner hereinafter set forth, as additional rental, an amount equal to one hundred percent (100%) (“Tenant’s Operating Cost Share”) of the Operating Expenses defined in Section 9.2.</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20" w:top="247" w:right="239" w:bottom="1440" w:gutter="0" w:footer="0" w:header="0"/>
        </w:sectPr>
      </w:pPr>
    </w:p>
    <w:bookmarkStart w:id="395" w:name="page396"/>
    <w:bookmarkEnd w:id="395"/>
    <w:p>
      <w:pPr>
        <w:ind w:firstLine="920"/>
        <w:spacing w:after="0" w:line="300" w:lineRule="auto"/>
        <w:tabs>
          <w:tab w:leader="none" w:pos="1109" w:val="left"/>
        </w:tabs>
        <w:numPr>
          <w:ilvl w:val="0"/>
          <w:numId w:val="31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If Landlord constructs additional buildings on the Phase II Site or on any other adjacent property owned by Landlord and operated, for common area purposes, on an integrated basis with the Phase I Site, Landlord and Tenant shall negotiate in good faith concerning the reasonable and appropriate treatment of any taxes, insurance or other operating expense items that are allocable both to the Phase I Site and to any such additional buildings or properties. To the extent appropriate, except as otherwise agreed in any such negotiations by Landlord and Tenant, the definition of Operating Expenses in Section 9.2 shall be expanded to include items attributable to such additional buildings or properties and Tenant’s Operating Cost Share shall be adjusted from time to time to be equal to the percentage determined by dividing the square footage of the Initial Building as it then exists by the square footage of all buildings located on portions of the Site owned by Landlord or on any applicable adjacent property owned by Landlord as described above. In determining such percentage, a building shall be taken into account from and after the date on which a tenant first enters into possession of the building or a portion thereof, and the square footage of any such building shall be measured or determined in accordance with the same BOMA standard applicable to the measurement of the Initial Building under Section 1.1(a) hereof.</w:t>
      </w:r>
    </w:p>
    <w:p>
      <w:pPr>
        <w:spacing w:after="0" w:line="88" w:lineRule="exact"/>
        <w:rPr>
          <w:sz w:val="20"/>
          <w:szCs w:val="20"/>
          <w:color w:val="auto"/>
        </w:rPr>
      </w:pPr>
    </w:p>
    <w:p>
      <w:pPr>
        <w:ind w:right="20" w:firstLine="458"/>
        <w:spacing w:after="0" w:line="293"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Definition Of Operating Expenses</w:t>
      </w:r>
      <w:r>
        <w:rPr>
          <w:rFonts w:ascii="Arial" w:cs="Arial" w:eastAsia="Arial" w:hAnsi="Arial"/>
          <w:sz w:val="12"/>
          <w:szCs w:val="12"/>
          <w:color w:val="auto"/>
        </w:rPr>
        <w:t xml:space="preserve">. Subject to the exclusions and provisions hereinafter contained, the term “Operating Expenses” shall mean the total costs and expenses incurred by or allocable to Landlord for operation and maintenance of the Improvements and the Property, including, without limitation, costs and expenses of (i) operation, repair and maintenance of the roof (structural portions only), exterior walls and other structural portions of the Initial Building; (ii) liability, casualty or other insurance (including, but not limited to, earthquake insurance if Landlord in its discretion elects to carry such insurance, which it is Landlord’s present intention to do, so long as such insurance is reasonably available in the commercial insurance markets) carried by Landlord with respect to the Property, the Improvements or any portion thereof; (iii) real and personal property taxes and assessments or substitutes therefor levied or assessed against the Property or any part thereof, including (but not limited to) any possessory interest, use, business, license or other taxes or fees, any taxes imposed directly on rents or services, any assessments or charges for police or fire protection, housing, transit, open space, street or sidewalk construction or maintenance or other similar services from time to time by any governmental or quasi-governmental entity, and any other new taxes on landlords in addition to taxes now in effect; (iv) supplies, equipment, utilities and tools used in operation, repair and maintenance of the roof (structural portions only), exterior walls and other structural portions of the Initial Building; (v) capital improvements to the Property or the Improvements, amortized over their respective useful lives, (aa) which reduce or will cause future reduction of other items of Operating Expenses for which Tenant is otherwise required to contribute (but not in excess of the cost savings realized) or (bb) which are required by law, ordinance, regulation or order of any governmental authority enacted after the date of this Lease; and (vi) any other costs (including, but not limited to, any parking or utilities fees or surcharges) allocable to or paid by Landlord, as owner of the Property or Improvements, pursuant to any applicable laws, ordinances, regulations or orders of any governmental or quasi-governmental authority or pursuant to the terms of any declarations of covenants, conditions and restrictions now or hereafter affecting either the Property or any other property described in Section 9.1(b) or over which Tenant has non-exclusive usage rights as contemplated in Section l.l(b) hereof. The distinction between items of ordinary operating maintenance and repair and items of a capital nature shall be made in accordance with generally accepted accounting principles applied on a consistent basis. Notwithstanding any other provisions of this Section 9.2, Operating Expenses shall not include any costs attributable to work for which Landlord is required to pay under Section 5.1 or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any management fees; depreciation on buildings (other than depreciation on personal property); costs of tenants’ improvements; interest; capital items (other than as expressly provided above); payments on debt (principal or interest); leasing commissions; costs of goods and services (including utilities) for which Landlord is reimbursed by tenants or occupants other than Tenant; costs incurred to perform or correct Landlord’s Work described in Section 5.1 and </w:t>
      </w:r>
      <w:r>
        <w:rPr>
          <w:rFonts w:ascii="Arial" w:cs="Arial" w:eastAsia="Arial" w:hAnsi="Arial"/>
          <w:sz w:val="12"/>
          <w:szCs w:val="12"/>
          <w:u w:val="single" w:color="auto"/>
          <w:color w:val="auto"/>
        </w:rPr>
        <w:t>Exhibit C</w:t>
      </w:r>
      <w:r>
        <w:rPr>
          <w:rFonts w:ascii="Arial" w:cs="Arial" w:eastAsia="Arial" w:hAnsi="Arial"/>
          <w:sz w:val="12"/>
          <w:szCs w:val="12"/>
          <w:color w:val="auto"/>
        </w:rPr>
        <w:t>; costs of correcting defects in or inadequacy of the initial design of the structure of the Initial Building; legal fees; amounts paid to affiliates of Landlord (i.e., persons or companies controlled by, under common control with, or which control, Landlord) for services on or to the Initial Building, except to the extent that the costs of such services do not exceed competitive costs of such services were they rendered by a non-affiliate of Landlord; expenses in connection with services or other benefits provided to one or more other tenants but not generally available to Tenant; space planning fees, architectural fees, engineering fees (other than those relating to the general operation of buildings or common areas), marketing, advertising or</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20" w:top="247" w:right="239" w:bottom="1440" w:gutter="0" w:footer="0" w:header="0"/>
        </w:sectPr>
      </w:pPr>
    </w:p>
    <w:bookmarkStart w:id="396" w:name="page397"/>
    <w:bookmarkEnd w:id="396"/>
    <w:p>
      <w:pPr>
        <w:ind w:right="6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any other expenses incurred in connection with the development or leasing of any buildings or improvements; costs associated with the operation of the business of the legal entity which constitutes Landlord as the same is separate and apart from the costs and operation of the Initial Building, including legal entity formation and internal entity accounting; any late fees or penalties or similar fees incurred by Landlord, except to the extent attributable to Tenant’s late payment or nonpayment of minimum rental or additional rent; any debt losses, rent losses or reserves for bad debt; the cost of any repairs in accordance with the provisions of this Lease relating to fire, casualty and/or condemnation; Landlord’s incremental costs incurred by reason of Landlord’s breach of any leases with other tenants, and any costs incurred by reason of the breach by other tenants of such tenants’ leases (to the extent recoverable from such tenants); or any unrecovered expenses incurred as a consequence of the grossly negligent operation and maintenance, by Landlord or its employees, of those portions of the Initial Building required to be maintained by Landlord.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Determination and Payment Of Operating Expenses</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300" w:lineRule="auto"/>
        <w:tabs>
          <w:tab w:leader="none" w:pos="1101" w:val="left"/>
        </w:tabs>
        <w:numPr>
          <w:ilvl w:val="0"/>
          <w:numId w:val="319"/>
        </w:numPr>
        <w:rPr>
          <w:rFonts w:ascii="Arial" w:cs="Arial" w:eastAsia="Arial" w:hAnsi="Arial"/>
          <w:sz w:val="12"/>
          <w:szCs w:val="12"/>
          <w:color w:val="auto"/>
        </w:rPr>
      </w:pPr>
      <w:r>
        <w:rPr>
          <w:rFonts w:ascii="Arial" w:cs="Arial" w:eastAsia="Arial" w:hAnsi="Arial"/>
          <w:sz w:val="12"/>
          <w:szCs w:val="12"/>
          <w:color w:val="auto"/>
        </w:rPr>
        <w:t>Beginning on the Commencement Date and thereafter from time to time during the term of this Lease, Landlord shall give Tenant written notice of amounts paid or to be paid, by Landlord for insurance premiums, taxes, structural repair or maintenance costs or any other amount constituting an Operating Expense under Section 9.2 hereof, accompanied by copies of premium notices, tax statements, contractor’s invoices or other documentation reasonably evidencing the amount of the applicable Operating Expense payment, and Tenant shall pay to Landlord Tenant’s Operating Cost Share of each such item of Operating Expenses. Such payment by Tenant shall be due on or before the later to occur of (i) ten (10) days after delivery of Landlord’s written notice to Tenant or (ii) fourteen (14) days before the date on which the applicable Operating Expense payment by Landlord is due (in the case of insurance premiums or other payments to private parties) or would become delinquent (in the case of taxes or assessments). In the event of any subsequent rebate, refund, adjustment or surcharge with respect to any item of Operating Expenses allocable to any portion of the term of this Lease, the amount of such rebate, refund, adjustment or surcharge shall be for Tenant’s benefit or account, as the case may be, and shall be adjusted promptly by a cash payment from Landlord to Tenant or from Tenant to Landlord, as the case may be.</w:t>
      </w:r>
    </w:p>
    <w:p>
      <w:pPr>
        <w:spacing w:after="0" w:line="88" w:lineRule="exact"/>
        <w:rPr>
          <w:rFonts w:ascii="Arial" w:cs="Arial" w:eastAsia="Arial" w:hAnsi="Arial"/>
          <w:sz w:val="12"/>
          <w:szCs w:val="12"/>
          <w:color w:val="auto"/>
        </w:rPr>
      </w:pPr>
    </w:p>
    <w:p>
      <w:pPr>
        <w:ind w:right="20" w:firstLine="920"/>
        <w:spacing w:after="0" w:line="299" w:lineRule="auto"/>
        <w:tabs>
          <w:tab w:leader="none" w:pos="1109" w:val="left"/>
        </w:tabs>
        <w:numPr>
          <w:ilvl w:val="0"/>
          <w:numId w:val="319"/>
        </w:numPr>
        <w:rPr>
          <w:rFonts w:ascii="Arial" w:cs="Arial" w:eastAsia="Arial" w:hAnsi="Arial"/>
          <w:sz w:val="12"/>
          <w:szCs w:val="12"/>
          <w:color w:val="auto"/>
        </w:rPr>
      </w:pPr>
      <w:r>
        <w:rPr>
          <w:rFonts w:ascii="Arial" w:cs="Arial" w:eastAsia="Arial" w:hAnsi="Arial"/>
          <w:sz w:val="12"/>
          <w:szCs w:val="12"/>
          <w:color w:val="auto"/>
        </w:rPr>
        <w:t>Tenant shall be entitled at any time and from time to time, upon reasonable written notice to Landlord and during normal business hours at Landlord’s office or such other places as Landlord shall designate, to inspect and examine those books and records of Landlord relating to the determination and payment of Operating Expenses relating to this Lease, the Property and/or any other properties described in Section 9.1(b). If, after inspection and examination of such books and records, Tenant disputes the amount of any such Operating Expenses charged by Landlord and the parties are not able to resolve such dispute by good faith negotiations within (30) days after Tenant notifies Landlord in writing of the disputed items, then Tenant may, by written notice to Landlord, request an independent audit of such books and records. The independent audit of the books and records shall be conducted by a certified public accountant acceptable to both Landlord and Tenant or, if the parties are unable to agree, by a “Big Six” accounting firm designated by Landlord and not then employed by Landlord or Tenant. The audit shall be limited to the determination of the amount of Operating Expenses specified by Tenant in its notice of objection. If the audit discloses that the amount of Operating Expenses billed to Tenant was incorrect, the appropriate party shall promptly pay to the other party the deficiency or overpayment, as applicable. All costs and expenses of the audit shall be paid by Tenant unless the audit shows that Landlord overstated Operating Expenses covered by the audit by more than five percent (5%), in which case Landlord shall pay all costs and expenses of the audit.</w:t>
      </w:r>
    </w:p>
    <w:p>
      <w:pPr>
        <w:spacing w:after="0" w:line="254" w:lineRule="exact"/>
        <w:rPr>
          <w:sz w:val="20"/>
          <w:szCs w:val="20"/>
          <w:color w:val="auto"/>
        </w:rPr>
      </w:pPr>
    </w:p>
    <w:p>
      <w:pPr>
        <w:ind w:right="20" w:firstLine="458"/>
        <w:spacing w:after="0" w:line="311"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u w:val="single" w:color="auto"/>
          <w:color w:val="auto"/>
        </w:rPr>
        <w:t>Proration</w:t>
      </w:r>
      <w:r>
        <w:rPr>
          <w:rFonts w:ascii="Arial" w:cs="Arial" w:eastAsia="Arial" w:hAnsi="Arial"/>
          <w:sz w:val="12"/>
          <w:szCs w:val="12"/>
          <w:color w:val="auto"/>
        </w:rPr>
        <w:t>. If the Commencement Date falls on a day other than the first day of an insurance coverage period, tax fiscal year or other period to which an Operating Expense is allocable or attributable, or if this Lease terminates on a day other than the last day of an insurance coverage period, tax fiscal year or other period to which an Operating Expense is allocable or attributable, then the amount of Operating Expenses payable by Tenant with respect to such first or last partial insurance coverage period, tax fiscal year or other period shall be prorated on the basis which the number of days during such insurance coverage period, tax fiscal year or other period in which this Lease is in effect bears to the total number of days in such insurance coverage period, tax fiscal year or other period.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47" w:right="219" w:bottom="1440" w:gutter="0" w:footer="0" w:header="0"/>
        </w:sectPr>
      </w:pPr>
    </w:p>
    <w:bookmarkStart w:id="397" w:name="page398"/>
    <w:bookmarkEnd w:id="397"/>
    <w:p>
      <w:pPr>
        <w:ind w:left="5520" w:hanging="208"/>
        <w:spacing w:after="0"/>
        <w:tabs>
          <w:tab w:leader="none" w:pos="5520" w:val="left"/>
        </w:tabs>
        <w:numPr>
          <w:ilvl w:val="0"/>
          <w:numId w:val="32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UTILITIES</w:t>
      </w:r>
    </w:p>
    <w:p>
      <w:pPr>
        <w:spacing w:after="0" w:line="132" w:lineRule="exact"/>
        <w:rPr>
          <w:sz w:val="20"/>
          <w:szCs w:val="20"/>
          <w:color w:val="auto"/>
        </w:rPr>
      </w:pPr>
    </w:p>
    <w:p>
      <w:pPr>
        <w:ind w:firstLine="458"/>
        <w:spacing w:after="0" w:line="258"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Payment</w:t>
      </w:r>
      <w:r>
        <w:rPr>
          <w:rFonts w:ascii="Arial" w:cs="Arial" w:eastAsia="Arial" w:hAnsi="Arial"/>
          <w:sz w:val="14"/>
          <w:szCs w:val="14"/>
          <w:color w:val="auto"/>
        </w:rPr>
        <w:t>. Commencing with the Commencement Date and thereafter throughout the term of this Lease, Tenant shall pay, before delinquency, all charges for water, gas, heat, light, electricity, power, sewer, telephone, alarm system, janitorial and other services or utilities supplied to or consumed in or upon the Property (including any separately metered costs for water, electricity or other services or utilities furnished with respect to the Common Areas), including any taxes on such services and utilities.</w:t>
      </w:r>
    </w:p>
    <w:p>
      <w:pPr>
        <w:spacing w:after="0" w:line="108" w:lineRule="exact"/>
        <w:rPr>
          <w:sz w:val="20"/>
          <w:szCs w:val="20"/>
          <w:color w:val="auto"/>
        </w:rPr>
      </w:pPr>
    </w:p>
    <w:p>
      <w:pPr>
        <w:ind w:right="60" w:firstLine="458"/>
        <w:spacing w:after="0" w:line="321"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Interruption</w:t>
      </w:r>
      <w:r>
        <w:rPr>
          <w:rFonts w:ascii="Arial" w:cs="Arial" w:eastAsia="Arial" w:hAnsi="Arial"/>
          <w:sz w:val="12"/>
          <w:szCs w:val="12"/>
          <w:color w:val="auto"/>
        </w:rPr>
        <w:t>. There shall be no abatement of rent or other charges required to be paid hereunder and Landlord shall not be liable in damages or otherwise for interruption or failure of any service or utility furnished to or used in the Property because of accident, making of repairs, alterations or improvements, severe weather, difficulty or inability in obtaining services or supplies, labor difficulties or any other cause, except to the extent such interruption or failure of a service or utility is caused by the negligence or willful misconduct of Landlord or its agents or employees.</w:t>
      </w:r>
    </w:p>
    <w:p>
      <w:pPr>
        <w:spacing w:after="0" w:line="199" w:lineRule="exact"/>
        <w:rPr>
          <w:sz w:val="20"/>
          <w:szCs w:val="20"/>
          <w:color w:val="auto"/>
        </w:rPr>
      </w:pPr>
    </w:p>
    <w:p>
      <w:pPr>
        <w:ind w:left="5140" w:hanging="191"/>
        <w:spacing w:after="0"/>
        <w:tabs>
          <w:tab w:leader="none" w:pos="5140" w:val="left"/>
        </w:tabs>
        <w:numPr>
          <w:ilvl w:val="0"/>
          <w:numId w:val="321"/>
        </w:numPr>
        <w:rPr>
          <w:rFonts w:ascii="Arial" w:cs="Arial" w:eastAsia="Arial" w:hAnsi="Arial"/>
          <w:sz w:val="12"/>
          <w:szCs w:val="12"/>
          <w:color w:val="auto"/>
        </w:rPr>
      </w:pPr>
      <w:r>
        <w:rPr>
          <w:rFonts w:ascii="Arial" w:cs="Arial" w:eastAsia="Arial" w:hAnsi="Arial"/>
          <w:sz w:val="12"/>
          <w:szCs w:val="12"/>
          <w:u w:val="single" w:color="auto"/>
          <w:color w:val="auto"/>
        </w:rPr>
        <w:t>ALTERATIONS: SIGNS</w:t>
      </w:r>
    </w:p>
    <w:p>
      <w:pPr>
        <w:spacing w:after="0" w:line="155" w:lineRule="exact"/>
        <w:rPr>
          <w:sz w:val="20"/>
          <w:szCs w:val="20"/>
          <w:color w:val="auto"/>
        </w:rPr>
      </w:pPr>
    </w:p>
    <w:p>
      <w:pPr>
        <w:ind w:right="40" w:firstLine="458"/>
        <w:spacing w:after="0" w:line="299"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Right To Make Alterations</w:t>
      </w:r>
      <w:r>
        <w:rPr>
          <w:rFonts w:ascii="Arial" w:cs="Arial" w:eastAsia="Arial" w:hAnsi="Arial"/>
          <w:sz w:val="12"/>
          <w:szCs w:val="12"/>
          <w:color w:val="auto"/>
        </w:rPr>
        <w:t>. Tenant shall make no alterations, additions or improvements to the Property without the prior written consent of Landlord, which consent shall not be unreasonably withheld or delayed, except that Tenant shall not be required to obtain such consent for interior non-structural alterations costing less than Seventy-Five Thousand Dollars ($75,000.00) in the aggregate during any twelve (12) month period. All such alterations, additions and improvements shall be completed with due diligence in a first-class workmanlike manner and in compliance with plans and specifications approved in writing by Landlord and all applicable laws, ordinances, rules and regulations, and to the extent Landlord’s consent is not otherwise required hereunder for such alterations, additions or improvements, Tenant shall give prompt written notice thereof to Landlord for purposes of Section 11.2 hereof. Tenant shall cause any contractors engaged by Tenant for work on the Property to maintain public liability and property damage insurance, and other customary insurance, with such terms and in such amounts as Landlord may reasonably require, naming Landlord and its partners, shareholders, agents and employees as additional insureds, and shall furnish Landlord with certificates of insurance or other evidence that such coverage is in effect. Notwithstanding any other provisions of this Section 11.1, under no circumstances shall Tenant make any structural alterations or improvements, or any substantial changes to the roof or substantial equipment installations on the roof, or any substantial changes or alterations to building systems, without Landlord’s prior written consent.</w:t>
      </w:r>
    </w:p>
    <w:p>
      <w:pPr>
        <w:spacing w:after="0" w:line="254" w:lineRule="exact"/>
        <w:rPr>
          <w:sz w:val="20"/>
          <w:szCs w:val="20"/>
          <w:color w:val="auto"/>
        </w:rPr>
      </w:pPr>
    </w:p>
    <w:p>
      <w:pPr>
        <w:ind w:right="20" w:firstLine="458"/>
        <w:spacing w:after="0" w:line="300"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Title To Alterations</w:t>
      </w:r>
      <w:r>
        <w:rPr>
          <w:rFonts w:ascii="Arial" w:cs="Arial" w:eastAsia="Arial" w:hAnsi="Arial"/>
          <w:sz w:val="12"/>
          <w:szCs w:val="12"/>
          <w:color w:val="auto"/>
        </w:rPr>
        <w:t xml:space="preserve">. All alterations, additions and improvements installed in, on or about the Property shall be part of the Improvements and the property of Landlord, unless Landlord elects to require Tenant to remove the same upon the termination of this Lease, which election shall be made by Landlord concurrently with its consent to such alterations, additions or improvements or, if no such consent is required, then within fifteen (15) days after Landlord is advised in writing of such alterations, additions or improvements as contemplated in Section 11.1 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the foregoing shall not apply (i) to Tenant’s movable furniture and trade fixtures not affixed to the Property, or (ii) to any of the Interior Improvements (as defined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hereto), or any subsequent improvements installed by Tenant at its own expense, which are readily movable, are not an integral part of the Initial Building’s structure or interior architectural improvements, and are not an integral part of the Initial Building’s HVAC, plumbing or electrical systems or other standard operating systems. All of such items described in clause (i) or (ii) of the preceding sentence (in all events including, but not limited to, lab benches, fume hoods and cold rooms) may (and, if duly elected by Landlord hereunder, shall) be removed by Tenant upon the termination of this Lease. Tenant shall promptly repair any damage caused by its removal of any such improvements.</w:t>
      </w:r>
    </w:p>
    <w:p>
      <w:pPr>
        <w:spacing w:after="0" w:line="255" w:lineRule="exact"/>
        <w:rPr>
          <w:sz w:val="20"/>
          <w:szCs w:val="20"/>
          <w:color w:val="auto"/>
        </w:rPr>
      </w:pPr>
    </w:p>
    <w:p>
      <w:pPr>
        <w:ind w:right="120" w:firstLine="458"/>
        <w:spacing w:after="0" w:line="351"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Tenant Fixtures</w:t>
      </w:r>
      <w:r>
        <w:rPr>
          <w:rFonts w:ascii="Arial" w:cs="Arial" w:eastAsia="Arial" w:hAnsi="Arial"/>
          <w:sz w:val="12"/>
          <w:szCs w:val="12"/>
          <w:color w:val="auto"/>
        </w:rPr>
        <w:t>. Notwithstanding the provisions of Sections 11.1 and 11.2, Tenant may install, remove and reinstall trade fixtures without Landlord’s prior written consent, except that any fixtures which are affixed to the Property or which affect the exterior or structural portions of the Initial Building or the building systems shall require Landlord’s written approval.</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40"/>
          </w:cols>
          <w:pgMar w:left="220" w:top="246" w:right="239" w:bottom="1440" w:gutter="0" w:footer="0" w:header="0"/>
        </w:sectPr>
      </w:pPr>
    </w:p>
    <w:bookmarkStart w:id="398" w:name="page399"/>
    <w:bookmarkEnd w:id="398"/>
    <w:p>
      <w:pPr>
        <w:ind w:right="2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foregoing shall apply to Tenant’s signs, logos and insignia, all of which Tenant shall have the right to place and remove and replace (a) only with Landlord’s prior written consent as to location, size and composition, which consent shall not be unreasonably withheld or delayed, and (b) only in compliance with all restrictions and requirements of applicable law and of any covenants, conditions and restrictions or other written agreements now or hereafter applicable to the Property. Tenant shall immediately repair any damage caused by installation and removal of fixtures under this Section 11.3.</w:t>
      </w:r>
    </w:p>
    <w:p>
      <w:pPr>
        <w:spacing w:after="0" w:line="73" w:lineRule="exact"/>
        <w:rPr>
          <w:sz w:val="20"/>
          <w:szCs w:val="20"/>
          <w:color w:val="auto"/>
        </w:rPr>
      </w:pPr>
    </w:p>
    <w:p>
      <w:pPr>
        <w:ind w:right="100" w:firstLine="458"/>
        <w:spacing w:after="0" w:line="253"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u w:val="single" w:color="auto"/>
          <w:color w:val="auto"/>
        </w:rPr>
        <w:t>No Liens</w:t>
      </w:r>
      <w:r>
        <w:rPr>
          <w:rFonts w:ascii="Arial" w:cs="Arial" w:eastAsia="Arial" w:hAnsi="Arial"/>
          <w:sz w:val="14"/>
          <w:szCs w:val="14"/>
          <w:color w:val="auto"/>
        </w:rPr>
        <w:t>. Tenant shall at all times keep the Property free from all liens and claims of any contractors, subcontractors, materialmen, suppliers or any other parties employed either directly or indirectly by Tenant in construction work on the Property. Tenant may contest any claim of lien, but only if, prior to such contest, Tenant either (i) posts security in the amount of the claim, plus estimated costs and interest, or (ii) records a bond of a responsible corporate surety in such amount as may be required to release the lien from the Property. Tenant shall indemnify, defend and hold Landlord harmless against any and all liability, loss, damage, cost and other expenses, including, without limitation, reasonable attorneys’ fees, arising out of claims of any lien for work performed or materials or supplies furnished at the request of Tenant or persons claiming under Tenant.</w:t>
      </w:r>
    </w:p>
    <w:p>
      <w:pPr>
        <w:spacing w:after="0" w:line="113"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 xml:space="preserve">11.5 </w:t>
      </w:r>
      <w:r>
        <w:rPr>
          <w:rFonts w:ascii="Arial" w:cs="Arial" w:eastAsia="Arial" w:hAnsi="Arial"/>
          <w:sz w:val="12"/>
          <w:szCs w:val="12"/>
          <w:u w:val="single" w:color="auto"/>
          <w:color w:val="auto"/>
        </w:rPr>
        <w:t>Signs</w:t>
      </w:r>
      <w:r>
        <w:rPr>
          <w:rFonts w:ascii="Arial" w:cs="Arial" w:eastAsia="Arial" w:hAnsi="Arial"/>
          <w:sz w:val="12"/>
          <w:szCs w:val="12"/>
          <w:color w:val="auto"/>
        </w:rPr>
        <w:t xml:space="preserve">. Without limiting the generality of the provisions of Section 11.3 hereof, Tenant shall have the right to display its corporate name and logo on the Initial Building and in front of the entrance to the Initial Building, subject to Landlord’s prior approval as to location, size and composition (which approval shall not be unreasonably withheld or delayed) and subject to all restrictions and requirements of applicable law and of any covenants, conditions and restrictions or other written agreements now or hereafter applicable to the Property. Landlord is hereby deemed to have approved, as to location, any signage the location of which is expressly designated on the site plan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or on any Approved Plan developed pursuant to the Workletter executed concurrently herewith.</w:t>
      </w:r>
    </w:p>
    <w:p>
      <w:pPr>
        <w:spacing w:after="0" w:line="204" w:lineRule="exact"/>
        <w:rPr>
          <w:sz w:val="20"/>
          <w:szCs w:val="20"/>
          <w:color w:val="auto"/>
        </w:rPr>
      </w:pPr>
    </w:p>
    <w:p>
      <w:pPr>
        <w:ind w:left="4880" w:hanging="200"/>
        <w:spacing w:after="0"/>
        <w:tabs>
          <w:tab w:leader="none" w:pos="4880" w:val="left"/>
        </w:tabs>
        <w:numPr>
          <w:ilvl w:val="0"/>
          <w:numId w:val="322"/>
        </w:numPr>
        <w:rPr>
          <w:rFonts w:ascii="Arial" w:cs="Arial" w:eastAsia="Arial" w:hAnsi="Arial"/>
          <w:sz w:val="14"/>
          <w:szCs w:val="14"/>
          <w:color w:val="auto"/>
        </w:rPr>
      </w:pPr>
      <w:r>
        <w:rPr>
          <w:rFonts w:ascii="Arial" w:cs="Arial" w:eastAsia="Arial" w:hAnsi="Arial"/>
          <w:sz w:val="14"/>
          <w:szCs w:val="14"/>
          <w:u w:val="single" w:color="auto"/>
          <w:color w:val="auto"/>
        </w:rPr>
        <w:t>MAINTENANCE AND REPAIRS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Landlord’s Work</w:t>
      </w:r>
      <w:r>
        <w:rPr>
          <w:rFonts w:ascii="Arial" w:cs="Arial" w:eastAsia="Arial" w:hAnsi="Arial"/>
          <w:sz w:val="14"/>
          <w:szCs w:val="14"/>
          <w:color w:val="auto"/>
        </w:rPr>
        <w:t>.</w:t>
      </w:r>
    </w:p>
    <w:p>
      <w:pPr>
        <w:spacing w:after="0" w:line="132" w:lineRule="exact"/>
        <w:rPr>
          <w:sz w:val="20"/>
          <w:szCs w:val="20"/>
          <w:color w:val="auto"/>
        </w:rPr>
      </w:pPr>
    </w:p>
    <w:p>
      <w:pPr>
        <w:ind w:right="40" w:firstLine="920"/>
        <w:spacing w:after="0" w:line="305" w:lineRule="auto"/>
        <w:tabs>
          <w:tab w:leader="none" w:pos="1101" w:val="left"/>
        </w:tabs>
        <w:numPr>
          <w:ilvl w:val="0"/>
          <w:numId w:val="323"/>
        </w:numPr>
        <w:rPr>
          <w:rFonts w:ascii="Arial" w:cs="Arial" w:eastAsia="Arial" w:hAnsi="Arial"/>
          <w:sz w:val="12"/>
          <w:szCs w:val="12"/>
          <w:color w:val="auto"/>
        </w:rPr>
      </w:pPr>
      <w:r>
        <w:rPr>
          <w:rFonts w:ascii="Arial" w:cs="Arial" w:eastAsia="Arial" w:hAnsi="Arial"/>
          <w:sz w:val="12"/>
          <w:szCs w:val="12"/>
          <w:color w:val="auto"/>
        </w:rPr>
        <w:t>Landlord shall repair and maintain or cause to be repaired and maintained the roof (structural portions only), exterior walls and other structural portions of the Initial Building. The cost of all work performed by Landlord under this Section 12.1 shall be an Operating Expense hereunder, except to the extent such work (i) is required due to the negligence of Landlord, (ii) is a capital expense not includible as an Operating Expense under Section 9.2 hereof, or (iii) is required due to the negligence or willful misconduct of Tenant or its agents, employees or invitees (in which event Tenant shall bear the full cost of such work pursuant to the indemnification provided in Section 14.6 hereof). Tenant knowingly and voluntarily waives the right to make repairs at Landlord’s expense, except to the extent expressly set forth in Section ‘12.1(b), or to offset the cost thereof against rent, under any law, statute, regulation or ordinance now or hereafter in effect.</w:t>
      </w:r>
    </w:p>
    <w:p>
      <w:pPr>
        <w:spacing w:after="0" w:line="84" w:lineRule="exact"/>
        <w:rPr>
          <w:rFonts w:ascii="Arial" w:cs="Arial" w:eastAsia="Arial" w:hAnsi="Arial"/>
          <w:sz w:val="12"/>
          <w:szCs w:val="12"/>
          <w:color w:val="auto"/>
        </w:rPr>
      </w:pPr>
    </w:p>
    <w:p>
      <w:pPr>
        <w:ind w:right="60" w:firstLine="920"/>
        <w:spacing w:after="0" w:line="305" w:lineRule="auto"/>
        <w:tabs>
          <w:tab w:leader="none" w:pos="1109" w:val="left"/>
        </w:tabs>
        <w:numPr>
          <w:ilvl w:val="0"/>
          <w:numId w:val="323"/>
        </w:numPr>
        <w:rPr>
          <w:rFonts w:ascii="Arial" w:cs="Arial" w:eastAsia="Arial" w:hAnsi="Arial"/>
          <w:sz w:val="12"/>
          <w:szCs w:val="12"/>
          <w:color w:val="auto"/>
        </w:rPr>
      </w:pPr>
      <w:r>
        <w:rPr>
          <w:rFonts w:ascii="Arial" w:cs="Arial" w:eastAsia="Arial" w:hAnsi="Arial"/>
          <w:sz w:val="12"/>
          <w:szCs w:val="12"/>
          <w:color w:val="auto"/>
        </w:rPr>
        <w:t>If Landlord fails to perform any repairs or maintenance required to be performed by Landlord under Section 12.1(a) and such failure continues for thirty (30) days or more after Tenant gives Landlord written notice of such failure (or, if such repairs or maintenance cannot reasonably be performed within such 30-day period, then if Landlord fails to commence performance within such 30-day period and thereafter to pursue such performance diligently to completion), then Tenant shall have the right to perform such repairs or maintenance and Landlord shall reimburse Tenant for the reasonable cost thereof within fifteen (15) days after written notice from Tenant of the completion and cost of such work, accompanied by copies of invoices or other reasonable supporting documentation. Under no circumstances, however, shall Tenant have any right to offset the cost of any such work against rent or other charges falling due from time to time under this Lease.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Tenant’s Obligation For Maintenance</w:t>
      </w:r>
      <w:r>
        <w:rPr>
          <w:rFonts w:ascii="Arial" w:cs="Arial" w:eastAsia="Arial" w:hAnsi="Arial"/>
          <w:sz w:val="14"/>
          <w:szCs w:val="14"/>
          <w:color w:val="auto"/>
        </w:rPr>
        <w:t>.</w:t>
      </w:r>
    </w:p>
    <w:p>
      <w:pPr>
        <w:spacing w:after="0" w:line="132" w:lineRule="exact"/>
        <w:rPr>
          <w:sz w:val="20"/>
          <w:szCs w:val="20"/>
          <w:color w:val="auto"/>
        </w:rPr>
      </w:pPr>
    </w:p>
    <w:p>
      <w:pPr>
        <w:jc w:val="center"/>
        <w:ind w:left="5620" w:right="1340" w:hanging="4700"/>
        <w:spacing w:after="0" w:line="438" w:lineRule="auto"/>
        <w:tabs>
          <w:tab w:leader="none" w:pos="1104"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Good Order, Condition And Repair</w:t>
      </w:r>
      <w:r>
        <w:rPr>
          <w:rFonts w:ascii="Arial" w:cs="Arial" w:eastAsia="Arial" w:hAnsi="Arial"/>
          <w:sz w:val="14"/>
          <w:szCs w:val="14"/>
          <w:color w:val="auto"/>
        </w:rPr>
        <w:t>. Except as provided in Section 12.1 hereof, Tenant at its sole cost and expense shall keep and maintain in good and sanitary order, -13-</w:t>
      </w:r>
    </w:p>
    <w:p>
      <w:pPr>
        <w:sectPr>
          <w:pgSz w:w="11900" w:h="16838" w:orient="portrait"/>
          <w:cols w:equalWidth="0" w:num="1">
            <w:col w:w="11460"/>
          </w:cols>
          <w:pgMar w:left="220" w:top="247" w:right="219" w:bottom="1440" w:gutter="0" w:footer="0" w:header="0"/>
        </w:sectPr>
      </w:pPr>
    </w:p>
    <w:bookmarkStart w:id="399" w:name="page400"/>
    <w:bookmarkEnd w:id="399"/>
    <w:p>
      <w:pPr>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condition and repair the Property and every part thereof, wherever located, including but not limited to the Common Areas of the Phase I Site, the roof (non-structural portions only), signs, interior, ceiling, electrical system, plumbing system, telephone and communications systems of the Initial Building, the HVAC equipment and related mechanical systems serving the Initial Building (for which equipment and systems Tenant shall enter into a service contract with a person or entity designated or approved by Landlord), all doors, door checks, windows, plate glass, door fronts, exposed plumbing and sewage and other utility facilities, fixtures, lighting, wall surfaces, floor surfaces and ceiling surfaces of the Initial Building and all other interior repairs, foreseen and unforeseen, with respect to the Initial Building, as required. If the Expansion Building is constructed by Landlord and is not occupied by Tenant, then Landlord and Tenant shall negotiate diligently and in good faith to reach a reasonable arrangement for the maintenance and repair of the Common Areas of the entire Site and a reasonable allocation of the cost of such maintenance and repair between the Initial Building and the Expansion Building.</w:t>
      </w:r>
    </w:p>
    <w:p>
      <w:pPr>
        <w:spacing w:after="0" w:line="86" w:lineRule="exact"/>
        <w:rPr>
          <w:sz w:val="20"/>
          <w:szCs w:val="20"/>
          <w:color w:val="auto"/>
        </w:rPr>
      </w:pPr>
    </w:p>
    <w:p>
      <w:pPr>
        <w:ind w:right="160" w:firstLine="920"/>
        <w:spacing w:after="0" w:line="258" w:lineRule="auto"/>
        <w:tabs>
          <w:tab w:leader="none" w:pos="1109"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Landlord’s Remedy</w:t>
      </w:r>
      <w:r>
        <w:rPr>
          <w:rFonts w:ascii="Arial" w:cs="Arial" w:eastAsia="Arial" w:hAnsi="Arial"/>
          <w:sz w:val="14"/>
          <w:szCs w:val="14"/>
          <w:color w:val="auto"/>
        </w:rPr>
        <w:t>. If Tenant, after notice from Landlord, fails to make or perform promptly any repairs or maintenance which are the obligation of Tenant hereunder, Landlord shall have the right, but shall not be required, to enter the Property and make the repairs or perform the maintenance necessary to restore the Property to good and sanitary order, condition and repair. Immediately on demand from Landlord, the cost of such repairs shall be due and payable by Tenant to Landlord.</w:t>
      </w:r>
    </w:p>
    <w:p>
      <w:pPr>
        <w:spacing w:after="0" w:line="107" w:lineRule="exact"/>
        <w:rPr>
          <w:rFonts w:ascii="Arial" w:cs="Arial" w:eastAsia="Arial" w:hAnsi="Arial"/>
          <w:sz w:val="14"/>
          <w:szCs w:val="14"/>
          <w:color w:val="auto"/>
        </w:rPr>
      </w:pPr>
    </w:p>
    <w:p>
      <w:pPr>
        <w:ind w:right="40" w:firstLine="920"/>
        <w:spacing w:after="0" w:line="300" w:lineRule="auto"/>
        <w:tabs>
          <w:tab w:leader="none" w:pos="1101" w:val="left"/>
        </w:tabs>
        <w:numPr>
          <w:ilvl w:val="0"/>
          <w:numId w:val="325"/>
        </w:numPr>
        <w:rPr>
          <w:rFonts w:ascii="Arial" w:cs="Arial" w:eastAsia="Arial" w:hAnsi="Arial"/>
          <w:sz w:val="12"/>
          <w:szCs w:val="12"/>
          <w:color w:val="auto"/>
        </w:rPr>
      </w:pPr>
      <w:r>
        <w:rPr>
          <w:rFonts w:ascii="Arial" w:cs="Arial" w:eastAsia="Arial" w:hAnsi="Arial"/>
          <w:sz w:val="12"/>
          <w:szCs w:val="12"/>
          <w:u w:val="single" w:color="auto"/>
          <w:color w:val="auto"/>
        </w:rPr>
        <w:t>Condition Upon Surrender</w:t>
      </w:r>
      <w:r>
        <w:rPr>
          <w:rFonts w:ascii="Arial" w:cs="Arial" w:eastAsia="Arial" w:hAnsi="Arial"/>
          <w:sz w:val="12"/>
          <w:szCs w:val="12"/>
          <w:color w:val="auto"/>
        </w:rPr>
        <w:t>. At the expiration or sooner termination of this Lease, Tenant shall surrender the Property, including any additions, alterations and improvements thereto, broom clean, in good and sanitary order, condition and repair, ordinary wear and tear excepted, first, however, removing all goods and effects of Tenant and all and fixtures and items required to be removed pursuant to this Lease (including, but not limited to, any such removal required as a result of an election duly made by Landlord to require such removal as contemplated in Section 11.2), and repairing any damage caused by such removal. Tenant shall not have the right to remove fixtures or equipment if Tenant is in default hereunder unless Landlord specifically waives this provision in writing. Tenant expressly waives any and all interest in any personal property and trade fixtures not removed from the Property by Tenant at the expiration or termination of this Lease, agrees’ that any such personal property and trade fixtures may, at Landlord’s election, be deemed to have been abandoned by Tenant, and authorizes Landlord (at its election and without prejudice to any other remedies under this Lease or under applicable law) to remove and either retain, store or dispose of such property at Tenant’s cost and expense, and Tenant waives all claims against Landlord for any damages resulting from any such removal, storage, retention or disposal.</w:t>
      </w:r>
    </w:p>
    <w:p>
      <w:pPr>
        <w:spacing w:after="0" w:line="213" w:lineRule="exact"/>
        <w:rPr>
          <w:sz w:val="20"/>
          <w:szCs w:val="20"/>
          <w:color w:val="auto"/>
        </w:rPr>
      </w:pPr>
    </w:p>
    <w:p>
      <w:pPr>
        <w:ind w:left="5240" w:hanging="200"/>
        <w:spacing w:after="0"/>
        <w:tabs>
          <w:tab w:leader="none" w:pos="5240" w:val="left"/>
        </w:tabs>
        <w:numPr>
          <w:ilvl w:val="0"/>
          <w:numId w:val="326"/>
        </w:numPr>
        <w:rPr>
          <w:rFonts w:ascii="Arial" w:cs="Arial" w:eastAsia="Arial" w:hAnsi="Arial"/>
          <w:sz w:val="14"/>
          <w:szCs w:val="14"/>
          <w:color w:val="auto"/>
        </w:rPr>
      </w:pPr>
      <w:r>
        <w:rPr>
          <w:rFonts w:ascii="Arial" w:cs="Arial" w:eastAsia="Arial" w:hAnsi="Arial"/>
          <w:sz w:val="14"/>
          <w:szCs w:val="14"/>
          <w:u w:val="single" w:color="auto"/>
          <w:color w:val="auto"/>
        </w:rPr>
        <w:t>USE OF PROPERTY</w:t>
      </w:r>
    </w:p>
    <w:p>
      <w:pPr>
        <w:spacing w:after="0" w:line="132" w:lineRule="exact"/>
        <w:rPr>
          <w:sz w:val="20"/>
          <w:szCs w:val="20"/>
          <w:color w:val="auto"/>
        </w:rPr>
      </w:pPr>
    </w:p>
    <w:p>
      <w:pPr>
        <w:ind w:right="200" w:firstLine="458"/>
        <w:spacing w:after="0" w:line="255" w:lineRule="auto"/>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u w:val="single" w:color="auto"/>
          <w:color w:val="auto"/>
        </w:rPr>
        <w:t>Permitted Use</w:t>
      </w:r>
      <w:r>
        <w:rPr>
          <w:rFonts w:ascii="Arial" w:cs="Arial" w:eastAsia="Arial" w:hAnsi="Arial"/>
          <w:sz w:val="14"/>
          <w:szCs w:val="14"/>
          <w:color w:val="auto"/>
        </w:rPr>
        <w:t>. Subject to Sections 13.3 and 13.4 hereof, Tenant shall use the Property solely as a laboratory research and development facility, including (but not limited to) wet chemistry and biology labs, clean rooms, pilot scale, clinical scale and GMP scale manufacturing, storage and use of toxic and radioactive materials incidental to such research and development activities (subject to the provisions of Section 13.6 hereof), storage and use of laboratory animals, and other lawful purposes related to or incidental to such research and development use, and for no other purpose without Landlord’s written consent (not to be unreasonably withheld or delayed).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13.2 [Omitted.]</w:t>
      </w:r>
    </w:p>
    <w:p>
      <w:pPr>
        <w:spacing w:after="0" w:line="132" w:lineRule="exact"/>
        <w:rPr>
          <w:sz w:val="20"/>
          <w:szCs w:val="20"/>
          <w:color w:val="auto"/>
        </w:rPr>
      </w:pPr>
    </w:p>
    <w:p>
      <w:pPr>
        <w:ind w:right="80" w:firstLine="458"/>
        <w:spacing w:after="0" w:line="311" w:lineRule="auto"/>
        <w:rPr>
          <w:sz w:val="20"/>
          <w:szCs w:val="20"/>
          <w:color w:val="auto"/>
        </w:rPr>
      </w:pPr>
      <w:r>
        <w:rPr>
          <w:rFonts w:ascii="Arial" w:cs="Arial" w:eastAsia="Arial" w:hAnsi="Arial"/>
          <w:sz w:val="12"/>
          <w:szCs w:val="12"/>
          <w:color w:val="auto"/>
        </w:rPr>
        <w:t xml:space="preserve">13.3 </w:t>
      </w:r>
      <w:r>
        <w:rPr>
          <w:rFonts w:ascii="Arial" w:cs="Arial" w:eastAsia="Arial" w:hAnsi="Arial"/>
          <w:sz w:val="12"/>
          <w:szCs w:val="12"/>
          <w:u w:val="single" w:color="auto"/>
          <w:color w:val="auto"/>
        </w:rPr>
        <w:t>No Nuisance</w:t>
      </w:r>
      <w:r>
        <w:rPr>
          <w:rFonts w:ascii="Arial" w:cs="Arial" w:eastAsia="Arial" w:hAnsi="Arial"/>
          <w:sz w:val="12"/>
          <w:szCs w:val="12"/>
          <w:color w:val="auto"/>
        </w:rPr>
        <w:t>. Tenant shall not use the Property for or carry on or permit upon the Property or any part thereof any offensive, noisy or dangerous trade, business, manufacture, occupation, odor or fumes, or any nuisance or anything against public policy, nor interfere with the rights or business of Landlord in the Initial Building or the Property, nor commit or allow to be committed any waste in, on or about the Property. Tenant shall not do or permit anything to be done in or about the Property, nor bring nor keep anything therein, which will in any way cause the Property to be uninsurable with respect to the insurance required by this Lease or with respect to standard fire and extended coverage insurance with vandalism, malicious mischief and riot endorsements.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247" w:right="219" w:bottom="1440" w:gutter="0" w:footer="0" w:header="0"/>
        </w:sectPr>
      </w:pPr>
    </w:p>
    <w:bookmarkStart w:id="400" w:name="page401"/>
    <w:bookmarkEnd w:id="400"/>
    <w:p>
      <w:pPr>
        <w:ind w:firstLine="458"/>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13.4 </w:t>
      </w:r>
      <w:r>
        <w:rPr>
          <w:rFonts w:ascii="Arial" w:cs="Arial" w:eastAsia="Arial" w:hAnsi="Arial"/>
          <w:sz w:val="12"/>
          <w:szCs w:val="12"/>
          <w:u w:val="single" w:color="auto"/>
          <w:color w:val="auto"/>
        </w:rPr>
        <w:t>Compliance With Laws</w:t>
      </w:r>
      <w:r>
        <w:rPr>
          <w:rFonts w:ascii="Arial" w:cs="Arial" w:eastAsia="Arial" w:hAnsi="Arial"/>
          <w:sz w:val="12"/>
          <w:szCs w:val="12"/>
          <w:color w:val="auto"/>
        </w:rPr>
        <w:t>. Tenant shall not use the Property or permit the Property to be used in whole or in part for any purpose or use that is in violation of any applicable laws, ordinances, regulations or rules of any governmental agency or public authority. Tenant shall keep the Property equipped with all safety appliances required by law, ordinance or insurance on the Property, or any order or regulation of any public authority, because of Tenant’s particular use of the Property. Tenant shall procure all licenses and permits required for use of the Property. Tenant shall use the Property in strict accordance with all applicable ordinances, rules, laws and regulations and shall comply with all requirements of all governmental authorities now in force or which may hereafter be in force pertaining to the use of the Property by Tenant, including, without limitation, regulations applicable to noise, water, soil and air pollution, and making such nonstructural alterations and additions thereto as may be required from time to time by such laws, ordinances, rules, regulations and requirements of governmental authorities or insurers of the Property (collectively, “Requirements”) because of Tenant’s construction of improvements in or other particular use of the Property. Any structural alterations or additions required from time to time by applicable Requirements because of Tenant’s construction of improvements in or other particular use of the Property shall, at Landlord’s election, either (i) be made by Tenant, at Tenant’s sole cost and expense, in accordance with the procedures and standards set forth in Section 11.1 for alterations by Tenant, or</w:t>
      </w:r>
    </w:p>
    <w:p>
      <w:pPr>
        <w:ind w:right="20" w:firstLine="4"/>
        <w:spacing w:after="0" w:line="253" w:lineRule="auto"/>
        <w:tabs>
          <w:tab w:leader="none" w:pos="20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be made by Landlord at Tenant’s sole cost and expense, in which event Tenant shall pay to Landlord as additional rent, within ten (10) days after demand by Landlord, an amount equal to all reasonable costs incurred by Landlord in connection with such alterations or additions. The judgment of any court, or the admission by Tenant in any proceeding against Tenant, that Tenant has violated any law, statute, ordinance or governmental rule, regulation or requirement shall be conclusive of such violation as between Landlord and Tenant.</w:t>
      </w:r>
    </w:p>
    <w:p>
      <w:pPr>
        <w:spacing w:after="0" w:line="112" w:lineRule="exact"/>
        <w:rPr>
          <w:sz w:val="20"/>
          <w:szCs w:val="20"/>
          <w:color w:val="auto"/>
        </w:rPr>
      </w:pPr>
    </w:p>
    <w:p>
      <w:pPr>
        <w:ind w:right="380" w:firstLine="458"/>
        <w:spacing w:after="0" w:line="351" w:lineRule="auto"/>
        <w:rPr>
          <w:sz w:val="20"/>
          <w:szCs w:val="20"/>
          <w:color w:val="auto"/>
        </w:rPr>
      </w:pPr>
      <w:r>
        <w:rPr>
          <w:rFonts w:ascii="Arial" w:cs="Arial" w:eastAsia="Arial" w:hAnsi="Arial"/>
          <w:sz w:val="12"/>
          <w:szCs w:val="12"/>
          <w:color w:val="auto"/>
        </w:rPr>
        <w:t xml:space="preserve">13.5 </w:t>
      </w:r>
      <w:r>
        <w:rPr>
          <w:rFonts w:ascii="Arial" w:cs="Arial" w:eastAsia="Arial" w:hAnsi="Arial"/>
          <w:sz w:val="12"/>
          <w:szCs w:val="12"/>
          <w:u w:val="single" w:color="auto"/>
          <w:color w:val="auto"/>
        </w:rPr>
        <w:t>Liquidation Sales</w:t>
      </w:r>
      <w:r>
        <w:rPr>
          <w:rFonts w:ascii="Arial" w:cs="Arial" w:eastAsia="Arial" w:hAnsi="Arial"/>
          <w:sz w:val="12"/>
          <w:szCs w:val="12"/>
          <w:color w:val="auto"/>
        </w:rPr>
        <w:t>. Tenant shall not conduct or permit to be conducted any auction, bankruptcy sale, liquidation sale, or going out of business sale, in, upon or about the Property, whether said auction or sale be voluntary, involuntary or pursuant to any assignment for the benefit of creditors, or pursuant to any bankruptcy or other insolvency proceeding.</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13.6 </w:t>
      </w:r>
      <w:r>
        <w:rPr>
          <w:rFonts w:ascii="Arial" w:cs="Arial" w:eastAsia="Arial" w:hAnsi="Arial"/>
          <w:sz w:val="14"/>
          <w:szCs w:val="14"/>
          <w:u w:val="single" w:color="auto"/>
          <w:color w:val="auto"/>
        </w:rPr>
        <w:t>Environmental Matters</w:t>
      </w:r>
      <w:r>
        <w:rPr>
          <w:rFonts w:ascii="Arial" w:cs="Arial" w:eastAsia="Arial" w:hAnsi="Arial"/>
          <w:sz w:val="14"/>
          <w:szCs w:val="14"/>
          <w:color w:val="auto"/>
        </w:rPr>
        <w:t>.</w:t>
      </w:r>
    </w:p>
    <w:p>
      <w:pPr>
        <w:spacing w:after="0" w:line="132" w:lineRule="exact"/>
        <w:rPr>
          <w:sz w:val="20"/>
          <w:szCs w:val="20"/>
          <w:color w:val="auto"/>
        </w:rPr>
      </w:pPr>
    </w:p>
    <w:p>
      <w:pPr>
        <w:ind w:right="20" w:firstLine="920"/>
        <w:spacing w:after="0" w:line="292" w:lineRule="auto"/>
        <w:tabs>
          <w:tab w:leader="none" w:pos="1101" w:val="left"/>
        </w:tabs>
        <w:numPr>
          <w:ilvl w:val="1"/>
          <w:numId w:val="328"/>
        </w:numPr>
        <w:rPr>
          <w:rFonts w:ascii="Arial" w:cs="Arial" w:eastAsia="Arial" w:hAnsi="Arial"/>
          <w:sz w:val="12"/>
          <w:szCs w:val="12"/>
          <w:color w:val="auto"/>
        </w:rPr>
      </w:pPr>
      <w:r>
        <w:rPr>
          <w:rFonts w:ascii="Arial" w:cs="Arial" w:eastAsia="Arial" w:hAnsi="Arial"/>
          <w:sz w:val="12"/>
          <w:szCs w:val="12"/>
          <w:color w:val="auto"/>
        </w:rPr>
        <w:t xml:space="preserve">For purposes of this Section, “hazardous substance” shall mean the substances included within the definitions of the term “hazardous substance” under (i) the Comprehensive Environmental Response, Compensation and Liability Act of 1980, as amended, 42 U.S.C. §§ 9601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and the regulations promulgated thereunder, as amended, (ii) the California Carpenter-Presley-Tanner Hazardous Substance Account Act, California Health &amp; Safety Code §§ 25300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and regulations promulgated thereunder, as amended, (iii) the Hazardous Materials Release Response Plans and Inventory Act, California Health &amp; Safety Code §§ 25500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and regulations promulgated thereunder, as amended, and (iv) petroleum; “hazardous waste” shall mean (i) any waste listed as or meeting the identified characteristics of a “hazardous waste” under the Resource Conservation and Recovery Act of 1976, 42 U.S.C. §§ 6901 </w:t>
      </w:r>
      <w:r>
        <w:rPr>
          <w:rFonts w:ascii="Arial" w:cs="Arial" w:eastAsia="Arial" w:hAnsi="Arial"/>
          <w:sz w:val="12"/>
          <w:szCs w:val="12"/>
          <w:u w:val="single" w:color="auto"/>
          <w:color w:val="auto"/>
        </w:rPr>
        <w:t>et seq</w:t>
      </w:r>
      <w:r>
        <w:rPr>
          <w:rFonts w:ascii="Arial" w:cs="Arial" w:eastAsia="Arial" w:hAnsi="Arial"/>
          <w:sz w:val="12"/>
          <w:szCs w:val="12"/>
          <w:color w:val="auto"/>
        </w:rPr>
        <w:t>., and regulations promulgated pursuant thereto, as amended (collectively, “RCRA”),</w:t>
      </w:r>
    </w:p>
    <w:p>
      <w:pPr>
        <w:spacing w:after="0" w:line="2" w:lineRule="exact"/>
        <w:rPr>
          <w:rFonts w:ascii="Arial" w:cs="Arial" w:eastAsia="Arial" w:hAnsi="Arial"/>
          <w:sz w:val="12"/>
          <w:szCs w:val="12"/>
          <w:color w:val="auto"/>
        </w:rPr>
      </w:pPr>
    </w:p>
    <w:p>
      <w:pPr>
        <w:ind w:right="100" w:firstLine="4"/>
        <w:spacing w:after="0" w:line="316" w:lineRule="auto"/>
        <w:tabs>
          <w:tab w:leader="none" w:pos="200" w:val="left"/>
        </w:tabs>
        <w:numPr>
          <w:ilvl w:val="0"/>
          <w:numId w:val="329"/>
        </w:numPr>
        <w:rPr>
          <w:rFonts w:ascii="Arial" w:cs="Arial" w:eastAsia="Arial" w:hAnsi="Arial"/>
          <w:sz w:val="12"/>
          <w:szCs w:val="12"/>
          <w:color w:val="auto"/>
        </w:rPr>
      </w:pPr>
      <w:r>
        <w:rPr>
          <w:rFonts w:ascii="Arial" w:cs="Arial" w:eastAsia="Arial" w:hAnsi="Arial"/>
          <w:sz w:val="12"/>
          <w:szCs w:val="12"/>
          <w:color w:val="auto"/>
        </w:rPr>
        <w:t xml:space="preserve">any waste meeting the identified characteristics of “hazardous waste,” “extremely hazardous waste” or “restricted hazardous waste” under the California Hazardous Waste Control Law, California Health </w:t>
      </w:r>
      <w:r>
        <w:rPr>
          <w:rFonts w:ascii="Arial" w:cs="Arial" w:eastAsia="Arial" w:hAnsi="Arial"/>
          <w:sz w:val="12"/>
          <w:szCs w:val="12"/>
          <w:i w:val="1"/>
          <w:iCs w:val="1"/>
          <w:color w:val="auto"/>
        </w:rPr>
        <w:t>&amp;</w:t>
      </w:r>
      <w:r>
        <w:rPr>
          <w:rFonts w:ascii="Arial" w:cs="Arial" w:eastAsia="Arial" w:hAnsi="Arial"/>
          <w:sz w:val="12"/>
          <w:szCs w:val="12"/>
          <w:color w:val="auto"/>
        </w:rPr>
        <w:t xml:space="preserve"> Safety Code §§ 25100 </w:t>
      </w:r>
      <w:r>
        <w:rPr>
          <w:rFonts w:ascii="Arial" w:cs="Arial" w:eastAsia="Arial" w:hAnsi="Arial"/>
          <w:sz w:val="12"/>
          <w:szCs w:val="12"/>
          <w:u w:val="single" w:color="auto"/>
          <w:color w:val="auto"/>
        </w:rPr>
        <w:t>et seq</w:t>
      </w:r>
      <w:r>
        <w:rPr>
          <w:rFonts w:ascii="Arial" w:cs="Arial" w:eastAsia="Arial" w:hAnsi="Arial"/>
          <w:sz w:val="12"/>
          <w:szCs w:val="12"/>
          <w:color w:val="auto"/>
        </w:rPr>
        <w:t>., and regulations promulgated pursuant thereto, as amended (collectively, the “CHWCL”), and/or (iii) any waste meeting the identified characteristics of “medical waste” under California Health &amp; Safety Code §§ 25015-25027.8, and regulations promulgated thereunder, as amended; and “hazardous waste facility” shall mean a hazardous waste facility as defined under the CHWCL.</w:t>
      </w:r>
    </w:p>
    <w:p>
      <w:pPr>
        <w:spacing w:after="0" w:line="75" w:lineRule="exact"/>
        <w:rPr>
          <w:rFonts w:ascii="Arial" w:cs="Arial" w:eastAsia="Arial" w:hAnsi="Arial"/>
          <w:sz w:val="12"/>
          <w:szCs w:val="12"/>
          <w:color w:val="auto"/>
        </w:rPr>
      </w:pPr>
    </w:p>
    <w:p>
      <w:pPr>
        <w:ind w:left="1120" w:hanging="200"/>
        <w:spacing w:after="0"/>
        <w:tabs>
          <w:tab w:leader="none" w:pos="1120" w:val="left"/>
        </w:tabs>
        <w:numPr>
          <w:ilvl w:val="1"/>
          <w:numId w:val="329"/>
        </w:numPr>
        <w:rPr>
          <w:rFonts w:ascii="Arial" w:cs="Arial" w:eastAsia="Arial" w:hAnsi="Arial"/>
          <w:sz w:val="14"/>
          <w:szCs w:val="14"/>
          <w:color w:val="auto"/>
        </w:rPr>
      </w:pPr>
      <w:r>
        <w:rPr>
          <w:rFonts w:ascii="Arial" w:cs="Arial" w:eastAsia="Arial" w:hAnsi="Arial"/>
          <w:sz w:val="14"/>
          <w:szCs w:val="14"/>
          <w:color w:val="auto"/>
        </w:rPr>
        <w:t>Without limiting the generality of the obligations set forth in Section 13.4 of this Lease:</w:t>
      </w:r>
    </w:p>
    <w:p>
      <w:pPr>
        <w:spacing w:after="0" w:line="131" w:lineRule="exact"/>
        <w:rPr>
          <w:rFonts w:ascii="Arial" w:cs="Arial" w:eastAsia="Arial" w:hAnsi="Arial"/>
          <w:sz w:val="14"/>
          <w:szCs w:val="14"/>
          <w:color w:val="auto"/>
        </w:rPr>
      </w:pPr>
    </w:p>
    <w:p>
      <w:pPr>
        <w:ind w:firstLine="1493"/>
        <w:spacing w:after="0" w:line="255" w:lineRule="auto"/>
        <w:tabs>
          <w:tab w:leader="none" w:pos="1652" w:val="left"/>
        </w:tabs>
        <w:numPr>
          <w:ilvl w:val="2"/>
          <w:numId w:val="329"/>
        </w:numPr>
        <w:rPr>
          <w:rFonts w:ascii="Arial" w:cs="Arial" w:eastAsia="Arial" w:hAnsi="Arial"/>
          <w:sz w:val="14"/>
          <w:szCs w:val="14"/>
          <w:color w:val="auto"/>
        </w:rPr>
      </w:pPr>
      <w:r>
        <w:rPr>
          <w:rFonts w:ascii="Arial" w:cs="Arial" w:eastAsia="Arial" w:hAnsi="Arial"/>
          <w:sz w:val="14"/>
          <w:szCs w:val="14"/>
          <w:color w:val="auto"/>
        </w:rPr>
        <w:t>Tenant covenants not to cause or permit any hazardous substance or hazardous waste to be brought upon, kept, stored or used in or about the Property without the prior written consent of Landlord, which consent shall not be unreasonably withheld or delayed, except that Tenant, in connection with its permitted use of the Property as provided in Section 13.1, may keep, store and use materials that constitute hazardous substances which are customary for such permitted use, provided such hazardous substances are kept, stored and used in quantities which are customary for such permitted use and are kept, stored and used in full compliance with clauses (ii) and (iii) immediately below.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247" w:right="239" w:bottom="1440" w:gutter="0" w:footer="0" w:header="0"/>
        </w:sectPr>
      </w:pPr>
    </w:p>
    <w:bookmarkStart w:id="401" w:name="page402"/>
    <w:bookmarkEnd w:id="401"/>
    <w:p>
      <w:pPr>
        <w:ind w:right="140" w:firstLine="1493"/>
        <w:spacing w:after="0" w:line="321" w:lineRule="auto"/>
        <w:tabs>
          <w:tab w:leader="none" w:pos="1690" w:val="left"/>
        </w:tabs>
        <w:numPr>
          <w:ilvl w:val="0"/>
          <w:numId w:val="33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Tenant covenants that it will comply with all applicable laws, rules, regulations, orders, permits, licenses and operating plans of any governmental authority with respect to the receipt, use, handling, generation, transportation, storage, treatment and/or disposal of hazardous substances or wastes by Tenant or its agents or employees, and Tenant will provide Landlord with copies of all permits, licenses, registrations and other similar documents that authorize Tenant to conduct any such activities in connection with its authorized use of the Property from time to time.</w:t>
      </w:r>
    </w:p>
    <w:p>
      <w:pPr>
        <w:spacing w:after="0" w:line="73" w:lineRule="exact"/>
        <w:rPr>
          <w:rFonts w:ascii="Arial" w:cs="Arial" w:eastAsia="Arial" w:hAnsi="Arial"/>
          <w:sz w:val="12"/>
          <w:szCs w:val="12"/>
          <w:color w:val="auto"/>
        </w:rPr>
      </w:pPr>
    </w:p>
    <w:p>
      <w:pPr>
        <w:ind w:firstLine="1493"/>
        <w:spacing w:after="0" w:line="321" w:lineRule="auto"/>
        <w:tabs>
          <w:tab w:leader="none" w:pos="1728" w:val="left"/>
        </w:tabs>
        <w:numPr>
          <w:ilvl w:val="0"/>
          <w:numId w:val="330"/>
        </w:numPr>
        <w:rPr>
          <w:rFonts w:ascii="Arial" w:cs="Arial" w:eastAsia="Arial" w:hAnsi="Arial"/>
          <w:sz w:val="12"/>
          <w:szCs w:val="12"/>
          <w:color w:val="auto"/>
        </w:rPr>
      </w:pPr>
      <w:r>
        <w:rPr>
          <w:rFonts w:ascii="Arial" w:cs="Arial" w:eastAsia="Arial" w:hAnsi="Arial"/>
          <w:sz w:val="12"/>
          <w:szCs w:val="12"/>
          <w:color w:val="auto"/>
        </w:rPr>
        <w:t>Tenant agrees that it shall not (A) operate on or about the Property any facility required to be permitted or licensed as a hazardous waste facility or for which interim status as such is required, nor (B) store any hazardous wastes on or about the Property for ninety (90) days or more, nor (C) conduct any other activities on or about the Property that could result in the Property being deemed to be a “hazardous waste facility” (including, but not limited to, any storage or treatment of hazardous substances or hazardous wastes which could have such a result).</w:t>
      </w:r>
    </w:p>
    <w:p>
      <w:pPr>
        <w:spacing w:after="0" w:line="73" w:lineRule="exact"/>
        <w:rPr>
          <w:rFonts w:ascii="Arial" w:cs="Arial" w:eastAsia="Arial" w:hAnsi="Arial"/>
          <w:sz w:val="12"/>
          <w:szCs w:val="12"/>
          <w:color w:val="auto"/>
        </w:rPr>
      </w:pPr>
    </w:p>
    <w:p>
      <w:pPr>
        <w:ind w:right="200" w:firstLine="1493"/>
        <w:spacing w:after="0" w:line="255" w:lineRule="auto"/>
        <w:tabs>
          <w:tab w:leader="none" w:pos="1720" w:val="left"/>
        </w:tabs>
        <w:numPr>
          <w:ilvl w:val="0"/>
          <w:numId w:val="330"/>
        </w:numPr>
        <w:rPr>
          <w:rFonts w:ascii="Arial" w:cs="Arial" w:eastAsia="Arial" w:hAnsi="Arial"/>
          <w:sz w:val="14"/>
          <w:szCs w:val="14"/>
          <w:color w:val="auto"/>
        </w:rPr>
      </w:pPr>
      <w:r>
        <w:rPr>
          <w:rFonts w:ascii="Arial" w:cs="Arial" w:eastAsia="Arial" w:hAnsi="Arial"/>
          <w:sz w:val="14"/>
          <w:szCs w:val="14"/>
          <w:color w:val="auto"/>
        </w:rPr>
        <w:t xml:space="preserve">Tenant agrees to comply with all applicable laws, rules, regulations, orders and permits relating to underground storage tanks installed by Tenant or its agents or employees (including any installation, monitoring, maintenance, closure and/or removal of such tanks) as such tanks are defined in California Health </w:t>
      </w:r>
      <w:r>
        <w:rPr>
          <w:rFonts w:ascii="Arial" w:cs="Arial" w:eastAsia="Arial" w:hAnsi="Arial"/>
          <w:sz w:val="14"/>
          <w:szCs w:val="14"/>
          <w:i w:val="1"/>
          <w:iCs w:val="1"/>
          <w:color w:val="auto"/>
        </w:rPr>
        <w:t>&amp;</w:t>
      </w:r>
      <w:r>
        <w:rPr>
          <w:rFonts w:ascii="Arial" w:cs="Arial" w:eastAsia="Arial" w:hAnsi="Arial"/>
          <w:sz w:val="14"/>
          <w:szCs w:val="14"/>
          <w:color w:val="auto"/>
        </w:rPr>
        <w:t xml:space="preserve"> Safety Code § 25281(x), including, without limitation, complying with California Health &amp; Safety Code § 25280-25299.7 and the regulations promulgated thereunder, as amended. Tenant shall furnish to Landlord copies of all registrations and permits issued to or held by Tenant from time to time for any and all underground storage tanks.</w:t>
      </w:r>
    </w:p>
    <w:p>
      <w:pPr>
        <w:spacing w:after="0" w:line="109" w:lineRule="exact"/>
        <w:rPr>
          <w:rFonts w:ascii="Arial" w:cs="Arial" w:eastAsia="Arial" w:hAnsi="Arial"/>
          <w:sz w:val="14"/>
          <w:szCs w:val="14"/>
          <w:color w:val="auto"/>
        </w:rPr>
      </w:pPr>
    </w:p>
    <w:p>
      <w:pPr>
        <w:ind w:right="120" w:firstLine="1493"/>
        <w:spacing w:after="0" w:line="311" w:lineRule="auto"/>
        <w:tabs>
          <w:tab w:leader="none" w:pos="1682" w:val="left"/>
        </w:tabs>
        <w:numPr>
          <w:ilvl w:val="0"/>
          <w:numId w:val="330"/>
        </w:numPr>
        <w:rPr>
          <w:rFonts w:ascii="Arial" w:cs="Arial" w:eastAsia="Arial" w:hAnsi="Arial"/>
          <w:sz w:val="12"/>
          <w:szCs w:val="12"/>
          <w:color w:val="auto"/>
        </w:rPr>
      </w:pPr>
      <w:r>
        <w:rPr>
          <w:rFonts w:ascii="Arial" w:cs="Arial" w:eastAsia="Arial" w:hAnsi="Arial"/>
          <w:sz w:val="12"/>
          <w:szCs w:val="12"/>
          <w:color w:val="auto"/>
        </w:rPr>
        <w:t>If applicable, Tenant shall provide Landlord in writing the following information and/or documentation at the commencement of this Lease and within sixty (60) days of any change in or addition to the required information and/or documentation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in the case of the materials described in subparagraphs (B), (C) and (E) below, Tenant shall not be required to deliver copies of such materials to Landlord but shall maintain copies of such materials to such extent and for such periods as may be required by applicable law and shall permit Landlord or its representatives to inspect such materials during normal business hours at any time and from time to time upon reasonable notice to Tenant):</w:t>
      </w:r>
    </w:p>
    <w:p>
      <w:pPr>
        <w:spacing w:after="0" w:line="78" w:lineRule="exact"/>
        <w:rPr>
          <w:rFonts w:ascii="Arial" w:cs="Arial" w:eastAsia="Arial" w:hAnsi="Arial"/>
          <w:sz w:val="12"/>
          <w:szCs w:val="12"/>
          <w:color w:val="auto"/>
        </w:rPr>
      </w:pPr>
    </w:p>
    <w:p>
      <w:pPr>
        <w:ind w:left="2180" w:hanging="228"/>
        <w:spacing w:after="0"/>
        <w:tabs>
          <w:tab w:leader="none" w:pos="2180" w:val="left"/>
        </w:tabs>
        <w:numPr>
          <w:ilvl w:val="1"/>
          <w:numId w:val="330"/>
        </w:numPr>
        <w:rPr>
          <w:rFonts w:ascii="Arial" w:cs="Arial" w:eastAsia="Arial" w:hAnsi="Arial"/>
          <w:sz w:val="12"/>
          <w:szCs w:val="12"/>
          <w:color w:val="auto"/>
        </w:rPr>
      </w:pPr>
      <w:r>
        <w:rPr>
          <w:rFonts w:ascii="Arial" w:cs="Arial" w:eastAsia="Arial" w:hAnsi="Arial"/>
          <w:sz w:val="12"/>
          <w:szCs w:val="12"/>
          <w:color w:val="auto"/>
        </w:rPr>
        <w:t>A list of all hazardous substances and/or wastes that Tenant receives, uses, handles, generates, transports, stores, treats or disposes of from time to time in connection with</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its operations on the Property.</w:t>
      </w:r>
    </w:p>
    <w:p>
      <w:pPr>
        <w:spacing w:after="0" w:line="125" w:lineRule="exact"/>
        <w:rPr>
          <w:rFonts w:ascii="Arial" w:cs="Arial" w:eastAsia="Arial" w:hAnsi="Arial"/>
          <w:sz w:val="12"/>
          <w:szCs w:val="12"/>
          <w:color w:val="auto"/>
        </w:rPr>
      </w:pPr>
    </w:p>
    <w:p>
      <w:pPr>
        <w:ind w:right="180" w:firstLine="1952"/>
        <w:spacing w:after="0" w:line="351" w:lineRule="auto"/>
        <w:tabs>
          <w:tab w:leader="none" w:pos="2163" w:val="left"/>
        </w:tabs>
        <w:numPr>
          <w:ilvl w:val="1"/>
          <w:numId w:val="330"/>
        </w:numPr>
        <w:rPr>
          <w:rFonts w:ascii="Arial" w:cs="Arial" w:eastAsia="Arial" w:hAnsi="Arial"/>
          <w:sz w:val="12"/>
          <w:szCs w:val="12"/>
          <w:color w:val="auto"/>
        </w:rPr>
      </w:pPr>
      <w:r>
        <w:rPr>
          <w:rFonts w:ascii="Arial" w:cs="Arial" w:eastAsia="Arial" w:hAnsi="Arial"/>
          <w:sz w:val="12"/>
          <w:szCs w:val="12"/>
          <w:color w:val="auto"/>
        </w:rPr>
        <w:t>All Material Safety Data Sheets (“MSDS’s”), if any, required to be completed with respect to operations of Tenant at the Property from time to time in accordance with Title 26, California Code of Regulations § 8-5194 or 42 U.S.C. § 11021, or any amendments thereto, and any Hazardous Materials Inventory Sheets that detail the MSDS’s.</w:t>
      </w:r>
    </w:p>
    <w:p>
      <w:pPr>
        <w:spacing w:after="0" w:line="56" w:lineRule="exact"/>
        <w:rPr>
          <w:rFonts w:ascii="Arial" w:cs="Arial" w:eastAsia="Arial" w:hAnsi="Arial"/>
          <w:sz w:val="12"/>
          <w:szCs w:val="12"/>
          <w:color w:val="auto"/>
        </w:rPr>
      </w:pPr>
    </w:p>
    <w:p>
      <w:pPr>
        <w:ind w:right="460" w:firstLine="1952"/>
        <w:spacing w:after="0" w:line="267" w:lineRule="auto"/>
        <w:tabs>
          <w:tab w:leader="none" w:pos="2163" w:val="left"/>
        </w:tabs>
        <w:numPr>
          <w:ilvl w:val="1"/>
          <w:numId w:val="330"/>
        </w:numPr>
        <w:rPr>
          <w:rFonts w:ascii="Arial" w:cs="Arial" w:eastAsia="Arial" w:hAnsi="Arial"/>
          <w:sz w:val="14"/>
          <w:szCs w:val="14"/>
          <w:color w:val="auto"/>
        </w:rPr>
      </w:pPr>
      <w:r>
        <w:rPr>
          <w:rFonts w:ascii="Arial" w:cs="Arial" w:eastAsia="Arial" w:hAnsi="Arial"/>
          <w:sz w:val="14"/>
          <w:szCs w:val="14"/>
          <w:color w:val="auto"/>
        </w:rPr>
        <w:t>All hazardous waste manifests (as defined in Title 26, California Code of Regulations § 22-66481), if any, that Tenant is required to complete from time to time in connection with its operations at the Property.</w:t>
      </w:r>
    </w:p>
    <w:p>
      <w:pPr>
        <w:spacing w:after="0" w:line="101" w:lineRule="exact"/>
        <w:rPr>
          <w:rFonts w:ascii="Arial" w:cs="Arial" w:eastAsia="Arial" w:hAnsi="Arial"/>
          <w:sz w:val="14"/>
          <w:szCs w:val="14"/>
          <w:color w:val="auto"/>
        </w:rPr>
      </w:pPr>
    </w:p>
    <w:p>
      <w:pPr>
        <w:ind w:right="300" w:firstLine="1952"/>
        <w:spacing w:after="0" w:line="267" w:lineRule="auto"/>
        <w:tabs>
          <w:tab w:leader="none" w:pos="2171" w:val="left"/>
        </w:tabs>
        <w:numPr>
          <w:ilvl w:val="1"/>
          <w:numId w:val="330"/>
        </w:numPr>
        <w:rPr>
          <w:rFonts w:ascii="Arial" w:cs="Arial" w:eastAsia="Arial" w:hAnsi="Arial"/>
          <w:sz w:val="14"/>
          <w:szCs w:val="14"/>
          <w:color w:val="auto"/>
        </w:rPr>
      </w:pPr>
      <w:r>
        <w:rPr>
          <w:rFonts w:ascii="Arial" w:cs="Arial" w:eastAsia="Arial" w:hAnsi="Arial"/>
          <w:sz w:val="14"/>
          <w:szCs w:val="14"/>
          <w:color w:val="auto"/>
        </w:rPr>
        <w:t xml:space="preserve">A copy of any Hazardous Materials Management Plan required from time to time with respect to Tenant’s operations at the Property, pursuant to California Health &amp; Safety Code §§ 25500 </w:t>
      </w:r>
      <w:r>
        <w:rPr>
          <w:rFonts w:ascii="Arial" w:cs="Arial" w:eastAsia="Arial" w:hAnsi="Arial"/>
          <w:sz w:val="14"/>
          <w:szCs w:val="14"/>
          <w:u w:val="single" w:color="auto"/>
          <w:color w:val="auto"/>
        </w:rPr>
        <w:t>et seq</w:t>
      </w:r>
      <w:r>
        <w:rPr>
          <w:rFonts w:ascii="Arial" w:cs="Arial" w:eastAsia="Arial" w:hAnsi="Arial"/>
          <w:sz w:val="14"/>
          <w:szCs w:val="14"/>
          <w:color w:val="auto"/>
        </w:rPr>
        <w:t>., and any regulations promulgated thereunder, as amended.</w:t>
      </w:r>
    </w:p>
    <w:p>
      <w:pPr>
        <w:spacing w:after="0" w:line="101" w:lineRule="exact"/>
        <w:rPr>
          <w:rFonts w:ascii="Arial" w:cs="Arial" w:eastAsia="Arial" w:hAnsi="Arial"/>
          <w:sz w:val="14"/>
          <w:szCs w:val="14"/>
          <w:color w:val="auto"/>
        </w:rPr>
      </w:pPr>
    </w:p>
    <w:p>
      <w:pPr>
        <w:ind w:right="200" w:firstLine="1952"/>
        <w:spacing w:after="0" w:line="258" w:lineRule="auto"/>
        <w:tabs>
          <w:tab w:leader="none" w:pos="2156" w:val="left"/>
        </w:tabs>
        <w:numPr>
          <w:ilvl w:val="1"/>
          <w:numId w:val="330"/>
        </w:numPr>
        <w:rPr>
          <w:rFonts w:ascii="Arial" w:cs="Arial" w:eastAsia="Arial" w:hAnsi="Arial"/>
          <w:sz w:val="14"/>
          <w:szCs w:val="14"/>
          <w:color w:val="auto"/>
        </w:rPr>
      </w:pPr>
      <w:r>
        <w:rPr>
          <w:rFonts w:ascii="Arial" w:cs="Arial" w:eastAsia="Arial" w:hAnsi="Arial"/>
          <w:sz w:val="14"/>
          <w:szCs w:val="14"/>
          <w:color w:val="auto"/>
        </w:rPr>
        <w:t xml:space="preserve">Copies of any Contingency Plans and Emergency Procedures required of Tenant from time to time due to its operations in accordance with Title 26, California Code of Regulations §§ 22-67140 </w:t>
      </w:r>
      <w:r>
        <w:rPr>
          <w:rFonts w:ascii="Arial" w:cs="Arial" w:eastAsia="Arial" w:hAnsi="Arial"/>
          <w:sz w:val="14"/>
          <w:szCs w:val="14"/>
          <w:u w:val="single" w:color="auto"/>
          <w:color w:val="auto"/>
        </w:rPr>
        <w:t>et seq.</w:t>
      </w:r>
      <w:r>
        <w:rPr>
          <w:rFonts w:ascii="Arial" w:cs="Arial" w:eastAsia="Arial" w:hAnsi="Arial"/>
          <w:sz w:val="14"/>
          <w:szCs w:val="14"/>
          <w:color w:val="auto"/>
        </w:rPr>
        <w:t>, and any amendments thereto, and copies of any Training Programs and Records required under Title 26, California Code of Regulations, § 22-67105, and any amendments thereto.</w:t>
      </w:r>
    </w:p>
    <w:p>
      <w:pPr>
        <w:spacing w:after="0" w:line="107" w:lineRule="exact"/>
        <w:rPr>
          <w:rFonts w:ascii="Arial" w:cs="Arial" w:eastAsia="Arial" w:hAnsi="Arial"/>
          <w:sz w:val="14"/>
          <w:szCs w:val="14"/>
          <w:color w:val="auto"/>
        </w:rPr>
      </w:pPr>
    </w:p>
    <w:p>
      <w:pPr>
        <w:ind w:right="320" w:firstLine="1952"/>
        <w:spacing w:after="0" w:line="267" w:lineRule="auto"/>
        <w:tabs>
          <w:tab w:leader="none" w:pos="2148" w:val="left"/>
        </w:tabs>
        <w:numPr>
          <w:ilvl w:val="1"/>
          <w:numId w:val="330"/>
        </w:numPr>
        <w:rPr>
          <w:rFonts w:ascii="Arial" w:cs="Arial" w:eastAsia="Arial" w:hAnsi="Arial"/>
          <w:sz w:val="14"/>
          <w:szCs w:val="14"/>
          <w:color w:val="auto"/>
        </w:rPr>
      </w:pPr>
      <w:r>
        <w:rPr>
          <w:rFonts w:ascii="Arial" w:cs="Arial" w:eastAsia="Arial" w:hAnsi="Arial"/>
          <w:sz w:val="14"/>
          <w:szCs w:val="14"/>
          <w:color w:val="auto"/>
        </w:rPr>
        <w:t>Copies of any biennial reports required to be furnished to the California Department of Health Services from time to time relating to hazardous substances or wastes, pursuant to Title 26, California Code of Regulations, § 22-66493, and any amendments thereto.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40"/>
          </w:cols>
          <w:pgMar w:left="220" w:top="247" w:right="239" w:bottom="1440" w:gutter="0" w:footer="0" w:header="0"/>
        </w:sectPr>
      </w:pPr>
    </w:p>
    <w:bookmarkStart w:id="402" w:name="page403"/>
    <w:bookmarkEnd w:id="402"/>
    <w:p>
      <w:pPr>
        <w:ind w:left="2100" w:hanging="228"/>
        <w:spacing w:after="0"/>
        <w:tabs>
          <w:tab w:leader="none" w:pos="2100" w:val="left"/>
        </w:tabs>
        <w:numPr>
          <w:ilvl w:val="1"/>
          <w:numId w:val="33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Copies of all industrial wastewater discharge permits issued to or held by Tenant from time to time in connection with its operations on the Property.</w:t>
      </w:r>
    </w:p>
    <w:p>
      <w:pPr>
        <w:spacing w:after="0" w:line="131" w:lineRule="exact"/>
        <w:rPr>
          <w:rFonts w:ascii="Arial" w:cs="Arial" w:eastAsia="Arial" w:hAnsi="Arial"/>
          <w:sz w:val="14"/>
          <w:szCs w:val="14"/>
          <w:color w:val="auto"/>
        </w:rPr>
      </w:pPr>
    </w:p>
    <w:p>
      <w:pPr>
        <w:ind w:left="-80" w:right="100" w:firstLine="1952"/>
        <w:spacing w:after="0" w:line="267" w:lineRule="auto"/>
        <w:tabs>
          <w:tab w:leader="none" w:pos="2091" w:val="left"/>
        </w:tabs>
        <w:numPr>
          <w:ilvl w:val="1"/>
          <w:numId w:val="331"/>
        </w:numPr>
        <w:rPr>
          <w:rFonts w:ascii="Arial" w:cs="Arial" w:eastAsia="Arial" w:hAnsi="Arial"/>
          <w:sz w:val="14"/>
          <w:szCs w:val="14"/>
          <w:color w:val="auto"/>
        </w:rPr>
      </w:pPr>
      <w:r>
        <w:rPr>
          <w:rFonts w:ascii="Arial" w:cs="Arial" w:eastAsia="Arial" w:hAnsi="Arial"/>
          <w:sz w:val="14"/>
          <w:szCs w:val="14"/>
          <w:color w:val="auto"/>
        </w:rPr>
        <w:t>Copies of any other lists or inventories of hazardous substances and/or wastes on or about the Property that Tenant is otherwise required to prepare and file from time to time with any governmental or regulatory authority.</w:t>
      </w:r>
    </w:p>
    <w:p>
      <w:pPr>
        <w:spacing w:after="0" w:line="101" w:lineRule="exact"/>
        <w:rPr>
          <w:rFonts w:ascii="Arial" w:cs="Arial" w:eastAsia="Arial" w:hAnsi="Arial"/>
          <w:sz w:val="14"/>
          <w:szCs w:val="14"/>
          <w:color w:val="auto"/>
        </w:rPr>
      </w:pPr>
    </w:p>
    <w:p>
      <w:pPr>
        <w:ind w:left="-80" w:right="160" w:firstLine="1493"/>
        <w:spacing w:after="0" w:line="311" w:lineRule="auto"/>
        <w:tabs>
          <w:tab w:leader="none" w:pos="1640" w:val="left"/>
        </w:tabs>
        <w:numPr>
          <w:ilvl w:val="0"/>
          <w:numId w:val="332"/>
        </w:numPr>
        <w:rPr>
          <w:rFonts w:ascii="Arial" w:cs="Arial" w:eastAsia="Arial" w:hAnsi="Arial"/>
          <w:sz w:val="12"/>
          <w:szCs w:val="12"/>
          <w:color w:val="auto"/>
        </w:rPr>
      </w:pPr>
      <w:r>
        <w:rPr>
          <w:rFonts w:ascii="Arial" w:cs="Arial" w:eastAsia="Arial" w:hAnsi="Arial"/>
          <w:sz w:val="12"/>
          <w:szCs w:val="12"/>
          <w:color w:val="auto"/>
        </w:rPr>
        <w:t xml:space="preserve">Tenant shall secure Landlord’s prior written approval for any proposed receipt, storage, possession, use, transfer or disposal of “radioactive materials” or “radiation,” as such materials are defined in Title 26, California Code of Regulations §17-30100, and/or any other materials possessing the characteristics of the materials so defined, which approval Landlord may withhold in its sole and absolute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approval shall not be required for any radioactive materials for which Tenant has secured prior written approval of the Nuclear Regulatory Commission and delivered to Landlord a copy of such approval. Tenant, in connection with any such authorized receipt, storage, possession, use, transfer or disposal of radioactive materials or radiation, shall:</w:t>
      </w:r>
    </w:p>
    <w:p>
      <w:pPr>
        <w:spacing w:after="0" w:line="78" w:lineRule="exact"/>
        <w:rPr>
          <w:rFonts w:ascii="Arial" w:cs="Arial" w:eastAsia="Arial" w:hAnsi="Arial"/>
          <w:sz w:val="12"/>
          <w:szCs w:val="12"/>
          <w:color w:val="auto"/>
        </w:rPr>
      </w:pPr>
    </w:p>
    <w:p>
      <w:pPr>
        <w:ind w:left="2100" w:hanging="228"/>
        <w:spacing w:after="0"/>
        <w:tabs>
          <w:tab w:leader="none" w:pos="2100" w:val="left"/>
        </w:tabs>
        <w:numPr>
          <w:ilvl w:val="1"/>
          <w:numId w:val="332"/>
        </w:numPr>
        <w:rPr>
          <w:rFonts w:ascii="Arial" w:cs="Arial" w:eastAsia="Arial" w:hAnsi="Arial"/>
          <w:sz w:val="14"/>
          <w:szCs w:val="14"/>
          <w:color w:val="auto"/>
        </w:rPr>
      </w:pPr>
      <w:r>
        <w:rPr>
          <w:rFonts w:ascii="Arial" w:cs="Arial" w:eastAsia="Arial" w:hAnsi="Arial"/>
          <w:sz w:val="14"/>
          <w:szCs w:val="14"/>
          <w:color w:val="auto"/>
        </w:rPr>
        <w:t>Comply with all federal, state and local laws, rules, regulations, orders, licenses and permits;</w:t>
      </w:r>
    </w:p>
    <w:p>
      <w:pPr>
        <w:spacing w:after="0" w:line="131" w:lineRule="exact"/>
        <w:rPr>
          <w:rFonts w:ascii="Arial" w:cs="Arial" w:eastAsia="Arial" w:hAnsi="Arial"/>
          <w:sz w:val="14"/>
          <w:szCs w:val="14"/>
          <w:color w:val="auto"/>
        </w:rPr>
      </w:pPr>
    </w:p>
    <w:p>
      <w:pPr>
        <w:ind w:left="-80" w:right="60" w:firstLine="1952"/>
        <w:spacing w:after="0" w:line="321" w:lineRule="auto"/>
        <w:tabs>
          <w:tab w:leader="none" w:pos="2083" w:val="left"/>
        </w:tabs>
        <w:numPr>
          <w:ilvl w:val="1"/>
          <w:numId w:val="332"/>
        </w:numPr>
        <w:rPr>
          <w:rFonts w:ascii="Arial" w:cs="Arial" w:eastAsia="Arial" w:hAnsi="Arial"/>
          <w:sz w:val="12"/>
          <w:szCs w:val="12"/>
          <w:color w:val="auto"/>
        </w:rPr>
      </w:pPr>
      <w:r>
        <w:rPr>
          <w:rFonts w:ascii="Arial" w:cs="Arial" w:eastAsia="Arial" w:hAnsi="Arial"/>
          <w:sz w:val="12"/>
          <w:szCs w:val="12"/>
          <w:color w:val="auto"/>
        </w:rPr>
        <w:t>Maintain, to such extent and for such periods as may be required by applicable law, and permit Landlord or its representatives to inspect during normal business hours at any time and from time to time upon reasonable notice to Tenant, a list of all radioactive materials or radiation received, stored, possessed, used, transferred or disposed of from time to time, to the extent not already disclosed through delivery of a copy of a Nuclear Regulatory Commission approval with respect thereto as contemplated above; and</w:t>
      </w:r>
    </w:p>
    <w:p>
      <w:pPr>
        <w:spacing w:after="0" w:line="73" w:lineRule="exact"/>
        <w:rPr>
          <w:rFonts w:ascii="Arial" w:cs="Arial" w:eastAsia="Arial" w:hAnsi="Arial"/>
          <w:sz w:val="12"/>
          <w:szCs w:val="12"/>
          <w:color w:val="auto"/>
        </w:rPr>
      </w:pPr>
    </w:p>
    <w:p>
      <w:pPr>
        <w:jc w:val="both"/>
        <w:ind w:left="-80" w:right="60" w:firstLine="1952"/>
        <w:spacing w:after="0" w:line="258" w:lineRule="auto"/>
        <w:tabs>
          <w:tab w:leader="none" w:pos="2083" w:val="left"/>
        </w:tabs>
        <w:numPr>
          <w:ilvl w:val="1"/>
          <w:numId w:val="332"/>
        </w:numPr>
        <w:rPr>
          <w:rFonts w:ascii="Arial" w:cs="Arial" w:eastAsia="Arial" w:hAnsi="Arial"/>
          <w:sz w:val="14"/>
          <w:szCs w:val="14"/>
          <w:color w:val="auto"/>
        </w:rPr>
      </w:pPr>
      <w:r>
        <w:rPr>
          <w:rFonts w:ascii="Arial" w:cs="Arial" w:eastAsia="Arial" w:hAnsi="Arial"/>
          <w:sz w:val="14"/>
          <w:szCs w:val="14"/>
          <w:color w:val="auto"/>
        </w:rPr>
        <w:t>Maintain, to such extent and for such periods as may be required by applicable law, and permit Landlord or its representatives to inspect during normal business hours at any time and from time to time upon reasonable notice to Tenant, all licenses, registration materials, inspection reports, governmental orders and permits in connection with the receipt, storage, possession, use, transfer or disposal of radioactive materials or radiation from time to time.</w:t>
      </w:r>
    </w:p>
    <w:p>
      <w:pPr>
        <w:spacing w:after="0" w:line="107" w:lineRule="exact"/>
        <w:rPr>
          <w:rFonts w:ascii="Arial" w:cs="Arial" w:eastAsia="Arial" w:hAnsi="Arial"/>
          <w:sz w:val="14"/>
          <w:szCs w:val="14"/>
          <w:color w:val="auto"/>
        </w:rPr>
      </w:pPr>
    </w:p>
    <w:p>
      <w:pPr>
        <w:ind w:left="-80" w:right="160" w:firstLine="1493"/>
        <w:spacing w:after="0" w:line="255" w:lineRule="auto"/>
        <w:tabs>
          <w:tab w:leader="none" w:pos="1678" w:val="left"/>
        </w:tabs>
        <w:numPr>
          <w:ilvl w:val="0"/>
          <w:numId w:val="332"/>
        </w:numPr>
        <w:rPr>
          <w:rFonts w:ascii="Arial" w:cs="Arial" w:eastAsia="Arial" w:hAnsi="Arial"/>
          <w:sz w:val="14"/>
          <w:szCs w:val="14"/>
          <w:color w:val="auto"/>
        </w:rPr>
      </w:pPr>
      <w:r>
        <w:rPr>
          <w:rFonts w:ascii="Arial" w:cs="Arial" w:eastAsia="Arial" w:hAnsi="Arial"/>
          <w:sz w:val="14"/>
          <w:szCs w:val="14"/>
          <w:color w:val="auto"/>
        </w:rPr>
        <w:t>Tenant agrees to comply with any and all applicable laws, rules, regulations and orders of any governmental authority with respect to the release into the environment of any hazardous wastes or substances or radiation or radioactive materials by Tenant or its agents or employees. Tenant agrees to give Landlord immediate verbal notice of any unauthorized release of any such hazardous wastes or substances or radiation or radioactive materials into the environment, and to follow such verbal notice with written notice to Landlord of such release within twenty-four (24) hours of the time at which Tenant became aware of such release.</w:t>
      </w:r>
    </w:p>
    <w:p>
      <w:pPr>
        <w:spacing w:after="0" w:line="109" w:lineRule="exact"/>
        <w:rPr>
          <w:rFonts w:ascii="Arial" w:cs="Arial" w:eastAsia="Arial" w:hAnsi="Arial"/>
          <w:sz w:val="14"/>
          <w:szCs w:val="14"/>
          <w:color w:val="auto"/>
        </w:rPr>
      </w:pPr>
    </w:p>
    <w:p>
      <w:pPr>
        <w:ind w:left="-80" w:firstLine="1493"/>
        <w:spacing w:after="0" w:line="311" w:lineRule="auto"/>
        <w:tabs>
          <w:tab w:leader="none" w:pos="1715" w:val="left"/>
        </w:tabs>
        <w:numPr>
          <w:ilvl w:val="0"/>
          <w:numId w:val="332"/>
        </w:numPr>
        <w:rPr>
          <w:rFonts w:ascii="Arial" w:cs="Arial" w:eastAsia="Arial" w:hAnsi="Arial"/>
          <w:sz w:val="12"/>
          <w:szCs w:val="12"/>
          <w:color w:val="auto"/>
        </w:rPr>
      </w:pPr>
      <w:r>
        <w:rPr>
          <w:rFonts w:ascii="Arial" w:cs="Arial" w:eastAsia="Arial" w:hAnsi="Arial"/>
          <w:sz w:val="12"/>
          <w:szCs w:val="12"/>
          <w:color w:val="auto"/>
        </w:rPr>
        <w:t>Tenant shall indemnify, defend and hold Landlord harmless from and against any and all claims, losses (including, but not limited to, loss of rental income and loss due to business interruption), damages, liabilities, costs, legal fees and expenses of any sort arising out of or relating to (A) any failure by Tenant to comply with any provisions of this paragraph (b), or (B) any receipt, use handling, generation, transportation, storage, treatment, release and/or disposal of any hazardous substance or waste or any radioactive material or radiation on or about the Property in connection with Tenant’s use or occupancy of the Property or as a result of any intentional or negligent acts or omissions of Tenant or of any agent or employee of Tenant.</w:t>
      </w:r>
    </w:p>
    <w:p>
      <w:pPr>
        <w:spacing w:after="0" w:line="78" w:lineRule="exact"/>
        <w:rPr>
          <w:rFonts w:ascii="Arial" w:cs="Arial" w:eastAsia="Arial" w:hAnsi="Arial"/>
          <w:sz w:val="12"/>
          <w:szCs w:val="12"/>
          <w:color w:val="auto"/>
        </w:rPr>
      </w:pPr>
    </w:p>
    <w:p>
      <w:pPr>
        <w:ind w:left="-80" w:right="80" w:firstLine="1493"/>
        <w:spacing w:after="0" w:line="311" w:lineRule="auto"/>
        <w:tabs>
          <w:tab w:leader="none" w:pos="1640" w:val="left"/>
        </w:tabs>
        <w:numPr>
          <w:ilvl w:val="0"/>
          <w:numId w:val="332"/>
        </w:numPr>
        <w:rPr>
          <w:rFonts w:ascii="Arial" w:cs="Arial" w:eastAsia="Arial" w:hAnsi="Arial"/>
          <w:sz w:val="12"/>
          <w:szCs w:val="12"/>
          <w:color w:val="auto"/>
        </w:rPr>
      </w:pPr>
      <w:r>
        <w:rPr>
          <w:rFonts w:ascii="Arial" w:cs="Arial" w:eastAsia="Arial" w:hAnsi="Arial"/>
          <w:sz w:val="12"/>
          <w:szCs w:val="12"/>
          <w:color w:val="auto"/>
        </w:rPr>
        <w:t>Tenant agrees to cooperate with Landlord in furnishing Landlord with complete information regarding Tenant’s receipt, handling, use, storage, transportation, generation, treatment and/or disposal of any hazardous substances or wastes or radiation or radioactive materials. Upon request, Tenant agrees to grant Landlord reasonable access at reasonable times to the Property to inspect Tenant’s receipt, handling, use, storage, transportation, generation, treatment and/or disposal of hazardous substances or wastes or radiation or radioactive materials, without being deemed guilty of any disturbance of Tenant’s use or possession and without being liable to Tenant in any manner.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20"/>
          </w:cols>
          <w:pgMar w:left="300" w:top="247" w:right="279" w:bottom="1440" w:gutter="0" w:footer="0" w:header="0"/>
        </w:sectPr>
      </w:pPr>
    </w:p>
    <w:bookmarkStart w:id="403" w:name="page404"/>
    <w:bookmarkEnd w:id="403"/>
    <w:p>
      <w:pPr>
        <w:ind w:right="120" w:firstLine="1493"/>
        <w:spacing w:after="0" w:line="267" w:lineRule="auto"/>
        <w:tabs>
          <w:tab w:leader="none" w:pos="1682" w:val="left"/>
        </w:tabs>
        <w:numPr>
          <w:ilvl w:val="1"/>
          <w:numId w:val="33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Notwithstanding Landlord’s rights of inspection and review under this paragraph (b), Landlord shall have no obligation or duty to so inspect or review, and no third party shall be entitled to rely on Landlord to conduct any sort of inspection or review by reason of the provisions of this paragraph (b).</w:t>
      </w:r>
    </w:p>
    <w:p>
      <w:pPr>
        <w:spacing w:after="0" w:line="101" w:lineRule="exact"/>
        <w:rPr>
          <w:rFonts w:ascii="Arial" w:cs="Arial" w:eastAsia="Arial" w:hAnsi="Arial"/>
          <w:sz w:val="14"/>
          <w:szCs w:val="14"/>
          <w:color w:val="auto"/>
        </w:rPr>
      </w:pPr>
    </w:p>
    <w:p>
      <w:pPr>
        <w:ind w:right="120" w:firstLine="1493"/>
        <w:spacing w:after="0" w:line="305" w:lineRule="auto"/>
        <w:tabs>
          <w:tab w:leader="none" w:pos="1720" w:val="left"/>
        </w:tabs>
        <w:numPr>
          <w:ilvl w:val="1"/>
          <w:numId w:val="333"/>
        </w:numPr>
        <w:rPr>
          <w:rFonts w:ascii="Arial" w:cs="Arial" w:eastAsia="Arial" w:hAnsi="Arial"/>
          <w:sz w:val="12"/>
          <w:szCs w:val="12"/>
          <w:color w:val="auto"/>
        </w:rPr>
      </w:pPr>
      <w:r>
        <w:rPr>
          <w:rFonts w:ascii="Arial" w:cs="Arial" w:eastAsia="Arial" w:hAnsi="Arial"/>
          <w:sz w:val="12"/>
          <w:szCs w:val="12"/>
          <w:color w:val="auto"/>
        </w:rPr>
        <w:t>If Tenant receives, handles, uses, stores, transports, generates, treats and/or disposes of any hazardous substances or wastes or radiation or radioactive materials on or about the Property at any time during the term of this Lease, then within thirty (30) days after termination or expiration of this Lease, Tenant at its sole cost and expense shall obtain and deliver to Landlord an environmental study, performed by an expert reasonably satisfactory to Landlord, evaluating the presence or absence of hazardous substances and wastes, radiation and radioactive materials on and about the Property. Such study shall be based on a reasonable and prudent level of tests and investigations of the Property which tests shall be conducted no earlier than the date of termination or expiration of this Lease. Liability for any remedial actions required or recommended on the basis of such study shall be allocated in accordance with Sections 13.4, 13.6, 14.6 and other applicable provisions of this Lease.</w:t>
      </w:r>
    </w:p>
    <w:p>
      <w:pPr>
        <w:spacing w:after="0" w:line="84" w:lineRule="exact"/>
        <w:rPr>
          <w:rFonts w:ascii="Arial" w:cs="Arial" w:eastAsia="Arial" w:hAnsi="Arial"/>
          <w:sz w:val="12"/>
          <w:szCs w:val="12"/>
          <w:color w:val="auto"/>
        </w:rPr>
      </w:pPr>
    </w:p>
    <w:p>
      <w:pPr>
        <w:ind w:firstLine="920"/>
        <w:spacing w:after="0" w:line="311" w:lineRule="auto"/>
        <w:tabs>
          <w:tab w:leader="none" w:pos="1101" w:val="left"/>
        </w:tabs>
        <w:numPr>
          <w:ilvl w:val="0"/>
          <w:numId w:val="334"/>
        </w:numPr>
        <w:rPr>
          <w:rFonts w:ascii="Arial" w:cs="Arial" w:eastAsia="Arial" w:hAnsi="Arial"/>
          <w:sz w:val="12"/>
          <w:szCs w:val="12"/>
          <w:color w:val="auto"/>
        </w:rPr>
      </w:pPr>
      <w:r>
        <w:rPr>
          <w:rFonts w:ascii="Arial" w:cs="Arial" w:eastAsia="Arial" w:hAnsi="Arial"/>
          <w:sz w:val="12"/>
          <w:szCs w:val="12"/>
          <w:color w:val="auto"/>
        </w:rPr>
        <w:t>Landlord shall indemnify, defend and hold Tenant harmless from and against any and all claims, losses, damages, liabilities, costs, legal fees and expenses of any sort arising out of or relating to (i) the presence on the Property of any hazardous substances or wastes or radiation or radioactive materials present on the Property as of the Commencement Date (other than as a result of any intentional or negligent acts or omissions of Tenant or of any agent or employee of Tenant), and/or (ii) any unauthorized release into the environment (including, but not limited to, the Site) of any hazardous substances or wastes or radiation or radioactive materials to the extent such release results from the negligence of or willful misconduct or omission by Landlord or its agents or employees.</w:t>
      </w:r>
    </w:p>
    <w:p>
      <w:pPr>
        <w:spacing w:after="0" w:line="78" w:lineRule="exact"/>
        <w:rPr>
          <w:rFonts w:ascii="Arial" w:cs="Arial" w:eastAsia="Arial" w:hAnsi="Arial"/>
          <w:sz w:val="12"/>
          <w:szCs w:val="12"/>
          <w:color w:val="auto"/>
        </w:rPr>
      </w:pPr>
    </w:p>
    <w:p>
      <w:pPr>
        <w:ind w:right="40" w:firstLine="920"/>
        <w:spacing w:after="0" w:line="296" w:lineRule="auto"/>
        <w:tabs>
          <w:tab w:leader="none" w:pos="1109" w:val="left"/>
        </w:tabs>
        <w:numPr>
          <w:ilvl w:val="0"/>
          <w:numId w:val="334"/>
        </w:numPr>
        <w:rPr>
          <w:rFonts w:ascii="Arial" w:cs="Arial" w:eastAsia="Arial" w:hAnsi="Arial"/>
          <w:sz w:val="12"/>
          <w:szCs w:val="12"/>
          <w:color w:val="auto"/>
        </w:rPr>
      </w:pPr>
      <w:r>
        <w:rPr>
          <w:rFonts w:ascii="Arial" w:cs="Arial" w:eastAsia="Arial" w:hAnsi="Arial"/>
          <w:sz w:val="12"/>
          <w:szCs w:val="12"/>
          <w:color w:val="auto"/>
        </w:rPr>
        <w:t>In the event of any third-party claims, losses, damages, liabilities, costs, legal fees and expenses of any sort (including, but not limited to, costs incurred with respect to any government-mandated remediation), against either Landlord or Tenant or both, arising out of or relating to (i) the presence on the Property of any hazardous substances or wastes or radiation or radioactive materials not present on the Property as of the Commencement Date (except to the extent the presence thereof is already covered by an express indemnification obligation under Section 13.6(b)(viii) or Section 13.6(c), as applicable), and/or (ii) any unauthorized release into the environment (including, but not limited to, the Site) of any hazardous substances or wastes or radiation or radioactive materials (except to the extent such release is already covered by an express indemnification obligation under Section 13.6(b)(viii) or Section 13.6(c), as applicable), then (x) Landlord and Tenant shall cooperate reasonably and in good faith in the defense of such third-party claims, liabilities and related matters and (y) Landlord and Tenant shall each bear fifty percent (50%) of the total claims, losses, damages, liabilities, costs, legal fees and expenses incurred by Landlord and/or Tenant in connection with matters covered by this Section I3.6(d). For purposes of the sharing of expenses contemplated in clause (y) of the preceding sentence, the party directly paying or incurring such costs or expenses shall be entitled to invoice the other party from time to time (on a monthly basis or at other appropriate intervals) for such other party’s respective share thereof, which invoice shall be accompanied by copies of third-party invoices or other reasonable documentation supporting the invoiced amounts, and the party receiving such invoice shall pay its share as reflected in the applicable invoice within fifteen (15) days after receipt thereof, unless the parties agree otherwise. Within three (3) months after receipt of any such invoice, the party receiving the invoice shall be entitled, upon reasonable written notice and during normal business hours, to inspect and examine the books and records of the party submitting the invoice with respect to the invoiced amounts. Any dispute with respect thereto that the parties are unable to resolve by good faith negotiations shall be resolved by an independent audit using the same procedure set forth in Section 9.3(b).</w:t>
      </w:r>
    </w:p>
    <w:p>
      <w:pPr>
        <w:spacing w:after="0" w:line="214" w:lineRule="exact"/>
        <w:rPr>
          <w:sz w:val="20"/>
          <w:szCs w:val="20"/>
          <w:color w:val="auto"/>
        </w:rPr>
      </w:pPr>
    </w:p>
    <w:p>
      <w:pPr>
        <w:ind w:left="4880" w:hanging="202"/>
        <w:spacing w:after="0"/>
        <w:tabs>
          <w:tab w:leader="none" w:pos="4880" w:val="left"/>
        </w:tabs>
        <w:numPr>
          <w:ilvl w:val="0"/>
          <w:numId w:val="335"/>
        </w:numPr>
        <w:rPr>
          <w:rFonts w:ascii="Arial" w:cs="Arial" w:eastAsia="Arial" w:hAnsi="Arial"/>
          <w:sz w:val="14"/>
          <w:szCs w:val="14"/>
          <w:color w:val="auto"/>
        </w:rPr>
      </w:pPr>
      <w:r>
        <w:rPr>
          <w:rFonts w:ascii="Arial" w:cs="Arial" w:eastAsia="Arial" w:hAnsi="Arial"/>
          <w:sz w:val="14"/>
          <w:szCs w:val="14"/>
          <w:u w:val="single" w:color="auto"/>
          <w:color w:val="auto"/>
        </w:rPr>
        <w:t>INSURANCE AND INDEMNITY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14.1 </w:t>
      </w:r>
      <w:r>
        <w:rPr>
          <w:rFonts w:ascii="Arial" w:cs="Arial" w:eastAsia="Arial" w:hAnsi="Arial"/>
          <w:sz w:val="14"/>
          <w:szCs w:val="14"/>
          <w:u w:val="single" w:color="auto"/>
          <w:color w:val="auto"/>
        </w:rPr>
        <w:t>Liability and Property Insurance</w:t>
      </w:r>
      <w:r>
        <w:rPr>
          <w:rFonts w:ascii="Arial" w:cs="Arial" w:eastAsia="Arial" w:hAnsi="Arial"/>
          <w:sz w:val="14"/>
          <w:szCs w:val="14"/>
          <w:color w:val="auto"/>
        </w:rPr>
        <w:t>.</w:t>
      </w:r>
    </w:p>
    <w:p>
      <w:pPr>
        <w:spacing w:after="0" w:line="132" w:lineRule="exact"/>
        <w:rPr>
          <w:sz w:val="20"/>
          <w:szCs w:val="20"/>
          <w:color w:val="auto"/>
        </w:rPr>
      </w:pPr>
    </w:p>
    <w:p>
      <w:pPr>
        <w:ind w:right="300" w:firstLine="920"/>
        <w:spacing w:after="0" w:line="267" w:lineRule="auto"/>
        <w:tabs>
          <w:tab w:leader="none" w:pos="1101" w:val="left"/>
        </w:tabs>
        <w:numPr>
          <w:ilvl w:val="0"/>
          <w:numId w:val="336"/>
        </w:numPr>
        <w:rPr>
          <w:rFonts w:ascii="Arial" w:cs="Arial" w:eastAsia="Arial" w:hAnsi="Arial"/>
          <w:sz w:val="14"/>
          <w:szCs w:val="14"/>
          <w:color w:val="auto"/>
        </w:rPr>
      </w:pPr>
      <w:r>
        <w:rPr>
          <w:rFonts w:ascii="Arial" w:cs="Arial" w:eastAsia="Arial" w:hAnsi="Arial"/>
          <w:sz w:val="14"/>
          <w:szCs w:val="14"/>
          <w:color w:val="auto"/>
        </w:rPr>
        <w:t>Tenant shall procure and maintain in full force and effect at all times during the term of this Lease, at Tenant’s cost and expense, commercial general liability insurance to protect against liability arising out of or related to the use of or resulting from any accident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247" w:right="219" w:bottom="1440" w:gutter="0" w:footer="0" w:header="0"/>
        </w:sectPr>
      </w:pPr>
    </w:p>
    <w:bookmarkStart w:id="404" w:name="page405"/>
    <w:bookmarkEnd w:id="404"/>
    <w:p>
      <w:pPr>
        <w:ind w:right="4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occurring in, upon or about the Property, with combined single limit of liability of not less than Five Million Dollars ($5,000,000) per occurrence for bodily injury and property damage. Such insurance shall name Landlord and its partners, shareholders, agents and employees as additional insureds thereunder. The amount of such insurance shall not be construed to limit any liability or obligation of Tenant under this Lease. Tenant shall also procure and maintain in full force and effect at all times during the term of this Lease, at Tenant’s cost and expense, product liability insurance on terms and in amounts satisfactory to Landlord in its reasonable discretion.</w:t>
      </w:r>
    </w:p>
    <w:p>
      <w:pPr>
        <w:spacing w:after="0" w:line="110" w:lineRule="exact"/>
        <w:rPr>
          <w:sz w:val="20"/>
          <w:szCs w:val="20"/>
          <w:color w:val="auto"/>
        </w:rPr>
      </w:pPr>
    </w:p>
    <w:p>
      <w:pPr>
        <w:ind w:right="80" w:firstLine="920"/>
        <w:spacing w:after="0" w:line="258" w:lineRule="auto"/>
        <w:tabs>
          <w:tab w:leader="none" w:pos="1109" w:val="left"/>
        </w:tabs>
        <w:numPr>
          <w:ilvl w:val="0"/>
          <w:numId w:val="337"/>
        </w:numPr>
        <w:rPr>
          <w:rFonts w:ascii="Arial" w:cs="Arial" w:eastAsia="Arial" w:hAnsi="Arial"/>
          <w:sz w:val="14"/>
          <w:szCs w:val="14"/>
          <w:color w:val="auto"/>
        </w:rPr>
      </w:pPr>
      <w:r>
        <w:rPr>
          <w:rFonts w:ascii="Arial" w:cs="Arial" w:eastAsia="Arial" w:hAnsi="Arial"/>
          <w:sz w:val="14"/>
          <w:szCs w:val="14"/>
          <w:color w:val="auto"/>
        </w:rPr>
        <w:t>Landlord shall procure and maintain in full force and effect at all times during the term of this Lease, at Landlord’s cost and expense (but reimbursable as an Operating Expense under Section 9.2 hereof),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w:t>
      </w:r>
    </w:p>
    <w:p>
      <w:pPr>
        <w:spacing w:after="0" w:line="107" w:lineRule="exact"/>
        <w:rPr>
          <w:rFonts w:ascii="Arial" w:cs="Arial" w:eastAsia="Arial" w:hAnsi="Arial"/>
          <w:sz w:val="14"/>
          <w:szCs w:val="14"/>
          <w:color w:val="auto"/>
        </w:rPr>
      </w:pPr>
    </w:p>
    <w:p>
      <w:pPr>
        <w:ind w:firstLine="920"/>
        <w:spacing w:after="0" w:line="252" w:lineRule="auto"/>
        <w:tabs>
          <w:tab w:leader="none" w:pos="1101" w:val="left"/>
        </w:tabs>
        <w:numPr>
          <w:ilvl w:val="0"/>
          <w:numId w:val="337"/>
        </w:numPr>
        <w:rPr>
          <w:rFonts w:ascii="Arial" w:cs="Arial" w:eastAsia="Arial" w:hAnsi="Arial"/>
          <w:sz w:val="14"/>
          <w:szCs w:val="14"/>
          <w:color w:val="auto"/>
        </w:rPr>
      </w:pPr>
      <w:r>
        <w:rPr>
          <w:rFonts w:ascii="Arial" w:cs="Arial" w:eastAsia="Arial" w:hAnsi="Arial"/>
          <w:sz w:val="14"/>
          <w:szCs w:val="14"/>
          <w:color w:val="auto"/>
        </w:rPr>
        <w:t xml:space="preserve">Landlord shall procure and maintain in full force and effect at all times during the term of this Lease, at Landlord’s cost and expense (but reimbursable as an Operating Expense under Section 9.2 hereof), fire and extended coverage insurance for the Building Shell (as defined in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and for the improvements in the Common Areas of the Property on a full replacement cost basis, and for the Interior Improvements in an amount not less than the total amount contributed by Landlord toward the payment for the Interior Improvements pursuant to </w:t>
      </w:r>
      <w:r>
        <w:rPr>
          <w:rFonts w:ascii="Arial" w:cs="Arial" w:eastAsia="Arial" w:hAnsi="Arial"/>
          <w:sz w:val="14"/>
          <w:szCs w:val="14"/>
          <w:u w:val="single" w:color="auto"/>
          <w:color w:val="auto"/>
        </w:rPr>
        <w:t>Exhibit C</w:t>
      </w:r>
      <w:r>
        <w:rPr>
          <w:rFonts w:ascii="Arial" w:cs="Arial" w:eastAsia="Arial" w:hAnsi="Arial"/>
          <w:sz w:val="14"/>
          <w:szCs w:val="14"/>
          <w:color w:val="auto"/>
        </w:rPr>
        <w:t>. Such insurance may include earthquake coverage to the extent Landlord in its discretion elects to carry such coverage, and shall have such deductibles and other terms as Landlord in its discretion determines to be appropriate. Except as expressly set forth in this paragraph (c), Landlord shall have no obligation to insure the Interior Improvements and shall, in all events, have no obligation to insure any other alterations, additions or improvements installed by Tenant on or about the Property.</w:t>
      </w:r>
    </w:p>
    <w:p>
      <w:pPr>
        <w:spacing w:after="0" w:line="114" w:lineRule="exact"/>
        <w:rPr>
          <w:rFonts w:ascii="Arial" w:cs="Arial" w:eastAsia="Arial" w:hAnsi="Arial"/>
          <w:sz w:val="14"/>
          <w:szCs w:val="14"/>
          <w:color w:val="auto"/>
        </w:rPr>
      </w:pPr>
    </w:p>
    <w:p>
      <w:pPr>
        <w:ind w:firstLine="920"/>
        <w:spacing w:after="0" w:line="253" w:lineRule="auto"/>
        <w:tabs>
          <w:tab w:leader="none" w:pos="1109" w:val="left"/>
        </w:tabs>
        <w:numPr>
          <w:ilvl w:val="0"/>
          <w:numId w:val="337"/>
        </w:numPr>
        <w:rPr>
          <w:rFonts w:ascii="Arial" w:cs="Arial" w:eastAsia="Arial" w:hAnsi="Arial"/>
          <w:sz w:val="14"/>
          <w:szCs w:val="14"/>
          <w:color w:val="auto"/>
        </w:rPr>
      </w:pPr>
      <w:r>
        <w:rPr>
          <w:rFonts w:ascii="Arial" w:cs="Arial" w:eastAsia="Arial" w:hAnsi="Arial"/>
          <w:sz w:val="14"/>
          <w:szCs w:val="14"/>
          <w:color w:val="auto"/>
        </w:rPr>
        <w:t>Tenant shall procure and maintain in full force and effect at all times during the term of this Lease, at Tenant’s cost and expense, fire and extended coverage insurance for the Interior Improvements in an amount not less than the full replacement cost thereof, less the amount of coverage required to be carried on the Interior Improvements by Landlord pursuant to Section 14.l(c), and shall have sole responsibility for insurance coverage of any other alterations, additions or improvements installed by Tenant on the Property to the extent Tenant deems such coverage appropriate. Tenant’s insurance under this paragraph (d) may include earthquake coverage to the extent Tenant in its discretion elects to carry such coverage, and shall have such deductibles and other terms as Tenant in its discretion determines to be appropriate.</w:t>
      </w:r>
    </w:p>
    <w:p>
      <w:pPr>
        <w:spacing w:after="0" w:line="112" w:lineRule="exact"/>
        <w:rPr>
          <w:rFonts w:ascii="Arial" w:cs="Arial" w:eastAsia="Arial" w:hAnsi="Arial"/>
          <w:sz w:val="14"/>
          <w:szCs w:val="14"/>
          <w:color w:val="auto"/>
        </w:rPr>
      </w:pPr>
    </w:p>
    <w:p>
      <w:pPr>
        <w:ind w:right="60" w:firstLine="920"/>
        <w:spacing w:after="0" w:line="296" w:lineRule="auto"/>
        <w:tabs>
          <w:tab w:leader="none" w:pos="1101" w:val="left"/>
        </w:tabs>
        <w:numPr>
          <w:ilvl w:val="0"/>
          <w:numId w:val="337"/>
        </w:numPr>
        <w:rPr>
          <w:rFonts w:ascii="Arial" w:cs="Arial" w:eastAsia="Arial" w:hAnsi="Arial"/>
          <w:sz w:val="12"/>
          <w:szCs w:val="12"/>
          <w:color w:val="auto"/>
        </w:rPr>
      </w:pPr>
      <w:r>
        <w:rPr>
          <w:rFonts w:ascii="Arial" w:cs="Arial" w:eastAsia="Arial" w:hAnsi="Arial"/>
          <w:sz w:val="12"/>
          <w:szCs w:val="12"/>
          <w:color w:val="auto"/>
        </w:rPr>
        <w:t>All policies of property insurance carried under paragraphs (c) and (d) of this Section 14.1 shall provide protection against “all perils of direct physical damage” (as defined by the Insurance Services Office) on all insured property. Each insuring party shall cause the other party to be named as an additional insured on such policy to the extent of the coverage for the Interior Improvements. Replacement cost for purposes hereof shall be determined periodically on such reasonable basis as Landlord and Tenant may determine. Such insurance policies (i) shall be written by companies rated B+ or better, with a financial rating of not less than Class VII, in “Best’s Insurance Guide,” and authorized to do business in California; (ii) shall be written to apply to covered property damage and other covered loss occurring during the policy term, or the onset of which occurred or arose during such policy term; (iii) shall be endorsed, in the case of Tenant’s property insurance, to name Landlord’s lender (“Lender”), if any, holding the lien of a mortgage or deed of trust on the Building and Interior Improvements from time to time as a loss payee, provided that a condition of such endorsement shall be that at all times during the effectiveness of the endorsement there shall be in full force and effect an agreement among Landlord, Tenant and Lender pursuant to which Lender agrees that, in the event of an insured occurrence, Lender will make available to Tenant such part or all of the proceeds of insurance on the Interior Improvements which are received by Lender as are required for the repair or replacement of the Interior Improvements, except as otherwise provided in Section 17.1 hereof in the event of a termination of this Lease; (iv) shall provide that the respective coverages shall be primary and not contributing with or in excess of any coverage that the other party may carry; (v) shall be endorsed to provide the other party with not less than thirty (30) days’ notice of cancellation; and (vi) shall provide for a deductible of not to exceed $10,000 (except in the case of earthquake coverage). Each party shall deliver to the other party, on or before the Commencement Date, and thereafter at least ten (10) days before the expiration dates of expiring</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247" w:right="219" w:bottom="1440" w:gutter="0" w:footer="0" w:header="0"/>
        </w:sectPr>
      </w:pPr>
    </w:p>
    <w:bookmarkStart w:id="405" w:name="page406"/>
    <w:bookmarkEnd w:id="405"/>
    <w:p>
      <w:pPr>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policies, certificates of insurance or other satisfactory evidence of the continuation of such property insurance coverage for the period indicated therein. If either party fails to procure property insurance or to deliver certificates or other evidence thereof as required hereunder, the other party may, at its option and in addition to the other party’s other remedies in the event of a default hereunder, procure the same for the benefit of such party. If, pursuant to the foregoing sentence, Tenant secures such insurance on Landlord’s behalf, Tenant shall not be entitled to reimbursement of the cost thereof; if Landlord secures such insurance on Tenant’s behalf, Tenant shall reimburse Landlord for the cost thereof within ten (10) business days after receipt of Landlord’s invoice therefor.</w:t>
      </w:r>
    </w:p>
    <w:p>
      <w:pPr>
        <w:spacing w:after="0" w:line="79" w:lineRule="exact"/>
        <w:rPr>
          <w:sz w:val="20"/>
          <w:szCs w:val="20"/>
          <w:color w:val="auto"/>
        </w:rPr>
      </w:pPr>
    </w:p>
    <w:p>
      <w:pPr>
        <w:ind w:right="40" w:firstLine="458"/>
        <w:spacing w:after="0" w:line="252" w:lineRule="auto"/>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u w:val="single" w:color="auto"/>
          <w:color w:val="auto"/>
        </w:rPr>
        <w:t>Quality Of Policies And Certificates</w:t>
      </w:r>
      <w:r>
        <w:rPr>
          <w:rFonts w:ascii="Arial" w:cs="Arial" w:eastAsia="Arial" w:hAnsi="Arial"/>
          <w:sz w:val="14"/>
          <w:szCs w:val="14"/>
          <w:color w:val="auto"/>
        </w:rPr>
        <w:t>. All policies of insurance required hereunder shall be issued by responsible insurers and, in the case of policies carried or required to be carried by Tenant, shall be written as primary policies not contributing with and not in excess of any coverage that Landlord may carry. Each party shall deliver to the other party certificates of insurance showing that the insuring party’s required policies are in effect. If either party fails to acquire, maintain or renew any insurance required to be maintained by it under this Article 14 or to pay the premium therefor, then the other party, at its option and in addition to its other remedies, but without obligation so to do, may procure such insurance, and any sums expended by Landlord to procure any such insurance on behalf of or in place of Tenant shall be repaid upon demand, with interest as provided in Section 3.2 hereof. Tenant shall obtain written undertakings from each insurer under policies required to be maintained by it to notify all insureds thereunder at least thirty (30) days prior to cancellation.</w:t>
      </w:r>
    </w:p>
    <w:p>
      <w:pPr>
        <w:spacing w:after="0" w:line="114"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color w:val="auto"/>
        </w:rPr>
        <w:t xml:space="preserve">14.3 </w:t>
      </w:r>
      <w:r>
        <w:rPr>
          <w:rFonts w:ascii="Arial" w:cs="Arial" w:eastAsia="Arial" w:hAnsi="Arial"/>
          <w:sz w:val="14"/>
          <w:szCs w:val="14"/>
          <w:u w:val="single" w:color="auto"/>
          <w:color w:val="auto"/>
        </w:rPr>
        <w:t>Workers’ Compensation</w:t>
      </w:r>
      <w:r>
        <w:rPr>
          <w:rFonts w:ascii="Arial" w:cs="Arial" w:eastAsia="Arial" w:hAnsi="Arial"/>
          <w:sz w:val="14"/>
          <w:szCs w:val="14"/>
          <w:color w:val="auto"/>
        </w:rPr>
        <w:t>. Tenant shall maintain in full force and effect during the term of this Lease workers’ compensation insurance covering all of Tenant’s employees working on the Property, with a minimum limit of liability of not less man Five Hundred Thousand Dollars ($500,000) per accident/disease.</w:t>
      </w:r>
    </w:p>
    <w:p>
      <w:pPr>
        <w:spacing w:after="0" w:line="101" w:lineRule="exact"/>
        <w:rPr>
          <w:sz w:val="20"/>
          <w:szCs w:val="20"/>
          <w:color w:val="auto"/>
        </w:rPr>
      </w:pPr>
    </w:p>
    <w:p>
      <w:pPr>
        <w:ind w:right="80" w:firstLine="458"/>
        <w:spacing w:after="0" w:line="302" w:lineRule="auto"/>
        <w:rPr>
          <w:sz w:val="20"/>
          <w:szCs w:val="20"/>
          <w:color w:val="auto"/>
        </w:rPr>
      </w:pPr>
      <w:r>
        <w:rPr>
          <w:rFonts w:ascii="Arial" w:cs="Arial" w:eastAsia="Arial" w:hAnsi="Arial"/>
          <w:sz w:val="12"/>
          <w:szCs w:val="12"/>
          <w:color w:val="auto"/>
        </w:rPr>
        <w:t xml:space="preserve">14.4 </w:t>
      </w:r>
      <w:r>
        <w:rPr>
          <w:rFonts w:ascii="Arial" w:cs="Arial" w:eastAsia="Arial" w:hAnsi="Arial"/>
          <w:sz w:val="12"/>
          <w:szCs w:val="12"/>
          <w:u w:val="single" w:color="auto"/>
          <w:color w:val="auto"/>
        </w:rPr>
        <w:t>Waiver Of Subrogation</w:t>
      </w:r>
      <w:r>
        <w:rPr>
          <w:rFonts w:ascii="Arial" w:cs="Arial" w:eastAsia="Arial" w:hAnsi="Arial"/>
          <w:sz w:val="12"/>
          <w:szCs w:val="12"/>
          <w:color w:val="auto"/>
        </w:rPr>
        <w:t>. To the extent permitted by law and without affecting the coverage provided by insurance required to be maintained hereunder, Landlord and Tenant each waive any right to recover against the other (i) damage to property, (ii) damage to the Property or any part thereof, or (iii) claims arising by reason of any of the foregoing, but only to the extent that any of the foregoing damages and claims under subparts (i)-(iii) hereof are covered, and only to the extent of such coverage, by insurance actually carried or required to be carried hereunder by either Landlord or Tenant. This provision is intended to waive fully, and for the benefit of each party, any rights and claims which might give rise to a right of subrogation in any insurance carrier. Each party shall procure a clause or endorsement on any property insurance policy denying to the insurer rights of subrogation against the other party to the extent rights have been waived by the insured prior to the occurrence of injury or loss. Coverage provided by insurance maintained by Tenant shall not be limited, reduced or diminished by virtue of the subrogation waiver herein contained.</w:t>
      </w:r>
    </w:p>
    <w:p>
      <w:pPr>
        <w:spacing w:after="0" w:line="86" w:lineRule="exact"/>
        <w:rPr>
          <w:sz w:val="20"/>
          <w:szCs w:val="20"/>
          <w:color w:val="auto"/>
        </w:rPr>
      </w:pPr>
    </w:p>
    <w:p>
      <w:pPr>
        <w:ind w:right="60" w:firstLine="458"/>
        <w:spacing w:after="0" w:line="255" w:lineRule="auto"/>
        <w:rPr>
          <w:sz w:val="20"/>
          <w:szCs w:val="20"/>
          <w:color w:val="auto"/>
        </w:rPr>
      </w:pPr>
      <w:r>
        <w:rPr>
          <w:rFonts w:ascii="Arial" w:cs="Arial" w:eastAsia="Arial" w:hAnsi="Arial"/>
          <w:sz w:val="14"/>
          <w:szCs w:val="14"/>
          <w:color w:val="auto"/>
        </w:rPr>
        <w:t xml:space="preserve">14.5 </w:t>
      </w:r>
      <w:r>
        <w:rPr>
          <w:rFonts w:ascii="Arial" w:cs="Arial" w:eastAsia="Arial" w:hAnsi="Arial"/>
          <w:sz w:val="14"/>
          <w:szCs w:val="14"/>
          <w:u w:val="single" w:color="auto"/>
          <w:color w:val="auto"/>
        </w:rPr>
        <w:t>Increase In Premiums</w:t>
      </w:r>
      <w:r>
        <w:rPr>
          <w:rFonts w:ascii="Arial" w:cs="Arial" w:eastAsia="Arial" w:hAnsi="Arial"/>
          <w:sz w:val="14"/>
          <w:szCs w:val="14"/>
          <w:color w:val="auto"/>
        </w:rPr>
        <w:t>. Tenant shall do all acts and pay all expenses necessary to ‘insure that the Property is not used for purposes prohibited by any applicable fire insurance, and that Tenant’s use of the Property complies with all requirements necessary to obtain any such insurance. If Tenant uses or permits the Property to be used in a manner which increases the existing rate of any insurance on the Property carried by Landlord, Tenant shall pay the amount of the increase in premium caused thereby, and Landlord’s costs of obtaining other replacement insurance policies, including any increase in premium, within ten (10) days after demand therefor by Landlord.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u w:val="single" w:color="auto"/>
          <w:color w:val="auto"/>
        </w:rPr>
        <w:t>Indemnification</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253" w:lineRule="auto"/>
        <w:tabs>
          <w:tab w:leader="none" w:pos="1101" w:val="left"/>
        </w:tabs>
        <w:numPr>
          <w:ilvl w:val="0"/>
          <w:numId w:val="338"/>
        </w:numPr>
        <w:rPr>
          <w:rFonts w:ascii="Arial" w:cs="Arial" w:eastAsia="Arial" w:hAnsi="Arial"/>
          <w:sz w:val="14"/>
          <w:szCs w:val="14"/>
          <w:color w:val="auto"/>
        </w:rPr>
      </w:pPr>
      <w:r>
        <w:rPr>
          <w:rFonts w:ascii="Arial" w:cs="Arial" w:eastAsia="Arial" w:hAnsi="Arial"/>
          <w:sz w:val="14"/>
          <w:szCs w:val="14"/>
          <w:color w:val="auto"/>
        </w:rPr>
        <w:t>Tenant shall indemnify, defend and hold Landlord, its partners, shareholders, officers, directors, agents and employees harmless from any and all liability for bodily injury to or death of any person, or loss of or damage to the property of persons, and all actions, claims, demands, costs (including, but not limited to, reasonable attorneys’ fees), damages or expenses arising therefrom which may be brought or made against Landlord or which Landlord may pay or incur by reason of the use, occupancy and enjoyment of the Property by Tenant or any invitees, sublessees, agents or employees of Tenant or holding under Tenant from any cause whatsoever other than negligence or willful misconduct or omission by Landlord, its agents or employees. Landlord, its partners, shareholders, officers, directors, agents and employees shall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246" w:right="219" w:bottom="1440" w:gutter="0" w:footer="0" w:header="0"/>
        </w:sectPr>
      </w:pPr>
    </w:p>
    <w:bookmarkStart w:id="406" w:name="page407"/>
    <w:bookmarkEnd w:id="406"/>
    <w:p>
      <w:pPr>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not be liable for, and Tenant hereby waives all claims against such persons for, damages to goods, wares and merchandise in or upon the Property, or for injuries to Tenant, its agents or third persons in or upon the Property, from any cause whatsoever other than negligence or willful misconduct or omission by Landlord, its agents or employees. Tenant shall give prompt notice to Landlord of any casualty or accident in, on or about the Property.</w:t>
      </w:r>
    </w:p>
    <w:p>
      <w:pPr>
        <w:spacing w:after="0" w:line="108" w:lineRule="exact"/>
        <w:rPr>
          <w:sz w:val="20"/>
          <w:szCs w:val="20"/>
          <w:color w:val="auto"/>
        </w:rPr>
      </w:pPr>
    </w:p>
    <w:p>
      <w:pPr>
        <w:ind w:right="120" w:firstLine="920"/>
        <w:spacing w:after="0" w:line="321" w:lineRule="auto"/>
        <w:tabs>
          <w:tab w:leader="none" w:pos="1109" w:val="left"/>
        </w:tabs>
        <w:numPr>
          <w:ilvl w:val="0"/>
          <w:numId w:val="339"/>
        </w:numPr>
        <w:rPr>
          <w:rFonts w:ascii="Arial" w:cs="Arial" w:eastAsia="Arial" w:hAnsi="Arial"/>
          <w:sz w:val="12"/>
          <w:szCs w:val="12"/>
          <w:color w:val="auto"/>
        </w:rPr>
      </w:pPr>
      <w:r>
        <w:rPr>
          <w:rFonts w:ascii="Arial" w:cs="Arial" w:eastAsia="Arial" w:hAnsi="Arial"/>
          <w:sz w:val="12"/>
          <w:szCs w:val="12"/>
          <w:color w:val="auto"/>
        </w:rPr>
        <w:t>Landlord shall indemnify, defend and hold Tenant, its shareholders, officers, directors, agents and employees harmless from liability for bodily injury to or death of any person, or loss of or damage to the property of persons, and all actions, claims, demands, costs (including, but not limited to, reasonable attorneys’ fees), damages or expenses arising therefrom which may be brought or made against Tenant or which Tenant may pay or incur, to the extent such liabilities or other matters arise by reason of any negligence or willful misconduct or omission by Landlord, its agents or employees.</w:t>
      </w:r>
    </w:p>
    <w:p>
      <w:pPr>
        <w:spacing w:after="0" w:line="73"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 xml:space="preserve">14.7 </w:t>
      </w:r>
      <w:r>
        <w:rPr>
          <w:rFonts w:ascii="Arial" w:cs="Arial" w:eastAsia="Arial" w:hAnsi="Arial"/>
          <w:sz w:val="14"/>
          <w:szCs w:val="14"/>
          <w:u w:val="single" w:color="auto"/>
          <w:color w:val="auto"/>
        </w:rPr>
        <w:t>Blanket Policy</w:t>
      </w:r>
      <w:r>
        <w:rPr>
          <w:rFonts w:ascii="Arial" w:cs="Arial" w:eastAsia="Arial" w:hAnsi="Arial"/>
          <w:sz w:val="14"/>
          <w:szCs w:val="14"/>
          <w:color w:val="auto"/>
        </w:rPr>
        <w:t>. Any policy required to be maintained hereunder may be maintained under a so-called “blanket policy” insuring other parties and other locations so long as the amount of insurance required to be provided hereunder is not thereby diminished.</w:t>
      </w:r>
    </w:p>
    <w:p>
      <w:pPr>
        <w:spacing w:after="0" w:line="227" w:lineRule="exact"/>
        <w:rPr>
          <w:sz w:val="20"/>
          <w:szCs w:val="20"/>
          <w:color w:val="auto"/>
        </w:rPr>
      </w:pPr>
    </w:p>
    <w:p>
      <w:pPr>
        <w:ind w:left="4880" w:hanging="210"/>
        <w:spacing w:after="0"/>
        <w:tabs>
          <w:tab w:leader="none" w:pos="4880" w:val="left"/>
        </w:tabs>
        <w:numPr>
          <w:ilvl w:val="0"/>
          <w:numId w:val="340"/>
        </w:numPr>
        <w:rPr>
          <w:rFonts w:ascii="Arial" w:cs="Arial" w:eastAsia="Arial" w:hAnsi="Arial"/>
          <w:sz w:val="14"/>
          <w:szCs w:val="14"/>
          <w:color w:val="auto"/>
        </w:rPr>
      </w:pPr>
      <w:r>
        <w:rPr>
          <w:rFonts w:ascii="Arial" w:cs="Arial" w:eastAsia="Arial" w:hAnsi="Arial"/>
          <w:sz w:val="14"/>
          <w:szCs w:val="14"/>
          <w:u w:val="single" w:color="auto"/>
          <w:color w:val="auto"/>
        </w:rPr>
        <w:t>SUBLEASE AND ASSIGNMENT</w:t>
      </w:r>
    </w:p>
    <w:p>
      <w:pPr>
        <w:spacing w:after="0" w:line="132" w:lineRule="exact"/>
        <w:rPr>
          <w:sz w:val="20"/>
          <w:szCs w:val="20"/>
          <w:color w:val="auto"/>
        </w:rPr>
      </w:pPr>
    </w:p>
    <w:p>
      <w:pPr>
        <w:ind w:firstLine="458"/>
        <w:spacing w:after="0" w:line="295"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Assignment And Sublease Of Property</w:t>
      </w:r>
      <w:r>
        <w:rPr>
          <w:rFonts w:ascii="Arial" w:cs="Arial" w:eastAsia="Arial" w:hAnsi="Arial"/>
          <w:sz w:val="12"/>
          <w:szCs w:val="12"/>
          <w:color w:val="auto"/>
        </w:rPr>
        <w:t xml:space="preserve">. Tenant shall not have the right or power to assign its interest in this Lease, or make any sublease of the Property or any portion thereof, nor shall any interest of Tenant under this Lease be assignable involuntarily or by operation of law, without on each occasion obtaining the prior written consent of Landlord, which consent shall not be unreasonably withheld or delayed. Any purported sublease or assignment of Tenant’s interest in this Lease requiring but not having received Landlord’s consent thereto shall be void. Without limiting the generality of the foregoing, Landlord may withhold consent to any proposed subletting or assignment solely on the ground, if applicable, that the use by the proposed subtenant or assignee is reasonably likely to be incompatible with Landlord’s use of any adjacent property owned or operated by Landlord, unless the proposed use is within the permitted uses specified in Section 13.1, in which event it shall not be reasonable for Landlord to object to the proposed use. Any dissolution, consolidation, merger or other reorganization of Tenant, or any sale or transfer of the stock of or other interest in Tenant, or any series of one or more of such events, involving in the aggregate a change of fifty percent (50%) or more in the beneficial ownership of Tenant or its assets shall be deemed to be an assignment hereunder and shall be void without the prior written consent of Landlord as required above. Notwithstanding the foregoing, (i) an initial public offering of the common stock of Tenant shall not be deemed to be an assignment hereunder; and (ii) Tenant shall have the right to assign this Lease or sublet the Premises, or any portion thereof, without Landlord’s consent (but with prior or concurrent written notice by Tenant to Landlord), to any entity which controls, is controlled by, or is under common control with Tenant, or to any entity which results from a merger or consolidation with Tenant, or to any entity engaged in a joint venture with Tenant, or to any entity which acquires substantially all of the stock or assets of Tenant, as a going concern, with respect to the business that is being conducted on the Property (hereinafter each a “Permitted Transfer”). In addition, a sale or transfer of the capital stock of Tenant shall be deemed a Permitted Transfer if (x) such sale or transfer occurs in connection with any </w:t>
      </w:r>
      <w:r>
        <w:rPr>
          <w:rFonts w:ascii="Arial" w:cs="Arial" w:eastAsia="Arial" w:hAnsi="Arial"/>
          <w:sz w:val="12"/>
          <w:szCs w:val="12"/>
          <w:u w:val="single" w:color="auto"/>
          <w:color w:val="auto"/>
        </w:rPr>
        <w:t>bona fide</w:t>
      </w:r>
      <w:r>
        <w:rPr>
          <w:rFonts w:ascii="Arial" w:cs="Arial" w:eastAsia="Arial" w:hAnsi="Arial"/>
          <w:sz w:val="12"/>
          <w:szCs w:val="12"/>
          <w:color w:val="auto"/>
        </w:rPr>
        <w:t xml:space="preserve"> financing or capitalization for the benefit of Tenant, or (y) Tenant becomes a publicly traded corporation. Landlord shall have no right to terminate this Lease in connection with, and shall have no right to any sums or other economic consideration resulting from, any Permitted Transfer. Except as expressly set forth in this Section 15.1, however, the provisions of Section 15.2 shall remain applicable to any Permitted Transfer and the transferee under such Permitted Transfer shall be and remain subject to all of the terms and provisions of this Lease.</w:t>
      </w:r>
    </w:p>
    <w:p>
      <w:pPr>
        <w:spacing w:after="0" w:line="258" w:lineRule="exact"/>
        <w:rPr>
          <w:sz w:val="20"/>
          <w:szCs w:val="20"/>
          <w:color w:val="auto"/>
        </w:rPr>
      </w:pPr>
    </w:p>
    <w:p>
      <w:pPr>
        <w:ind w:right="100" w:firstLine="458"/>
        <w:spacing w:after="0" w:line="311" w:lineRule="auto"/>
        <w:rPr>
          <w:sz w:val="20"/>
          <w:szCs w:val="20"/>
          <w:color w:val="auto"/>
        </w:rPr>
      </w:pPr>
      <w:r>
        <w:rPr>
          <w:rFonts w:ascii="Arial" w:cs="Arial" w:eastAsia="Arial" w:hAnsi="Arial"/>
          <w:sz w:val="12"/>
          <w:szCs w:val="12"/>
          <w:color w:val="auto"/>
        </w:rPr>
        <w:t xml:space="preserve">15.2 </w:t>
      </w:r>
      <w:r>
        <w:rPr>
          <w:rFonts w:ascii="Arial" w:cs="Arial" w:eastAsia="Arial" w:hAnsi="Arial"/>
          <w:sz w:val="12"/>
          <w:szCs w:val="12"/>
          <w:u w:val="single" w:color="auto"/>
          <w:color w:val="auto"/>
        </w:rPr>
        <w:t>Rights Of Landlord</w:t>
      </w:r>
      <w:r>
        <w:rPr>
          <w:rFonts w:ascii="Arial" w:cs="Arial" w:eastAsia="Arial" w:hAnsi="Arial"/>
          <w:sz w:val="12"/>
          <w:szCs w:val="12"/>
          <w:color w:val="auto"/>
        </w:rPr>
        <w:t>. Consent by Landlord to one or more assignments of this Lease, or to one or more sublettings of the Property or any portion thereof, or collection of rent by Landlord from any assignee or sublessee, shall not operate to exhaust Landlord’s rights under this Article 15, nor constitute consent to any subsequent assignment or subletting. No assignment of Tenant’s interest in this Lease and no sublease shall relieve Tenant of its obligations hereunder, notwithstanding any waiver or extension of time granted by Landlord to any assignee or sublessee, or the failure of Landlord to assert its rights against any assignee or sublessee, and regardless of whether Landlord’s consent thereto is given or required to be given hereunder.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247" w:right="219" w:bottom="1440" w:gutter="0" w:footer="0" w:header="0"/>
        </w:sectPr>
      </w:pPr>
    </w:p>
    <w:bookmarkStart w:id="407" w:name="page408"/>
    <w:bookmarkEnd w:id="407"/>
    <w:p>
      <w:pPr>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event of a default by any assignee, sublessee or other successor of Tenant in the performance of any of the terms or obligations of Tenant under this Lease, Landlord may proceed directly against Tenant without the necessity of exhausting remedies against any such assignee, sublessee or other successor. In addition, Tenant immediately and irrevocably assigns to Landlord, as security for Tenant’s obligations under this Lease, all rent from any subletting of all or a part of the Property as permitted under this Lease, and Landlord, as Tenant’s assignee and as attorney-in-fact for Tenant, or any receiver for Tenant appointed on Landlord’s application, may collect such rent and apply it toward Tenant’s obligations under this Lease; except that, until the occurrence of an act of default by Tenant, Tenant shall have the right to collect such rent and to retain all sublease profits.</w:t>
      </w:r>
    </w:p>
    <w:p>
      <w:pPr>
        <w:spacing w:after="0" w:line="238" w:lineRule="exact"/>
        <w:rPr>
          <w:sz w:val="20"/>
          <w:szCs w:val="20"/>
          <w:color w:val="auto"/>
        </w:rPr>
      </w:pPr>
    </w:p>
    <w:p>
      <w:pPr>
        <w:ind w:left="4480" w:hanging="208"/>
        <w:spacing w:after="0"/>
        <w:tabs>
          <w:tab w:leader="none" w:pos="4480" w:val="left"/>
        </w:tabs>
        <w:numPr>
          <w:ilvl w:val="0"/>
          <w:numId w:val="341"/>
        </w:numPr>
        <w:rPr>
          <w:rFonts w:ascii="Arial" w:cs="Arial" w:eastAsia="Arial" w:hAnsi="Arial"/>
          <w:sz w:val="14"/>
          <w:szCs w:val="14"/>
          <w:color w:val="auto"/>
        </w:rPr>
      </w:pPr>
      <w:r>
        <w:rPr>
          <w:rFonts w:ascii="Arial" w:cs="Arial" w:eastAsia="Arial" w:hAnsi="Arial"/>
          <w:sz w:val="14"/>
          <w:szCs w:val="14"/>
          <w:u w:val="single" w:color="auto"/>
          <w:color w:val="auto"/>
        </w:rPr>
        <w:t>RIGHT OF ENTRY AND QUIET ENJOYMENT</w:t>
      </w:r>
    </w:p>
    <w:p>
      <w:pPr>
        <w:spacing w:after="0" w:line="132" w:lineRule="exact"/>
        <w:rPr>
          <w:sz w:val="20"/>
          <w:szCs w:val="20"/>
          <w:color w:val="auto"/>
        </w:rPr>
      </w:pPr>
    </w:p>
    <w:p>
      <w:pPr>
        <w:ind w:right="80" w:firstLine="458"/>
        <w:spacing w:after="0" w:line="300" w:lineRule="auto"/>
        <w:rPr>
          <w:sz w:val="20"/>
          <w:szCs w:val="20"/>
          <w:color w:val="auto"/>
        </w:rPr>
      </w:pPr>
      <w:r>
        <w:rPr>
          <w:rFonts w:ascii="Arial" w:cs="Arial" w:eastAsia="Arial" w:hAnsi="Arial"/>
          <w:sz w:val="12"/>
          <w:szCs w:val="12"/>
          <w:color w:val="auto"/>
        </w:rPr>
        <w:t xml:space="preserve">16.1 </w:t>
      </w:r>
      <w:r>
        <w:rPr>
          <w:rFonts w:ascii="Arial" w:cs="Arial" w:eastAsia="Arial" w:hAnsi="Arial"/>
          <w:sz w:val="12"/>
          <w:szCs w:val="12"/>
          <w:u w:val="single" w:color="auto"/>
          <w:color w:val="auto"/>
        </w:rPr>
        <w:t>Right Of Entry</w:t>
      </w:r>
      <w:r>
        <w:rPr>
          <w:rFonts w:ascii="Arial" w:cs="Arial" w:eastAsia="Arial" w:hAnsi="Arial"/>
          <w:sz w:val="12"/>
          <w:szCs w:val="12"/>
          <w:color w:val="auto"/>
        </w:rPr>
        <w:t>. Landlord and its authorized representatives shall have the right to enter the Property at any time during the term of this Lease during normal business hours and upon not less than twenty-four (24) hours prior notice, except in the case of emergency (in which event no notice shall be required and entry may be made at any time), for the purpose of inspecting and determining the condition of the Property or for any other proper purpose including, without limitation, to make repairs, replacements or improvements which Landlord may deem necessary, to show the Property to prospective purchasers, to show the Property to prospective tenants (but only during the final year of the term of this Lease), and to post notices of nonresponsibility. Landlord shall not be liable for inconvenience, annoyance, disturbance, loss of business, quiet enjoyment or other damage or loss to Tenant by reason of making any repairs or performing any work upon the Initial Building or the Property or by reason of erecting or maintaining any protective barricades in connection with any such work, and the obligations of Tenant under this Lease shall not thereby be affected in any manner whatsoever, provided, however, Landlord shall use reasonable efforts to minimize the inconvenience to Tenant’s normal business operations caused thereby.</w:t>
      </w:r>
    </w:p>
    <w:p>
      <w:pPr>
        <w:spacing w:after="0" w:line="88" w:lineRule="exact"/>
        <w:rPr>
          <w:sz w:val="20"/>
          <w:szCs w:val="20"/>
          <w:color w:val="auto"/>
        </w:rPr>
      </w:pPr>
    </w:p>
    <w:p>
      <w:pPr>
        <w:ind w:right="300" w:firstLine="458"/>
        <w:spacing w:after="0" w:line="267" w:lineRule="auto"/>
        <w:rPr>
          <w:sz w:val="20"/>
          <w:szCs w:val="20"/>
          <w:color w:val="auto"/>
        </w:rPr>
      </w:pPr>
      <w:r>
        <w:rPr>
          <w:rFonts w:ascii="Arial" w:cs="Arial" w:eastAsia="Arial" w:hAnsi="Arial"/>
          <w:sz w:val="14"/>
          <w:szCs w:val="14"/>
          <w:color w:val="auto"/>
        </w:rPr>
        <w:t xml:space="preserve">16.2. </w:t>
      </w:r>
      <w:r>
        <w:rPr>
          <w:rFonts w:ascii="Arial" w:cs="Arial" w:eastAsia="Arial" w:hAnsi="Arial"/>
          <w:sz w:val="14"/>
          <w:szCs w:val="14"/>
          <w:u w:val="single" w:color="auto"/>
          <w:color w:val="auto"/>
        </w:rPr>
        <w:t>Quiet Enjoyment</w:t>
      </w:r>
      <w:r>
        <w:rPr>
          <w:rFonts w:ascii="Arial" w:cs="Arial" w:eastAsia="Arial" w:hAnsi="Arial"/>
          <w:sz w:val="14"/>
          <w:szCs w:val="14"/>
          <w:color w:val="auto"/>
        </w:rPr>
        <w:t>. Landlord covenants that Tenant, upon paying the rent and performing its obligations hereunder and subject to all the terms and conditions of this Lease, shall peacefully and quietly have, hold and enjoy the Property throughout the term of this Lease, or until this Lease is terminated as provided by this Lease.</w:t>
      </w:r>
    </w:p>
    <w:p>
      <w:pPr>
        <w:spacing w:after="0" w:line="227" w:lineRule="exact"/>
        <w:rPr>
          <w:sz w:val="20"/>
          <w:szCs w:val="20"/>
          <w:color w:val="auto"/>
        </w:rPr>
      </w:pPr>
    </w:p>
    <w:p>
      <w:pPr>
        <w:ind w:left="5040" w:hanging="200"/>
        <w:spacing w:after="0"/>
        <w:tabs>
          <w:tab w:leader="none" w:pos="5040" w:val="left"/>
        </w:tabs>
        <w:numPr>
          <w:ilvl w:val="0"/>
          <w:numId w:val="342"/>
        </w:numPr>
        <w:rPr>
          <w:rFonts w:ascii="Arial" w:cs="Arial" w:eastAsia="Arial" w:hAnsi="Arial"/>
          <w:sz w:val="14"/>
          <w:szCs w:val="14"/>
          <w:color w:val="auto"/>
        </w:rPr>
      </w:pPr>
      <w:r>
        <w:rPr>
          <w:rFonts w:ascii="Arial" w:cs="Arial" w:eastAsia="Arial" w:hAnsi="Arial"/>
          <w:sz w:val="14"/>
          <w:szCs w:val="14"/>
          <w:u w:val="single" w:color="auto"/>
          <w:color w:val="auto"/>
        </w:rPr>
        <w:t>CASUALTY AND TAKING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u w:val="single" w:color="auto"/>
          <w:color w:val="auto"/>
        </w:rPr>
        <w:t>Damage or Destruction</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297" w:lineRule="auto"/>
        <w:tabs>
          <w:tab w:leader="none" w:pos="1101" w:val="left"/>
        </w:tabs>
        <w:numPr>
          <w:ilvl w:val="0"/>
          <w:numId w:val="343"/>
        </w:numPr>
        <w:rPr>
          <w:rFonts w:ascii="Arial" w:cs="Arial" w:eastAsia="Arial" w:hAnsi="Arial"/>
          <w:sz w:val="12"/>
          <w:szCs w:val="12"/>
          <w:color w:val="auto"/>
        </w:rPr>
      </w:pPr>
      <w:r>
        <w:rPr>
          <w:rFonts w:ascii="Arial" w:cs="Arial" w:eastAsia="Arial" w:hAnsi="Arial"/>
          <w:sz w:val="12"/>
          <w:szCs w:val="12"/>
          <w:color w:val="auto"/>
        </w:rPr>
        <w:t>If the Initial Building, or the Common Areas of the Property necessary for Tenant’s use and occupancy of the Initial Building, are damaged or destroyed in whole or in part under circumstances in which (i) repair and restoration is permitted under applicable governmental laws, regulations and building codes then in effect and (ii) repair and restoration reasonably can be completed within a period of one (1) year following the date of the occurrence, then Landlord, as to the Common Areas of the Property and the Building Shell, and Tenant, as to the Interior Improvements, shall commence and complete, with all due diligence and as promptly as is reasonably practicable under the conditions then existing, all such repair and restoration as may be required to return the affected portions of the Property to the condition existing immediately prior to the occurrence. In connection with any such reconstruction of the Interior Improvements, Landlord shall use its best efforts (including, without limitation, any necessary negotiation or intercession with Landlord’s Lender, if any) to promptly make any proceeds of Landlord’s property insurance with respect to the Interior Improvements (up to a maximum amount equal to the amounts originally contributed by Landlord toward the construction of the Interior Improvements) available to Tenant for such reconstruction, subject only to such payment controls as Landlord and its Lender and insurer, or any of them, may reasonably require in order to ensure the proper application of such proceeds toward the reconstruction of the Interior Improvements pursuant to this Section 17.1. In the event of damage or destruction the repair of which is not permitted under applicable governmental laws, regulations and building codes then in effect, if such damage or destruction (despite being corrected to the extent then permitted under applicable governmental laws, regulations and building codes) would still materially impair Tenant’s ability to conduct its business in the Initial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20" w:top="247" w:right="259" w:bottom="1440" w:gutter="0" w:footer="0" w:header="0"/>
        </w:sectPr>
      </w:pPr>
    </w:p>
    <w:bookmarkStart w:id="408" w:name="page409"/>
    <w:bookmarkEnd w:id="408"/>
    <w:p>
      <w:pPr>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Building, then either party may terminate this Lease as of the date of the occurrence by giving written notice to the other within thirty (30) days after the date of the occurrence; if neither party timely elects such termination, or if such damage or destruction does not materially impair Tenant’s ability to conduct its business in the Initial Building, then this Lease shall continue in full force and effect, except that there shall be an equitable adjustment in monthly minimum rental and of Tenant’s Operating Cost Share of Operating Expenses, based upon the extent to which Tenant’s ability to conduct its business in the Initial Building is impaired, and Landlord and Tenant respectively shall restore the Building Shell and the Interior Improvements to a complete architectural whole and to a functional condition. In the event of damage or destruction which cannot reasonably be repaired within one (1) year following the date of the occurrence, then either Landlord or Tenant, at this election, may terminate this Lease as of the date of the occurrence by giving written notice to the other within thirty (30) days after the date of the occurrence; if neither party timely elects such termination, then this Lease shall continue in full force and effect and Landlord and Tenant shall each repair and restore applicable portions of the Property in accordance with the first sentence of this Section 17.1.</w:t>
      </w:r>
    </w:p>
    <w:p>
      <w:pPr>
        <w:spacing w:after="0" w:line="88" w:lineRule="exact"/>
        <w:rPr>
          <w:sz w:val="20"/>
          <w:szCs w:val="20"/>
          <w:color w:val="auto"/>
        </w:rPr>
      </w:pPr>
    </w:p>
    <w:p>
      <w:pPr>
        <w:ind w:left="1120" w:hanging="200"/>
        <w:spacing w:after="0"/>
        <w:tabs>
          <w:tab w:leader="none" w:pos="112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The respective obligations of Landlord and Tenant pursuant to Section 17.1(a) are subject to the following limitations:</w:t>
      </w:r>
    </w:p>
    <w:p>
      <w:pPr>
        <w:spacing w:after="0" w:line="131" w:lineRule="exact"/>
        <w:rPr>
          <w:rFonts w:ascii="Arial" w:cs="Arial" w:eastAsia="Arial" w:hAnsi="Arial"/>
          <w:sz w:val="14"/>
          <w:szCs w:val="14"/>
          <w:color w:val="auto"/>
        </w:rPr>
      </w:pPr>
    </w:p>
    <w:p>
      <w:pPr>
        <w:ind w:right="260" w:firstLine="1493"/>
        <w:spacing w:after="0" w:line="311" w:lineRule="auto"/>
        <w:tabs>
          <w:tab w:leader="none" w:pos="1652" w:val="left"/>
        </w:tabs>
        <w:numPr>
          <w:ilvl w:val="1"/>
          <w:numId w:val="344"/>
        </w:numPr>
        <w:rPr>
          <w:rFonts w:ascii="Arial" w:cs="Arial" w:eastAsia="Arial" w:hAnsi="Arial"/>
          <w:sz w:val="12"/>
          <w:szCs w:val="12"/>
          <w:color w:val="auto"/>
        </w:rPr>
      </w:pPr>
      <w:r>
        <w:rPr>
          <w:rFonts w:ascii="Arial" w:cs="Arial" w:eastAsia="Arial" w:hAnsi="Arial"/>
          <w:sz w:val="12"/>
          <w:szCs w:val="12"/>
          <w:color w:val="auto"/>
        </w:rPr>
        <w:t>If the occurrence results from a peril which is required to be insured pursuant to Section 14.1(c) and (d) above, the obligations of either party shall not exceed the amount of insurance proceeds received from insurers by reason of such occurrence, plus the amount of the party’s permitted deductible (provided that each party shall be obligated to use its best efforts to recover any available proceeds from the insurance which it is required to maintain pursuant to the provisions of Section 14.1(c) or (d), as applicable), and, if such proceeds are insufficient, either party may terminate the Lease unless the other party promptly elects and agrees, in writing, to contribute the amount of the shortfall; and</w:t>
      </w:r>
    </w:p>
    <w:p>
      <w:pPr>
        <w:spacing w:after="0" w:line="78" w:lineRule="exact"/>
        <w:rPr>
          <w:rFonts w:ascii="Arial" w:cs="Arial" w:eastAsia="Arial" w:hAnsi="Arial"/>
          <w:sz w:val="12"/>
          <w:szCs w:val="12"/>
          <w:color w:val="auto"/>
        </w:rPr>
      </w:pPr>
    </w:p>
    <w:p>
      <w:pPr>
        <w:ind w:right="180" w:firstLine="1493"/>
        <w:spacing w:after="0" w:line="305" w:lineRule="auto"/>
        <w:tabs>
          <w:tab w:leader="none" w:pos="1690" w:val="left"/>
        </w:tabs>
        <w:numPr>
          <w:ilvl w:val="1"/>
          <w:numId w:val="344"/>
        </w:numPr>
        <w:rPr>
          <w:rFonts w:ascii="Arial" w:cs="Arial" w:eastAsia="Arial" w:hAnsi="Arial"/>
          <w:sz w:val="12"/>
          <w:szCs w:val="12"/>
          <w:color w:val="auto"/>
        </w:rPr>
      </w:pPr>
      <w:r>
        <w:rPr>
          <w:rFonts w:ascii="Arial" w:cs="Arial" w:eastAsia="Arial" w:hAnsi="Arial"/>
          <w:sz w:val="12"/>
          <w:szCs w:val="12"/>
          <w:color w:val="auto"/>
        </w:rPr>
        <w:t xml:space="preserve">If the occurrence results from a peril which is not required to be insured pursuant to Section 14.l(c) and (d) above, Landlord shall be required to repair and restore the Building Shell and Common Areas to the extent necessary for Tenant’s continued use and occupancy of the Initial Building, and Tenant shall be required to repair and restore the Interior Improvements to the extent necessary for Tenant’s continued use and occupancy of the Initial Building,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party’s obligation to repair and restore shall not exceed an amount equal to five percent (5%) of the replacement cost of the Building Shell and Common Area improvements, as to Landlord, or five percent (5%) of the replacement cost of the Interior Improvements, as to Tenant; if the replacement cost as to either party exceeds such amount, then the party whose limit has been exceeded may terminate this Lease unless the other party promptly elects and agrees, in writing, to contribute the amount of the shortfall.</w:t>
      </w:r>
    </w:p>
    <w:p>
      <w:pPr>
        <w:spacing w:after="0" w:line="84" w:lineRule="exact"/>
        <w:rPr>
          <w:rFonts w:ascii="Arial" w:cs="Arial" w:eastAsia="Arial" w:hAnsi="Arial"/>
          <w:sz w:val="12"/>
          <w:szCs w:val="12"/>
          <w:color w:val="auto"/>
        </w:rPr>
      </w:pPr>
    </w:p>
    <w:p>
      <w:pPr>
        <w:ind w:firstLine="920"/>
        <w:spacing w:after="0" w:line="300" w:lineRule="auto"/>
        <w:tabs>
          <w:tab w:leader="none" w:pos="1101" w:val="left"/>
        </w:tabs>
        <w:numPr>
          <w:ilvl w:val="0"/>
          <w:numId w:val="344"/>
        </w:numPr>
        <w:rPr>
          <w:rFonts w:ascii="Arial" w:cs="Arial" w:eastAsia="Arial" w:hAnsi="Arial"/>
          <w:sz w:val="12"/>
          <w:szCs w:val="12"/>
          <w:color w:val="auto"/>
        </w:rPr>
      </w:pPr>
      <w:r>
        <w:rPr>
          <w:rFonts w:ascii="Arial" w:cs="Arial" w:eastAsia="Arial" w:hAnsi="Arial"/>
          <w:sz w:val="12"/>
          <w:szCs w:val="12"/>
          <w:color w:val="auto"/>
        </w:rPr>
        <w:t>If this Lease is terminated pursuant to the foregoing provisions of this Section 17.1 following an occurrence which is a peril required to be insured against pursuant to Section 14.1(c) and (d), Landlord and Tenant agree (and any Lender shall be asked to agree) that there shall be paid from such insurance proceeds (i) to Landlord, the proceeds of Landlord’s property insurance on the Building Shell, (ii) to Landlord, a portion of the aggregate proceeds of Landlord’s and Tenant’s property insurance on the Interior Improvements equal to a fraction, the numerator of which is the insurable value, immediately prior to the occurrence, of the Interior Improvements that would have belonged to Landlord upon termination of this Lease in accordance with the provisions of Section 11.2 and the denominator of which is the total insurable value, immediately prior to the occurrence, of all of the Interior Improvements, and (iii) to Tenant, a portion of the aggregate proceeds of Landlord’s and Tenant’s property insurance on the Interior Improvements equal to a fraction, the numerator of which is the insurable value, immediately prior to the occurrence, of the Interior Improvements that would have belonged to Tenant upon termination of this Lease in accordance with the provisions of Section 11.2 and the denominator of which is the total insurable value, immediately prior to the occurrence, of all of the Interior Improvements.</w:t>
      </w:r>
    </w:p>
    <w:p>
      <w:pPr>
        <w:spacing w:after="0" w:line="88" w:lineRule="exact"/>
        <w:rPr>
          <w:rFonts w:ascii="Arial" w:cs="Arial" w:eastAsia="Arial" w:hAnsi="Arial"/>
          <w:sz w:val="12"/>
          <w:szCs w:val="12"/>
          <w:color w:val="auto"/>
        </w:rPr>
      </w:pPr>
    </w:p>
    <w:p>
      <w:pPr>
        <w:ind w:right="60" w:firstLine="920"/>
        <w:spacing w:after="0" w:line="258" w:lineRule="auto"/>
        <w:tabs>
          <w:tab w:leader="none" w:pos="1109" w:val="left"/>
        </w:tabs>
        <w:numPr>
          <w:ilvl w:val="0"/>
          <w:numId w:val="344"/>
        </w:numPr>
        <w:rPr>
          <w:rFonts w:ascii="Arial" w:cs="Arial" w:eastAsia="Arial" w:hAnsi="Arial"/>
          <w:sz w:val="14"/>
          <w:szCs w:val="14"/>
          <w:color w:val="auto"/>
        </w:rPr>
      </w:pPr>
      <w:r>
        <w:rPr>
          <w:rFonts w:ascii="Arial" w:cs="Arial" w:eastAsia="Arial" w:hAnsi="Arial"/>
          <w:sz w:val="14"/>
          <w:szCs w:val="14"/>
          <w:color w:val="auto"/>
        </w:rPr>
        <w:t>From and after the date of an occurrence resulting in damage to or destruction of the Initial Building or of the Common Areas necessary for Tenant’s use and occupancy of the Initial Building, and continuing until repair and restoration thereof are completed, there shall be an equitable abatement of minimum rental and of Tenant’s Operating Cost Share of Operating Expenses based upon the degree to which Tenant’s ability to conduct its business in the Initial Building is impaired.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0"/>
          </w:cols>
          <w:pgMar w:left="220" w:top="247" w:right="239" w:bottom="1440" w:gutter="0" w:footer="0" w:header="0"/>
        </w:sectPr>
      </w:pPr>
    </w:p>
    <w:bookmarkStart w:id="409" w:name="page410"/>
    <w:bookmarkEnd w:id="409"/>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17.2 </w:t>
      </w:r>
      <w:r>
        <w:rPr>
          <w:rFonts w:ascii="Arial" w:cs="Arial" w:eastAsia="Arial" w:hAnsi="Arial"/>
          <w:sz w:val="14"/>
          <w:szCs w:val="14"/>
          <w:u w:val="single" w:color="auto"/>
          <w:color w:val="auto"/>
        </w:rPr>
        <w:t>Condemnation</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295" w:lineRule="auto"/>
        <w:tabs>
          <w:tab w:leader="none" w:pos="1101" w:val="left"/>
        </w:tabs>
        <w:numPr>
          <w:ilvl w:val="0"/>
          <w:numId w:val="345"/>
        </w:numPr>
        <w:rPr>
          <w:rFonts w:ascii="Arial" w:cs="Arial" w:eastAsia="Arial" w:hAnsi="Arial"/>
          <w:sz w:val="12"/>
          <w:szCs w:val="12"/>
          <w:color w:val="auto"/>
        </w:rPr>
      </w:pPr>
      <w:r>
        <w:rPr>
          <w:rFonts w:ascii="Arial" w:cs="Arial" w:eastAsia="Arial" w:hAnsi="Arial"/>
          <w:sz w:val="12"/>
          <w:szCs w:val="12"/>
          <w:color w:val="auto"/>
        </w:rPr>
        <w:t>If during the term of this Lease the Property or Improvements, or any substantial part of either, is taken by eminent domain or by reason of any public improvement or condemnation proceeding, or in any manner by exercise of the right of eminent domain (including any transfer in avoidance of an exercise of the power of eminent domain), or receives irreparable damage by reason of anything lawfully done under color of public or other authority, then (i) this Lease shall terminate as to the entire Property at Landlord’s election by written notice given to Tenant within sixty (60) days after the taking has occurred, and (ii) this Lease shall terminate as to the entire Property at Tenant’s election, by written notice given to Landlord within thirty (30) days after the nature and extent of the taking have been finally determined, if the portion of the Property taken is of such extent and nature as substantially to handicap, impede or permanently impair Tenant’s use of the balance of the Property. If Tenant elects to terminate this Lease, Tenant shall also notify Landlord of the date of termination, which date shall not be earlier than thirty (30) days nor later than ninety (90) days after Tenant has notified Landlord of Tenant’s election to terminate, except that this Lease shall terminate on the date of taking if such date falls on any date before the date of termination designated by Tenant. If neither party elects to terminate this Lease as hereinabove provided, this Lease shall continue in full force and effect (except that there shall be an equitable abatement of minimum rental and of Tenant’s Operating Cost Share of Operating Expenses based upon the degree to which Tenant’s ability to conduct its business in the Initial Building is impaired), Landlord shall restore the Building Shell and Common Area improvements to a complete architectural whole and a functional condition and as nearly as reasonably possible to the condition existing before the taking, and Tenant shall restore the Interior Improvements and Tenant’s other alterations, additions and improvements to a complete architectural whole and a functional condition and as nearly as reasonably possible to the condition existing before the taking. In connection with any such restoration, each party shall use its respective best efforts (including, without limitation, any necessary negotiation or intercession with its respective lender, if any) to ensure that any severance damages or other condemnation awards intended to provide compensation for rebuilding or restoration costs are promptly collected and made available to Landlord and Tenant in portions reasonably corresponding to the cost and scope of their respective restoration obligations, subject only to such payment controls as either party or its lender may reasonably require in order to ensure the proper application of such proceeds toward the restoration of the Improvements. Each party waives the provisions of Code of Civil Procedure Section 1265.130, allowing either party to petition the Superior Court to terminate this Lease in the event of a partial condemnation of the Property.</w:t>
      </w:r>
    </w:p>
    <w:p>
      <w:pPr>
        <w:spacing w:after="0" w:line="255" w:lineRule="exact"/>
        <w:rPr>
          <w:rFonts w:ascii="Arial" w:cs="Arial" w:eastAsia="Arial" w:hAnsi="Arial"/>
          <w:sz w:val="12"/>
          <w:szCs w:val="12"/>
          <w:color w:val="auto"/>
        </w:rPr>
      </w:pPr>
    </w:p>
    <w:p>
      <w:pPr>
        <w:ind w:left="1120" w:hanging="200"/>
        <w:spacing w:after="0"/>
        <w:tabs>
          <w:tab w:leader="none" w:pos="112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The respective obligations of Landlord and Tenant pursuant to Section 17.2(a) are subject to the following limitations:</w:t>
      </w:r>
    </w:p>
    <w:p>
      <w:pPr>
        <w:spacing w:after="0" w:line="131" w:lineRule="exact"/>
        <w:rPr>
          <w:rFonts w:ascii="Arial" w:cs="Arial" w:eastAsia="Arial" w:hAnsi="Arial"/>
          <w:sz w:val="14"/>
          <w:szCs w:val="14"/>
          <w:color w:val="auto"/>
        </w:rPr>
      </w:pPr>
    </w:p>
    <w:p>
      <w:pPr>
        <w:ind w:right="80" w:firstLine="1493"/>
        <w:spacing w:after="0" w:line="255" w:lineRule="auto"/>
        <w:tabs>
          <w:tab w:leader="none" w:pos="1652" w:val="left"/>
        </w:tabs>
        <w:numPr>
          <w:ilvl w:val="1"/>
          <w:numId w:val="345"/>
        </w:numPr>
        <w:rPr>
          <w:rFonts w:ascii="Arial" w:cs="Arial" w:eastAsia="Arial" w:hAnsi="Arial"/>
          <w:sz w:val="14"/>
          <w:szCs w:val="14"/>
          <w:color w:val="auto"/>
        </w:rPr>
      </w:pPr>
      <w:r>
        <w:rPr>
          <w:rFonts w:ascii="Arial" w:cs="Arial" w:eastAsia="Arial" w:hAnsi="Arial"/>
          <w:sz w:val="14"/>
          <w:szCs w:val="14"/>
          <w:color w:val="auto"/>
        </w:rPr>
        <w:t>Each party’s obligation to repair and restore shall not exceed, net of any condemnation awards or other proceeds available for and allocable to such restoration as contemplated in Section 17.2(a), an amount equal to five percent (5%) of the replacement cost of the Building Shell and Common Area improvements, as to Landlord, or five percent (5%) of the replacement cost of the Interior Improvements, as to Tenant; if the replacement cost as to either party exceeds such amount, then the party whose limit has been exceeded may terminate this Lease unless the other party promptly elects and agrees, in writing, to contribute the amount of the shortfall; and</w:t>
      </w:r>
    </w:p>
    <w:p>
      <w:pPr>
        <w:spacing w:after="0" w:line="109" w:lineRule="exact"/>
        <w:rPr>
          <w:rFonts w:ascii="Arial" w:cs="Arial" w:eastAsia="Arial" w:hAnsi="Arial"/>
          <w:sz w:val="14"/>
          <w:szCs w:val="14"/>
          <w:color w:val="auto"/>
        </w:rPr>
      </w:pPr>
    </w:p>
    <w:p>
      <w:pPr>
        <w:ind w:firstLine="1493"/>
        <w:spacing w:after="0" w:line="253" w:lineRule="auto"/>
        <w:tabs>
          <w:tab w:leader="none" w:pos="1690" w:val="left"/>
        </w:tabs>
        <w:numPr>
          <w:ilvl w:val="1"/>
          <w:numId w:val="345"/>
        </w:numPr>
        <w:rPr>
          <w:rFonts w:ascii="Arial" w:cs="Arial" w:eastAsia="Arial" w:hAnsi="Arial"/>
          <w:sz w:val="14"/>
          <w:szCs w:val="14"/>
          <w:color w:val="auto"/>
        </w:rPr>
      </w:pPr>
      <w:r>
        <w:rPr>
          <w:rFonts w:ascii="Arial" w:cs="Arial" w:eastAsia="Arial" w:hAnsi="Arial"/>
          <w:sz w:val="14"/>
          <w:szCs w:val="14"/>
          <w:color w:val="auto"/>
        </w:rPr>
        <w:t>If this Lease is terminated pursuant to the foregoing provisions of this Section 17.2, or if this Lease remains in effect but any condemnation awards or other proceeds become available as compensation for the loss or destruction of any of the Improvements, then Landlord and Tenant agree (and any Lender shall be asked to agree) that there shall be paid from such award or proceeds (i) to Landlord, the award or proceeds attributable or allocable to the Building Shell and/or Common Area improvements, and (ii) to Landlord and Tenant, respectively, portions of the award or proceeds attributable or allocable to the Interior Improvements, in the respective proportions in which Landlord and Tenant would have shared, under Section 17.l(c), the proceeds of any insurance proceeds following loss or destruction of such Interior Improvements by an insured casualty.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247" w:right="219" w:bottom="1440" w:gutter="0" w:footer="0" w:header="0"/>
        </w:sectPr>
      </w:pPr>
    </w:p>
    <w:bookmarkStart w:id="410" w:name="page411"/>
    <w:bookmarkEnd w:id="410"/>
    <w:p>
      <w:pPr>
        <w:ind w:firstLine="458"/>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17.3 </w:t>
      </w:r>
      <w:r>
        <w:rPr>
          <w:rFonts w:ascii="Arial" w:cs="Arial" w:eastAsia="Arial" w:hAnsi="Arial"/>
          <w:sz w:val="14"/>
          <w:szCs w:val="14"/>
          <w:u w:val="single" w:color="auto"/>
          <w:color w:val="auto"/>
        </w:rPr>
        <w:t>Reservation Of Compensation</w:t>
      </w:r>
      <w:r>
        <w:rPr>
          <w:rFonts w:ascii="Arial" w:cs="Arial" w:eastAsia="Arial" w:hAnsi="Arial"/>
          <w:sz w:val="14"/>
          <w:szCs w:val="14"/>
          <w:color w:val="auto"/>
        </w:rPr>
        <w:t>. Landlord reserves, and Tenant waives and assigns to Landlord, all rights to any award or compensation for damage to the Improvements, the Property and the leasehold estate created hereby, accruing by reason of any taking in any public improvement, condemnation or eminent domain proceeding or in any other manner by exercise of the right of eminent domain or of anything lawfully done by public authority, except that (a) Tenant shall be entitled to any and all compensation or damages paid for or on account of Tenant’s moving expenses, trade fixtures and equipment, and (b) any condemnation awards or proceeds described in Section 17.2(b)(ii) shall be allocated and disbursed in accordance with the provisions of Section 17.2(b)(ii), notwithstanding any contrary provisions of this Section 17.3.</w:t>
      </w:r>
    </w:p>
    <w:p>
      <w:pPr>
        <w:spacing w:after="0" w:line="113"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 xml:space="preserve">17.4 </w:t>
      </w:r>
      <w:r>
        <w:rPr>
          <w:rFonts w:ascii="Arial" w:cs="Arial" w:eastAsia="Arial" w:hAnsi="Arial"/>
          <w:sz w:val="12"/>
          <w:szCs w:val="12"/>
          <w:u w:val="single" w:color="auto"/>
          <w:color w:val="auto"/>
        </w:rPr>
        <w:t>Restoration Of Improvements</w:t>
      </w:r>
      <w:r>
        <w:rPr>
          <w:rFonts w:ascii="Arial" w:cs="Arial" w:eastAsia="Arial" w:hAnsi="Arial"/>
          <w:sz w:val="12"/>
          <w:szCs w:val="12"/>
          <w:color w:val="auto"/>
        </w:rPr>
        <w:t>. In connection with any repair or restoration of Improvements by either party following a casualty or taking as hereinabove set forth, the party responsible for such repair or restoration shall, to the extent possible, return such Improvements to a condition substantially equal to that which existed immediately prior to the casualty or taking. To the extent such party wishes to make material modifications to such Improvements, such modifications shall be subject to the prior written approval of the other party (not to be unreasonably withheld or delayed), except that no such approval shall be required for modifications that are required by applicable governmental authorities as a condition of the repair or restoration, unless such required modifications would impair or impede Tenant’s conduct of its business in the Initial Building (in which case any such modifications in Landlord’s work shall require Tenant’s consent, not unreasonably withheld or delayed) or would materially and adversely affect the exterior appearance, the structural integrity or the mechanical or other operating systems of the Initial Building (in which case any such modifications in Tenant’s work shall require Landlord’s consent, not unreasonably withheld or delayed).</w:t>
      </w:r>
    </w:p>
    <w:p>
      <w:pPr>
        <w:spacing w:after="0" w:line="379" w:lineRule="exact"/>
        <w:rPr>
          <w:sz w:val="20"/>
          <w:szCs w:val="20"/>
          <w:color w:val="auto"/>
        </w:rPr>
      </w:pPr>
    </w:p>
    <w:p>
      <w:pPr>
        <w:ind w:left="5540" w:hanging="206"/>
        <w:spacing w:after="0"/>
        <w:tabs>
          <w:tab w:leader="none" w:pos="5540" w:val="left"/>
        </w:tabs>
        <w:numPr>
          <w:ilvl w:val="0"/>
          <w:numId w:val="346"/>
        </w:numPr>
        <w:rPr>
          <w:rFonts w:ascii="Arial" w:cs="Arial" w:eastAsia="Arial" w:hAnsi="Arial"/>
          <w:sz w:val="14"/>
          <w:szCs w:val="14"/>
          <w:color w:val="auto"/>
        </w:rPr>
      </w:pPr>
      <w:r>
        <w:rPr>
          <w:rFonts w:ascii="Arial" w:cs="Arial" w:eastAsia="Arial" w:hAnsi="Arial"/>
          <w:sz w:val="14"/>
          <w:szCs w:val="14"/>
          <w:u w:val="single" w:color="auto"/>
          <w:color w:val="auto"/>
        </w:rPr>
        <w:t>DEFAULT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18.1 </w:t>
      </w:r>
      <w:r>
        <w:rPr>
          <w:rFonts w:ascii="Arial" w:cs="Arial" w:eastAsia="Arial" w:hAnsi="Arial"/>
          <w:sz w:val="14"/>
          <w:szCs w:val="14"/>
          <w:u w:val="single" w:color="auto"/>
          <w:color w:val="auto"/>
        </w:rPr>
        <w:t>Events Of Default</w:t>
      </w:r>
      <w:r>
        <w:rPr>
          <w:rFonts w:ascii="Arial" w:cs="Arial" w:eastAsia="Arial" w:hAnsi="Arial"/>
          <w:sz w:val="14"/>
          <w:szCs w:val="14"/>
          <w:color w:val="auto"/>
        </w:rPr>
        <w:t>. The occurrence of any of the following shall constitute an event of default on the part of Tenant:</w:t>
      </w:r>
    </w:p>
    <w:p>
      <w:pPr>
        <w:spacing w:after="0" w:line="132" w:lineRule="exact"/>
        <w:rPr>
          <w:sz w:val="20"/>
          <w:szCs w:val="20"/>
          <w:color w:val="auto"/>
        </w:rPr>
      </w:pPr>
    </w:p>
    <w:p>
      <w:pPr>
        <w:ind w:right="40" w:firstLine="920"/>
        <w:spacing w:after="0" w:line="295" w:lineRule="auto"/>
        <w:tabs>
          <w:tab w:leader="none" w:pos="1101" w:val="left"/>
        </w:tabs>
        <w:numPr>
          <w:ilvl w:val="1"/>
          <w:numId w:val="347"/>
        </w:numPr>
        <w:rPr>
          <w:rFonts w:ascii="Arial" w:cs="Arial" w:eastAsia="Arial" w:hAnsi="Arial"/>
          <w:sz w:val="12"/>
          <w:szCs w:val="12"/>
          <w:color w:val="auto"/>
        </w:rPr>
      </w:pPr>
      <w:r>
        <w:rPr>
          <w:rFonts w:ascii="Arial" w:cs="Arial" w:eastAsia="Arial" w:hAnsi="Arial"/>
          <w:sz w:val="12"/>
          <w:szCs w:val="12"/>
          <w:u w:val="single" w:color="auto"/>
          <w:color w:val="auto"/>
        </w:rPr>
        <w:t>Abandonment</w:t>
      </w:r>
      <w:r>
        <w:rPr>
          <w:rFonts w:ascii="Arial" w:cs="Arial" w:eastAsia="Arial" w:hAnsi="Arial"/>
          <w:sz w:val="12"/>
          <w:szCs w:val="12"/>
          <w:color w:val="auto"/>
        </w:rPr>
        <w:t>. Abandonment of the Property. “Abandonment” is hereby defined to include, but is not limited to, any absence by Tenant from the Property for fifteen (15) consecutive days or more while Tenant is in default under any other provision of this Lease. Tenant waives any right Tenant may have to notice under Section 1951.3 of the California Civil Code, the terms of this subsection</w:t>
      </w:r>
    </w:p>
    <w:p>
      <w:pPr>
        <w:ind w:left="180" w:hanging="176"/>
        <w:spacing w:after="0"/>
        <w:tabs>
          <w:tab w:leader="none" w:pos="180" w:val="left"/>
        </w:tabs>
        <w:numPr>
          <w:ilvl w:val="0"/>
          <w:numId w:val="348"/>
        </w:numPr>
        <w:rPr>
          <w:rFonts w:ascii="Arial" w:cs="Arial" w:eastAsia="Arial" w:hAnsi="Arial"/>
          <w:sz w:val="14"/>
          <w:szCs w:val="14"/>
          <w:color w:val="auto"/>
        </w:rPr>
      </w:pPr>
      <w:r>
        <w:rPr>
          <w:rFonts w:ascii="Arial" w:cs="Arial" w:eastAsia="Arial" w:hAnsi="Arial"/>
          <w:sz w:val="14"/>
          <w:szCs w:val="14"/>
          <w:color w:val="auto"/>
        </w:rPr>
        <w:t>being deemed such notice to Tenant as required by said Section 1951.3;</w:t>
      </w:r>
    </w:p>
    <w:p>
      <w:pPr>
        <w:spacing w:after="0" w:line="125" w:lineRule="exact"/>
        <w:rPr>
          <w:rFonts w:ascii="Arial" w:cs="Arial" w:eastAsia="Arial" w:hAnsi="Arial"/>
          <w:sz w:val="14"/>
          <w:szCs w:val="14"/>
          <w:color w:val="auto"/>
        </w:rPr>
      </w:pPr>
    </w:p>
    <w:p>
      <w:pPr>
        <w:ind w:left="1120" w:hanging="200"/>
        <w:spacing w:after="0"/>
        <w:tabs>
          <w:tab w:leader="none" w:pos="1120" w:val="left"/>
        </w:tabs>
        <w:numPr>
          <w:ilvl w:val="1"/>
          <w:numId w:val="348"/>
        </w:numPr>
        <w:rPr>
          <w:rFonts w:ascii="Arial" w:cs="Arial" w:eastAsia="Arial" w:hAnsi="Arial"/>
          <w:sz w:val="12"/>
          <w:szCs w:val="12"/>
          <w:color w:val="auto"/>
        </w:rPr>
      </w:pPr>
      <w:r>
        <w:rPr>
          <w:rFonts w:ascii="Arial" w:cs="Arial" w:eastAsia="Arial" w:hAnsi="Arial"/>
          <w:sz w:val="12"/>
          <w:szCs w:val="12"/>
          <w:u w:val="single" w:color="auto"/>
          <w:color w:val="auto"/>
        </w:rPr>
        <w:t>Nonpayment</w:t>
      </w:r>
      <w:r>
        <w:rPr>
          <w:rFonts w:ascii="Arial" w:cs="Arial" w:eastAsia="Arial" w:hAnsi="Arial"/>
          <w:sz w:val="12"/>
          <w:szCs w:val="12"/>
          <w:color w:val="auto"/>
        </w:rPr>
        <w:t>. Failure to pay, when due, any amount payable to Landlord hereunder, such failure continuing for a period of five (5) days after written notice of such failure;</w:t>
      </w:r>
    </w:p>
    <w:p>
      <w:pPr>
        <w:spacing w:after="0" w:line="154" w:lineRule="exact"/>
        <w:rPr>
          <w:rFonts w:ascii="Arial" w:cs="Arial" w:eastAsia="Arial" w:hAnsi="Arial"/>
          <w:sz w:val="12"/>
          <w:szCs w:val="12"/>
          <w:color w:val="auto"/>
        </w:rPr>
      </w:pPr>
    </w:p>
    <w:p>
      <w:pPr>
        <w:jc w:val="both"/>
        <w:ind w:right="180" w:firstLine="920"/>
        <w:spacing w:after="0" w:line="321" w:lineRule="auto"/>
        <w:tabs>
          <w:tab w:leader="none" w:pos="1101" w:val="left"/>
        </w:tabs>
        <w:numPr>
          <w:ilvl w:val="1"/>
          <w:numId w:val="348"/>
        </w:numPr>
        <w:rPr>
          <w:rFonts w:ascii="Arial" w:cs="Arial" w:eastAsia="Arial" w:hAnsi="Arial"/>
          <w:sz w:val="12"/>
          <w:szCs w:val="12"/>
          <w:color w:val="auto"/>
        </w:rPr>
      </w:pPr>
      <w:r>
        <w:rPr>
          <w:rFonts w:ascii="Arial" w:cs="Arial" w:eastAsia="Arial" w:hAnsi="Arial"/>
          <w:sz w:val="12"/>
          <w:szCs w:val="12"/>
          <w:u w:val="single" w:color="auto"/>
          <w:color w:val="auto"/>
        </w:rPr>
        <w:t>Other Obligations</w:t>
      </w:r>
      <w:r>
        <w:rPr>
          <w:rFonts w:ascii="Arial" w:cs="Arial" w:eastAsia="Arial" w:hAnsi="Arial"/>
          <w:sz w:val="12"/>
          <w:szCs w:val="12"/>
          <w:color w:val="auto"/>
        </w:rPr>
        <w:t xml:space="preserve">. Failure to perform any obligation, agreement or covenant under this Lease other than those matters specified in subsection (b) hereof, such failure continuing for fifteen (15) days after written notice of such failure;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if such failure is curable in nature but cannot reasonably be cured within such 15-day period, then Tenant shall not be in default if, and so long as, Tenant promptly (and in all events within such 15-day period) commences such cure and thereafter diligently pursues such cure to completion;</w:t>
      </w:r>
    </w:p>
    <w:p>
      <w:pPr>
        <w:spacing w:after="0" w:line="73" w:lineRule="exact"/>
        <w:rPr>
          <w:rFonts w:ascii="Arial" w:cs="Arial" w:eastAsia="Arial" w:hAnsi="Arial"/>
          <w:sz w:val="12"/>
          <w:szCs w:val="12"/>
          <w:color w:val="auto"/>
        </w:rPr>
      </w:pPr>
    </w:p>
    <w:p>
      <w:pPr>
        <w:ind w:left="1120" w:hanging="200"/>
        <w:spacing w:after="0"/>
        <w:tabs>
          <w:tab w:leader="none" w:pos="1120" w:val="left"/>
        </w:tabs>
        <w:numPr>
          <w:ilvl w:val="1"/>
          <w:numId w:val="348"/>
        </w:numPr>
        <w:rPr>
          <w:rFonts w:ascii="Arial" w:cs="Arial" w:eastAsia="Arial" w:hAnsi="Arial"/>
          <w:sz w:val="14"/>
          <w:szCs w:val="14"/>
          <w:color w:val="auto"/>
        </w:rPr>
      </w:pPr>
      <w:r>
        <w:rPr>
          <w:rFonts w:ascii="Arial" w:cs="Arial" w:eastAsia="Arial" w:hAnsi="Arial"/>
          <w:sz w:val="14"/>
          <w:szCs w:val="14"/>
          <w:u w:val="single" w:color="auto"/>
          <w:color w:val="auto"/>
        </w:rPr>
        <w:t>General Assignment</w:t>
      </w:r>
      <w:r>
        <w:rPr>
          <w:rFonts w:ascii="Arial" w:cs="Arial" w:eastAsia="Arial" w:hAnsi="Arial"/>
          <w:sz w:val="14"/>
          <w:szCs w:val="14"/>
          <w:color w:val="auto"/>
        </w:rPr>
        <w:t>. A general assignment by Tenant for the benefit of creditors;</w:t>
      </w:r>
    </w:p>
    <w:p>
      <w:pPr>
        <w:spacing w:after="0" w:line="131" w:lineRule="exact"/>
        <w:rPr>
          <w:rFonts w:ascii="Arial" w:cs="Arial" w:eastAsia="Arial" w:hAnsi="Arial"/>
          <w:sz w:val="14"/>
          <w:szCs w:val="14"/>
          <w:color w:val="auto"/>
        </w:rPr>
      </w:pPr>
    </w:p>
    <w:p>
      <w:pPr>
        <w:ind w:right="60" w:firstLine="920"/>
        <w:spacing w:after="0" w:line="305" w:lineRule="auto"/>
        <w:tabs>
          <w:tab w:leader="none" w:pos="1101" w:val="left"/>
        </w:tabs>
        <w:numPr>
          <w:ilvl w:val="1"/>
          <w:numId w:val="348"/>
        </w:numPr>
        <w:rPr>
          <w:rFonts w:ascii="Arial" w:cs="Arial" w:eastAsia="Arial" w:hAnsi="Arial"/>
          <w:sz w:val="12"/>
          <w:szCs w:val="12"/>
          <w:color w:val="auto"/>
        </w:rPr>
      </w:pPr>
      <w:r>
        <w:rPr>
          <w:rFonts w:ascii="Arial" w:cs="Arial" w:eastAsia="Arial" w:hAnsi="Arial"/>
          <w:sz w:val="12"/>
          <w:szCs w:val="12"/>
          <w:u w:val="single" w:color="auto"/>
          <w:color w:val="auto"/>
        </w:rPr>
        <w:t>Bankruptcy</w:t>
      </w:r>
      <w:r>
        <w:rPr>
          <w:rFonts w:ascii="Arial" w:cs="Arial" w:eastAsia="Arial" w:hAnsi="Arial"/>
          <w:sz w:val="12"/>
          <w:szCs w:val="12"/>
          <w:color w:val="auto"/>
        </w:rPr>
        <w:t>. The filing of any voluntary petition in bankruptcy by Tenant, or the filing of an involuntary petition by Tenant’s creditors, which involuntary petition remains undischarged for a period of thirty (30) days. In the event that under applicable law the trustee in bankruptcy or Tenant has the right to affirm this Lease and continue to perform the obligations of Tenant hereunder, such trustee or Tenant shall, 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 Specifically, but without limiting the generality of the foregoing, such adequate assurances must include assurances that the Property continues to be operated only for the use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247" w:right="219" w:bottom="1440" w:gutter="0" w:footer="0" w:header="0"/>
        </w:sectPr>
      </w:pPr>
    </w:p>
    <w:bookmarkStart w:id="411" w:name="page412"/>
    <w:bookmarkEnd w:id="411"/>
    <w:p>
      <w:pPr>
        <w:ind w:right="4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permitted hereunder. The provisions hereof are to assure that the basic understandings between Landlord and Tenant with respect to Tenant’s use of the Property and the benefits to Landlord therefrom are preserved, consistent with the purpose and intent of applicable bankruptcy laws;</w:t>
      </w:r>
    </w:p>
    <w:p>
      <w:pPr>
        <w:spacing w:after="0" w:line="101" w:lineRule="exact"/>
        <w:rPr>
          <w:sz w:val="20"/>
          <w:szCs w:val="20"/>
          <w:color w:val="auto"/>
        </w:rPr>
      </w:pPr>
    </w:p>
    <w:p>
      <w:pPr>
        <w:ind w:right="140" w:firstLine="920"/>
        <w:spacing w:after="0" w:line="267" w:lineRule="auto"/>
        <w:tabs>
          <w:tab w:leader="none" w:pos="1086" w:val="left"/>
        </w:tabs>
        <w:numPr>
          <w:ilvl w:val="0"/>
          <w:numId w:val="349"/>
        </w:numPr>
        <w:rPr>
          <w:rFonts w:ascii="Arial" w:cs="Arial" w:eastAsia="Arial" w:hAnsi="Arial"/>
          <w:sz w:val="14"/>
          <w:szCs w:val="14"/>
          <w:color w:val="auto"/>
        </w:rPr>
      </w:pPr>
      <w:r>
        <w:rPr>
          <w:rFonts w:ascii="Arial" w:cs="Arial" w:eastAsia="Arial" w:hAnsi="Arial"/>
          <w:sz w:val="14"/>
          <w:szCs w:val="14"/>
          <w:u w:val="single" w:color="auto"/>
          <w:color w:val="auto"/>
        </w:rPr>
        <w:t>Receivership</w:t>
      </w:r>
      <w:r>
        <w:rPr>
          <w:rFonts w:ascii="Arial" w:cs="Arial" w:eastAsia="Arial" w:hAnsi="Arial"/>
          <w:sz w:val="14"/>
          <w:szCs w:val="14"/>
          <w:color w:val="auto"/>
        </w:rPr>
        <w:t>. The employment of a receiver appointed by court order to take possession of substantially all of Tenant’s assets or the Property, if such receivership remains undissolved for a period of thirty (30) days;</w:t>
      </w:r>
    </w:p>
    <w:p>
      <w:pPr>
        <w:spacing w:after="0" w:line="101" w:lineRule="exact"/>
        <w:rPr>
          <w:rFonts w:ascii="Arial" w:cs="Arial" w:eastAsia="Arial" w:hAnsi="Arial"/>
          <w:sz w:val="14"/>
          <w:szCs w:val="14"/>
          <w:color w:val="auto"/>
        </w:rPr>
      </w:pPr>
    </w:p>
    <w:p>
      <w:pPr>
        <w:ind w:right="440" w:firstLine="920"/>
        <w:spacing w:after="0" w:line="267" w:lineRule="auto"/>
        <w:tabs>
          <w:tab w:leader="none" w:pos="1109" w:val="left"/>
        </w:tabs>
        <w:numPr>
          <w:ilvl w:val="0"/>
          <w:numId w:val="349"/>
        </w:numPr>
        <w:rPr>
          <w:rFonts w:ascii="Arial" w:cs="Arial" w:eastAsia="Arial" w:hAnsi="Arial"/>
          <w:sz w:val="14"/>
          <w:szCs w:val="14"/>
          <w:color w:val="auto"/>
        </w:rPr>
      </w:pPr>
      <w:r>
        <w:rPr>
          <w:rFonts w:ascii="Arial" w:cs="Arial" w:eastAsia="Arial" w:hAnsi="Arial"/>
          <w:sz w:val="14"/>
          <w:szCs w:val="14"/>
          <w:u w:val="single" w:color="auto"/>
          <w:color w:val="auto"/>
        </w:rPr>
        <w:t>Attachment</w:t>
      </w:r>
      <w:r>
        <w:rPr>
          <w:rFonts w:ascii="Arial" w:cs="Arial" w:eastAsia="Arial" w:hAnsi="Arial"/>
          <w:sz w:val="14"/>
          <w:szCs w:val="14"/>
          <w:color w:val="auto"/>
        </w:rPr>
        <w:t>. The attachment, execution or other judicial seizure of all or substantially all of Tenant’s assets or the Property, if such attachment or other seizure remains undismissed or undischarged for a period of thirty (30) days after the levy thereof; or</w:t>
      </w:r>
    </w:p>
    <w:p>
      <w:pPr>
        <w:spacing w:after="0" w:line="101" w:lineRule="exact"/>
        <w:rPr>
          <w:rFonts w:ascii="Arial" w:cs="Arial" w:eastAsia="Arial" w:hAnsi="Arial"/>
          <w:sz w:val="14"/>
          <w:szCs w:val="14"/>
          <w:color w:val="auto"/>
        </w:rPr>
      </w:pPr>
    </w:p>
    <w:p>
      <w:pPr>
        <w:ind w:firstLine="920"/>
        <w:spacing w:after="0" w:line="311" w:lineRule="auto"/>
        <w:tabs>
          <w:tab w:leader="none" w:pos="1109" w:val="left"/>
        </w:tabs>
        <w:numPr>
          <w:ilvl w:val="0"/>
          <w:numId w:val="349"/>
        </w:numPr>
        <w:rPr>
          <w:rFonts w:ascii="Arial" w:cs="Arial" w:eastAsia="Arial" w:hAnsi="Arial"/>
          <w:sz w:val="12"/>
          <w:szCs w:val="12"/>
          <w:color w:val="auto"/>
        </w:rPr>
      </w:pPr>
      <w:r>
        <w:rPr>
          <w:rFonts w:ascii="Arial" w:cs="Arial" w:eastAsia="Arial" w:hAnsi="Arial"/>
          <w:sz w:val="12"/>
          <w:szCs w:val="12"/>
          <w:u w:val="single" w:color="auto"/>
          <w:color w:val="auto"/>
        </w:rPr>
        <w:t>Insolvency</w:t>
      </w:r>
      <w:r>
        <w:rPr>
          <w:rFonts w:ascii="Arial" w:cs="Arial" w:eastAsia="Arial" w:hAnsi="Arial"/>
          <w:sz w:val="12"/>
          <w:szCs w:val="12"/>
          <w:color w:val="auto"/>
        </w:rPr>
        <w:t>. The admission by Tenant in writing of its inability to pay its debts as they become due, the filing by Tenant of a petition seeking any reorganization or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thirty (30)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18.2 </w:t>
      </w:r>
      <w:r>
        <w:rPr>
          <w:rFonts w:ascii="Arial" w:cs="Arial" w:eastAsia="Arial" w:hAnsi="Arial"/>
          <w:sz w:val="14"/>
          <w:szCs w:val="14"/>
          <w:u w:val="single" w:color="auto"/>
          <w:color w:val="auto"/>
        </w:rPr>
        <w:t>Remedies Upon Tenant’s Default</w:t>
      </w:r>
      <w:r>
        <w:rPr>
          <w:rFonts w:ascii="Arial" w:cs="Arial" w:eastAsia="Arial" w:hAnsi="Arial"/>
          <w:sz w:val="14"/>
          <w:szCs w:val="14"/>
          <w:color w:val="auto"/>
        </w:rPr>
        <w:t>.</w:t>
      </w:r>
    </w:p>
    <w:p>
      <w:pPr>
        <w:spacing w:after="0" w:line="132" w:lineRule="exact"/>
        <w:rPr>
          <w:sz w:val="20"/>
          <w:szCs w:val="20"/>
          <w:color w:val="auto"/>
        </w:rPr>
      </w:pPr>
    </w:p>
    <w:p>
      <w:pPr>
        <w:ind w:right="40" w:firstLine="920"/>
        <w:spacing w:after="0" w:line="305" w:lineRule="auto"/>
        <w:tabs>
          <w:tab w:leader="none" w:pos="1101" w:val="left"/>
        </w:tabs>
        <w:numPr>
          <w:ilvl w:val="1"/>
          <w:numId w:val="350"/>
        </w:numPr>
        <w:rPr>
          <w:rFonts w:ascii="Arial" w:cs="Arial" w:eastAsia="Arial" w:hAnsi="Arial"/>
          <w:sz w:val="12"/>
          <w:szCs w:val="12"/>
          <w:color w:val="auto"/>
        </w:rPr>
      </w:pPr>
      <w:r>
        <w:rPr>
          <w:rFonts w:ascii="Arial" w:cs="Arial" w:eastAsia="Arial" w:hAnsi="Arial"/>
          <w:sz w:val="12"/>
          <w:szCs w:val="12"/>
          <w:color w:val="auto"/>
        </w:rPr>
        <w:t>Upon the occurrence of any event of default described in Section 18.1 hereof, Landlord, in addition to and without prejudice to any other rights or remedies it may have, shall have the immediate right to re-enter the Property or any part thereof and repossess the same, expelling and removing therefrom all persons and property (which property may be stored in a public warehouse or elsewhere at the cost and risk of and for the account of Tenant), using such force as may be necessary to do so (as to which Tenant hereby waives any claim for loss or damage that may thereby occur). In addition to or in lieu of such re-entry, and without prejudice to any other rights or remedies it may have, Landlord shall have the right either (i) to terminate this Lease and recover from Tenant all damages incurred by Landlord as a result of Tenant’s default, as hereinafter provided, or (ii) to continue this Lease in effect and recover rent and other charges and amounts as they become due.</w:t>
      </w:r>
    </w:p>
    <w:p>
      <w:pPr>
        <w:spacing w:after="0" w:line="84" w:lineRule="exact"/>
        <w:rPr>
          <w:rFonts w:ascii="Arial" w:cs="Arial" w:eastAsia="Arial" w:hAnsi="Arial"/>
          <w:sz w:val="12"/>
          <w:szCs w:val="12"/>
          <w:color w:val="auto"/>
        </w:rPr>
      </w:pPr>
    </w:p>
    <w:p>
      <w:pPr>
        <w:ind w:left="1120" w:hanging="200"/>
        <w:spacing w:after="0"/>
        <w:tabs>
          <w:tab w:leader="none" w:pos="1120" w:val="left"/>
        </w:tabs>
        <w:numPr>
          <w:ilvl w:val="1"/>
          <w:numId w:val="350"/>
        </w:numPr>
        <w:rPr>
          <w:rFonts w:ascii="Arial" w:cs="Arial" w:eastAsia="Arial" w:hAnsi="Arial"/>
          <w:sz w:val="12"/>
          <w:szCs w:val="12"/>
          <w:color w:val="auto"/>
        </w:rPr>
      </w:pPr>
      <w:r>
        <w:rPr>
          <w:rFonts w:ascii="Arial" w:cs="Arial" w:eastAsia="Arial" w:hAnsi="Arial"/>
          <w:sz w:val="12"/>
          <w:szCs w:val="12"/>
          <w:color w:val="auto"/>
        </w:rPr>
        <w:t>Even if Tenant has breached this Lease or abandoned the Property, this Lease shall continue in effect for so long as Landlord does not terminate Tenant’s right to possession under subsection</w:t>
      </w:r>
    </w:p>
    <w:p>
      <w:pPr>
        <w:spacing w:after="0" w:line="35" w:lineRule="exact"/>
        <w:rPr>
          <w:rFonts w:ascii="Arial" w:cs="Arial" w:eastAsia="Arial" w:hAnsi="Arial"/>
          <w:sz w:val="12"/>
          <w:szCs w:val="12"/>
          <w:color w:val="auto"/>
        </w:rPr>
      </w:pPr>
    </w:p>
    <w:p>
      <w:pPr>
        <w:jc w:val="both"/>
        <w:ind w:right="240" w:firstLine="4"/>
        <w:spacing w:after="0" w:line="307" w:lineRule="auto"/>
        <w:tabs>
          <w:tab w:leader="none" w:pos="185" w:val="left"/>
        </w:tabs>
        <w:numPr>
          <w:ilvl w:val="0"/>
          <w:numId w:val="351"/>
        </w:numPr>
        <w:rPr>
          <w:rFonts w:ascii="Arial" w:cs="Arial" w:eastAsia="Arial" w:hAnsi="Arial"/>
          <w:sz w:val="12"/>
          <w:szCs w:val="12"/>
          <w:color w:val="auto"/>
        </w:rPr>
      </w:pPr>
      <w:r>
        <w:rPr>
          <w:rFonts w:ascii="Arial" w:cs="Arial" w:eastAsia="Arial" w:hAnsi="Arial"/>
          <w:sz w:val="12"/>
          <w:szCs w:val="12"/>
          <w:color w:val="auto"/>
        </w:rPr>
        <w:t>hereof and Landlord may enforce all of its rights and remedies under this Lease, including the right to recover rent as it becomes due, and Landlord, without terminating this Lease, may exercise all of the rights and remedies of a lessor under California Civil Code Section 1951.4 (lessor may continue lease in effect after lessee’s breach and abandonment and recover rent as it becomes due, if lessee has right to sublet or assign, subject only to reasonable limitations), or any successor Code section. Acts of maintenance, preservation or efforts to relet the Property or the appointment of a receiver upon application of Landlord to protect Landlord’s interests under this Lease shall not constitute a termination of Tenant’s right to possession.</w:t>
      </w:r>
    </w:p>
    <w:p>
      <w:pPr>
        <w:spacing w:after="0" w:line="82" w:lineRule="exact"/>
        <w:rPr>
          <w:rFonts w:ascii="Arial" w:cs="Arial" w:eastAsia="Arial" w:hAnsi="Arial"/>
          <w:sz w:val="12"/>
          <w:szCs w:val="12"/>
          <w:color w:val="auto"/>
        </w:rPr>
      </w:pPr>
    </w:p>
    <w:p>
      <w:pPr>
        <w:ind w:right="40" w:firstLine="920"/>
        <w:spacing w:after="0" w:line="300" w:lineRule="auto"/>
        <w:tabs>
          <w:tab w:leader="none" w:pos="1101" w:val="left"/>
        </w:tabs>
        <w:numPr>
          <w:ilvl w:val="1"/>
          <w:numId w:val="351"/>
        </w:numPr>
        <w:rPr>
          <w:rFonts w:ascii="Arial" w:cs="Arial" w:eastAsia="Arial" w:hAnsi="Arial"/>
          <w:sz w:val="12"/>
          <w:szCs w:val="12"/>
          <w:color w:val="auto"/>
        </w:rPr>
      </w:pPr>
      <w:r>
        <w:rPr>
          <w:rFonts w:ascii="Arial" w:cs="Arial" w:eastAsia="Arial" w:hAnsi="Arial"/>
          <w:sz w:val="12"/>
          <w:szCs w:val="12"/>
          <w:color w:val="auto"/>
        </w:rPr>
        <w:t>If Landlord terminates this Lease pursuant to this Section 18.2, Landlord shall have all of the rights and remedies of a landlord provided by Section 1951.2 of the Civil Code of the State of California, or any successor Code section, which remedies include Landlord’s right to recover from Tenant (i) the worth at the time of award of the unpaid rent and additional rent which had been earned at the time of termination, (ii) the worth at the time of award of the amount by which the unpaid rent and additional rent which would have been earned after termination until the time of award exceeds the amount of such rental loss that Tenant proves could have been reasonably avoided, (iii) the worth at the time of award of the amount by which the unpaid rent and additional rent for the balance of the term after the time of award exceeds the amount of such rental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including, but not limited to, the cost of recovering possession of the Property, expenses of reletting, including necessary repair, renovation and alteration of the Property, reasonable attorneys’ fees, and other reasonable costs. The “worth at the time of</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247" w:right="219" w:bottom="1440" w:gutter="0" w:footer="0" w:header="0"/>
        </w:sectPr>
      </w:pPr>
    </w:p>
    <w:bookmarkStart w:id="412" w:name="page413"/>
    <w:bookmarkEnd w:id="412"/>
    <w:p>
      <w:pPr>
        <w:jc w:val="both"/>
        <w:ind w:right="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award” of the amounts referred to in clauses (i) and (ii) above shall be computed by allowing interest at ten percent (10%) per annum from the date such amounts accrued to Landlord. The “worth at the time of award” of the amounts referred to in clause (iii) above shall be computed by discounting such amount at one percentage point above the discount rate of the Federal Reserve Bank of San Francisco at the time of award.</w:t>
      </w:r>
    </w:p>
    <w:p>
      <w:pPr>
        <w:spacing w:after="0" w:line="108" w:lineRule="exact"/>
        <w:rPr>
          <w:sz w:val="20"/>
          <w:szCs w:val="20"/>
          <w:color w:val="auto"/>
        </w:rPr>
      </w:pPr>
    </w:p>
    <w:p>
      <w:pPr>
        <w:ind w:right="380" w:firstLine="458"/>
        <w:spacing w:after="0" w:line="267" w:lineRule="auto"/>
        <w:rPr>
          <w:sz w:val="20"/>
          <w:szCs w:val="20"/>
          <w:color w:val="auto"/>
        </w:rPr>
      </w:pPr>
      <w:r>
        <w:rPr>
          <w:rFonts w:ascii="Arial" w:cs="Arial" w:eastAsia="Arial" w:hAnsi="Arial"/>
          <w:sz w:val="14"/>
          <w:szCs w:val="14"/>
          <w:color w:val="auto"/>
        </w:rPr>
        <w:t xml:space="preserve">18.3 </w:t>
      </w:r>
      <w:r>
        <w:rPr>
          <w:rFonts w:ascii="Arial" w:cs="Arial" w:eastAsia="Arial" w:hAnsi="Arial"/>
          <w:sz w:val="14"/>
          <w:szCs w:val="14"/>
          <w:u w:val="single" w:color="auto"/>
          <w:color w:val="auto"/>
        </w:rPr>
        <w:t>Remedies Cumulative</w:t>
      </w:r>
      <w:r>
        <w:rPr>
          <w:rFonts w:ascii="Arial" w:cs="Arial" w:eastAsia="Arial" w:hAnsi="Arial"/>
          <w:sz w:val="14"/>
          <w:szCs w:val="14"/>
          <w:color w:val="auto"/>
        </w:rPr>
        <w:t>. All rights, privileges and elections or remedies of Landlord contained in this Article 18 are cumulative and not alternative to the extent permitted by law and except as otherwise provided herein.</w:t>
      </w:r>
    </w:p>
    <w:p>
      <w:pPr>
        <w:spacing w:after="0" w:line="227" w:lineRule="exact"/>
        <w:rPr>
          <w:sz w:val="20"/>
          <w:szCs w:val="20"/>
          <w:color w:val="auto"/>
        </w:rPr>
      </w:pPr>
    </w:p>
    <w:p>
      <w:pPr>
        <w:ind w:left="4440" w:hanging="202"/>
        <w:spacing w:after="0"/>
        <w:tabs>
          <w:tab w:leader="none" w:pos="4440" w:val="left"/>
        </w:tabs>
        <w:numPr>
          <w:ilvl w:val="0"/>
          <w:numId w:val="352"/>
        </w:numPr>
        <w:rPr>
          <w:rFonts w:ascii="Arial" w:cs="Arial" w:eastAsia="Arial" w:hAnsi="Arial"/>
          <w:sz w:val="14"/>
          <w:szCs w:val="14"/>
          <w:color w:val="auto"/>
        </w:rPr>
      </w:pPr>
      <w:r>
        <w:rPr>
          <w:rFonts w:ascii="Arial" w:cs="Arial" w:eastAsia="Arial" w:hAnsi="Arial"/>
          <w:sz w:val="14"/>
          <w:szCs w:val="14"/>
          <w:u w:val="single" w:color="auto"/>
          <w:color w:val="auto"/>
        </w:rPr>
        <w:t>SUBORDINATION, ATTORNMENT AND SALE</w:t>
      </w:r>
    </w:p>
    <w:p>
      <w:pPr>
        <w:spacing w:after="0" w:line="132" w:lineRule="exact"/>
        <w:rPr>
          <w:sz w:val="20"/>
          <w:szCs w:val="20"/>
          <w:color w:val="auto"/>
        </w:rPr>
      </w:pPr>
    </w:p>
    <w:p>
      <w:pPr>
        <w:ind w:firstLine="458"/>
        <w:spacing w:after="0" w:line="294" w:lineRule="auto"/>
        <w:rPr>
          <w:sz w:val="20"/>
          <w:szCs w:val="20"/>
          <w:color w:val="auto"/>
        </w:rPr>
      </w:pPr>
      <w:r>
        <w:rPr>
          <w:rFonts w:ascii="Arial" w:cs="Arial" w:eastAsia="Arial" w:hAnsi="Arial"/>
          <w:sz w:val="12"/>
          <w:szCs w:val="12"/>
          <w:color w:val="auto"/>
        </w:rPr>
        <w:t xml:space="preserve">19.1 </w:t>
      </w:r>
      <w:r>
        <w:rPr>
          <w:rFonts w:ascii="Arial" w:cs="Arial" w:eastAsia="Arial" w:hAnsi="Arial"/>
          <w:sz w:val="12"/>
          <w:szCs w:val="12"/>
          <w:u w:val="single" w:color="auto"/>
          <w:color w:val="auto"/>
        </w:rPr>
        <w:t>Subordination To Mortgage</w:t>
      </w:r>
      <w:r>
        <w:rPr>
          <w:rFonts w:ascii="Arial" w:cs="Arial" w:eastAsia="Arial" w:hAnsi="Arial"/>
          <w:sz w:val="12"/>
          <w:szCs w:val="12"/>
          <w:color w:val="auto"/>
        </w:rPr>
        <w:t>. This Lease, and any sublease entered into by Tenant under the provisions of this Lease, shall be subject and subordinate to any ground lease, mortgage, deed of trust, sale/leaseback transaction or any other hypothecation for security now or hereafter placed upon the Initial Building, the Property, or both, and the rights of any assignee of Landlord or of any ground lessor, mortgagee, trustee, beneficiary or leaseback lessor under any of the foregoing, and to any and all advances made on the security thereof and to all renewals, modifications, consolidations, replacements and extensions thereof; provided, however, that such subordination in the case of any future ground lease, mortgage, deed of trust, sale/leaseback transaction or any other hypothecation for security placed upon the Initial Building, the Property, or both shall be conditioned on Tenant’s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 Moreover, Tenant’s obligations under this Lease shall be conditioned on Tenant’s receipt within thirty (30) days after mutual execution of this Lease, from any ground lessor, mortgagee, trustee, beneficiary or leaseback lessor currently owning or holding a security interest in the Property, of a Non-Disturbance Agreement in a form reasonably acceptable to Tenant confirming that so long as Tenant is not in default hereunder, Tenant’s rights hereunder shall not be disturbed by such person or entity. If any mortgagee, trustee, beneficiary, ground lessor, sale/leaseback lessor or assignee elects to have this Lease be an encumbrance upon the Property prior to the lien of its mortgage, deed of trust, ground lease or leaseback lease or other security arrangement and gives notice thereof to Tenant, this Lease shall be deemed prior thereto, whether this Lease is dated prior or subsequent to the date thereof or the date of recording thereof. Tenant, and any sublessee, shall execute such documents as may reasonably be requested by any mortgagee, trustee, beneficiary, ground lessor, sale/leaseback lessor or assignee to evidence the subordination herein set forth, subject to the conditions set forth above, or to make this Lease prior to the lien of any mortgage, deed of trust, ground lease, leaseback lease or other security arrangement, as the case may be, and if Tenant fails to do so within ten (10) days after demand from Landlord, Tenant constitutes and appoints Landlord as Tenant’s attorney-in-fact and in Tenant’s name, place and stead to do so. Upon any default by Landlord in the performance of its obligations under any mortgage, deed of trust, ground lease, leaseback lease or assignment, Tenant (and any sublessee) shall, notwithstanding any subordination hereunder, attorn to the mortgagee, trustee, beneficiary, ground lessor, leaseback lessor or assignee thereunder upon demand and become the tenant of the successor in interest to Landlord, at the option of such successor in interest, and shall execute and deliver any instrument or instruments confirming the attornment herein provided for.</w:t>
      </w:r>
    </w:p>
    <w:p>
      <w:pPr>
        <w:spacing w:after="0" w:line="95"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 xml:space="preserve">19.2 </w:t>
      </w:r>
      <w:r>
        <w:rPr>
          <w:rFonts w:ascii="Arial" w:cs="Arial" w:eastAsia="Arial" w:hAnsi="Arial"/>
          <w:sz w:val="14"/>
          <w:szCs w:val="14"/>
          <w:u w:val="single" w:color="auto"/>
          <w:color w:val="auto"/>
        </w:rPr>
        <w:t>Sale Of Landlord’s Interest</w:t>
      </w:r>
      <w:r>
        <w:rPr>
          <w:rFonts w:ascii="Arial" w:cs="Arial" w:eastAsia="Arial" w:hAnsi="Arial"/>
          <w:sz w:val="14"/>
          <w:szCs w:val="14"/>
          <w:color w:val="auto"/>
        </w:rPr>
        <w:t>. Upon sale, transfer or assignment of Landlord’s entire interest in the Improvements and Property, Landlord shall be relieved of its obligations hereunder with respect to liabilities accruing from and after the date of such sale, transfer or assignment, except as otherwise expressly provided in Section 21.2 hereof.</w:t>
      </w:r>
    </w:p>
    <w:p>
      <w:pPr>
        <w:spacing w:after="0" w:line="101"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 xml:space="preserve">19.3 </w:t>
      </w:r>
      <w:r>
        <w:rPr>
          <w:rFonts w:ascii="Arial" w:cs="Arial" w:eastAsia="Arial" w:hAnsi="Arial"/>
          <w:sz w:val="12"/>
          <w:szCs w:val="12"/>
          <w:u w:val="single" w:color="auto"/>
          <w:color w:val="auto"/>
        </w:rPr>
        <w:t>Estoppel Certificates</w:t>
      </w:r>
      <w:r>
        <w:rPr>
          <w:rFonts w:ascii="Arial" w:cs="Arial" w:eastAsia="Arial" w:hAnsi="Arial"/>
          <w:sz w:val="12"/>
          <w:szCs w:val="12"/>
          <w:color w:val="auto"/>
        </w:rPr>
        <w:t>. Either Tenant or Landlord (the “certifying party”) shall at any time and from time to time, within ten (10) days after written request by the other party (the “requesting party”), execute, acknowledge and deliver to the requesting party a certificate in writing stating: (i) that this Lease is unmodified and in full force and effect, or if there have been any modifications, that this Lease is in full force and effect as modified and stating the date and the nature of each modification; (ii) the date to which rental and all other sums payable hereunder have been paid; (iii) that the requesting party is not in default in the performance of any of its obligations under this Lease, that the certifying party has given no notice of default to the</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20" w:top="246" w:right="259" w:bottom="1440" w:gutter="0" w:footer="0" w:header="0"/>
        </w:sectPr>
      </w:pPr>
    </w:p>
    <w:bookmarkStart w:id="413" w:name="page414"/>
    <w:bookmarkEnd w:id="413"/>
    <w:p>
      <w:pPr>
        <w:ind w:right="2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requesting party and that no event has occurred which, but for the expiration of the applicable time period, would constitute an event of default hereunder, or if the certifying party alleges that any such default, notice or event has occurred, specifying the same in reasonable detail; and (iv) such other matters as may reasonably be requested by the requesting party or by any institutional lender, mortgagee, trustee, beneficiary, ground lessor, sale/leaseback lessor or prospective purchaser of the Property or of Tenant’s leasehold interest therein. Any such certificate provided under this Section 19.3 may be relied upon by any lender, mortgagee, trustee, beneficiary, assignee or successor in interest to the requesting party, by any prospective purchaser, by any purchaser on foreclosure or sale, by any grantee under a deed in lieu of foreclosure of any mortgage or deed of trust on the Property, or by any other third party. Failure to execute and return within the required time any estoppel certificate requested hereunder shall be deemed to be an admission of the truth of the matters set forth in the form of certificate submitted to the certifying party for execution.</w:t>
      </w:r>
    </w:p>
    <w:p>
      <w:pPr>
        <w:spacing w:after="0" w:line="86" w:lineRule="exact"/>
        <w:rPr>
          <w:sz w:val="20"/>
          <w:szCs w:val="20"/>
          <w:color w:val="auto"/>
        </w:rPr>
      </w:pPr>
    </w:p>
    <w:p>
      <w:pPr>
        <w:ind w:right="40" w:firstLine="458"/>
        <w:spacing w:after="0" w:line="305" w:lineRule="auto"/>
        <w:rPr>
          <w:sz w:val="20"/>
          <w:szCs w:val="20"/>
          <w:color w:val="auto"/>
        </w:rPr>
      </w:pPr>
      <w:r>
        <w:rPr>
          <w:rFonts w:ascii="Arial" w:cs="Arial" w:eastAsia="Arial" w:hAnsi="Arial"/>
          <w:sz w:val="12"/>
          <w:szCs w:val="12"/>
          <w:color w:val="auto"/>
        </w:rPr>
        <w:t xml:space="preserve">19.4 </w:t>
      </w:r>
      <w:r>
        <w:rPr>
          <w:rFonts w:ascii="Arial" w:cs="Arial" w:eastAsia="Arial" w:hAnsi="Arial"/>
          <w:sz w:val="12"/>
          <w:szCs w:val="12"/>
          <w:u w:val="single" w:color="auto"/>
          <w:color w:val="auto"/>
        </w:rPr>
        <w:t>Subordination to CC&amp;R’s</w:t>
      </w:r>
      <w:r>
        <w:rPr>
          <w:rFonts w:ascii="Arial" w:cs="Arial" w:eastAsia="Arial" w:hAnsi="Arial"/>
          <w:sz w:val="12"/>
          <w:szCs w:val="12"/>
          <w:color w:val="auto"/>
        </w:rPr>
        <w:t xml:space="preserve">. This Lease, and any permitted sublease entered into by Tenant under the provisions of this Lease, shall be subject and subordinate to any declarations of covenants, conditions and restrictions affecting the Property from time to time, which may include easements, access rights and similar non-exclusive use rights and privileges in favor of appropriate third parties;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following the execution of this Lease, Landlord shall not record or agree to any such declarations affecting the Property without the prior written consent of Tenant, which consent shall not be unreasonably withheld or delayed. It shall be deemed reasonable for Tenant to withhold consent to any declaration or provision thereof which impairs Tenant’s rights under this Lease in any material respect. Tenant agrees to execute, upon request by Landlord, any documents reasonably required from time to time to evidence such subordination.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19.5 </w:t>
      </w:r>
      <w:r>
        <w:rPr>
          <w:rFonts w:ascii="Arial" w:cs="Arial" w:eastAsia="Arial" w:hAnsi="Arial"/>
          <w:sz w:val="14"/>
          <w:szCs w:val="14"/>
          <w:u w:val="single" w:color="auto"/>
          <w:color w:val="auto"/>
        </w:rPr>
        <w:t>Mortgagee Protection</w:t>
      </w:r>
      <w:r>
        <w:rPr>
          <w:rFonts w:ascii="Arial" w:cs="Arial" w:eastAsia="Arial" w:hAnsi="Arial"/>
          <w:sz w:val="14"/>
          <w:szCs w:val="14"/>
          <w:color w:val="auto"/>
        </w:rPr>
        <w:t>.</w:t>
      </w:r>
    </w:p>
    <w:p>
      <w:pPr>
        <w:spacing w:after="0" w:line="132" w:lineRule="exact"/>
        <w:rPr>
          <w:sz w:val="20"/>
          <w:szCs w:val="20"/>
          <w:color w:val="auto"/>
        </w:rPr>
      </w:pPr>
    </w:p>
    <w:p>
      <w:pPr>
        <w:ind w:firstLine="920"/>
        <w:spacing w:after="0" w:line="300" w:lineRule="auto"/>
        <w:tabs>
          <w:tab w:leader="none" w:pos="1101" w:val="left"/>
        </w:tabs>
        <w:numPr>
          <w:ilvl w:val="0"/>
          <w:numId w:val="353"/>
        </w:numPr>
        <w:rPr>
          <w:rFonts w:ascii="Arial" w:cs="Arial" w:eastAsia="Arial" w:hAnsi="Arial"/>
          <w:sz w:val="12"/>
          <w:szCs w:val="12"/>
          <w:color w:val="auto"/>
        </w:rPr>
      </w:pPr>
      <w:r>
        <w:rPr>
          <w:rFonts w:ascii="Arial" w:cs="Arial" w:eastAsia="Arial" w:hAnsi="Arial"/>
          <w:sz w:val="12"/>
          <w:szCs w:val="12"/>
          <w:color w:val="auto"/>
        </w:rPr>
        <w:t>If, in connection with any future ground lease, mortgage, deed of trust, sale/leaseback transaction or any other hypothecation for security placed upon the Initial Building, the Property, or both, the ground lessor, mortgagee, trustee, beneficiary or leaseback lessor requests any changes in this Lease as a condition to its willingness to enter into or accept the ground lease, mortgage, deed of trust, sale/leaseback transaction or other hypothecation for security, then Tenant shall not unreasonably withhold or delay its consent to any such requested changes and shall execute, at the request of Landlord, an amendment to this Lease incorporating the changes thus reasonably consented to by Tenant It shall be deemed reasonable for Tenant to withhold consent to any requested change which imposes a substantial new monetary obligation on Tenant or which otherwise substantially impairs Tenant’s rights under this Lease. Tenant’s obligations under this Section 19.5(a) shall be conditioned on Tenant’s concurrent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w:t>
      </w:r>
    </w:p>
    <w:p>
      <w:pPr>
        <w:spacing w:after="0" w:line="88" w:lineRule="exact"/>
        <w:rPr>
          <w:rFonts w:ascii="Arial" w:cs="Arial" w:eastAsia="Arial" w:hAnsi="Arial"/>
          <w:sz w:val="12"/>
          <w:szCs w:val="12"/>
          <w:color w:val="auto"/>
        </w:rPr>
      </w:pPr>
    </w:p>
    <w:p>
      <w:pPr>
        <w:ind w:right="200" w:firstLine="920"/>
        <w:spacing w:after="0" w:line="258" w:lineRule="auto"/>
        <w:tabs>
          <w:tab w:leader="none" w:pos="1109" w:val="left"/>
        </w:tabs>
        <w:numPr>
          <w:ilvl w:val="0"/>
          <w:numId w:val="353"/>
        </w:numPr>
        <w:rPr>
          <w:rFonts w:ascii="Arial" w:cs="Arial" w:eastAsia="Arial" w:hAnsi="Arial"/>
          <w:sz w:val="14"/>
          <w:szCs w:val="14"/>
          <w:color w:val="auto"/>
        </w:rPr>
      </w:pPr>
      <w:r>
        <w:rPr>
          <w:rFonts w:ascii="Arial" w:cs="Arial" w:eastAsia="Arial" w:hAnsi="Arial"/>
          <w:sz w:val="14"/>
          <w:szCs w:val="14"/>
          <w:color w:val="auto"/>
        </w:rPr>
        <w:t>If, following a default by Landlord under any mortgage, deed of trust, ground lease, leaseback lease or other security arrangement covering the Property, the Property is acquired by the mortgagee, beneficiary, master lessor or other secured party, or by any other successor owner, pursuant to a foreclosure, trustee’s sale, sheriffs sale, lease termination or other similar procedure (or deed in lieu thereof), then any such person or entity so acquiring the Property shall not be:</w:t>
      </w:r>
    </w:p>
    <w:p>
      <w:pPr>
        <w:spacing w:after="0" w:line="107" w:lineRule="exact"/>
        <w:rPr>
          <w:rFonts w:ascii="Arial" w:cs="Arial" w:eastAsia="Arial" w:hAnsi="Arial"/>
          <w:sz w:val="14"/>
          <w:szCs w:val="14"/>
          <w:color w:val="auto"/>
        </w:rPr>
      </w:pPr>
    </w:p>
    <w:p>
      <w:pPr>
        <w:ind w:left="1660" w:hanging="167"/>
        <w:spacing w:after="0"/>
        <w:tabs>
          <w:tab w:leader="none" w:pos="1660" w:val="left"/>
        </w:tabs>
        <w:numPr>
          <w:ilvl w:val="1"/>
          <w:numId w:val="353"/>
        </w:numPr>
        <w:rPr>
          <w:rFonts w:ascii="Arial" w:cs="Arial" w:eastAsia="Arial" w:hAnsi="Arial"/>
          <w:sz w:val="14"/>
          <w:szCs w:val="14"/>
          <w:color w:val="auto"/>
        </w:rPr>
      </w:pPr>
      <w:r>
        <w:rPr>
          <w:rFonts w:ascii="Arial" w:cs="Arial" w:eastAsia="Arial" w:hAnsi="Arial"/>
          <w:sz w:val="14"/>
          <w:szCs w:val="14"/>
          <w:color w:val="auto"/>
        </w:rPr>
        <w:t>liable for any act or omission of a prior landlord or owner of the Property (including, but not limited to, Landlord);</w:t>
      </w:r>
    </w:p>
    <w:p>
      <w:pPr>
        <w:spacing w:after="0" w:line="131" w:lineRule="exact"/>
        <w:rPr>
          <w:rFonts w:ascii="Arial" w:cs="Arial" w:eastAsia="Arial" w:hAnsi="Arial"/>
          <w:sz w:val="14"/>
          <w:szCs w:val="14"/>
          <w:color w:val="auto"/>
        </w:rPr>
      </w:pPr>
    </w:p>
    <w:p>
      <w:pPr>
        <w:ind w:left="1700" w:hanging="207"/>
        <w:spacing w:after="0"/>
        <w:tabs>
          <w:tab w:leader="none" w:pos="1700" w:val="left"/>
        </w:tabs>
        <w:numPr>
          <w:ilvl w:val="1"/>
          <w:numId w:val="353"/>
        </w:numPr>
        <w:rPr>
          <w:rFonts w:ascii="Arial" w:cs="Arial" w:eastAsia="Arial" w:hAnsi="Arial"/>
          <w:sz w:val="14"/>
          <w:szCs w:val="14"/>
          <w:color w:val="auto"/>
        </w:rPr>
      </w:pPr>
      <w:r>
        <w:rPr>
          <w:rFonts w:ascii="Arial" w:cs="Arial" w:eastAsia="Arial" w:hAnsi="Arial"/>
          <w:sz w:val="14"/>
          <w:szCs w:val="14"/>
          <w:color w:val="auto"/>
        </w:rPr>
        <w:t>subject to any offsets or defenses that Tenant may have against any prior landlord or owner of the Property (including, but not limited to, Landlord);</w:t>
      </w:r>
    </w:p>
    <w:p>
      <w:pPr>
        <w:spacing w:after="0" w:line="131" w:lineRule="exact"/>
        <w:rPr>
          <w:rFonts w:ascii="Arial" w:cs="Arial" w:eastAsia="Arial" w:hAnsi="Arial"/>
          <w:sz w:val="14"/>
          <w:szCs w:val="14"/>
          <w:color w:val="auto"/>
        </w:rPr>
      </w:pPr>
    </w:p>
    <w:p>
      <w:pPr>
        <w:ind w:right="140" w:firstLine="1493"/>
        <w:spacing w:after="0" w:line="351" w:lineRule="auto"/>
        <w:tabs>
          <w:tab w:leader="none" w:pos="1728" w:val="left"/>
        </w:tabs>
        <w:numPr>
          <w:ilvl w:val="1"/>
          <w:numId w:val="353"/>
        </w:numPr>
        <w:rPr>
          <w:rFonts w:ascii="Arial" w:cs="Arial" w:eastAsia="Arial" w:hAnsi="Arial"/>
          <w:sz w:val="12"/>
          <w:szCs w:val="12"/>
          <w:color w:val="auto"/>
        </w:rPr>
      </w:pPr>
      <w:r>
        <w:rPr>
          <w:rFonts w:ascii="Arial" w:cs="Arial" w:eastAsia="Arial" w:hAnsi="Arial"/>
          <w:sz w:val="12"/>
          <w:szCs w:val="12"/>
          <w:color w:val="auto"/>
        </w:rPr>
        <w:t>bound by any rent or additional rent that Tenant may have paid in advance to any prior landlord or owner of the Property (including, but not limited to, Landlord) for a period in excess of one month, or by any security deposit, cleaning deposit or other prepaid charge that Tenant may have paid in advance to any prior landlord or owner (including, but not limited to, Landlord);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246" w:right="219" w:bottom="1440" w:gutter="0" w:footer="0" w:header="0"/>
        </w:sectPr>
      </w:pPr>
    </w:p>
    <w:bookmarkStart w:id="414" w:name="page415"/>
    <w:bookmarkEnd w:id="414"/>
    <w:p>
      <w:pPr>
        <w:ind w:right="160" w:firstLine="1493"/>
        <w:spacing w:after="0" w:line="258" w:lineRule="auto"/>
        <w:tabs>
          <w:tab w:leader="none" w:pos="1720" w:val="left"/>
        </w:tabs>
        <w:numPr>
          <w:ilvl w:val="0"/>
          <w:numId w:val="35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liable for any warranties or representations of any nature whatsoever, whether pursuant to this Lease or otherwise, by any prior landlord or owner of the Property (including, but not limited to, Landlord) with respect to the use, construction, zoning, compliance with laws, title, habitability, fitness for purpose or possession, or physical condition (including, without limitation, environmental matters) of the Property or Improvements; or</w:t>
      </w:r>
    </w:p>
    <w:p>
      <w:pPr>
        <w:spacing w:after="0" w:line="107" w:lineRule="exact"/>
        <w:rPr>
          <w:rFonts w:ascii="Arial" w:cs="Arial" w:eastAsia="Arial" w:hAnsi="Arial"/>
          <w:sz w:val="14"/>
          <w:szCs w:val="14"/>
          <w:color w:val="auto"/>
        </w:rPr>
      </w:pPr>
    </w:p>
    <w:p>
      <w:pPr>
        <w:ind w:right="120" w:firstLine="1493"/>
        <w:spacing w:after="0" w:line="255" w:lineRule="auto"/>
        <w:tabs>
          <w:tab w:leader="none" w:pos="1682" w:val="left"/>
        </w:tabs>
        <w:numPr>
          <w:ilvl w:val="0"/>
          <w:numId w:val="354"/>
        </w:numPr>
        <w:rPr>
          <w:rFonts w:ascii="Arial" w:cs="Arial" w:eastAsia="Arial" w:hAnsi="Arial"/>
          <w:sz w:val="14"/>
          <w:szCs w:val="14"/>
          <w:color w:val="auto"/>
        </w:rPr>
      </w:pPr>
      <w:r>
        <w:rPr>
          <w:rFonts w:ascii="Arial" w:cs="Arial" w:eastAsia="Arial" w:hAnsi="Arial"/>
          <w:sz w:val="14"/>
          <w:szCs w:val="14"/>
          <w:color w:val="auto"/>
        </w:rPr>
        <w:t>liable to Tenant in any amount beyond the interest of such mortgagee, beneficiary, master lessor or other secured party or successor owner in the Property as it exists from time to time, it being the intent of this provision that Tenant shall look solely to the interest of any such mortgagee, beneficiary, master lessor or other secured party or successor owner in the Property for the payment and discharge of the landlord’s obligations under this Lease and that such mortgagee, beneficiary, master lessor or other secured party or successor owner shall have no separate personal liability for any such obligations.</w:t>
      </w:r>
    </w:p>
    <w:p>
      <w:pPr>
        <w:spacing w:after="0" w:line="235" w:lineRule="exact"/>
        <w:rPr>
          <w:sz w:val="20"/>
          <w:szCs w:val="20"/>
          <w:color w:val="auto"/>
        </w:rPr>
      </w:pPr>
    </w:p>
    <w:p>
      <w:pPr>
        <w:ind w:left="5500" w:hanging="200"/>
        <w:spacing w:after="0"/>
        <w:tabs>
          <w:tab w:leader="none" w:pos="5500" w:val="left"/>
        </w:tabs>
        <w:numPr>
          <w:ilvl w:val="0"/>
          <w:numId w:val="355"/>
        </w:numPr>
        <w:rPr>
          <w:rFonts w:ascii="Arial" w:cs="Arial" w:eastAsia="Arial" w:hAnsi="Arial"/>
          <w:sz w:val="14"/>
          <w:szCs w:val="14"/>
          <w:color w:val="auto"/>
        </w:rPr>
      </w:pPr>
      <w:r>
        <w:rPr>
          <w:rFonts w:ascii="Arial" w:cs="Arial" w:eastAsia="Arial" w:hAnsi="Arial"/>
          <w:sz w:val="14"/>
          <w:szCs w:val="14"/>
          <w:u w:val="single" w:color="auto"/>
          <w:color w:val="auto"/>
        </w:rPr>
        <w:t>SECURITY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20.1 </w:t>
      </w:r>
      <w:r>
        <w:rPr>
          <w:rFonts w:ascii="Arial" w:cs="Arial" w:eastAsia="Arial" w:hAnsi="Arial"/>
          <w:sz w:val="12"/>
          <w:szCs w:val="12"/>
          <w:u w:val="single" w:color="auto"/>
          <w:color w:val="auto"/>
        </w:rPr>
        <w:t>Deposit</w:t>
      </w:r>
      <w:r>
        <w:rPr>
          <w:rFonts w:ascii="Arial" w:cs="Arial" w:eastAsia="Arial" w:hAnsi="Arial"/>
          <w:sz w:val="12"/>
          <w:szCs w:val="12"/>
          <w:color w:val="auto"/>
        </w:rPr>
        <w:t>. Concurrently with Tenant’s execution of this Lease, Tenant shall deposit with Landlord the sum of One Hundred Nineteen Thousand Two Hundred Forty and No/100 Dollars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($119,240.00), which sum (the “Security Deposit”) shall be held by Landlord as security for the faithful performance of all of the terms, covenants, and conditions of this Lease to be kept and performed by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Tenant during the term hereof. If Tenant defaults with respect to any provision of this Lease, including, without limitation, the provisions relating to the payment of rental and other sums due hereunder, Landlord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shall have the right, but shall not be required, to use, apply or retain all or any part of the Security Deposit for the payment of rental or any other amount which Landlord may spend or become obligated to spend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by reason of Tenant’s default or to compensate Landlord for any other loss or damage which Landlord may suffer by reason of Tenant’s default. If any portion of the Security Deposit is so used or applied, Tenant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shall, within ten (10) days after written demand therefor, deposit cash with Landlord in an amount sufficient to restore the Security Deposit to its original amount and Tenant’s failure to do so shall be a material</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breach of this Lease. Landlord shall not be required to keep any deposit under this Section separate from Landlord’s general funds, and Tenant shall not be entitled to interest thereon. If Tenant fully and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faithfully performs every provision of this Lease to be performed by it, the Security Deposit, or any balance thereof, shall be returned to Tenant or, at Landlord’s option, to the last assignee of Tenant’s interest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hereunder, at the expiration of the term of this Lease and after Tenant has vacated the Property. In the event of termination of Landlord’s interest in this Lease, Landlord shall transfer all deposits then held by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Landlord under this Section to Landlord’s successor in interest, whereupon Tenant agrees to release Landlord from all liability for the return of such deposit or the accounting thereof.</w:t>
      </w:r>
    </w:p>
    <w:p>
      <w:pPr>
        <w:spacing w:after="0" w:line="251" w:lineRule="exact"/>
        <w:rPr>
          <w:sz w:val="20"/>
          <w:szCs w:val="20"/>
          <w:color w:val="auto"/>
        </w:rPr>
      </w:pPr>
    </w:p>
    <w:p>
      <w:pPr>
        <w:ind w:left="5280" w:hanging="214"/>
        <w:spacing w:after="0"/>
        <w:tabs>
          <w:tab w:leader="none" w:pos="5280" w:val="left"/>
        </w:tabs>
        <w:numPr>
          <w:ilvl w:val="0"/>
          <w:numId w:val="356"/>
        </w:numPr>
        <w:rPr>
          <w:rFonts w:ascii="Arial" w:cs="Arial" w:eastAsia="Arial" w:hAnsi="Arial"/>
          <w:sz w:val="14"/>
          <w:szCs w:val="14"/>
          <w:color w:val="auto"/>
        </w:rPr>
      </w:pPr>
      <w:r>
        <w:rPr>
          <w:rFonts w:ascii="Arial" w:cs="Arial" w:eastAsia="Arial" w:hAnsi="Arial"/>
          <w:sz w:val="14"/>
          <w:szCs w:val="14"/>
          <w:u w:val="single" w:color="auto"/>
          <w:color w:val="auto"/>
        </w:rPr>
        <w:t>MISCELLANEOUS</w:t>
      </w:r>
    </w:p>
    <w:p>
      <w:pPr>
        <w:spacing w:after="0" w:line="132" w:lineRule="exact"/>
        <w:rPr>
          <w:sz w:val="20"/>
          <w:szCs w:val="20"/>
          <w:color w:val="auto"/>
        </w:rPr>
      </w:pPr>
    </w:p>
    <w:p>
      <w:pPr>
        <w:jc w:val="both"/>
        <w:ind w:right="60" w:firstLine="458"/>
        <w:spacing w:after="0" w:line="258"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consents, waivers and other communications which this Lease requires or permits either party to give to the other shall be in writing and shall be deemed given when delivered personally (including delivery by private courier or express delivery service) or four (4) days after deposit in the United States mail, registered or certified mail, postage prepaid, addressed to the parties at their respective addresses as follows:</w:t>
      </w:r>
    </w:p>
    <w:p>
      <w:pPr>
        <w:sectPr>
          <w:pgSz w:w="11900" w:h="16838" w:orient="portrait"/>
          <w:cols w:equalWidth="0" w:num="1">
            <w:col w:w="11460"/>
          </w:cols>
          <w:pgMar w:left="220" w:top="247" w:right="21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To Tenant: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(until Commencement Date)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Tularik Inc.</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270 E. Grand Avenue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South San Francisco, CA 94080</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Attn: James M. Gower, Chairman</w:t>
      </w:r>
    </w:p>
    <w:p>
      <w:pPr>
        <w:spacing w:after="0" w:line="107" w:lineRule="exact"/>
        <w:rPr>
          <w:sz w:val="20"/>
          <w:szCs w:val="20"/>
          <w:color w:val="auto"/>
        </w:rPr>
      </w:pPr>
    </w:p>
    <w:p>
      <w:pPr>
        <w:sectPr>
          <w:pgSz w:w="11900" w:h="16838" w:orient="portrait"/>
          <w:cols w:equalWidth="0" w:num="2">
            <w:col w:w="1040" w:space="580"/>
            <w:col w:w="9840"/>
          </w:cols>
          <w:pgMar w:left="220" w:top="247" w:right="219" w:bottom="1440" w:gutter="0" w:footer="0" w:header="0"/>
          <w:type w:val="continuous"/>
        </w:sectPr>
      </w:pPr>
    </w:p>
    <w:p>
      <w:pPr>
        <w:ind w:left="1620"/>
        <w:spacing w:after="0"/>
        <w:rPr>
          <w:sz w:val="20"/>
          <w:szCs w:val="20"/>
          <w:color w:val="auto"/>
        </w:rPr>
      </w:pPr>
      <w:r>
        <w:rPr>
          <w:rFonts w:ascii="Arial" w:cs="Arial" w:eastAsia="Arial" w:hAnsi="Arial"/>
          <w:sz w:val="14"/>
          <w:szCs w:val="14"/>
          <w:color w:val="auto"/>
        </w:rPr>
        <w:t>(after Commencement Date)</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[At the Initial Building —</w:t>
      </w:r>
    </w:p>
    <w:p>
      <w:pPr>
        <w:spacing w:after="0" w:line="6"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address to be supplied]</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Attn: James M. Gower, Chairman</w:t>
      </w:r>
    </w:p>
    <w:p>
      <w:pPr>
        <w:sectPr>
          <w:pgSz w:w="11900" w:h="16838" w:orient="portrait"/>
          <w:cols w:equalWidth="0" w:num="1">
            <w:col w:w="11460"/>
          </w:cols>
          <w:pgMar w:left="220" w:top="247" w:right="219" w:bottom="1440" w:gutter="0" w:footer="0" w:header="0"/>
          <w:type w:val="continuous"/>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60"/>
          </w:cols>
          <w:pgMar w:left="220" w:top="247" w:right="219" w:bottom="1440" w:gutter="0" w:footer="0" w:header="0"/>
          <w:type w:val="continuous"/>
        </w:sectPr>
      </w:pPr>
    </w:p>
    <w:bookmarkStart w:id="415" w:name="page416"/>
    <w:bookmarkEnd w:id="415"/>
    <w:p>
      <w:pPr>
        <w:ind w:left="460"/>
        <w:spacing w:after="0"/>
        <w:rPr>
          <w:sz w:val="20"/>
          <w:szCs w:val="20"/>
          <w:color w:val="auto"/>
        </w:rPr>
      </w:pPr>
      <w:r>
        <w:rPr>
          <w:rFonts w:ascii="Arial" w:cs="Arial" w:eastAsia="Arial" w:hAnsi="Arial"/>
          <w:sz w:val="12"/>
          <w:szCs w:val="12"/>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Cooley Godward Castro Huddleson &amp;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-154940</wp:posOffset>
            </wp:positionV>
            <wp:extent cx="7316470" cy="323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Five Palo Alto Square, 4th Floor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Palo Alto, CA 94306-2155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Brian Cunningham</w:t>
      </w:r>
    </w:p>
    <w:p>
      <w:pPr>
        <w:spacing w:after="0" w:line="84" w:lineRule="exact"/>
        <w:rPr>
          <w:sz w:val="20"/>
          <w:szCs w:val="20"/>
          <w:color w:val="auto"/>
        </w:rPr>
      </w:pPr>
    </w:p>
    <w:p>
      <w:pPr>
        <w:sectPr>
          <w:pgSz w:w="11900" w:h="16838" w:orient="portrait"/>
          <w:cols w:equalWidth="0" w:num="2">
            <w:col w:w="1180" w:space="660"/>
            <w:col w:w="9620"/>
          </w:cols>
          <w:pgMar w:left="220" w:top="247" w:right="219" w:bottom="1440" w:gutter="0" w:footer="0" w:header="0"/>
        </w:sectPr>
      </w:pPr>
    </w:p>
    <w:p>
      <w:pPr>
        <w:ind w:left="460"/>
        <w:spacing w:after="0"/>
        <w:rPr>
          <w:sz w:val="20"/>
          <w:szCs w:val="20"/>
          <w:color w:val="auto"/>
        </w:rPr>
      </w:pPr>
      <w:r>
        <w:rPr>
          <w:rFonts w:ascii="Arial" w:cs="Arial" w:eastAsia="Arial" w:hAnsi="Arial"/>
          <w:sz w:val="12"/>
          <w:szCs w:val="12"/>
          <w:color w:val="auto"/>
        </w:rPr>
        <w:t>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Britannia Developments, Inc.</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1939 Harrison Street, Suite 610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Park Plaza Building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Oakland, CA 94612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T. J. Bristow</w:t>
      </w:r>
    </w:p>
    <w:p>
      <w:pPr>
        <w:spacing w:after="0" w:line="84" w:lineRule="exact"/>
        <w:rPr>
          <w:sz w:val="20"/>
          <w:szCs w:val="20"/>
          <w:color w:val="auto"/>
        </w:rPr>
      </w:pPr>
    </w:p>
    <w:p>
      <w:pPr>
        <w:sectPr>
          <w:pgSz w:w="11900" w:h="16838" w:orient="portrait"/>
          <w:cols w:equalWidth="0" w:num="2">
            <w:col w:w="1180" w:space="660"/>
            <w:col w:w="9620"/>
          </w:cols>
          <w:pgMar w:left="220" w:top="247" w:right="219" w:bottom="1440" w:gutter="0" w:footer="0" w:header="0"/>
          <w:type w:val="continuous"/>
        </w:sectPr>
      </w:pPr>
    </w:p>
    <w:p>
      <w:pPr>
        <w:ind w:left="460"/>
        <w:spacing w:after="0"/>
        <w:rPr>
          <w:sz w:val="20"/>
          <w:szCs w:val="20"/>
          <w:color w:val="auto"/>
        </w:rPr>
      </w:pPr>
      <w:r>
        <w:rPr>
          <w:rFonts w:ascii="Arial" w:cs="Arial" w:eastAsia="Arial" w:hAnsi="Arial"/>
          <w:sz w:val="12"/>
          <w:szCs w:val="12"/>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Folger &amp; Levin</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Embarcadero Center West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275 Battery Street, 23rd Floor</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 94111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Donald E. Kelley, Jr.</w:t>
      </w:r>
    </w:p>
    <w:p>
      <w:pPr>
        <w:spacing w:after="0" w:line="84" w:lineRule="exact"/>
        <w:rPr>
          <w:sz w:val="20"/>
          <w:szCs w:val="20"/>
          <w:color w:val="auto"/>
        </w:rPr>
      </w:pPr>
    </w:p>
    <w:p>
      <w:pPr>
        <w:sectPr>
          <w:pgSz w:w="11900" w:h="16838" w:orient="portrait"/>
          <w:cols w:equalWidth="0" w:num="2">
            <w:col w:w="1180" w:space="660"/>
            <w:col w:w="9620"/>
          </w:cols>
          <w:pgMar w:left="220" w:top="247" w:right="219" w:bottom="1440" w:gutter="0" w:footer="0" w:header="0"/>
          <w:type w:val="continuous"/>
        </w:sectPr>
      </w:pPr>
    </w:p>
    <w:p>
      <w:pPr>
        <w:ind w:left="460"/>
        <w:spacing w:after="0"/>
        <w:rPr>
          <w:sz w:val="20"/>
          <w:szCs w:val="20"/>
          <w:color w:val="auto"/>
        </w:rPr>
      </w:pPr>
      <w:r>
        <w:rPr>
          <w:rFonts w:ascii="Arial" w:cs="Arial" w:eastAsia="Arial" w:hAnsi="Arial"/>
          <w:sz w:val="12"/>
          <w:szCs w:val="12"/>
          <w:color w:val="auto"/>
        </w:rPr>
        <w:t>and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SDK Incorporated</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33 West Monroe Street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Chicago, IL 60603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Marshall Lees</w:t>
      </w:r>
    </w:p>
    <w:p>
      <w:pPr>
        <w:spacing w:after="0" w:line="126" w:lineRule="exact"/>
        <w:rPr>
          <w:sz w:val="20"/>
          <w:szCs w:val="20"/>
          <w:color w:val="auto"/>
        </w:rPr>
      </w:pPr>
    </w:p>
    <w:p>
      <w:pPr>
        <w:sectPr>
          <w:pgSz w:w="11900" w:h="16838" w:orient="portrait"/>
          <w:cols w:equalWidth="0" w:num="2">
            <w:col w:w="1140" w:space="700"/>
            <w:col w:w="9620"/>
          </w:cols>
          <w:pgMar w:left="220" w:top="247" w:right="219" w:bottom="1440" w:gutter="0" w:footer="0" w:header="0"/>
          <w:type w:val="continuous"/>
        </w:sectPr>
      </w:pPr>
    </w:p>
    <w:p>
      <w:pPr>
        <w:jc w:val="both"/>
        <w:spacing w:after="0" w:line="258" w:lineRule="auto"/>
        <w:rPr>
          <w:sz w:val="20"/>
          <w:szCs w:val="20"/>
          <w:color w:val="auto"/>
        </w:rPr>
      </w:pPr>
      <w:r>
        <w:rPr>
          <w:rFonts w:ascii="Arial" w:cs="Arial" w:eastAsia="Arial" w:hAnsi="Arial"/>
          <w:sz w:val="14"/>
          <w:szCs w:val="14"/>
          <w:color w:val="auto"/>
        </w:rPr>
        <w:t>or to such other address as may be contained in a notice at least fifteen (15) days prior to the address change from either party to the other given pursuant to this Section. Rental payments and other sums required by this Lease to be paid by Tenant shall be delivered to Landlord at Landlord’s address provided in this Section, or to such other address as Landlord may from time to time specify in writing to Tenant, and shall be deemed to be paid only upon actual receipt.</w:t>
      </w:r>
    </w:p>
    <w:p>
      <w:pPr>
        <w:spacing w:after="0" w:line="108" w:lineRule="exact"/>
        <w:rPr>
          <w:sz w:val="20"/>
          <w:szCs w:val="20"/>
          <w:color w:val="auto"/>
        </w:rPr>
      </w:pPr>
    </w:p>
    <w:p>
      <w:pPr>
        <w:ind w:right="20" w:firstLine="458"/>
        <w:spacing w:after="0" w:line="302" w:lineRule="auto"/>
        <w:rPr>
          <w:sz w:val="20"/>
          <w:szCs w:val="20"/>
          <w:color w:val="auto"/>
        </w:rPr>
      </w:pPr>
      <w:r>
        <w:rPr>
          <w:rFonts w:ascii="Arial" w:cs="Arial" w:eastAsia="Arial" w:hAnsi="Arial"/>
          <w:sz w:val="12"/>
          <w:szCs w:val="12"/>
          <w:color w:val="auto"/>
        </w:rPr>
        <w:t xml:space="preserve">21.2 </w:t>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xml:space="preserve">. The obligations of this Lease shall run with the land, and this Lease shall be binding upon and inure to the benefit of the parties hereto and their respective successors and assigns, except that the original Landlord named herein and each successive Landlord under this Lease shall be liable only for obligations accruing during the period of its ownership of the Property, said liability terminating upon termination of such ownership and passing to the successor lessor, except as otherwise expressly provided in the following sentence. Tenant acknowledges that it has been advised by Landlord that following execution of this Lease, Landlord intends to assign its rights and obligations hereunder (a) to a limited liability company or other entity having substantially the same ownership and management as Landlord, and/or (b) to an entity of which Landlord or an affiliate of Landlord is a general partner or has management responsibilities and equity participation comparable to those of a general partner; </w:t>
      </w:r>
      <w:r>
        <w:rPr>
          <w:rFonts w:ascii="Arial" w:cs="Arial" w:eastAsia="Arial" w:hAnsi="Arial"/>
          <w:sz w:val="12"/>
          <w:szCs w:val="12"/>
          <w:u w:val="single" w:color="auto"/>
          <w:color w:val="auto"/>
        </w:rPr>
        <w:t>provided</w:t>
      </w:r>
      <w:r>
        <w:rPr>
          <w:rFonts w:ascii="Arial" w:cs="Arial" w:eastAsia="Arial" w:hAnsi="Arial"/>
          <w:sz w:val="12"/>
          <w:szCs w:val="12"/>
          <w:color w:val="auto"/>
        </w:rPr>
        <w:t>, that any such assignment shall not relieve Landlord of any of its obligations under this Lease.</w:t>
      </w:r>
    </w:p>
    <w:p>
      <w:pPr>
        <w:spacing w:after="0" w:line="86"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u w:val="single" w:color="auto"/>
          <w:color w:val="auto"/>
        </w:rPr>
        <w:t>No Waiver</w:t>
      </w:r>
      <w:r>
        <w:rPr>
          <w:rFonts w:ascii="Arial" w:cs="Arial" w:eastAsia="Arial" w:hAnsi="Arial"/>
          <w:sz w:val="14"/>
          <w:szCs w:val="14"/>
          <w:color w:val="auto"/>
        </w:rPr>
        <w:t>. The failure of Landlord to seek redress for violation, or to insist upon the strict performance, of any covenant or condition of this Lease shall not be deemed a waiver of such violation, or prevent a subsequent act which would originally have constituted a violation from having all the force and effect of an original violation.</w:t>
      </w:r>
    </w:p>
    <w:p>
      <w:pPr>
        <w:spacing w:after="0" w:line="101" w:lineRule="exact"/>
        <w:rPr>
          <w:sz w:val="20"/>
          <w:szCs w:val="20"/>
          <w:color w:val="auto"/>
        </w:rPr>
      </w:pPr>
    </w:p>
    <w:p>
      <w:pPr>
        <w:ind w:right="100" w:firstLine="458"/>
        <w:spacing w:after="0" w:line="321"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this Lease or the application thereof is held to be invalid or unenforceable, the remainder of this Lease or the application of such provision to persons or circumstances other than those as to which it is invalid or unenforceable shall not be affected thereby, and each of the provisions of this Lease shall be valid and enforceable, unless enforcement of this Lease as so invalidated would be unreasonable or grossly inequitable under all the circumstances or would materially frustrate the purposes of this Lease.</w:t>
      </w:r>
    </w:p>
    <w:p>
      <w:pPr>
        <w:spacing w:after="0" w:line="73" w:lineRule="exact"/>
        <w:rPr>
          <w:sz w:val="20"/>
          <w:szCs w:val="20"/>
          <w:color w:val="auto"/>
        </w:rPr>
      </w:pPr>
    </w:p>
    <w:p>
      <w:pPr>
        <w:ind w:right="100" w:firstLine="458"/>
        <w:spacing w:after="0" w:line="253" w:lineRule="auto"/>
        <w:rPr>
          <w:sz w:val="20"/>
          <w:szCs w:val="20"/>
          <w:color w:val="auto"/>
        </w:rPr>
      </w:pPr>
      <w:r>
        <w:rPr>
          <w:rFonts w:ascii="Arial" w:cs="Arial" w:eastAsia="Arial" w:hAnsi="Arial"/>
          <w:sz w:val="14"/>
          <w:szCs w:val="14"/>
          <w:color w:val="auto"/>
        </w:rPr>
        <w:t xml:space="preserve">21.5 </w:t>
      </w:r>
      <w:r>
        <w:rPr>
          <w:rFonts w:ascii="Arial" w:cs="Arial" w:eastAsia="Arial" w:hAnsi="Arial"/>
          <w:sz w:val="14"/>
          <w:szCs w:val="14"/>
          <w:u w:val="single" w:color="auto"/>
          <w:color w:val="auto"/>
        </w:rPr>
        <w:t>Litigation Between Parties</w:t>
      </w:r>
      <w:r>
        <w:rPr>
          <w:rFonts w:ascii="Arial" w:cs="Arial" w:eastAsia="Arial" w:hAnsi="Arial"/>
          <w:sz w:val="14"/>
          <w:szCs w:val="14"/>
          <w:color w:val="auto"/>
        </w:rPr>
        <w:t>. In the event of any litigation or other dispute resolution proceedings between the parties hereto arising out of or in connection with this Lease, the prevailing party shall be reimbursed for all reasonable costs, including, but not limited to, reasonable accountants’ fees and attorneys’ fees, incurred in connection with such proceedings (including, but not limited to, any appellate proceedings relating thereto) or in connection with the enforcement of any judgment or award rendered in such proceedings. “Prevailing party” within the meaning of this Section shall include, without limitation, a party who dismisses an action for recovery hereunder in exchange for payment of the sums allegedly due, performance of covenants allegedly breached or consideration substantially equal to the relief sought in the 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247" w:right="219" w:bottom="1440" w:gutter="0" w:footer="0" w:header="0"/>
          <w:type w:val="continuous"/>
        </w:sectPr>
      </w:pPr>
    </w:p>
    <w:bookmarkStart w:id="416" w:name="page417"/>
    <w:bookmarkEnd w:id="416"/>
    <w:p>
      <w:pPr>
        <w:ind w:right="100"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21.6 </w:t>
      </w:r>
      <w:r>
        <w:rPr>
          <w:rFonts w:ascii="Arial" w:cs="Arial" w:eastAsia="Arial" w:hAnsi="Arial"/>
          <w:sz w:val="14"/>
          <w:szCs w:val="14"/>
          <w:u w:val="single" w:color="auto"/>
          <w:color w:val="auto"/>
        </w:rPr>
        <w:t>Surrender</w:t>
      </w:r>
      <w:r>
        <w:rPr>
          <w:rFonts w:ascii="Arial" w:cs="Arial" w:eastAsia="Arial" w:hAnsi="Arial"/>
          <w:sz w:val="14"/>
          <w:szCs w:val="14"/>
          <w:color w:val="auto"/>
        </w:rPr>
        <w:t>. A voluntary or other surrender of this Lease by Tenant, or a mutual termination thereof between Landlord and Tenant, shall not result in a merger but shall, at the option of Landlord, operate either as an assignment to Landlord of any and all existing subleases and subtenancies, or a termination of all or any existing subleases and subtenancies. This provision shall be contained in any and all assignments or subleases made pursuant to this Lease.</w:t>
      </w:r>
    </w:p>
    <w:p>
      <w:pPr>
        <w:spacing w:after="0" w:line="108" w:lineRule="exact"/>
        <w:rPr>
          <w:sz w:val="20"/>
          <w:szCs w:val="20"/>
          <w:color w:val="auto"/>
        </w:rPr>
      </w:pPr>
    </w:p>
    <w:p>
      <w:pPr>
        <w:ind w:right="80" w:firstLine="458"/>
        <w:spacing w:after="0" w:line="351" w:lineRule="auto"/>
        <w:rPr>
          <w:sz w:val="20"/>
          <w:szCs w:val="20"/>
          <w:color w:val="auto"/>
        </w:rPr>
      </w:pPr>
      <w:r>
        <w:rPr>
          <w:rFonts w:ascii="Arial" w:cs="Arial" w:eastAsia="Arial" w:hAnsi="Arial"/>
          <w:sz w:val="12"/>
          <w:szCs w:val="12"/>
          <w:color w:val="auto"/>
        </w:rPr>
        <w:t xml:space="preserve">21.7 </w:t>
      </w:r>
      <w:r>
        <w:rPr>
          <w:rFonts w:ascii="Arial" w:cs="Arial" w:eastAsia="Arial" w:hAnsi="Arial"/>
          <w:sz w:val="12"/>
          <w:szCs w:val="12"/>
          <w:u w:val="single" w:color="auto"/>
          <w:color w:val="auto"/>
        </w:rPr>
        <w:t>Interpretation</w:t>
      </w:r>
      <w:r>
        <w:rPr>
          <w:rFonts w:ascii="Arial" w:cs="Arial" w:eastAsia="Arial" w:hAnsi="Arial"/>
          <w:sz w:val="12"/>
          <w:szCs w:val="12"/>
          <w:color w:val="auto"/>
        </w:rPr>
        <w:t>. The provisions of this Lease shall be construed as a whole, according to their common meaning, and not strictly for or against Landlord or Tenant. The captions preceding the text of each Section and subsection hereof are included only for convenience of reference and shall be disregarded in the construction or interpretation of this Lease.</w:t>
      </w:r>
    </w:p>
    <w:p>
      <w:pPr>
        <w:spacing w:after="0" w:line="56" w:lineRule="exact"/>
        <w:rPr>
          <w:sz w:val="20"/>
          <w:szCs w:val="20"/>
          <w:color w:val="auto"/>
        </w:rPr>
      </w:pPr>
    </w:p>
    <w:p>
      <w:pPr>
        <w:ind w:right="240" w:firstLine="458"/>
        <w:spacing w:after="0" w:line="258" w:lineRule="auto"/>
        <w:rPr>
          <w:sz w:val="20"/>
          <w:szCs w:val="20"/>
          <w:color w:val="auto"/>
        </w:rPr>
      </w:pPr>
      <w:r>
        <w:rPr>
          <w:rFonts w:ascii="Arial" w:cs="Arial" w:eastAsia="Arial" w:hAnsi="Arial"/>
          <w:sz w:val="14"/>
          <w:szCs w:val="14"/>
          <w:color w:val="auto"/>
        </w:rPr>
        <w:t xml:space="preserve">21.8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written Lease, together with the exhibits hereto, contains all the representations and the entire understanding between the parties hereto with respect to the subject matter hereof. Any prior correspondence, memoranda or agreements are replaced in total by this Lease and the exhibits hereto. This Lease may be modified only by an agreement in writing signed by each of the parties.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21.9 </w:t>
      </w:r>
      <w:r>
        <w:rPr>
          <w:rFonts w:ascii="Arial" w:cs="Arial" w:eastAsia="Arial" w:hAnsi="Arial"/>
          <w:sz w:val="12"/>
          <w:szCs w:val="12"/>
          <w:u w:val="single" w:color="auto"/>
          <w:color w:val="auto"/>
        </w:rPr>
        <w:t>Governing Law</w:t>
      </w:r>
      <w:r>
        <w:rPr>
          <w:rFonts w:ascii="Arial" w:cs="Arial" w:eastAsia="Arial" w:hAnsi="Arial"/>
          <w:sz w:val="12"/>
          <w:szCs w:val="12"/>
          <w:color w:val="auto"/>
        </w:rPr>
        <w:t>. This Lease and all exhibits hereto shall be construed and interpreted in accordance with and be governed by all the provisions of the laws of the State of California.</w:t>
      </w:r>
    </w:p>
    <w:p>
      <w:pPr>
        <w:spacing w:after="0" w:line="155"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21.10 </w:t>
      </w:r>
      <w:r>
        <w:rPr>
          <w:rFonts w:ascii="Arial" w:cs="Arial" w:eastAsia="Arial" w:hAnsi="Arial"/>
          <w:sz w:val="14"/>
          <w:szCs w:val="14"/>
          <w:u w:val="single" w:color="auto"/>
          <w:color w:val="auto"/>
        </w:rPr>
        <w:t>No Partnership</w:t>
      </w:r>
      <w:r>
        <w:rPr>
          <w:rFonts w:ascii="Arial" w:cs="Arial" w:eastAsia="Arial" w:hAnsi="Arial"/>
          <w:sz w:val="14"/>
          <w:szCs w:val="14"/>
          <w:color w:val="auto"/>
        </w:rPr>
        <w:t>. The relationship between Landlord and Tenant is solely that of a lessor and lessee. Nothing contained in this Lease shall be construed as creating any type or manner of partnership, joint venture or joint enterprise with or between Landlord and Tenant.</w:t>
      </w:r>
    </w:p>
    <w:p>
      <w:pPr>
        <w:spacing w:after="0" w:line="101" w:lineRule="exact"/>
        <w:rPr>
          <w:sz w:val="20"/>
          <w:szCs w:val="20"/>
          <w:color w:val="auto"/>
        </w:rPr>
      </w:pPr>
    </w:p>
    <w:p>
      <w:pPr>
        <w:ind w:firstLine="458"/>
        <w:spacing w:after="0" w:line="300" w:lineRule="auto"/>
        <w:rPr>
          <w:sz w:val="20"/>
          <w:szCs w:val="20"/>
          <w:color w:val="auto"/>
        </w:rPr>
      </w:pPr>
      <w:r>
        <w:rPr>
          <w:rFonts w:ascii="Arial" w:cs="Arial" w:eastAsia="Arial" w:hAnsi="Arial"/>
          <w:sz w:val="12"/>
          <w:szCs w:val="12"/>
          <w:color w:val="auto"/>
        </w:rPr>
        <w:t xml:space="preserve">21.11 </w:t>
      </w:r>
      <w:r>
        <w:rPr>
          <w:rFonts w:ascii="Arial" w:cs="Arial" w:eastAsia="Arial" w:hAnsi="Arial"/>
          <w:sz w:val="12"/>
          <w:szCs w:val="12"/>
          <w:u w:val="single" w:color="auto"/>
          <w:color w:val="auto"/>
        </w:rPr>
        <w:t>Financial Information</w:t>
      </w:r>
      <w:r>
        <w:rPr>
          <w:rFonts w:ascii="Arial" w:cs="Arial" w:eastAsia="Arial" w:hAnsi="Arial"/>
          <w:sz w:val="12"/>
          <w:szCs w:val="12"/>
          <w:color w:val="auto"/>
        </w:rPr>
        <w:t>. From time to time Tenant shall promptly provide directly to prospective lenders and purchasers of the Property designated by Landlord such financial information pertaining to the financial status of Tenant as Landlord may reasonably request; provided, Tenant shall be permitted to provide such financial information in a manner which Tenant deems reasonably necessary to protect the confidentiality of such information. In addition, from time to time, Tenant shall provide Landlord with such financial information pertaining to the financial status of Tenant as Landlord may reasonably request. Landlord agrees that all financial information supplied to Landlord by Tenant shall be treated as confidential material, and shall not be disseminated to any party or entity (including any entity affiliated with Landlord) without Tenant’s prior written consent. For purposes of this Section, without limiting the generality of the obligations provided herein, it shall be deemed reasonable for Landlord to request copies of Tenant’s most recent audited annual financial statements, or, if audited statements have not been prepared, unaudited financial statements for Tenant’s most recent fiscal year, accompanied by a certificate of Tenant’s chief financial officer that such financial statements fairly present Tenant’s financial condition as of the date(s) indicated.</w:t>
      </w:r>
    </w:p>
    <w:p>
      <w:pPr>
        <w:spacing w:after="0" w:line="88" w:lineRule="exact"/>
        <w:rPr>
          <w:sz w:val="20"/>
          <w:szCs w:val="20"/>
          <w:color w:val="auto"/>
        </w:rPr>
      </w:pPr>
    </w:p>
    <w:p>
      <w:pPr>
        <w:jc w:val="both"/>
        <w:ind w:right="320" w:firstLine="917"/>
        <w:spacing w:after="0" w:line="255" w:lineRule="auto"/>
        <w:rPr>
          <w:sz w:val="20"/>
          <w:szCs w:val="20"/>
          <w:color w:val="auto"/>
        </w:rPr>
      </w:pPr>
      <w:r>
        <w:rPr>
          <w:rFonts w:ascii="Arial" w:cs="Arial" w:eastAsia="Arial" w:hAnsi="Arial"/>
          <w:sz w:val="14"/>
          <w:szCs w:val="14"/>
          <w:color w:val="auto"/>
        </w:rPr>
        <w:t>Landlord and Tenant recognize the need of Tenant to maintain the confidentiality of information regarding its financial status and the need of Landlord to be informed of, and to provide to prospective lenders and purchasers of the Property financial information pertaining to, Tenant’s financial status. Landlord and Tenant agree to cooperate with each other in achieving these needs within the context of the obligations set forth in this Section. Landlord also acknowledges and agrees that Tenant’s obligations to furnish information to Landlord under this Section are in all events subject to Tenant’s compliance with, and may therefore be limited by, applicable securities laws.</w:t>
      </w:r>
    </w:p>
    <w:p>
      <w:pPr>
        <w:spacing w:after="0" w:line="110" w:lineRule="exact"/>
        <w:rPr>
          <w:sz w:val="20"/>
          <w:szCs w:val="20"/>
          <w:color w:val="auto"/>
        </w:rPr>
      </w:pPr>
    </w:p>
    <w:p>
      <w:pPr>
        <w:ind w:right="120" w:firstLine="458"/>
        <w:spacing w:after="0" w:line="258" w:lineRule="auto"/>
        <w:rPr>
          <w:sz w:val="20"/>
          <w:szCs w:val="20"/>
          <w:color w:val="auto"/>
        </w:rPr>
      </w:pPr>
      <w:r>
        <w:rPr>
          <w:rFonts w:ascii="Arial" w:cs="Arial" w:eastAsia="Arial" w:hAnsi="Arial"/>
          <w:sz w:val="14"/>
          <w:szCs w:val="14"/>
          <w:color w:val="auto"/>
        </w:rPr>
        <w:t xml:space="preserve">21.12 </w:t>
      </w:r>
      <w:r>
        <w:rPr>
          <w:rFonts w:ascii="Arial" w:cs="Arial" w:eastAsia="Arial" w:hAnsi="Arial"/>
          <w:sz w:val="14"/>
          <w:szCs w:val="14"/>
          <w:u w:val="single" w:color="auto"/>
          <w:color w:val="auto"/>
        </w:rPr>
        <w:t>Costs</w:t>
      </w:r>
      <w:r>
        <w:rPr>
          <w:rFonts w:ascii="Arial" w:cs="Arial" w:eastAsia="Arial" w:hAnsi="Arial"/>
          <w:sz w:val="14"/>
          <w:szCs w:val="14"/>
          <w:color w:val="auto"/>
        </w:rPr>
        <w:t>. If Tenant requests the consent of Landlord under any provision of this Lease for any act that Tenant proposes to do hereunder, including, without limitation, assignment or subletting of the Property, Tenant shall, as a condition to doing any such act and the receipt of such consent, reimburse Landlord promptly for any and all reasonable costs and expenses incurred by Landlord in connection therewith, including, without limitation, reasonable attorneys’ fees.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21.13 </w:t>
      </w:r>
      <w:r>
        <w:rPr>
          <w:rFonts w:ascii="Arial" w:cs="Arial" w:eastAsia="Arial" w:hAnsi="Arial"/>
          <w:sz w:val="14"/>
          <w:szCs w:val="14"/>
          <w:u w:val="single" w:color="auto"/>
          <w:color w:val="auto"/>
        </w:rPr>
        <w:t>Time</w:t>
      </w:r>
      <w:r>
        <w:rPr>
          <w:rFonts w:ascii="Arial" w:cs="Arial" w:eastAsia="Arial" w:hAnsi="Arial"/>
          <w:sz w:val="14"/>
          <w:szCs w:val="14"/>
          <w:color w:val="auto"/>
        </w:rPr>
        <w:t>. Time is of the essence of this Lease, and of every term and condition hereof.</w:t>
      </w:r>
    </w:p>
    <w:p>
      <w:pPr>
        <w:spacing w:after="0" w:line="132"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 xml:space="preserve">21.14 </w:t>
      </w:r>
      <w:r>
        <w:rPr>
          <w:rFonts w:ascii="Arial" w:cs="Arial" w:eastAsia="Arial" w:hAnsi="Arial"/>
          <w:sz w:val="14"/>
          <w:szCs w:val="14"/>
          <w:u w:val="single" w:color="auto"/>
          <w:color w:val="auto"/>
        </w:rPr>
        <w:t>Rules And Regulations</w:t>
      </w:r>
      <w:r>
        <w:rPr>
          <w:rFonts w:ascii="Arial" w:cs="Arial" w:eastAsia="Arial" w:hAnsi="Arial"/>
          <w:sz w:val="14"/>
          <w:szCs w:val="14"/>
          <w:color w:val="auto"/>
        </w:rPr>
        <w:t>. Tenant shall observe, comply with and obey, and shall cause its employees, agents and, to the best of Tenant’s ability, invitees to observe, comply with and obey such rules and regulations as Landlord may promulgate from time to time for the safety, care, cleanliness, order and use of the Improvements and the Property.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247" w:right="219" w:bottom="1440" w:gutter="0" w:footer="0" w:header="0"/>
        </w:sectPr>
      </w:pPr>
    </w:p>
    <w:bookmarkStart w:id="417" w:name="page418"/>
    <w:bookmarkEnd w:id="417"/>
    <w:p>
      <w:pPr>
        <w:ind w:right="80" w:firstLine="458"/>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21.15 </w:t>
      </w:r>
      <w:r>
        <w:rPr>
          <w:rFonts w:ascii="Arial" w:cs="Arial" w:eastAsia="Arial" w:hAnsi="Arial"/>
          <w:sz w:val="14"/>
          <w:szCs w:val="14"/>
          <w:u w:val="single" w:color="auto"/>
          <w:color w:val="auto"/>
        </w:rPr>
        <w:t>Brokers</w:t>
      </w:r>
      <w:r>
        <w:rPr>
          <w:rFonts w:ascii="Arial" w:cs="Arial" w:eastAsia="Arial" w:hAnsi="Arial"/>
          <w:sz w:val="14"/>
          <w:szCs w:val="14"/>
          <w:color w:val="auto"/>
        </w:rPr>
        <w:t>. Landlord agrees to pay a brokerage commission to Catalyst Real Estate Group, Tenant’s broker, in connection with the consummation of this Lease in accordance with a separate agreement. Each party represents and warrants that no other broker participated in the consummation of this Lease and agrees to indemnify, defend and hold the other party harmless against any liability, cost or expense, including, without limitation, reasonable attorneys’ fees, arising out of any claims for brokerage commissions or other similar compensation in connection with any conversations, prior negotiations or other dealings by the indemnifying party with any other broker.</w:t>
      </w:r>
    </w:p>
    <w:p>
      <w:pPr>
        <w:spacing w:after="0" w:line="110"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 xml:space="preserve">21.16 </w:t>
      </w:r>
      <w:r>
        <w:rPr>
          <w:rFonts w:ascii="Arial" w:cs="Arial" w:eastAsia="Arial" w:hAnsi="Arial"/>
          <w:sz w:val="14"/>
          <w:szCs w:val="14"/>
          <w:u w:val="single" w:color="auto"/>
          <w:color w:val="auto"/>
        </w:rPr>
        <w:t>Memorandum Of Lease</w:t>
      </w:r>
      <w:r>
        <w:rPr>
          <w:rFonts w:ascii="Arial" w:cs="Arial" w:eastAsia="Arial" w:hAnsi="Arial"/>
          <w:sz w:val="14"/>
          <w:szCs w:val="14"/>
          <w:color w:val="auto"/>
        </w:rPr>
        <w:t>. At any time during the term of this Lease, either party, at its sole expense, shall be entitled to record a memorandum of this Lease and, if either party so elects, both parties agree to cooperate in the preparation, execution, acknowledgement and recordation of such document in reasonable form.</w:t>
      </w:r>
    </w:p>
    <w:p>
      <w:pPr>
        <w:spacing w:after="0" w:line="101" w:lineRule="exact"/>
        <w:rPr>
          <w:sz w:val="20"/>
          <w:szCs w:val="20"/>
          <w:color w:val="auto"/>
        </w:rPr>
      </w:pPr>
    </w:p>
    <w:p>
      <w:pPr>
        <w:ind w:right="20" w:firstLine="458"/>
        <w:spacing w:after="0" w:line="258" w:lineRule="auto"/>
        <w:rPr>
          <w:sz w:val="20"/>
          <w:szCs w:val="20"/>
          <w:color w:val="auto"/>
        </w:rPr>
      </w:pPr>
      <w:r>
        <w:rPr>
          <w:rFonts w:ascii="Arial" w:cs="Arial" w:eastAsia="Arial" w:hAnsi="Arial"/>
          <w:sz w:val="14"/>
          <w:szCs w:val="14"/>
          <w:color w:val="auto"/>
        </w:rPr>
        <w:t xml:space="preserve">21.17 </w:t>
      </w:r>
      <w:r>
        <w:rPr>
          <w:rFonts w:ascii="Arial" w:cs="Arial" w:eastAsia="Arial" w:hAnsi="Arial"/>
          <w:sz w:val="14"/>
          <w:szCs w:val="14"/>
          <w:u w:val="single" w:color="auto"/>
          <w:color w:val="auto"/>
        </w:rPr>
        <w:t>Corporate Authority</w:t>
      </w:r>
      <w:r>
        <w:rPr>
          <w:rFonts w:ascii="Arial" w:cs="Arial" w:eastAsia="Arial" w:hAnsi="Arial"/>
          <w:sz w:val="14"/>
          <w:szCs w:val="14"/>
          <w:color w:val="auto"/>
        </w:rPr>
        <w:t>. The person signing this Lease on behalf of Tenant warrants that he or she is fully authorized to do so and, by so doing, to bind Tenant As evidence of such authority, Tenant shall deliver to Landlord, upon or prior to execution of this Lease, a certified copy of a resolution of Tenant’s board of directors authorizing the execution of this Lease and naming the officer that is authorized to execute this Lease on behalf of Tenant.</w:t>
      </w:r>
    </w:p>
    <w:p>
      <w:pPr>
        <w:spacing w:after="0" w:line="108"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 xml:space="preserve">21.18 </w:t>
      </w:r>
      <w:r>
        <w:rPr>
          <w:rFonts w:ascii="Arial" w:cs="Arial" w:eastAsia="Arial" w:hAnsi="Arial"/>
          <w:sz w:val="14"/>
          <w:szCs w:val="14"/>
          <w:u w:val="single" w:color="auto"/>
          <w:color w:val="auto"/>
        </w:rPr>
        <w:t>Execution and Delivery</w:t>
      </w:r>
      <w:r>
        <w:rPr>
          <w:rFonts w:ascii="Arial" w:cs="Arial" w:eastAsia="Arial" w:hAnsi="Arial"/>
          <w:sz w:val="14"/>
          <w:szCs w:val="14"/>
          <w:color w:val="auto"/>
        </w:rPr>
        <w:t>. This Lease may be executed in one or more counterparts and by separate parties on separate counterparts, but each such counterpart shall constitute an original and all such counterparts together shall constitute one and the same instrument.</w:t>
      </w:r>
    </w:p>
    <w:p>
      <w:pPr>
        <w:spacing w:after="0" w:line="101"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 xml:space="preserve">21.19 </w:t>
      </w:r>
      <w:r>
        <w:rPr>
          <w:rFonts w:ascii="Arial" w:cs="Arial" w:eastAsia="Arial" w:hAnsi="Arial"/>
          <w:sz w:val="14"/>
          <w:szCs w:val="14"/>
          <w:u w:val="single" w:color="auto"/>
          <w:color w:val="auto"/>
        </w:rPr>
        <w:t>Survival</w:t>
      </w:r>
      <w:r>
        <w:rPr>
          <w:rFonts w:ascii="Arial" w:cs="Arial" w:eastAsia="Arial" w:hAnsi="Arial"/>
          <w:sz w:val="14"/>
          <w:szCs w:val="14"/>
          <w:color w:val="auto"/>
        </w:rPr>
        <w:t>. Without limiting survival provisions which would otherwise be implied or construed under applicable law, the provisions of Sections 2.6, 9.4, 11.2, 11.3, 11.4, 13.6, 14.6 and 21.5 hereof shall survive the termination of this Lease with respect to matters occurring prior to the expiration of this Lease.</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WITNESS WHEREOF, the parties hereto have executed this Lease as of the day and year first set forth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gridSpan w:val="2"/>
          </w:tcPr>
          <w:p>
            <w:pPr>
              <w:spacing w:after="0"/>
              <w:rPr>
                <w:sz w:val="20"/>
                <w:szCs w:val="20"/>
                <w:color w:val="auto"/>
              </w:rPr>
            </w:pPr>
            <w:r>
              <w:rPr>
                <w:rFonts w:ascii="Arial" w:cs="Arial" w:eastAsia="Arial" w:hAnsi="Arial"/>
                <w:sz w:val="14"/>
                <w:szCs w:val="14"/>
                <w:color w:val="auto"/>
              </w:rPr>
              <w:t>“Landlord”</w:t>
            </w:r>
          </w:p>
        </w:tc>
        <w:tc>
          <w:tcPr>
            <w:tcW w:w="1060" w:type="dxa"/>
            <w:vAlign w:val="bottom"/>
          </w:tcPr>
          <w:p>
            <w:pPr>
              <w:spacing w:after="0"/>
              <w:rPr>
                <w:sz w:val="15"/>
                <w:szCs w:val="15"/>
                <w:color w:val="auto"/>
              </w:rPr>
            </w:pPr>
          </w:p>
        </w:tc>
        <w:tc>
          <w:tcPr>
            <w:tcW w:w="5040" w:type="dxa"/>
            <w:vAlign w:val="bottom"/>
          </w:tcPr>
          <w:p>
            <w:pPr>
              <w:ind w:left="20"/>
              <w:spacing w:after="0"/>
              <w:rPr>
                <w:sz w:val="20"/>
                <w:szCs w:val="20"/>
                <w:color w:val="auto"/>
              </w:rPr>
            </w:pPr>
            <w:r>
              <w:rPr>
                <w:rFonts w:ascii="Arial" w:cs="Arial" w:eastAsia="Arial" w:hAnsi="Arial"/>
                <w:sz w:val="14"/>
                <w:szCs w:val="14"/>
                <w:color w:val="auto"/>
              </w:rPr>
              <w:t>Tenant”</w:t>
            </w:r>
          </w:p>
        </w:tc>
      </w:tr>
      <w:tr>
        <w:trPr>
          <w:trHeight w:val="334"/>
        </w:trPr>
        <w:tc>
          <w:tcPr>
            <w:tcW w:w="5360" w:type="dxa"/>
            <w:vAlign w:val="bottom"/>
            <w:gridSpan w:val="2"/>
          </w:tcPr>
          <w:p>
            <w:pPr>
              <w:spacing w:after="0"/>
              <w:rPr>
                <w:sz w:val="20"/>
                <w:szCs w:val="20"/>
                <w:color w:val="auto"/>
              </w:rPr>
            </w:pPr>
            <w:r>
              <w:rPr>
                <w:rFonts w:ascii="Arial" w:cs="Arial" w:eastAsia="Arial" w:hAnsi="Arial"/>
                <w:sz w:val="14"/>
                <w:szCs w:val="14"/>
                <w:color w:val="auto"/>
              </w:rPr>
              <w:t>BRITANNIA DEVELOPMENTS, INC., a California corporation</w:t>
            </w:r>
          </w:p>
        </w:tc>
        <w:tc>
          <w:tcPr>
            <w:tcW w:w="6100" w:type="dxa"/>
            <w:vAlign w:val="bottom"/>
            <w:gridSpan w:val="2"/>
          </w:tcPr>
          <w:p>
            <w:pPr>
              <w:ind w:left="740"/>
              <w:spacing w:after="0"/>
              <w:rPr>
                <w:sz w:val="20"/>
                <w:szCs w:val="20"/>
                <w:color w:val="auto"/>
              </w:rPr>
            </w:pPr>
            <w:r>
              <w:rPr>
                <w:rFonts w:ascii="Arial" w:cs="Arial" w:eastAsia="Arial" w:hAnsi="Arial"/>
                <w:sz w:val="14"/>
                <w:szCs w:val="14"/>
                <w:color w:val="auto"/>
              </w:rPr>
              <w:t>TULARIK INC., a California corporation</w:t>
            </w:r>
          </w:p>
        </w:tc>
      </w:tr>
      <w:tr>
        <w:trPr>
          <w:trHeight w:val="335"/>
        </w:trPr>
        <w:tc>
          <w:tcPr>
            <w:tcW w:w="5360" w:type="dxa"/>
            <w:vAlign w:val="bottom"/>
            <w:gridSpan w:val="2"/>
          </w:tcPr>
          <w:p>
            <w:pPr>
              <w:spacing w:after="0"/>
              <w:rPr>
                <w:sz w:val="20"/>
                <w:szCs w:val="20"/>
                <w:color w:val="auto"/>
              </w:rPr>
            </w:pPr>
            <w:r>
              <w:rPr>
                <w:rFonts w:ascii="Arial" w:cs="Arial" w:eastAsia="Arial" w:hAnsi="Arial"/>
                <w:sz w:val="14"/>
                <w:szCs w:val="14"/>
                <w:color w:val="auto"/>
              </w:rPr>
              <w:t>By:  /s/ T. J. Bristow</w:t>
            </w:r>
          </w:p>
        </w:tc>
        <w:tc>
          <w:tcPr>
            <w:tcW w:w="1060" w:type="dxa"/>
            <w:vAlign w:val="bottom"/>
          </w:tcPr>
          <w:p>
            <w:pPr>
              <w:ind w:left="740"/>
              <w:spacing w:after="0"/>
              <w:rPr>
                <w:sz w:val="20"/>
                <w:szCs w:val="20"/>
                <w:color w:val="auto"/>
              </w:rPr>
            </w:pPr>
            <w:r>
              <w:rPr>
                <w:rFonts w:ascii="Arial" w:cs="Arial" w:eastAsia="Arial" w:hAnsi="Arial"/>
                <w:sz w:val="14"/>
                <w:szCs w:val="14"/>
                <w:color w:val="auto"/>
              </w:rPr>
              <w:t>By:</w:t>
            </w:r>
          </w:p>
        </w:tc>
        <w:tc>
          <w:tcPr>
            <w:tcW w:w="5040" w:type="dxa"/>
            <w:vAlign w:val="bottom"/>
          </w:tcPr>
          <w:p>
            <w:pPr>
              <w:spacing w:after="0"/>
              <w:rPr>
                <w:sz w:val="20"/>
                <w:szCs w:val="20"/>
                <w:color w:val="auto"/>
              </w:rPr>
            </w:pPr>
            <w:r>
              <w:rPr>
                <w:rFonts w:ascii="Arial" w:cs="Arial" w:eastAsia="Arial" w:hAnsi="Arial"/>
                <w:sz w:val="14"/>
                <w:szCs w:val="14"/>
                <w:color w:val="auto"/>
              </w:rPr>
              <w:t>illegible</w:t>
            </w:r>
          </w:p>
        </w:tc>
      </w:tr>
      <w:tr>
        <w:trPr>
          <w:trHeight w:val="161"/>
        </w:trPr>
        <w:tc>
          <w:tcPr>
            <w:tcW w:w="320" w:type="dxa"/>
            <w:vAlign w:val="bottom"/>
          </w:tcPr>
          <w:p>
            <w:pPr>
              <w:spacing w:after="0"/>
              <w:rPr>
                <w:sz w:val="14"/>
                <w:szCs w:val="14"/>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 J. Bristow</w:t>
            </w:r>
          </w:p>
        </w:tc>
        <w:tc>
          <w:tcPr>
            <w:tcW w:w="1060" w:type="dxa"/>
            <w:vAlign w:val="bottom"/>
          </w:tcPr>
          <w:p>
            <w:pPr>
              <w:spacing w:after="0"/>
              <w:rPr>
                <w:sz w:val="14"/>
                <w:szCs w:val="14"/>
                <w:color w:val="auto"/>
              </w:rPr>
            </w:pPr>
          </w:p>
        </w:tc>
        <w:tc>
          <w:tcPr>
            <w:tcW w:w="5040" w:type="dxa"/>
            <w:vAlign w:val="bottom"/>
            <w:tcBorders>
              <w:top w:val="single" w:sz="8" w:color="auto"/>
            </w:tcBorders>
          </w:tcPr>
          <w:p>
            <w:pPr>
              <w:spacing w:after="0"/>
              <w:rPr>
                <w:sz w:val="14"/>
                <w:szCs w:val="14"/>
                <w:color w:val="auto"/>
              </w:rPr>
            </w:pPr>
          </w:p>
        </w:tc>
      </w:tr>
      <w:tr>
        <w:trPr>
          <w:trHeight w:val="173"/>
        </w:trPr>
        <w:tc>
          <w:tcPr>
            <w:tcW w:w="3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President</w:t>
            </w:r>
          </w:p>
        </w:tc>
        <w:tc>
          <w:tcPr>
            <w:tcW w:w="1060" w:type="dxa"/>
            <w:vAlign w:val="bottom"/>
          </w:tcPr>
          <w:p>
            <w:pPr>
              <w:ind w:left="740"/>
              <w:spacing w:after="0"/>
              <w:rPr>
                <w:sz w:val="20"/>
                <w:szCs w:val="20"/>
                <w:color w:val="auto"/>
              </w:rPr>
            </w:pPr>
            <w:r>
              <w:rPr>
                <w:rFonts w:ascii="Arial" w:cs="Arial" w:eastAsia="Arial" w:hAnsi="Arial"/>
                <w:sz w:val="14"/>
                <w:szCs w:val="14"/>
                <w:color w:val="auto"/>
              </w:rPr>
              <w:t>Its:</w:t>
            </w:r>
          </w:p>
        </w:tc>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&amp; CEO</w:t>
            </w:r>
          </w:p>
        </w:tc>
      </w:tr>
      <w:tr>
        <w:trPr>
          <w:trHeight w:val="283"/>
        </w:trPr>
        <w:tc>
          <w:tcPr>
            <w:tcW w:w="3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jc w:val="right"/>
              <w:ind w:right="512"/>
              <w:spacing w:after="0"/>
              <w:rPr>
                <w:sz w:val="20"/>
                <w:szCs w:val="20"/>
                <w:color w:val="auto"/>
              </w:rPr>
            </w:pPr>
            <w:r>
              <w:rPr>
                <w:rFonts w:ascii="Arial" w:cs="Arial" w:eastAsia="Arial" w:hAnsi="Arial"/>
                <w:sz w:val="14"/>
                <w:szCs w:val="14"/>
                <w:color w:val="auto"/>
              </w:rPr>
              <w:t>-32-</w:t>
            </w:r>
          </w:p>
        </w:tc>
        <w:tc>
          <w:tcPr>
            <w:tcW w:w="5040" w:type="dxa"/>
            <w:vAlign w:val="bottom"/>
          </w:tcPr>
          <w:p>
            <w:pPr>
              <w:spacing w:after="0"/>
              <w:rPr>
                <w:sz w:val="24"/>
                <w:szCs w:val="24"/>
                <w:color w:val="auto"/>
              </w:rPr>
            </w:pPr>
          </w:p>
        </w:tc>
      </w:tr>
    </w:tbl>
    <w:p>
      <w:pPr>
        <w:sectPr>
          <w:pgSz w:w="11900" w:h="16838" w:orient="portrait"/>
          <w:cols w:equalWidth="0" w:num="1">
            <w:col w:w="11460"/>
          </w:cols>
          <w:pgMar w:left="220" w:top="247" w:right="219" w:bottom="1440" w:gutter="0" w:footer="0" w:header="0"/>
        </w:sectPr>
      </w:pPr>
    </w:p>
    <w:bookmarkStart w:id="418" w:name="page419"/>
    <w:bookmarkEnd w:id="418"/>
    <w:p>
      <w:pPr>
        <w:jc w:val="right"/>
        <w:ind w:right="4199"/>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EXHIBITS</w:t>
      </w:r>
    </w:p>
    <w:p>
      <w:pPr>
        <w:sectPr>
          <w:pgSz w:w="11900" w:h="16838" w:orient="portrait"/>
          <w:cols w:equalWidth="0" w:num="1">
            <w:col w:w="10239"/>
          </w:cols>
          <w:pgMar w:left="220" w:top="247" w:right="1440"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EXHIBIT A</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Real Property Description (Site)</w:t>
      </w:r>
    </w:p>
    <w:p>
      <w:pPr>
        <w:spacing w:after="0" w:line="113" w:lineRule="exact"/>
        <w:rPr>
          <w:sz w:val="20"/>
          <w:szCs w:val="20"/>
          <w:color w:val="auto"/>
        </w:rPr>
      </w:pPr>
    </w:p>
    <w:p>
      <w:pPr>
        <w:sectPr>
          <w:pgSz w:w="11900" w:h="16838" w:orient="portrait"/>
          <w:cols w:equalWidth="0" w:num="2">
            <w:col w:w="660" w:space="720"/>
            <w:col w:w="8859"/>
          </w:cols>
          <w:pgMar w:left="220" w:top="247" w:right="1440" w:bottom="1440" w:gutter="0" w:footer="0" w:header="0"/>
          <w:type w:val="continuous"/>
        </w:sectPr>
      </w:pPr>
    </w:p>
    <w:p>
      <w:pPr>
        <w:spacing w:after="0"/>
        <w:rPr>
          <w:sz w:val="20"/>
          <w:szCs w:val="20"/>
          <w:color w:val="auto"/>
        </w:rPr>
      </w:pPr>
      <w:r>
        <w:rPr>
          <w:rFonts w:ascii="Arial" w:cs="Arial" w:eastAsia="Arial" w:hAnsi="Arial"/>
          <w:sz w:val="14"/>
          <w:szCs w:val="14"/>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Site Plan</w:t>
      </w:r>
    </w:p>
    <w:p>
      <w:pPr>
        <w:spacing w:after="0" w:line="124" w:lineRule="exact"/>
        <w:rPr>
          <w:sz w:val="20"/>
          <w:szCs w:val="20"/>
          <w:color w:val="auto"/>
        </w:rPr>
      </w:pPr>
    </w:p>
    <w:p>
      <w:pPr>
        <w:sectPr>
          <w:pgSz w:w="11900" w:h="16838" w:orient="portrait"/>
          <w:cols w:equalWidth="0" w:num="2">
            <w:col w:w="680" w:space="700"/>
            <w:col w:w="885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Workletter</w:t>
      </w:r>
    </w:p>
    <w:p>
      <w:pPr>
        <w:spacing w:after="0" w:line="113" w:lineRule="exact"/>
        <w:rPr>
          <w:sz w:val="20"/>
          <w:szCs w:val="20"/>
          <w:color w:val="auto"/>
        </w:rPr>
      </w:pPr>
    </w:p>
    <w:p>
      <w:pPr>
        <w:sectPr>
          <w:pgSz w:w="11900" w:h="16838" w:orient="portrait"/>
          <w:cols w:equalWidth="0" w:num="2">
            <w:col w:w="680" w:space="700"/>
            <w:col w:w="885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Estimated Construction Schedule</w:t>
      </w:r>
    </w:p>
    <w:p>
      <w:pPr>
        <w:spacing w:after="0" w:line="113" w:lineRule="exact"/>
        <w:rPr>
          <w:sz w:val="20"/>
          <w:szCs w:val="20"/>
          <w:color w:val="auto"/>
        </w:rPr>
      </w:pPr>
    </w:p>
    <w:p>
      <w:pPr>
        <w:sectPr>
          <w:pgSz w:w="11900" w:h="16838" w:orient="portrait"/>
          <w:cols w:equalWidth="0" w:num="2">
            <w:col w:w="680" w:space="700"/>
            <w:col w:w="885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Acknowledgement of Lease Commencement</w:t>
      </w:r>
    </w:p>
    <w:p>
      <w:pPr>
        <w:sectPr>
          <w:pgSz w:w="11900" w:h="16838" w:orient="portrait"/>
          <w:cols w:equalWidth="0" w:num="2">
            <w:col w:w="660" w:space="720"/>
            <w:col w:w="8859"/>
          </w:cols>
          <w:pgMar w:left="220" w:top="247" w:right="1440" w:bottom="1440" w:gutter="0" w:footer="0" w:header="0"/>
          <w:type w:val="continuous"/>
        </w:sectPr>
      </w:pPr>
    </w:p>
    <w:bookmarkStart w:id="419" w:name="page420"/>
    <w:bookmarkEnd w:id="419"/>
    <w:p>
      <w:pPr>
        <w:ind w:left="540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A</w:t>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14"/>
          <w:szCs w:val="14"/>
          <w:u w:val="single" w:color="auto"/>
          <w:color w:val="auto"/>
        </w:rPr>
        <w:t>REAL PROPERTY DESCRIPTION (SITE)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All that certain real property in the City of South San Francisco, County of San Mateo, State of California, more particularly described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Parcel One:</w:t>
      </w:r>
    </w:p>
    <w:p>
      <w:pPr>
        <w:spacing w:after="0" w:line="132"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Parcel C as designated on the Map entitled “PARCEL MAP NO. 89-268”, being a resubdivision of Lots 4, 5, 6 and 7 of that certain Map entitled “FINAL MAP GATEWAY CENTER” (SA-81-74) filed in the office of the Recorder of the County of San Mateo in Book 107 of Maps at Pages 27, 28, 29 and 30, which Map was filed in the Office of the Recorder of the County of San Mateo, State of California on December 12, 1989 in Book 63 of Parcel Maps at Pages 32 and 33.</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Parcel Two:</w:t>
      </w:r>
    </w:p>
    <w:p>
      <w:pPr>
        <w:spacing w:after="0" w:line="132"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A portion of that certain 0.572 acre parcel of land described in Resolution No. 900 by the City of South San Francisco, recorded August 6, 1943, in Book 1079 of Official Records of San Mateo County at Page 77, further described as follows:</w:t>
      </w:r>
    </w:p>
    <w:p>
      <w:pPr>
        <w:spacing w:after="0" w:line="101"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A portion of Industrial Way, as shown on that certain Map entitled “Final Map Gateway Center” filed October 1, 1982, in Book 107 of Maps at Pages 27-30, San Mateo County Records, further described as follows:</w:t>
      </w:r>
    </w:p>
    <w:p>
      <w:pPr>
        <w:spacing w:after="0" w:line="101"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Beginning at a point on the southeasterly line of said 0.572 acre parcel, also being the northwesterly line of Lot 4 as shown on said Map (104 Maps 27-30), distant thereon North 38° 42’ 41” East, 29.29 feet from the southwest corner of said Lot 4; thence along the aforementioned southeasterly line, North 38° 42’ 41” East, 356.97 feet; then northeasterly along the arc of a tangent, 980.56 foot radius curve to the left, through a central angle of 7° 19’ 26”, an arc distance of 125.34 feet to a point of reverse curvature; thence northeasterly along the arc of a tangent, 980.56 foot radius curve to the right, through a central angle of 7° 19’ 26”, an arc distance of 125.34 feet to a point of cusp, being the most northerly point of the aforementioned 0.572 acre parcel; thence along the northwesterly line of said 0.572 acre parcel, South 38° 42’ 41” West, 606.97 feet to a line which bears North 51° 17’ 19” West from the point of beginning; thence South 51° 17’ 19” East, 16.00 feet to the point of beginning.</w:t>
      </w:r>
    </w:p>
    <w:p>
      <w:pPr>
        <w:sectPr>
          <w:pgSz w:w="11900" w:h="16838" w:orient="portrait"/>
          <w:cols w:equalWidth="0" w:num="1">
            <w:col w:w="11440"/>
          </w:cols>
          <w:pgMar w:left="220" w:top="246" w:right="239" w:bottom="1440" w:gutter="0" w:footer="0" w:header="0"/>
        </w:sectPr>
      </w:pPr>
    </w:p>
    <w:bookmarkStart w:id="420" w:name="page421"/>
    <w:bookmarkEnd w:id="420"/>
    <w:p>
      <w:pPr>
        <w:ind w:left="418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B</w:t>
      </w:r>
    </w:p>
    <w:p>
      <w:pPr>
        <w:spacing w:after="0" w:line="132" w:lineRule="exact"/>
        <w:rPr>
          <w:sz w:val="20"/>
          <w:szCs w:val="20"/>
          <w:color w:val="auto"/>
        </w:rPr>
      </w:pPr>
    </w:p>
    <w:p>
      <w:pPr>
        <w:ind w:left="4180"/>
        <w:spacing w:after="0"/>
        <w:rPr>
          <w:sz w:val="20"/>
          <w:szCs w:val="20"/>
          <w:color w:val="auto"/>
        </w:rPr>
      </w:pPr>
      <w:r>
        <w:rPr>
          <w:rFonts w:ascii="Arial" w:cs="Arial" w:eastAsia="Arial" w:hAnsi="Arial"/>
          <w:sz w:val="12"/>
          <w:szCs w:val="12"/>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122555</wp:posOffset>
            </wp:positionV>
            <wp:extent cx="3277235" cy="39935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277235" cy="399351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421" w:name="page422"/>
    <w:bookmarkEnd w:id="421"/>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C</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WORKLETTER</w:t>
      </w:r>
    </w:p>
    <w:p>
      <w:pPr>
        <w:spacing w:after="0" w:line="134" w:lineRule="exact"/>
        <w:rPr>
          <w:sz w:val="20"/>
          <w:szCs w:val="20"/>
          <w:color w:val="auto"/>
        </w:rPr>
      </w:pPr>
    </w:p>
    <w:p>
      <w:pPr>
        <w:ind w:right="700" w:firstLine="458"/>
        <w:spacing w:after="0" w:line="267" w:lineRule="auto"/>
        <w:rPr>
          <w:sz w:val="20"/>
          <w:szCs w:val="20"/>
          <w:color w:val="auto"/>
        </w:rPr>
      </w:pPr>
      <w:r>
        <w:rPr>
          <w:rFonts w:ascii="Arial" w:cs="Arial" w:eastAsia="Arial" w:hAnsi="Arial"/>
          <w:sz w:val="14"/>
          <w:szCs w:val="14"/>
          <w:color w:val="auto"/>
        </w:rPr>
        <w:t>This Workletter (“Workletter”) constitutes part of the Build-to-Suit Lease dated as of April 20, 1995 (the “Lease”) between BRITANNIA DEVELOPMENTS, INC., a California corporation (“Landlord”), and TULARIK INC., a California corporation (“Tenant”). The terms of this Workletter are incorporated in the Lease for all purposes.</w:t>
      </w:r>
    </w:p>
    <w:p>
      <w:pPr>
        <w:spacing w:after="0" w:line="101" w:lineRule="exact"/>
        <w:rPr>
          <w:sz w:val="20"/>
          <w:szCs w:val="20"/>
          <w:color w:val="auto"/>
        </w:rPr>
      </w:pPr>
    </w:p>
    <w:p>
      <w:pPr>
        <w:ind w:left="140" w:hanging="136"/>
        <w:spacing w:after="0"/>
        <w:tabs>
          <w:tab w:leader="none" w:pos="140" w:val="left"/>
        </w:tabs>
        <w:numPr>
          <w:ilvl w:val="0"/>
          <w:numId w:val="357"/>
        </w:numPr>
        <w:rPr>
          <w:rFonts w:ascii="Arial" w:cs="Arial" w:eastAsia="Arial" w:hAnsi="Arial"/>
          <w:sz w:val="14"/>
          <w:szCs w:val="14"/>
          <w:color w:val="auto"/>
        </w:rPr>
      </w:pPr>
      <w:r>
        <w:rPr>
          <w:rFonts w:ascii="Arial" w:cs="Arial" w:eastAsia="Arial" w:hAnsi="Arial"/>
          <w:sz w:val="14"/>
          <w:szCs w:val="14"/>
          <w:u w:val="single" w:color="auto"/>
          <w:color w:val="auto"/>
        </w:rPr>
        <w:t>Defined Terms</w:t>
      </w:r>
      <w:r>
        <w:rPr>
          <w:rFonts w:ascii="Arial" w:cs="Arial" w:eastAsia="Arial" w:hAnsi="Arial"/>
          <w:sz w:val="14"/>
          <w:szCs w:val="14"/>
          <w:color w:val="auto"/>
        </w:rPr>
        <w:t>. As used in this Workletter, the following capitalized terms have the following meanings:</w:t>
      </w:r>
    </w:p>
    <w:p>
      <w:pPr>
        <w:spacing w:after="0" w:line="68" w:lineRule="exact"/>
        <w:rPr>
          <w:rFonts w:ascii="Arial" w:cs="Arial" w:eastAsia="Arial" w:hAnsi="Arial"/>
          <w:sz w:val="14"/>
          <w:szCs w:val="14"/>
          <w:color w:val="auto"/>
        </w:rPr>
      </w:pPr>
    </w:p>
    <w:p>
      <w:pPr>
        <w:ind w:right="240" w:firstLine="462"/>
        <w:spacing w:after="0" w:line="267" w:lineRule="auto"/>
        <w:tabs>
          <w:tab w:leader="none" w:pos="643"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Approved Plans</w:t>
      </w:r>
      <w:r>
        <w:rPr>
          <w:rFonts w:ascii="Arial" w:cs="Arial" w:eastAsia="Arial" w:hAnsi="Arial"/>
          <w:sz w:val="14"/>
          <w:szCs w:val="14"/>
          <w:color w:val="auto"/>
        </w:rPr>
        <w:t>: Plans and specifications prepared by the applicable Architect for the respective Improvements and approved by both Landlord and Tenant in accordance with Paragraph 2 of this Workletter (subject to further modification in accordance with such Paragraph 2).</w:t>
      </w:r>
    </w:p>
    <w:p>
      <w:pPr>
        <w:spacing w:after="0" w:line="101" w:lineRule="exact"/>
        <w:rPr>
          <w:rFonts w:ascii="Arial" w:cs="Arial" w:eastAsia="Arial" w:hAnsi="Arial"/>
          <w:sz w:val="14"/>
          <w:szCs w:val="14"/>
          <w:color w:val="auto"/>
        </w:rPr>
      </w:pPr>
    </w:p>
    <w:p>
      <w:pPr>
        <w:ind w:right="220" w:firstLine="462"/>
        <w:spacing w:after="0" w:line="258" w:lineRule="auto"/>
        <w:tabs>
          <w:tab w:leader="none" w:pos="651"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Architect</w:t>
      </w:r>
      <w:r>
        <w:rPr>
          <w:rFonts w:ascii="Arial" w:cs="Arial" w:eastAsia="Arial" w:hAnsi="Arial"/>
          <w:sz w:val="14"/>
          <w:szCs w:val="14"/>
          <w:color w:val="auto"/>
        </w:rPr>
        <w:t>: Hallenbeck, Chamorro &amp; Associates with respect to the Building Shell, the Site Improvements and any other Improvements which Landlord is to design pursuant to the Coordination Schedule; WHL Architects &amp; Planners with respect to all Improvements which Tenant is to design pursuant to the Coordination Schedule, and with respect to all other Interior Improvements except those for which Hallenbeck, Chamorro &amp; Associates is the Architect pursuant to the first portion of this definition.</w:t>
      </w:r>
    </w:p>
    <w:p>
      <w:pPr>
        <w:spacing w:after="0" w:line="107" w:lineRule="exact"/>
        <w:rPr>
          <w:rFonts w:ascii="Arial" w:cs="Arial" w:eastAsia="Arial" w:hAnsi="Arial"/>
          <w:sz w:val="14"/>
          <w:szCs w:val="14"/>
          <w:color w:val="auto"/>
        </w:rPr>
      </w:pPr>
    </w:p>
    <w:p>
      <w:pPr>
        <w:ind w:left="640" w:hanging="178"/>
        <w:spacing w:after="0"/>
        <w:tabs>
          <w:tab w:leader="none" w:pos="64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Building Shell</w:t>
      </w:r>
      <w:r>
        <w:rPr>
          <w:rFonts w:ascii="Arial" w:cs="Arial" w:eastAsia="Arial" w:hAnsi="Arial"/>
          <w:sz w:val="14"/>
          <w:szCs w:val="14"/>
          <w:color w:val="auto"/>
        </w:rPr>
        <w:t>: The shell of the Initial Building, as more fully defined on Schedule 1 attached to this Workletter.</w:t>
      </w:r>
    </w:p>
    <w:p>
      <w:pPr>
        <w:spacing w:after="0" w:line="131" w:lineRule="exact"/>
        <w:rPr>
          <w:rFonts w:ascii="Arial" w:cs="Arial" w:eastAsia="Arial" w:hAnsi="Arial"/>
          <w:sz w:val="14"/>
          <w:szCs w:val="14"/>
          <w:color w:val="auto"/>
        </w:rPr>
      </w:pPr>
    </w:p>
    <w:p>
      <w:pPr>
        <w:ind w:left="660" w:hanging="198"/>
        <w:spacing w:after="0"/>
        <w:tabs>
          <w:tab w:leader="none" w:pos="66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Change Order</w:t>
      </w:r>
      <w:r>
        <w:rPr>
          <w:rFonts w:ascii="Arial" w:cs="Arial" w:eastAsia="Arial" w:hAnsi="Arial"/>
          <w:sz w:val="14"/>
          <w:szCs w:val="14"/>
          <w:color w:val="auto"/>
        </w:rPr>
        <w:t>: See definition in Paragraph 2(e)(ii) hereof.</w:t>
      </w:r>
    </w:p>
    <w:p>
      <w:pPr>
        <w:spacing w:after="0" w:line="131" w:lineRule="exact"/>
        <w:rPr>
          <w:rFonts w:ascii="Arial" w:cs="Arial" w:eastAsia="Arial" w:hAnsi="Arial"/>
          <w:sz w:val="14"/>
          <w:szCs w:val="14"/>
          <w:color w:val="auto"/>
        </w:rPr>
      </w:pPr>
    </w:p>
    <w:p>
      <w:pPr>
        <w:ind w:left="640" w:hanging="178"/>
        <w:spacing w:after="0"/>
        <w:tabs>
          <w:tab w:leader="none" w:pos="64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Coordination Schedule</w:t>
      </w:r>
      <w:r>
        <w:rPr>
          <w:rFonts w:ascii="Arial" w:cs="Arial" w:eastAsia="Arial" w:hAnsi="Arial"/>
          <w:sz w:val="14"/>
          <w:szCs w:val="14"/>
          <w:color w:val="auto"/>
        </w:rPr>
        <w:t>: The schedule entitled Tularik/Britannia Shell/Interiors Coordination and attached as Schedule 2 to this Workletter.</w:t>
      </w:r>
    </w:p>
    <w:p>
      <w:pPr>
        <w:spacing w:after="0" w:line="131" w:lineRule="exact"/>
        <w:rPr>
          <w:rFonts w:ascii="Arial" w:cs="Arial" w:eastAsia="Arial" w:hAnsi="Arial"/>
          <w:sz w:val="14"/>
          <w:szCs w:val="14"/>
          <w:color w:val="auto"/>
        </w:rPr>
      </w:pPr>
    </w:p>
    <w:p>
      <w:pPr>
        <w:ind w:left="640" w:hanging="178"/>
        <w:spacing w:after="0"/>
        <w:tabs>
          <w:tab w:leader="none" w:pos="64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Cost of Improvement</w:t>
      </w:r>
      <w:r>
        <w:rPr>
          <w:rFonts w:ascii="Arial" w:cs="Arial" w:eastAsia="Arial" w:hAnsi="Arial"/>
          <w:sz w:val="14"/>
          <w:szCs w:val="14"/>
          <w:color w:val="auto"/>
        </w:rPr>
        <w:t>: See definition in Paragraph 2(c) hereof.</w:t>
      </w:r>
    </w:p>
    <w:p>
      <w:pPr>
        <w:spacing w:after="0" w:line="131" w:lineRule="exact"/>
        <w:rPr>
          <w:rFonts w:ascii="Arial" w:cs="Arial" w:eastAsia="Arial" w:hAnsi="Arial"/>
          <w:sz w:val="14"/>
          <w:szCs w:val="14"/>
          <w:color w:val="auto"/>
        </w:rPr>
      </w:pPr>
    </w:p>
    <w:p>
      <w:pPr>
        <w:ind w:left="660" w:hanging="198"/>
        <w:spacing w:after="0"/>
        <w:tabs>
          <w:tab w:leader="none" w:pos="66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Final Completion Certificate</w:t>
      </w:r>
      <w:r>
        <w:rPr>
          <w:rFonts w:ascii="Arial" w:cs="Arial" w:eastAsia="Arial" w:hAnsi="Arial"/>
          <w:sz w:val="14"/>
          <w:szCs w:val="14"/>
          <w:color w:val="auto"/>
        </w:rPr>
        <w:t>: See definition in Paragraph 3(b) hereof.</w:t>
      </w:r>
    </w:p>
    <w:p>
      <w:pPr>
        <w:spacing w:after="0" w:line="131" w:lineRule="exact"/>
        <w:rPr>
          <w:rFonts w:ascii="Arial" w:cs="Arial" w:eastAsia="Arial" w:hAnsi="Arial"/>
          <w:sz w:val="14"/>
          <w:szCs w:val="14"/>
          <w:color w:val="auto"/>
        </w:rPr>
      </w:pPr>
    </w:p>
    <w:p>
      <w:pPr>
        <w:ind w:left="660" w:hanging="198"/>
        <w:spacing w:after="0"/>
        <w:tabs>
          <w:tab w:leader="none" w:pos="66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Final Working Drawings</w:t>
      </w:r>
      <w:r>
        <w:rPr>
          <w:rFonts w:ascii="Arial" w:cs="Arial" w:eastAsia="Arial" w:hAnsi="Arial"/>
          <w:sz w:val="14"/>
          <w:szCs w:val="14"/>
          <w:color w:val="auto"/>
        </w:rPr>
        <w:t>: See definition in Paragraph 2(a) hereof.</w:t>
      </w:r>
    </w:p>
    <w:p>
      <w:pPr>
        <w:spacing w:after="0" w:line="131" w:lineRule="exact"/>
        <w:rPr>
          <w:rFonts w:ascii="Arial" w:cs="Arial" w:eastAsia="Arial" w:hAnsi="Arial"/>
          <w:sz w:val="14"/>
          <w:szCs w:val="14"/>
          <w:color w:val="auto"/>
        </w:rPr>
      </w:pPr>
    </w:p>
    <w:p>
      <w:pPr>
        <w:ind w:right="20" w:firstLine="462"/>
        <w:spacing w:after="0" w:line="267" w:lineRule="auto"/>
        <w:tabs>
          <w:tab w:leader="none" w:pos="62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General Contractor</w:t>
      </w:r>
      <w:r>
        <w:rPr>
          <w:rFonts w:ascii="Arial" w:cs="Arial" w:eastAsia="Arial" w:hAnsi="Arial"/>
          <w:sz w:val="14"/>
          <w:szCs w:val="14"/>
          <w:color w:val="auto"/>
        </w:rPr>
        <w:t>: Concrete Shell Structures, Inc. with respect to Landlord’s Work. The General Contractor with respect to Tenant’s Work shall be selected by Tenant, subject to Landlord’s approval (not to be unreasonably withheld or delayed), as contemplated in Paragraph 5(a) hereof.</w:t>
      </w:r>
    </w:p>
    <w:p>
      <w:pPr>
        <w:spacing w:after="0" w:line="101" w:lineRule="exact"/>
        <w:rPr>
          <w:rFonts w:ascii="Arial" w:cs="Arial" w:eastAsia="Arial" w:hAnsi="Arial"/>
          <w:sz w:val="14"/>
          <w:szCs w:val="14"/>
          <w:color w:val="auto"/>
        </w:rPr>
      </w:pPr>
    </w:p>
    <w:p>
      <w:pPr>
        <w:ind w:right="300" w:firstLine="462"/>
        <w:spacing w:after="0" w:line="267" w:lineRule="auto"/>
        <w:tabs>
          <w:tab w:leader="none" w:pos="62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Improvements</w:t>
      </w:r>
      <w:r>
        <w:rPr>
          <w:rFonts w:ascii="Arial" w:cs="Arial" w:eastAsia="Arial" w:hAnsi="Arial"/>
          <w:sz w:val="14"/>
          <w:szCs w:val="14"/>
          <w:color w:val="auto"/>
        </w:rPr>
        <w:t>: The Building Shell, Site Improvements, Interior Improvements and other improvements shown on the Approved Plans from time to time and to be constructed on the Phase I Site pursuant to the Lease and this Workletter.</w:t>
      </w:r>
    </w:p>
    <w:p>
      <w:pPr>
        <w:spacing w:after="0" w:line="101" w:lineRule="exact"/>
        <w:rPr>
          <w:rFonts w:ascii="Arial" w:cs="Arial" w:eastAsia="Arial" w:hAnsi="Arial"/>
          <w:sz w:val="14"/>
          <w:szCs w:val="14"/>
          <w:color w:val="auto"/>
        </w:rPr>
      </w:pPr>
    </w:p>
    <w:p>
      <w:pPr>
        <w:ind w:firstLine="462"/>
        <w:spacing w:after="0" w:line="267" w:lineRule="auto"/>
        <w:tabs>
          <w:tab w:leader="none" w:pos="651"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Interior Improvements</w:t>
      </w:r>
      <w:r>
        <w:rPr>
          <w:rFonts w:ascii="Arial" w:cs="Arial" w:eastAsia="Arial" w:hAnsi="Arial"/>
          <w:sz w:val="14"/>
          <w:szCs w:val="14"/>
          <w:color w:val="auto"/>
        </w:rPr>
        <w:t>: The improvements to or within the Initial Building, other than improvements constituting part of the Building Shell, shown on the Approved Plans from time to time and to be constructed by Tenant (except as otherwise provided herein) pursuant to the Lease and this Workletter.</w:t>
      </w:r>
    </w:p>
    <w:p>
      <w:pPr>
        <w:spacing w:after="0" w:line="101" w:lineRule="exact"/>
        <w:rPr>
          <w:rFonts w:ascii="Arial" w:cs="Arial" w:eastAsia="Arial" w:hAnsi="Arial"/>
          <w:sz w:val="14"/>
          <w:szCs w:val="14"/>
          <w:color w:val="auto"/>
        </w:rPr>
      </w:pPr>
    </w:p>
    <w:p>
      <w:pPr>
        <w:ind w:left="620" w:hanging="158"/>
        <w:spacing w:after="0"/>
        <w:tabs>
          <w:tab w:leader="none" w:pos="620"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Landlord’s Work</w:t>
      </w:r>
      <w:r>
        <w:rPr>
          <w:rFonts w:ascii="Arial" w:cs="Arial" w:eastAsia="Arial" w:hAnsi="Arial"/>
          <w:sz w:val="14"/>
          <w:szCs w:val="14"/>
          <w:color w:val="auto"/>
        </w:rPr>
        <w:t>: The Building Shell and Site Improvements, and any other Improvements which Landlord is to install pursuant to the Coordination Schedule.</w:t>
      </w:r>
    </w:p>
    <w:p>
      <w:pPr>
        <w:spacing w:after="0" w:line="131" w:lineRule="exact"/>
        <w:rPr>
          <w:rFonts w:ascii="Arial" w:cs="Arial" w:eastAsia="Arial" w:hAnsi="Arial"/>
          <w:sz w:val="14"/>
          <w:szCs w:val="14"/>
          <w:color w:val="auto"/>
        </w:rPr>
      </w:pPr>
    </w:p>
    <w:p>
      <w:pPr>
        <w:ind w:right="380" w:firstLine="462"/>
        <w:spacing w:after="0" w:line="267" w:lineRule="auto"/>
        <w:tabs>
          <w:tab w:leader="none" w:pos="688"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t>Punch List Work</w:t>
      </w:r>
      <w:r>
        <w:rPr>
          <w:rFonts w:ascii="Arial" w:cs="Arial" w:eastAsia="Arial" w:hAnsi="Arial"/>
          <w:sz w:val="14"/>
          <w:szCs w:val="14"/>
          <w:color w:val="auto"/>
        </w:rPr>
        <w:t>: Minor corrections of construction or decoration details, and minor mechanical adjustments, that are required in order to cause any applicable portion of the Improvements as constructed to conform to the Approved Plans in all material respects and that do not materially interfere with Tenant’s use or occupancy of the Property.</w:t>
      </w:r>
    </w:p>
    <w:p>
      <w:pPr>
        <w:sectPr>
          <w:pgSz w:w="11900" w:h="16838" w:orient="portrait"/>
          <w:cols w:equalWidth="0" w:num="1">
            <w:col w:w="11440"/>
          </w:cols>
          <w:pgMar w:left="220" w:top="245" w:right="239" w:bottom="1440" w:gutter="0" w:footer="0" w:header="0"/>
        </w:sectPr>
      </w:pPr>
    </w:p>
    <w:bookmarkStart w:id="422" w:name="page423"/>
    <w:bookmarkEnd w:id="422"/>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 </w:t>
      </w:r>
      <w:r>
        <w:rPr>
          <w:rFonts w:ascii="Arial" w:cs="Arial" w:eastAsia="Arial" w:hAnsi="Arial"/>
          <w:sz w:val="12"/>
          <w:szCs w:val="12"/>
          <w:u w:val="single" w:color="auto"/>
          <w:color w:val="auto"/>
        </w:rPr>
        <w:t>Site Improvements</w:t>
      </w:r>
      <w:r>
        <w:rPr>
          <w:rFonts w:ascii="Arial" w:cs="Arial" w:eastAsia="Arial" w:hAnsi="Arial"/>
          <w:sz w:val="12"/>
          <w:szCs w:val="12"/>
          <w:color w:val="auto"/>
        </w:rPr>
        <w:t xml:space="preserve">: The parking areas, driveways, landscaping and other improvements to the Common Areas of the Site that are designated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to the Lease as being part of the Phase I</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Site.</w:t>
      </w:r>
    </w:p>
    <w:p>
      <w:pPr>
        <w:spacing w:after="0" w:line="126" w:lineRule="exact"/>
        <w:rPr>
          <w:sz w:val="20"/>
          <w:szCs w:val="20"/>
          <w:color w:val="auto"/>
        </w:rPr>
      </w:pPr>
    </w:p>
    <w:p>
      <w:pPr>
        <w:ind w:left="660" w:hanging="198"/>
        <w:spacing w:after="0"/>
        <w:tabs>
          <w:tab w:leader="none" w:pos="660" w:val="left"/>
        </w:tabs>
        <w:numPr>
          <w:ilvl w:val="1"/>
          <w:numId w:val="358"/>
        </w:numPr>
        <w:rPr>
          <w:rFonts w:ascii="Arial" w:cs="Arial" w:eastAsia="Arial" w:hAnsi="Arial"/>
          <w:sz w:val="14"/>
          <w:szCs w:val="14"/>
          <w:color w:val="auto"/>
        </w:rPr>
      </w:pPr>
      <w:r>
        <w:rPr>
          <w:rFonts w:ascii="Arial" w:cs="Arial" w:eastAsia="Arial" w:hAnsi="Arial"/>
          <w:sz w:val="14"/>
          <w:szCs w:val="14"/>
          <w:u w:val="single" w:color="auto"/>
          <w:color w:val="auto"/>
        </w:rPr>
        <w:t>Structural Completion Certificate</w:t>
      </w:r>
      <w:r>
        <w:rPr>
          <w:rFonts w:ascii="Arial" w:cs="Arial" w:eastAsia="Arial" w:hAnsi="Arial"/>
          <w:sz w:val="14"/>
          <w:szCs w:val="14"/>
          <w:color w:val="auto"/>
        </w:rPr>
        <w:t>: See definition in Paragraph 3(a) hereof.</w:t>
      </w:r>
    </w:p>
    <w:p>
      <w:pPr>
        <w:spacing w:after="0" w:line="131" w:lineRule="exact"/>
        <w:rPr>
          <w:rFonts w:ascii="Arial" w:cs="Arial" w:eastAsia="Arial" w:hAnsi="Arial"/>
          <w:sz w:val="14"/>
          <w:szCs w:val="14"/>
          <w:color w:val="auto"/>
        </w:rPr>
      </w:pPr>
    </w:p>
    <w:p>
      <w:pPr>
        <w:ind w:left="660" w:hanging="198"/>
        <w:spacing w:after="0"/>
        <w:tabs>
          <w:tab w:leader="none" w:pos="660" w:val="left"/>
        </w:tabs>
        <w:numPr>
          <w:ilvl w:val="1"/>
          <w:numId w:val="358"/>
        </w:numPr>
        <w:rPr>
          <w:rFonts w:ascii="Arial" w:cs="Arial" w:eastAsia="Arial" w:hAnsi="Arial"/>
          <w:sz w:val="14"/>
          <w:szCs w:val="14"/>
          <w:color w:val="auto"/>
        </w:rPr>
      </w:pPr>
      <w:r>
        <w:rPr>
          <w:rFonts w:ascii="Arial" w:cs="Arial" w:eastAsia="Arial" w:hAnsi="Arial"/>
          <w:sz w:val="14"/>
          <w:szCs w:val="14"/>
          <w:u w:val="single" w:color="auto"/>
          <w:color w:val="auto"/>
        </w:rPr>
        <w:t>Tenant Delay</w:t>
      </w:r>
      <w:r>
        <w:rPr>
          <w:rFonts w:ascii="Arial" w:cs="Arial" w:eastAsia="Arial" w:hAnsi="Arial"/>
          <w:sz w:val="14"/>
          <w:szCs w:val="14"/>
          <w:color w:val="auto"/>
        </w:rPr>
        <w:t>: Any of the following types of delay in the completion of construction of the Building Shell:</w:t>
      </w:r>
    </w:p>
    <w:p>
      <w:pPr>
        <w:spacing w:after="0" w:line="131" w:lineRule="exact"/>
        <w:rPr>
          <w:rFonts w:ascii="Arial" w:cs="Arial" w:eastAsia="Arial" w:hAnsi="Arial"/>
          <w:sz w:val="14"/>
          <w:szCs w:val="14"/>
          <w:color w:val="auto"/>
        </w:rPr>
      </w:pPr>
    </w:p>
    <w:p>
      <w:pPr>
        <w:ind w:right="360" w:firstLine="920"/>
        <w:spacing w:after="0" w:line="267" w:lineRule="auto"/>
        <w:tabs>
          <w:tab w:leader="none" w:pos="1079" w:val="left"/>
        </w:tabs>
        <w:numPr>
          <w:ilvl w:val="2"/>
          <w:numId w:val="358"/>
        </w:numPr>
        <w:rPr>
          <w:rFonts w:ascii="Arial" w:cs="Arial" w:eastAsia="Arial" w:hAnsi="Arial"/>
          <w:sz w:val="14"/>
          <w:szCs w:val="14"/>
          <w:color w:val="auto"/>
        </w:rPr>
      </w:pPr>
      <w:r>
        <w:rPr>
          <w:rFonts w:ascii="Arial" w:cs="Arial" w:eastAsia="Arial" w:hAnsi="Arial"/>
          <w:sz w:val="14"/>
          <w:szCs w:val="14"/>
          <w:color w:val="auto"/>
        </w:rPr>
        <w:t>Any delay resulting from Tenant’s failure to furnish, in a timely manner, information requested by Landlord, Architect or Contractor in connection with the design or construction of the Building Shell, or from Tenant’s failure to approve in a timely manner any matters requiring approval by Tenant;</w:t>
      </w:r>
    </w:p>
    <w:p>
      <w:pPr>
        <w:spacing w:after="0" w:line="101" w:lineRule="exact"/>
        <w:rPr>
          <w:rFonts w:ascii="Arial" w:cs="Arial" w:eastAsia="Arial" w:hAnsi="Arial"/>
          <w:sz w:val="14"/>
          <w:szCs w:val="14"/>
          <w:color w:val="auto"/>
        </w:rPr>
      </w:pPr>
    </w:p>
    <w:p>
      <w:pPr>
        <w:ind w:left="1120" w:hanging="200"/>
        <w:spacing w:after="0"/>
        <w:tabs>
          <w:tab w:leader="none" w:pos="1120" w:val="left"/>
        </w:tabs>
        <w:numPr>
          <w:ilvl w:val="2"/>
          <w:numId w:val="358"/>
        </w:numPr>
        <w:rPr>
          <w:rFonts w:ascii="Arial" w:cs="Arial" w:eastAsia="Arial" w:hAnsi="Arial"/>
          <w:sz w:val="14"/>
          <w:szCs w:val="14"/>
          <w:color w:val="auto"/>
        </w:rPr>
      </w:pPr>
      <w:r>
        <w:rPr>
          <w:rFonts w:ascii="Arial" w:cs="Arial" w:eastAsia="Arial" w:hAnsi="Arial"/>
          <w:sz w:val="14"/>
          <w:szCs w:val="14"/>
          <w:color w:val="auto"/>
        </w:rPr>
        <w:t>Any delay attributable to any need to construct the Building Shell in an “above standard” manner, as more fully described in Schedule I attached to this Workletter;</w:t>
      </w:r>
    </w:p>
    <w:p>
      <w:pPr>
        <w:spacing w:after="0" w:line="131" w:lineRule="exact"/>
        <w:rPr>
          <w:rFonts w:ascii="Arial" w:cs="Arial" w:eastAsia="Arial" w:hAnsi="Arial"/>
          <w:sz w:val="14"/>
          <w:szCs w:val="14"/>
          <w:color w:val="auto"/>
        </w:rPr>
      </w:pPr>
    </w:p>
    <w:p>
      <w:pPr>
        <w:ind w:left="1160" w:hanging="240"/>
        <w:spacing w:after="0"/>
        <w:tabs>
          <w:tab w:leader="none" w:pos="1160" w:val="left"/>
        </w:tabs>
        <w:numPr>
          <w:ilvl w:val="2"/>
          <w:numId w:val="358"/>
        </w:numPr>
        <w:rPr>
          <w:rFonts w:ascii="Arial" w:cs="Arial" w:eastAsia="Arial" w:hAnsi="Arial"/>
          <w:sz w:val="12"/>
          <w:szCs w:val="12"/>
          <w:color w:val="auto"/>
        </w:rPr>
      </w:pPr>
      <w:r>
        <w:rPr>
          <w:rFonts w:ascii="Arial" w:cs="Arial" w:eastAsia="Arial" w:hAnsi="Arial"/>
          <w:sz w:val="12"/>
          <w:szCs w:val="12"/>
          <w:color w:val="auto"/>
        </w:rPr>
        <w:t>Any delay resulting from Change Orders, including any delay resulting from the need to revise any drawings or obtain further governmental approvals as a result of any Change Order; or</w:t>
      </w:r>
    </w:p>
    <w:p>
      <w:pPr>
        <w:spacing w:after="0" w:line="154" w:lineRule="exact"/>
        <w:rPr>
          <w:rFonts w:ascii="Arial" w:cs="Arial" w:eastAsia="Arial" w:hAnsi="Arial"/>
          <w:sz w:val="12"/>
          <w:szCs w:val="12"/>
          <w:color w:val="auto"/>
        </w:rPr>
      </w:pPr>
    </w:p>
    <w:p>
      <w:pPr>
        <w:ind w:left="1160" w:hanging="240"/>
        <w:spacing w:after="0"/>
        <w:tabs>
          <w:tab w:leader="none" w:pos="1160" w:val="left"/>
        </w:tabs>
        <w:numPr>
          <w:ilvl w:val="2"/>
          <w:numId w:val="358"/>
        </w:numPr>
        <w:rPr>
          <w:rFonts w:ascii="Arial" w:cs="Arial" w:eastAsia="Arial" w:hAnsi="Arial"/>
          <w:sz w:val="14"/>
          <w:szCs w:val="14"/>
          <w:color w:val="auto"/>
        </w:rPr>
      </w:pPr>
      <w:r>
        <w:rPr>
          <w:rFonts w:ascii="Arial" w:cs="Arial" w:eastAsia="Arial" w:hAnsi="Arial"/>
          <w:sz w:val="14"/>
          <w:szCs w:val="14"/>
          <w:color w:val="auto"/>
        </w:rPr>
        <w:t>Any delay of any other kind or nature caused by Tenant (or Tenant’s contractors, agents or employees) or resulting from the performance of Tenant’s Work.</w:t>
      </w:r>
    </w:p>
    <w:p>
      <w:pPr>
        <w:spacing w:after="0" w:line="131" w:lineRule="exact"/>
        <w:rPr>
          <w:rFonts w:ascii="Arial" w:cs="Arial" w:eastAsia="Arial" w:hAnsi="Arial"/>
          <w:sz w:val="14"/>
          <w:szCs w:val="14"/>
          <w:color w:val="auto"/>
        </w:rPr>
      </w:pPr>
    </w:p>
    <w:p>
      <w:pPr>
        <w:ind w:right="220" w:firstLine="462"/>
        <w:spacing w:after="0" w:line="267" w:lineRule="auto"/>
        <w:tabs>
          <w:tab w:leader="none" w:pos="651" w:val="left"/>
        </w:tabs>
        <w:numPr>
          <w:ilvl w:val="1"/>
          <w:numId w:val="358"/>
        </w:numPr>
        <w:rPr>
          <w:rFonts w:ascii="Arial" w:cs="Arial" w:eastAsia="Arial" w:hAnsi="Arial"/>
          <w:sz w:val="14"/>
          <w:szCs w:val="14"/>
          <w:color w:val="auto"/>
        </w:rPr>
      </w:pPr>
      <w:r>
        <w:rPr>
          <w:rFonts w:ascii="Arial" w:cs="Arial" w:eastAsia="Arial" w:hAnsi="Arial"/>
          <w:sz w:val="14"/>
          <w:szCs w:val="14"/>
          <w:u w:val="single" w:color="auto"/>
          <w:color w:val="auto"/>
        </w:rPr>
        <w:t>Tenant’s Work</w:t>
      </w:r>
      <w:r>
        <w:rPr>
          <w:rFonts w:ascii="Arial" w:cs="Arial" w:eastAsia="Arial" w:hAnsi="Arial"/>
          <w:sz w:val="14"/>
          <w:szCs w:val="14"/>
          <w:color w:val="auto"/>
        </w:rPr>
        <w:t>: All of the Improvements other than those constituting Landlord’s Work, and such other materials and improvements as Tenant deems necessary or appropriate for Tenant’s use and occupancy of the Initial Building.</w:t>
      </w:r>
    </w:p>
    <w:p>
      <w:pPr>
        <w:spacing w:after="0" w:line="101" w:lineRule="exact"/>
        <w:rPr>
          <w:rFonts w:ascii="Arial" w:cs="Arial" w:eastAsia="Arial" w:hAnsi="Arial"/>
          <w:sz w:val="14"/>
          <w:szCs w:val="14"/>
          <w:color w:val="auto"/>
        </w:rPr>
      </w:pPr>
    </w:p>
    <w:p>
      <w:pPr>
        <w:ind w:right="420" w:firstLine="462"/>
        <w:spacing w:after="0" w:line="267" w:lineRule="auto"/>
        <w:tabs>
          <w:tab w:leader="none" w:pos="628" w:val="left"/>
        </w:tabs>
        <w:numPr>
          <w:ilvl w:val="1"/>
          <w:numId w:val="358"/>
        </w:numPr>
        <w:rPr>
          <w:rFonts w:ascii="Arial" w:cs="Arial" w:eastAsia="Arial" w:hAnsi="Arial"/>
          <w:sz w:val="14"/>
          <w:szCs w:val="14"/>
          <w:color w:val="auto"/>
        </w:rPr>
      </w:pPr>
      <w:r>
        <w:rPr>
          <w:rFonts w:ascii="Arial" w:cs="Arial" w:eastAsia="Arial" w:hAnsi="Arial"/>
          <w:sz w:val="14"/>
          <w:szCs w:val="14"/>
          <w:u w:val="single" w:color="auto"/>
          <w:color w:val="auto"/>
        </w:rPr>
        <w:t>Unavoidable Delays</w:t>
      </w:r>
      <w:r>
        <w:rPr>
          <w:rFonts w:ascii="Arial" w:cs="Arial" w:eastAsia="Arial" w:hAnsi="Arial"/>
          <w:sz w:val="14"/>
          <w:szCs w:val="14"/>
          <w:color w:val="auto"/>
        </w:rPr>
        <w:t>: Delays due to acts of God, acts of public agencies, labor disputes, strikes, fires, freight embargoes, rainy or stormy weather, inability to obtain supplies, materials, fuels or permits, delays of contractors or subcontractors, or other causes or contingencies beyond the reasonable control of Landlord.</w:t>
      </w:r>
    </w:p>
    <w:p>
      <w:pPr>
        <w:spacing w:after="0" w:line="101" w:lineRule="exact"/>
        <w:rPr>
          <w:rFonts w:ascii="Arial" w:cs="Arial" w:eastAsia="Arial" w:hAnsi="Arial"/>
          <w:sz w:val="14"/>
          <w:szCs w:val="14"/>
          <w:color w:val="auto"/>
        </w:rPr>
      </w:pPr>
    </w:p>
    <w:p>
      <w:pPr>
        <w:ind w:left="640" w:hanging="178"/>
        <w:spacing w:after="0"/>
        <w:tabs>
          <w:tab w:leader="none" w:pos="640" w:val="left"/>
        </w:tabs>
        <w:numPr>
          <w:ilvl w:val="1"/>
          <w:numId w:val="358"/>
        </w:numPr>
        <w:rPr>
          <w:rFonts w:ascii="Arial" w:cs="Arial" w:eastAsia="Arial" w:hAnsi="Arial"/>
          <w:sz w:val="14"/>
          <w:szCs w:val="14"/>
          <w:color w:val="auto"/>
        </w:rPr>
      </w:pPr>
      <w:r>
        <w:rPr>
          <w:rFonts w:ascii="Arial" w:cs="Arial" w:eastAsia="Arial" w:hAnsi="Arial"/>
          <w:sz w:val="14"/>
          <w:szCs w:val="14"/>
          <w:u w:val="single" w:color="auto"/>
          <w:color w:val="auto"/>
        </w:rPr>
        <w:t>Work Deadlines</w:t>
      </w:r>
      <w:r>
        <w:rPr>
          <w:rFonts w:ascii="Arial" w:cs="Arial" w:eastAsia="Arial" w:hAnsi="Arial"/>
          <w:sz w:val="14"/>
          <w:szCs w:val="14"/>
          <w:color w:val="auto"/>
        </w:rPr>
        <w:t xml:space="preserve">: The target dates for performance by the applicable party of the steps listed in the Estimated Construction Schedule attached as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to the Lease.</w:t>
      </w:r>
    </w:p>
    <w:p>
      <w:pPr>
        <w:spacing w:after="0" w:line="131" w:lineRule="exact"/>
        <w:rPr>
          <w:rFonts w:ascii="Arial" w:cs="Arial" w:eastAsia="Arial" w:hAnsi="Arial"/>
          <w:sz w:val="14"/>
          <w:szCs w:val="14"/>
          <w:color w:val="auto"/>
        </w:rPr>
      </w:pPr>
    </w:p>
    <w:p>
      <w:pPr>
        <w:ind w:left="620" w:hanging="158"/>
        <w:spacing w:after="0"/>
        <w:tabs>
          <w:tab w:leader="none" w:pos="620" w:val="left"/>
        </w:tabs>
        <w:numPr>
          <w:ilvl w:val="1"/>
          <w:numId w:val="358"/>
        </w:numPr>
        <w:rPr>
          <w:rFonts w:ascii="Arial" w:cs="Arial" w:eastAsia="Arial" w:hAnsi="Arial"/>
          <w:sz w:val="14"/>
          <w:szCs w:val="14"/>
          <w:color w:val="auto"/>
        </w:rPr>
      </w:pPr>
      <w:r>
        <w:rPr>
          <w:rFonts w:ascii="Arial" w:cs="Arial" w:eastAsia="Arial" w:hAnsi="Arial"/>
          <w:sz w:val="14"/>
          <w:szCs w:val="14"/>
          <w:color w:val="auto"/>
        </w:rPr>
        <w:t>Capitalized terms not otherwise defined in this Workletter shall have the definitions set forth in the Lease.</w:t>
      </w:r>
    </w:p>
    <w:p>
      <w:pPr>
        <w:spacing w:after="0" w:line="131" w:lineRule="exact"/>
        <w:rPr>
          <w:rFonts w:ascii="Arial" w:cs="Arial" w:eastAsia="Arial" w:hAnsi="Arial"/>
          <w:sz w:val="14"/>
          <w:szCs w:val="14"/>
          <w:color w:val="auto"/>
        </w:rPr>
      </w:pPr>
    </w:p>
    <w:p>
      <w:pPr>
        <w:ind w:left="140" w:hanging="136"/>
        <w:spacing w:after="0"/>
        <w:tabs>
          <w:tab w:leader="none" w:pos="140" w:val="left"/>
        </w:tabs>
        <w:numPr>
          <w:ilvl w:val="0"/>
          <w:numId w:val="359"/>
        </w:numPr>
        <w:rPr>
          <w:rFonts w:ascii="Arial" w:cs="Arial" w:eastAsia="Arial" w:hAnsi="Arial"/>
          <w:sz w:val="12"/>
          <w:szCs w:val="12"/>
          <w:color w:val="auto"/>
        </w:rPr>
      </w:pPr>
      <w:r>
        <w:rPr>
          <w:rFonts w:ascii="Arial" w:cs="Arial" w:eastAsia="Arial" w:hAnsi="Arial"/>
          <w:sz w:val="12"/>
          <w:szCs w:val="12"/>
          <w:u w:val="single" w:color="auto"/>
          <w:color w:val="auto"/>
        </w:rPr>
        <w:t>Plans, Cost of Improvements and Construction</w:t>
      </w:r>
      <w:r>
        <w:rPr>
          <w:rFonts w:ascii="Arial" w:cs="Arial" w:eastAsia="Arial" w:hAnsi="Arial"/>
          <w:sz w:val="12"/>
          <w:szCs w:val="12"/>
          <w:color w:val="auto"/>
        </w:rPr>
        <w:t>. Landlord and Tenant shall comply with the procedures set forth in this Paragraph in preparing, delivering and approving matters relating to the Improvements.</w:t>
      </w:r>
    </w:p>
    <w:p>
      <w:pPr>
        <w:spacing w:after="0" w:line="154" w:lineRule="exact"/>
        <w:rPr>
          <w:rFonts w:ascii="Arial" w:cs="Arial" w:eastAsia="Arial" w:hAnsi="Arial"/>
          <w:sz w:val="12"/>
          <w:szCs w:val="12"/>
          <w:color w:val="auto"/>
        </w:rPr>
      </w:pPr>
    </w:p>
    <w:p>
      <w:pPr>
        <w:ind w:firstLine="462"/>
        <w:spacing w:after="0" w:line="300" w:lineRule="auto"/>
        <w:tabs>
          <w:tab w:leader="none" w:pos="643" w:val="left"/>
        </w:tabs>
        <w:numPr>
          <w:ilvl w:val="1"/>
          <w:numId w:val="359"/>
        </w:numPr>
        <w:rPr>
          <w:rFonts w:ascii="Arial" w:cs="Arial" w:eastAsia="Arial" w:hAnsi="Arial"/>
          <w:sz w:val="12"/>
          <w:szCs w:val="12"/>
          <w:color w:val="auto"/>
        </w:rPr>
      </w:pPr>
      <w:r>
        <w:rPr>
          <w:rFonts w:ascii="Arial" w:cs="Arial" w:eastAsia="Arial" w:hAnsi="Arial"/>
          <w:sz w:val="12"/>
          <w:szCs w:val="12"/>
          <w:u w:val="single" w:color="auto"/>
          <w:color w:val="auto"/>
        </w:rPr>
        <w:t>Approved Plans and Working Drawings for Landlord’s Work</w:t>
      </w:r>
      <w:r>
        <w:rPr>
          <w:rFonts w:ascii="Arial" w:cs="Arial" w:eastAsia="Arial" w:hAnsi="Arial"/>
          <w:sz w:val="12"/>
          <w:szCs w:val="12"/>
          <w:color w:val="auto"/>
        </w:rPr>
        <w:t>. Plans and specifications for the Building Shell and other aspects of Landlord’s Work have been and continue to be under development and review by Landlord, Tenant and the respective Architects, but no such plans and specifications have yet been finally approved. Landlord shall continue to promptly and diligently (and in all events prior to any applicable Work Deadlines) cause to be prepared and delivered to Tenant, for approval, plans and specifications for the Improvements constituting Landlord’s Work (except to the extent Tenant is responsible for the design of such Improvements pursuant to the Coordination Schedule, in which event Tenant shall promptly and diligently, and in all events prior to any applicable Work Deadlines, cause such plans and specifications to be prepared and delivered to Landlord for approval). Following such mutual approval, Landlord shall then cause to be prepared and delivered to Tenant, on or before the applicable Work Deadline (assuming timely delivery by Tenant of all information, decisions and drawings required to be furnished or made by Tenant in order to permit complete preparation of plans and drawings), final working drawings and specifications for the Improvements constituting Landlord’s Work, including structural, fire protection, life safety, mechanical and electrical working drawings and final architectural drawings (collectively, “Final Working Drawings”). The</w:t>
      </w:r>
    </w:p>
    <w:p>
      <w:pPr>
        <w:spacing w:after="0" w:line="244" w:lineRule="exact"/>
        <w:rPr>
          <w:rFonts w:ascii="Arial" w:cs="Arial" w:eastAsia="Arial" w:hAnsi="Arial"/>
          <w:sz w:val="12"/>
          <w:szCs w:val="12"/>
          <w:color w:val="auto"/>
        </w:rPr>
      </w:pPr>
    </w:p>
    <w:p>
      <w:pPr>
        <w:ind w:left="5700" w:hanging="79"/>
        <w:spacing w:after="0"/>
        <w:tabs>
          <w:tab w:leader="none" w:pos="5700" w:val="left"/>
        </w:tabs>
        <w:numPr>
          <w:ilvl w:val="3"/>
          <w:numId w:val="359"/>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1460"/>
          </w:cols>
          <w:pgMar w:left="220" w:top="247" w:right="219" w:bottom="1440" w:gutter="0" w:footer="0" w:header="0"/>
        </w:sectPr>
      </w:pPr>
    </w:p>
    <w:bookmarkStart w:id="423" w:name="page424"/>
    <w:bookmarkEnd w:id="423"/>
    <w:p>
      <w:pPr>
        <w:spacing w:after="0" w:line="29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Final Working Drawings shall substantially conform to the Approved Plans. Landlord’s obligation to deliver the Final Working Drawings to Tenant within the time period set forth above shall be extended for any delay encountered by Landlord as a result of a request by Tenant for changes in accordance with the procedure set forth below, any other Tenant Delays, or any Unavoidable Delays. No later than the applicable Work Deadline (assuming timely delivery of plans and drawings by Landlord), Tenant shall either approve the Final Working Drawings or set forth in writing with particularity any changes necessary to bring, the Final Working Drawings into substantial conformity with the Approved Plans or into a form which will be acceptable to Tenant. In no event, however, shall Tenant have the right to object to any aspect of the proposed plans and specifications or proposed Final Working Drawings for Landlord’s Work (including, but not limited to, any change from the Approved Plans) that is necessitated by applicable law, or to any aspect of such proposed plans and specifications or proposed Final Working Drawings that relates to the Building Shell or Site Improvements, although Landlord agrees to consult with Tenant and to give reasonable consideration to Tenant’s views regarding functional characteristics of the Building Shell and Site Improvements. Failure of Tenant to deliver to Landlord written notice of disapproval and specification of required changes on or before the applicable Work Deadline shall constitute and be deemed to be approval of the Final Working Drawings. Upon approval, actual or deemed, of the Final Working Drawings by Landlord and Tenant, the Final Working Drawings shall be deemed to be incorporated in and considered part of the Approved Plans, superseding (to the extent of any inconsistencies) any inconsistent features of the previously existing Approved Plans.</w:t>
      </w:r>
    </w:p>
    <w:p>
      <w:pPr>
        <w:spacing w:after="0" w:line="255" w:lineRule="exact"/>
        <w:rPr>
          <w:sz w:val="20"/>
          <w:szCs w:val="20"/>
          <w:color w:val="auto"/>
        </w:rPr>
      </w:pPr>
    </w:p>
    <w:p>
      <w:pPr>
        <w:ind w:right="120" w:firstLine="462"/>
        <w:spacing w:after="0" w:line="299" w:lineRule="auto"/>
        <w:tabs>
          <w:tab w:leader="none" w:pos="651" w:val="left"/>
        </w:tabs>
        <w:numPr>
          <w:ilvl w:val="0"/>
          <w:numId w:val="360"/>
        </w:numPr>
        <w:rPr>
          <w:rFonts w:ascii="Arial" w:cs="Arial" w:eastAsia="Arial" w:hAnsi="Arial"/>
          <w:sz w:val="12"/>
          <w:szCs w:val="12"/>
          <w:color w:val="auto"/>
        </w:rPr>
      </w:pPr>
      <w:r>
        <w:rPr>
          <w:rFonts w:ascii="Arial" w:cs="Arial" w:eastAsia="Arial" w:hAnsi="Arial"/>
          <w:sz w:val="12"/>
          <w:szCs w:val="12"/>
          <w:u w:val="single" w:color="auto"/>
          <w:color w:val="auto"/>
        </w:rPr>
        <w:t>Approved Plans and Working Drawings for Tenant’s Work</w:t>
      </w:r>
      <w:r>
        <w:rPr>
          <w:rFonts w:ascii="Arial" w:cs="Arial" w:eastAsia="Arial" w:hAnsi="Arial"/>
          <w:sz w:val="12"/>
          <w:szCs w:val="12"/>
          <w:color w:val="auto"/>
        </w:rPr>
        <w:t>. Tenant shall promptly and diligently cause to be prepared and delivered to Landlord, for approval, plans and specifications for the Improvements constituting Tenant’s Work (except to the extent Landlord is responsible for the design of such Improvements pursuant to the Coordination Schedule, in which event Landlord shall promptly and diligently cause such plans and specifications to be prepared and delivered to Tenant for approval). Following such approval, Tenant shall then cause to be prepared and delivered to Landlord final working drawings and specifications for the Improvements constituting Tenant’s Work, including any applicable life safety, mechanical and electrical working drawings and final architectural drawings (collectively, “Final Working Drawings”). The Final Working Drawings shall substantially conform to the Approved Plans. Landlord shall either approve the Final Working Drawings or set forth in writing with particularity any changes necessary to bring the Final Working Drawings into substantial conformity with the Approved Plans or into a form which will be acceptable to Landlord. Upon approval of the Final Working Drawings by Landlord and Tenant, the Final Working Drawings shall be deemed to be incorporated in and considered part of the Approved Plans, superseding (to the extent of any inconsistencies) any inconsistent features of the previously existing Approved Plans.</w:t>
      </w:r>
    </w:p>
    <w:p>
      <w:pPr>
        <w:spacing w:after="0" w:line="87" w:lineRule="exact"/>
        <w:rPr>
          <w:rFonts w:ascii="Arial" w:cs="Arial" w:eastAsia="Arial" w:hAnsi="Arial"/>
          <w:sz w:val="12"/>
          <w:szCs w:val="12"/>
          <w:color w:val="auto"/>
        </w:rPr>
      </w:pPr>
    </w:p>
    <w:p>
      <w:pPr>
        <w:ind w:right="20" w:firstLine="462"/>
        <w:spacing w:after="0" w:line="298" w:lineRule="auto"/>
        <w:tabs>
          <w:tab w:leader="none" w:pos="643" w:val="left"/>
        </w:tabs>
        <w:numPr>
          <w:ilvl w:val="0"/>
          <w:numId w:val="360"/>
        </w:numPr>
        <w:rPr>
          <w:rFonts w:ascii="Arial" w:cs="Arial" w:eastAsia="Arial" w:hAnsi="Arial"/>
          <w:sz w:val="12"/>
          <w:szCs w:val="12"/>
          <w:color w:val="auto"/>
        </w:rPr>
      </w:pPr>
      <w:r>
        <w:rPr>
          <w:rFonts w:ascii="Arial" w:cs="Arial" w:eastAsia="Arial" w:hAnsi="Arial"/>
          <w:sz w:val="12"/>
          <w:szCs w:val="12"/>
          <w:u w:val="single" w:color="auto"/>
          <w:color w:val="auto"/>
        </w:rPr>
        <w:t>Cost of Improvements</w:t>
      </w:r>
      <w:r>
        <w:rPr>
          <w:rFonts w:ascii="Arial" w:cs="Arial" w:eastAsia="Arial" w:hAnsi="Arial"/>
          <w:sz w:val="12"/>
          <w:szCs w:val="12"/>
          <w:color w:val="auto"/>
        </w:rPr>
        <w:t>. “Cost of Improvement” shall mean, with respect to any item or component for which a cost must be determined in order to allocate such cost, or an increase in such cost, to Landlord and/or Tenant pursuant to this Workletter, the sum of the following (unless otherwise agreed in writing by Landlord and Tenant with respect to any specific item or component or any category of items or components): (i) all sums paid to contractors or subcontractors for labor and materials furnished in connection with construction of such item or component; (ii) all costs, expenses, payments, fees and charges (other than penalties) paid or incurred to or at the direction of any city, county or other governmental or quasi-governmental authority or agency which are required to be paid in order to obtain all necessary governmental permits, licenses, inspections and approvals relating to construction of such item or component; (iii) engineering and architectural fees for services rendered in connection with the design and construction of such item or component (including, but not limited to, the applicable Architect for such item or component and an electrical engineer, mechanical engineer and civil engineer); (iv) sales and use taxes; (v) testing and inspection costs; (vi) the cost of power, water and other utility facilities and the cost of collection and removal of debris required in connection with construction of such item or component; and (vii) all other “hard” costs incurred in the construction of such item or component in accordance with the Approved Plans and this Workletter. Cost of Improvement shall not include any project management fee relating to the construction of such item or component.</w:t>
      </w:r>
    </w:p>
    <w:p>
      <w:pPr>
        <w:spacing w:after="0" w:line="77" w:lineRule="exact"/>
        <w:rPr>
          <w:rFonts w:ascii="Arial" w:cs="Arial" w:eastAsia="Arial" w:hAnsi="Arial"/>
          <w:sz w:val="12"/>
          <w:szCs w:val="12"/>
          <w:color w:val="auto"/>
        </w:rPr>
      </w:pPr>
    </w:p>
    <w:p>
      <w:pPr>
        <w:ind w:left="5700" w:hanging="79"/>
        <w:spacing w:after="0"/>
        <w:tabs>
          <w:tab w:leader="none" w:pos="5700" w:val="left"/>
        </w:tabs>
        <w:numPr>
          <w:ilvl w:val="1"/>
          <w:numId w:val="360"/>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60"/>
          </w:cols>
          <w:pgMar w:left="220" w:top="247" w:right="219" w:bottom="1440" w:gutter="0" w:footer="0" w:header="0"/>
        </w:sectPr>
      </w:pPr>
    </w:p>
    <w:bookmarkStart w:id="424" w:name="page425"/>
    <w:bookmarkEnd w:id="424"/>
    <w:p>
      <w:pPr>
        <w:ind w:left="-4" w:right="20" w:firstLine="462"/>
        <w:spacing w:after="0" w:line="302" w:lineRule="auto"/>
        <w:tabs>
          <w:tab w:leader="none" w:pos="647" w:val="left"/>
        </w:tabs>
        <w:numPr>
          <w:ilvl w:val="1"/>
          <w:numId w:val="361"/>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Construction of Landlord’s Work</w:t>
      </w:r>
      <w:r>
        <w:rPr>
          <w:rFonts w:ascii="Arial" w:cs="Arial" w:eastAsia="Arial" w:hAnsi="Arial"/>
          <w:sz w:val="12"/>
          <w:szCs w:val="12"/>
          <w:color w:val="auto"/>
        </w:rPr>
        <w:t>. Promptly following approval of the Final Working Drawings, Landlord shall apply for and use reasonable efforts to obtain the necessary permits and approvals to allow construction of all Improvements constituting Landlord’s Work. Upon receipt of such permits and approvals, Landlord shall, at Landlord’s sole expense (except as otherwise provided in the Lease or in this Workletter), diligently construct and complete the Improvements constituting Landlord’s Work substantially in accordance with the Approved Plans, subject to Unavoidable Delays and Tenant Delays (if any). Such construction shall be performed in a neat and workmanlike manner and shall conform to all applicable governmental codes, laws and regulations in force at the time such work is completed. Landlord shall use only union labor on or in connection with Landlord’s Work and shall use the General Contractor specified in Paragraph l(i) to construct all Improvements constituting Landlord’s Work, but shall use any subcontractors specified in the Coordination Schedule or otherwise designated by Tenant to construct or install any Improvements constituting Landlord’s Work that are listed on the Coordination Schedule.</w:t>
      </w:r>
    </w:p>
    <w:p>
      <w:pPr>
        <w:spacing w:after="0" w:line="86" w:lineRule="exact"/>
        <w:rPr>
          <w:rFonts w:ascii="Arial" w:cs="Arial" w:eastAsia="Arial" w:hAnsi="Arial"/>
          <w:sz w:val="12"/>
          <w:szCs w:val="12"/>
          <w:color w:val="auto"/>
        </w:rPr>
      </w:pPr>
    </w:p>
    <w:p>
      <w:pPr>
        <w:ind w:left="636" w:hanging="178"/>
        <w:spacing w:after="0"/>
        <w:tabs>
          <w:tab w:leader="none" w:pos="636" w:val="left"/>
        </w:tabs>
        <w:numPr>
          <w:ilvl w:val="1"/>
          <w:numId w:val="361"/>
        </w:numPr>
        <w:rPr>
          <w:rFonts w:ascii="Arial" w:cs="Arial" w:eastAsia="Arial" w:hAnsi="Arial"/>
          <w:sz w:val="14"/>
          <w:szCs w:val="14"/>
          <w:color w:val="auto"/>
        </w:rPr>
      </w:pPr>
      <w:r>
        <w:rPr>
          <w:rFonts w:ascii="Arial" w:cs="Arial" w:eastAsia="Arial" w:hAnsi="Arial"/>
          <w:sz w:val="14"/>
          <w:szCs w:val="14"/>
          <w:u w:val="single" w:color="auto"/>
          <w:color w:val="auto"/>
        </w:rPr>
        <w:t>Changes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4" w:firstLine="920"/>
        <w:spacing w:after="0" w:line="252" w:lineRule="auto"/>
        <w:tabs>
          <w:tab w:leader="none" w:pos="1075" w:val="left"/>
        </w:tabs>
        <w:numPr>
          <w:ilvl w:val="2"/>
          <w:numId w:val="361"/>
        </w:numPr>
        <w:rPr>
          <w:rFonts w:ascii="Arial" w:cs="Arial" w:eastAsia="Arial" w:hAnsi="Arial"/>
          <w:sz w:val="14"/>
          <w:szCs w:val="14"/>
          <w:color w:val="auto"/>
        </w:rPr>
      </w:pPr>
      <w:r>
        <w:rPr>
          <w:rFonts w:ascii="Arial" w:cs="Arial" w:eastAsia="Arial" w:hAnsi="Arial"/>
          <w:sz w:val="14"/>
          <w:szCs w:val="14"/>
          <w:color w:val="auto"/>
        </w:rPr>
        <w:t>If Landlord determines at any time that changes in the Final Working Drawings or in any other aspect of the Approved Plans relating to any item of Landlord’s Work are required as a result of applicable law or governmental requirements, or at the insistence of any other third party whose approval may be required with respcct to the Improvements, or as a result of unanticipated conditions encountered in the course of construction, then Landlord shall promptly (A) advise Tenant of such circumstances and (B) cause revised Approved Plans and/or Final Working Drawings, as applicable, reflecting such changes to be prepared by Architect and, to the extent such changes relate to items other than the Building Shell or Site Improvements, submitted to Tenant for approval in accordance with the procedure contemplated in Paragraph 2(a) hereof. Upon final approval of revised drawings by Landlord and Tenant (if applicable), the Final Working Drawings and/or Approved Plans shall be deemed to be modified accordingly.</w:t>
      </w:r>
    </w:p>
    <w:p>
      <w:pPr>
        <w:spacing w:after="0" w:line="114" w:lineRule="exact"/>
        <w:rPr>
          <w:rFonts w:ascii="Arial" w:cs="Arial" w:eastAsia="Arial" w:hAnsi="Arial"/>
          <w:sz w:val="14"/>
          <w:szCs w:val="14"/>
          <w:color w:val="auto"/>
        </w:rPr>
      </w:pPr>
    </w:p>
    <w:p>
      <w:pPr>
        <w:ind w:left="-4" w:right="80" w:firstLine="920"/>
        <w:spacing w:after="0" w:line="298" w:lineRule="auto"/>
        <w:tabs>
          <w:tab w:leader="none" w:pos="1113" w:val="left"/>
        </w:tabs>
        <w:numPr>
          <w:ilvl w:val="2"/>
          <w:numId w:val="361"/>
        </w:numPr>
        <w:rPr>
          <w:rFonts w:ascii="Arial" w:cs="Arial" w:eastAsia="Arial" w:hAnsi="Arial"/>
          <w:sz w:val="12"/>
          <w:szCs w:val="12"/>
          <w:color w:val="auto"/>
        </w:rPr>
      </w:pPr>
      <w:r>
        <w:rPr>
          <w:rFonts w:ascii="Arial" w:cs="Arial" w:eastAsia="Arial" w:hAnsi="Arial"/>
          <w:sz w:val="12"/>
          <w:szCs w:val="12"/>
          <w:color w:val="auto"/>
        </w:rPr>
        <w:t>If Tenant at any time desires any changes, alterations or additions to the Approved Plans or the Final Working Drawings with respect to any of Landlord’s Work, Tenant shall submit a detailed written request to Landlord specifying such changes, alterations or additions (a “Change Order”). Upon receipt of any such request, Landlord shall promptly notify Tenant of (A) whether the matters proposed in the Change Order are approved by Landlord (which approval shall not be unreasonably withheld), (B) Landlord’s estimate of the number of days of delay, if any, which shall be caused by such Change Order if implemented (including, without limitation, delays due to the need to obtain any revised plans or drawings and any governmental approvals), and (C) Landlord’s estimate of the increase, if any, which shall occur in the Cost of Improvement for the items or components affected by such Change Order if such Change Order is implemented (including, but not limited to, any costs of compliance with laws or governmental regulations that become applicable because of the requested Change Order). If Tenant notifies Landlord in writing, within five (5) business days after receipt of such notice from Landlord, of Tenant’s approval of the Change Order (including the estimated delays and cost increases, if any, described in Landlord’s notice), then Landlord shall cause such Change Order to be implemented, and Tenant shall be responsible for all costs or cost increases resulting from or attributable to the Change Order, subject to the provisions of Paragraph 4 hereof. If Tenant fails to notify Landlord in writing of Tenant’s approval of such Change Order within said five (5) business day period, then such Change Order shall be deemed to be withdrawn and shall be of no further effect.</w:t>
      </w:r>
    </w:p>
    <w:p>
      <w:pPr>
        <w:spacing w:after="0" w:line="87" w:lineRule="exact"/>
        <w:rPr>
          <w:rFonts w:ascii="Arial" w:cs="Arial" w:eastAsia="Arial" w:hAnsi="Arial"/>
          <w:sz w:val="12"/>
          <w:szCs w:val="12"/>
          <w:color w:val="auto"/>
        </w:rPr>
      </w:pPr>
    </w:p>
    <w:p>
      <w:pPr>
        <w:ind w:left="136" w:hanging="136"/>
        <w:spacing w:after="0"/>
        <w:tabs>
          <w:tab w:leader="none" w:pos="136" w:val="left"/>
        </w:tabs>
        <w:numPr>
          <w:ilvl w:val="0"/>
          <w:numId w:val="362"/>
        </w:numPr>
        <w:rPr>
          <w:rFonts w:ascii="Arial" w:cs="Arial" w:eastAsia="Arial" w:hAnsi="Arial"/>
          <w:sz w:val="14"/>
          <w:szCs w:val="14"/>
          <w:color w:val="auto"/>
        </w:rPr>
      </w:pPr>
      <w:r>
        <w:rPr>
          <w:rFonts w:ascii="Arial" w:cs="Arial" w:eastAsia="Arial" w:hAnsi="Arial"/>
          <w:sz w:val="14"/>
          <w:szCs w:val="14"/>
          <w:u w:val="single" w:color="auto"/>
          <w:color w:val="auto"/>
        </w:rPr>
        <w:t>Completion</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4" w:right="40" w:firstLine="462"/>
        <w:spacing w:after="0" w:line="253" w:lineRule="auto"/>
        <w:tabs>
          <w:tab w:leader="none" w:pos="639" w:val="left"/>
        </w:tabs>
        <w:numPr>
          <w:ilvl w:val="1"/>
          <w:numId w:val="362"/>
        </w:numPr>
        <w:rPr>
          <w:rFonts w:ascii="Arial" w:cs="Arial" w:eastAsia="Arial" w:hAnsi="Arial"/>
          <w:sz w:val="14"/>
          <w:szCs w:val="14"/>
          <w:color w:val="auto"/>
        </w:rPr>
      </w:pPr>
      <w:r>
        <w:rPr>
          <w:rFonts w:ascii="Arial" w:cs="Arial" w:eastAsia="Arial" w:hAnsi="Arial"/>
          <w:sz w:val="14"/>
          <w:szCs w:val="14"/>
          <w:color w:val="auto"/>
        </w:rPr>
        <w:t>When Landlord receives written certification from Architect that construction of the foundation, structural slab on grade, underslab plumbing work, structural steel framework, decking and concrete on second floor, and roof deck of the Initial Building, and installation of fire sprinklers therein, have been completed in accordance with the Approved Plans, Landlord shall prepare and deliver to Tenant a certificate signed by both Landlord and Architect (the “Structural Completion Certificate”) certifying that the construction of such portions of the Initial Building has been substantially completed in accordance with the Approved Plans in all material respects and specifying the date of that completion. The delivery of such Structural Completion Certificate shall commence the running of the six-month time period until the Commencement Date under Section 2.1 of the Lease.</w:t>
      </w:r>
    </w:p>
    <w:p>
      <w:pPr>
        <w:spacing w:after="0" w:line="102" w:lineRule="exact"/>
        <w:rPr>
          <w:rFonts w:ascii="Arial" w:cs="Arial" w:eastAsia="Arial" w:hAnsi="Arial"/>
          <w:sz w:val="14"/>
          <w:szCs w:val="14"/>
          <w:color w:val="auto"/>
        </w:rPr>
      </w:pPr>
    </w:p>
    <w:p>
      <w:pPr>
        <w:ind w:left="5696" w:hanging="79"/>
        <w:spacing w:after="0"/>
        <w:tabs>
          <w:tab w:leader="none" w:pos="5696" w:val="left"/>
        </w:tabs>
        <w:numPr>
          <w:ilvl w:val="3"/>
          <w:numId w:val="362"/>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11456"/>
          </w:cols>
          <w:pgMar w:left="224" w:top="247" w:right="219" w:bottom="1440" w:gutter="0" w:footer="0" w:header="0"/>
        </w:sectPr>
      </w:pPr>
    </w:p>
    <w:bookmarkStart w:id="425" w:name="page426"/>
    <w:bookmarkEnd w:id="425"/>
    <w:p>
      <w:pPr>
        <w:ind w:right="200" w:firstLine="462"/>
        <w:spacing w:after="0" w:line="305" w:lineRule="auto"/>
        <w:tabs>
          <w:tab w:leader="none" w:pos="651" w:val="left"/>
        </w:tabs>
        <w:numPr>
          <w:ilvl w:val="1"/>
          <w:numId w:val="36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When Landlord receives written certification from Architect that construction of the remaining Improvements constituting Landlord’s Work has been completed in accordance with the Approved Plans (except for Punch List Work), Landlord shall prepare and deliver to Tenant a certificate signed by both Landlord and Architect (the “Final Completion Certificate”) certifying that the construction of the remaining Improvements constituting Landlord’s Work has been substantially completed in accordance with the Approved Plans in all material respects, subject only to completion of Punch List Work, and specifying the date of that completion. Upon receipt by Tenant of the Final Completion Certificate, the Improvements constituting Landlord’s Work will be deemed delivered to Tenant for all purposes of the Lease (subject to Landlord’s continuing obligations with respect to the Punch List Work).</w:t>
      </w:r>
    </w:p>
    <w:p>
      <w:pPr>
        <w:spacing w:after="0" w:line="84" w:lineRule="exact"/>
        <w:rPr>
          <w:rFonts w:ascii="Arial" w:cs="Arial" w:eastAsia="Arial" w:hAnsi="Arial"/>
          <w:sz w:val="12"/>
          <w:szCs w:val="12"/>
          <w:color w:val="auto"/>
        </w:rPr>
      </w:pPr>
    </w:p>
    <w:p>
      <w:pPr>
        <w:ind w:left="640" w:hanging="178"/>
        <w:spacing w:after="0"/>
        <w:tabs>
          <w:tab w:leader="none" w:pos="640" w:val="left"/>
        </w:tabs>
        <w:numPr>
          <w:ilvl w:val="1"/>
          <w:numId w:val="363"/>
        </w:numPr>
        <w:rPr>
          <w:rFonts w:ascii="Arial" w:cs="Arial" w:eastAsia="Arial" w:hAnsi="Arial"/>
          <w:sz w:val="12"/>
          <w:szCs w:val="12"/>
          <w:color w:val="auto"/>
        </w:rPr>
      </w:pPr>
      <w:r>
        <w:rPr>
          <w:rFonts w:ascii="Arial" w:cs="Arial" w:eastAsia="Arial" w:hAnsi="Arial"/>
          <w:sz w:val="12"/>
          <w:szCs w:val="12"/>
          <w:color w:val="auto"/>
        </w:rPr>
        <w:t>Notwithstanding any other provisions of this Workletter or of the Lease, if Landlord is delayed in substantially completing any of Landlord’s Work necessary for issuance of the Structural</w:t>
      </w:r>
    </w:p>
    <w:p>
      <w:pPr>
        <w:spacing w:after="0" w:line="35" w:lineRule="exact"/>
        <w:rPr>
          <w:rFonts w:ascii="Arial" w:cs="Arial" w:eastAsia="Arial" w:hAnsi="Arial"/>
          <w:sz w:val="12"/>
          <w:szCs w:val="12"/>
          <w:color w:val="auto"/>
        </w:rPr>
      </w:pPr>
    </w:p>
    <w:p>
      <w:pPr>
        <w:ind w:right="20"/>
        <w:spacing w:after="0" w:line="252" w:lineRule="auto"/>
        <w:rPr>
          <w:rFonts w:ascii="Arial" w:cs="Arial" w:eastAsia="Arial" w:hAnsi="Arial"/>
          <w:sz w:val="12"/>
          <w:szCs w:val="12"/>
          <w:color w:val="auto"/>
        </w:rPr>
      </w:pPr>
      <w:r>
        <w:rPr>
          <w:rFonts w:ascii="Arial" w:cs="Arial" w:eastAsia="Arial" w:hAnsi="Arial"/>
          <w:sz w:val="14"/>
          <w:szCs w:val="14"/>
          <w:color w:val="auto"/>
        </w:rPr>
        <w:t>Completion Certificate as a result of any Tenant Delay, then the six-month period between the delivery of the Structural Completion Certificate and the Commencement Date pursuant to Section 2.1 of the Lease shall be reduced, day for day, by the number of days by which such Tenant Delay delayed completion of the portions of Landlord’s Work necessary for issuance of the Structural Completion Certificate, and Tenant shall reimburse Landlord in cash, within fifteen (15) days after written demand by Landlord (accompanied by reasonable documentation of the items claimed), for any increased construction-related costs and expenses incurred by Landlord as a result of the Tenant Delay.</w:t>
      </w:r>
    </w:p>
    <w:p>
      <w:pPr>
        <w:spacing w:after="0" w:line="111" w:lineRule="exact"/>
        <w:rPr>
          <w:rFonts w:ascii="Arial" w:cs="Arial" w:eastAsia="Arial" w:hAnsi="Arial"/>
          <w:sz w:val="12"/>
          <w:szCs w:val="12"/>
          <w:color w:val="auto"/>
        </w:rPr>
      </w:pPr>
    </w:p>
    <w:p>
      <w:pPr>
        <w:ind w:right="140" w:firstLine="462"/>
        <w:spacing w:after="0" w:line="311" w:lineRule="auto"/>
        <w:tabs>
          <w:tab w:leader="none" w:pos="643" w:val="left"/>
        </w:tabs>
        <w:numPr>
          <w:ilvl w:val="1"/>
          <w:numId w:val="363"/>
        </w:numPr>
        <w:rPr>
          <w:rFonts w:ascii="Arial" w:cs="Arial" w:eastAsia="Arial" w:hAnsi="Arial"/>
          <w:sz w:val="12"/>
          <w:szCs w:val="12"/>
          <w:color w:val="auto"/>
        </w:rPr>
      </w:pPr>
      <w:r>
        <w:rPr>
          <w:rFonts w:ascii="Arial" w:cs="Arial" w:eastAsia="Arial" w:hAnsi="Arial"/>
          <w:sz w:val="12"/>
          <w:szCs w:val="12"/>
          <w:color w:val="auto"/>
        </w:rPr>
        <w:t>At any time within thirty (30) days after delivery of the Structural Completion Certificate or the Final Completion Certificate, as applicable, Tenant shall be entitled to submit one or more lists to Landlord specifying Punch List Work to be performed on the applicable Improvements, and upon receipt of such list(s), Landlord shall diligently complete such Punch List Work at Landlord’s sole expense. In the event of any dispute as to completion of any item or component of Landlord’s Work, the certificate of, the applicable Architect shall be conclusive. Promptly after Landlord provides Tenant with the Final Completion Certificate, Landlord shall cause the recordation of a Notice of Completion (as defined in Section 3093 of the California Civil Code) with respect to Landlord’s Work.</w:t>
      </w:r>
    </w:p>
    <w:p>
      <w:pPr>
        <w:spacing w:after="0" w:line="78" w:lineRule="exact"/>
        <w:rPr>
          <w:rFonts w:ascii="Arial" w:cs="Arial" w:eastAsia="Arial" w:hAnsi="Arial"/>
          <w:sz w:val="12"/>
          <w:szCs w:val="12"/>
          <w:color w:val="auto"/>
        </w:rPr>
      </w:pPr>
    </w:p>
    <w:p>
      <w:pPr>
        <w:ind w:left="140" w:hanging="136"/>
        <w:spacing w:after="0"/>
        <w:tabs>
          <w:tab w:leader="none" w:pos="140" w:val="left"/>
        </w:tabs>
        <w:numPr>
          <w:ilvl w:val="0"/>
          <w:numId w:val="364"/>
        </w:numPr>
        <w:rPr>
          <w:rFonts w:ascii="Arial" w:cs="Arial" w:eastAsia="Arial" w:hAnsi="Arial"/>
          <w:sz w:val="14"/>
          <w:szCs w:val="14"/>
          <w:color w:val="auto"/>
        </w:rPr>
      </w:pPr>
      <w:r>
        <w:rPr>
          <w:rFonts w:ascii="Arial" w:cs="Arial" w:eastAsia="Arial" w:hAnsi="Arial"/>
          <w:sz w:val="14"/>
          <w:szCs w:val="14"/>
          <w:u w:val="single" w:color="auto"/>
          <w:color w:val="auto"/>
        </w:rPr>
        <w:t>Payment of Costs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firstLine="462"/>
        <w:spacing w:after="0" w:line="300" w:lineRule="auto"/>
        <w:tabs>
          <w:tab w:leader="none" w:pos="643" w:val="left"/>
        </w:tabs>
        <w:numPr>
          <w:ilvl w:val="1"/>
          <w:numId w:val="364"/>
        </w:numPr>
        <w:rPr>
          <w:rFonts w:ascii="Arial" w:cs="Arial" w:eastAsia="Arial" w:hAnsi="Arial"/>
          <w:sz w:val="12"/>
          <w:szCs w:val="12"/>
          <w:color w:val="auto"/>
        </w:rPr>
      </w:pPr>
      <w:r>
        <w:rPr>
          <w:rFonts w:ascii="Arial" w:cs="Arial" w:eastAsia="Arial" w:hAnsi="Arial"/>
          <w:sz w:val="12"/>
          <w:szCs w:val="12"/>
          <w:u w:val="single" w:color="auto"/>
          <w:color w:val="auto"/>
        </w:rPr>
        <w:t>Landlord’s Work</w:t>
      </w:r>
      <w:r>
        <w:rPr>
          <w:rFonts w:ascii="Arial" w:cs="Arial" w:eastAsia="Arial" w:hAnsi="Arial"/>
          <w:sz w:val="12"/>
          <w:szCs w:val="12"/>
          <w:color w:val="auto"/>
        </w:rPr>
        <w:t xml:space="preserve">. Except as otherwise specified in the Coordination Schedule with respect to any matters listed therein, the cost of construction of Landlord’s Work shall be borne by Landlord at its sole cost and expense, including any costs or cost increases incurred as a result of Unavoidable Delays, governmental requirements or unanticipated conditions;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notwithstanding any other provisions of this Paragraph 4(a), to the extent the Cost of Improvement relating to the construction of any item or component of Landlord’s Work is increased as a result of any permitted Change Order or any Tenant Delay, or as a result of any “above standard” Building Shell components identified in Schedule 1 attached hereto or otherwise necessitated by Tenant’s particular use requirements or by the contemplated Tenant’s Work, or as a result of any other plan changes or compliance costs attributable to Tenant’s particular use requirements or to the contemplated Tenant’s Work, the amount of the increase in the Cost of Improvement with respect to such item or component, as well as the Cost of Improvement with respect to any matters listed on the Coordination Schedule as being installed by Landlord but as having the cost thereof borne by Tenant, shall be reimbursed by Tenant to Landlord by deducting such increase from the Allowance described in Paragraph 4(b).</w:t>
      </w:r>
    </w:p>
    <w:p>
      <w:pPr>
        <w:spacing w:after="0" w:line="88" w:lineRule="exact"/>
        <w:rPr>
          <w:rFonts w:ascii="Arial" w:cs="Arial" w:eastAsia="Arial" w:hAnsi="Arial"/>
          <w:sz w:val="12"/>
          <w:szCs w:val="12"/>
          <w:color w:val="auto"/>
        </w:rPr>
      </w:pPr>
    </w:p>
    <w:p>
      <w:pPr>
        <w:ind w:right="100" w:firstLine="462"/>
        <w:spacing w:after="0" w:line="258" w:lineRule="auto"/>
        <w:tabs>
          <w:tab w:leader="none" w:pos="651" w:val="left"/>
        </w:tabs>
        <w:numPr>
          <w:ilvl w:val="1"/>
          <w:numId w:val="364"/>
        </w:numPr>
        <w:rPr>
          <w:rFonts w:ascii="Arial" w:cs="Arial" w:eastAsia="Arial" w:hAnsi="Arial"/>
          <w:sz w:val="14"/>
          <w:szCs w:val="14"/>
          <w:color w:val="auto"/>
        </w:rPr>
      </w:pPr>
      <w:r>
        <w:rPr>
          <w:rFonts w:ascii="Arial" w:cs="Arial" w:eastAsia="Arial" w:hAnsi="Arial"/>
          <w:sz w:val="14"/>
          <w:szCs w:val="14"/>
          <w:u w:val="single" w:color="auto"/>
          <w:color w:val="auto"/>
        </w:rPr>
        <w:t>Tenant’s Work</w:t>
      </w:r>
      <w:r>
        <w:rPr>
          <w:rFonts w:ascii="Arial" w:cs="Arial" w:eastAsia="Arial" w:hAnsi="Arial"/>
          <w:sz w:val="14"/>
          <w:szCs w:val="14"/>
          <w:color w:val="auto"/>
        </w:rPr>
        <w:t>. Except as otherwise specified in the Coordination Schedule with respect to any matters listed therein or as otherwise expressly provided in this Workletter, the cost of construction of Tenant’s Work shall be borne by Tenant at its sole cost and expense, including any costs or cost increases incurred as a result of Unavoidable Delays, governmental requirements or unanticipated conditions. Notwithstanding the foregoing sentence, the Cost of Improvements</w:t>
      </w:r>
    </w:p>
    <w:p>
      <w:pPr>
        <w:spacing w:after="0" w:line="97" w:lineRule="exact"/>
        <w:rPr>
          <w:rFonts w:ascii="Arial" w:cs="Arial" w:eastAsia="Arial" w:hAnsi="Arial"/>
          <w:sz w:val="14"/>
          <w:szCs w:val="14"/>
          <w:color w:val="auto"/>
        </w:rPr>
      </w:pPr>
    </w:p>
    <w:p>
      <w:pPr>
        <w:ind w:left="5700" w:hanging="79"/>
        <w:spacing w:after="0"/>
        <w:tabs>
          <w:tab w:leader="none" w:pos="5700" w:val="left"/>
        </w:tabs>
        <w:numPr>
          <w:ilvl w:val="2"/>
          <w:numId w:val="364"/>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11460"/>
          </w:cols>
          <w:pgMar w:left="220" w:top="247" w:right="219" w:bottom="1440" w:gutter="0" w:footer="0" w:header="0"/>
        </w:sectPr>
      </w:pPr>
    </w:p>
    <w:bookmarkStart w:id="426" w:name="page427"/>
    <w:bookmarkEnd w:id="426"/>
    <w:p>
      <w:pPr>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with respect to the construction of the Interior Improvements shall be borne by Landlord up to a maximum cost equal to One Hundred Five and No/100 Dollars ($105.00) per square foot times the square footage of the Initial Building, as and when constructed (measured in accordance with Section 1.1(a) of the Lease), less any reduction in such sum pursuant to Paragraph 4(a) or any other applicable provision of this Workletter (the “Allowance”). The timing, conditions and other procedures for Landlord’s disbursement of the Allowance shall be subject to mutual agreement of Landlord, Tenant and Landlord’s lender (if any). To the extent the Cost of Improvement with respect to the Interior Improvements exceeds the Allowance (as reduced, if applicable), whether as a result of Change Orders, Tenant Delays and/or Unavoidable Delays or otherwise, the amount of such excess shall in all events be Tenant’s sole responsibility and expense.</w:t>
      </w:r>
    </w:p>
    <w:p>
      <w:pPr>
        <w:spacing w:after="0" w:line="84" w:lineRule="exact"/>
        <w:rPr>
          <w:sz w:val="20"/>
          <w:szCs w:val="20"/>
          <w:color w:val="auto"/>
        </w:rPr>
      </w:pPr>
    </w:p>
    <w:p>
      <w:pPr>
        <w:ind w:right="100" w:firstLine="4"/>
        <w:spacing w:after="0" w:line="255" w:lineRule="auto"/>
        <w:tabs>
          <w:tab w:leader="none" w:pos="136" w:val="left"/>
        </w:tabs>
        <w:numPr>
          <w:ilvl w:val="0"/>
          <w:numId w:val="365"/>
        </w:numPr>
        <w:rPr>
          <w:rFonts w:ascii="Arial" w:cs="Arial" w:eastAsia="Arial" w:hAnsi="Arial"/>
          <w:sz w:val="14"/>
          <w:szCs w:val="14"/>
          <w:color w:val="auto"/>
        </w:rPr>
      </w:pPr>
      <w:r>
        <w:rPr>
          <w:rFonts w:ascii="Arial" w:cs="Arial" w:eastAsia="Arial" w:hAnsi="Arial"/>
          <w:sz w:val="14"/>
          <w:szCs w:val="14"/>
          <w:u w:val="single" w:color="auto"/>
          <w:color w:val="auto"/>
        </w:rPr>
        <w:t>Tenant’s Work</w:t>
      </w:r>
      <w:r>
        <w:rPr>
          <w:rFonts w:ascii="Arial" w:cs="Arial" w:eastAsia="Arial" w:hAnsi="Arial"/>
          <w:sz w:val="14"/>
          <w:szCs w:val="14"/>
          <w:color w:val="auto"/>
        </w:rPr>
        <w:t>. On or before the applicable Work Deadline, Tenant shall construct and install in the Initial Building the Tenant’s Work, substantially in accordance with the Approved Plans or, with respect to Tenant’s Work not shown on the Approved Plans, substantially in accordance with plans and specifications prepared by Tenant and approved in writing by Landlord (which approval shall not be unreasonably withheld or delayed). Tenant’s Work shall be performed in accordance with, and shall in all respects be subject to, the terms and conditions of the Lease (to the extent not inconsistent with this Workletter), and shall also be subject to the following conditions:</w:t>
      </w:r>
    </w:p>
    <w:p>
      <w:pPr>
        <w:spacing w:after="0" w:line="109" w:lineRule="exact"/>
        <w:rPr>
          <w:rFonts w:ascii="Arial" w:cs="Arial" w:eastAsia="Arial" w:hAnsi="Arial"/>
          <w:sz w:val="14"/>
          <w:szCs w:val="14"/>
          <w:color w:val="auto"/>
        </w:rPr>
      </w:pPr>
    </w:p>
    <w:p>
      <w:pPr>
        <w:ind w:right="380" w:firstLine="462"/>
        <w:spacing w:after="0" w:line="267" w:lineRule="auto"/>
        <w:tabs>
          <w:tab w:leader="none" w:pos="643" w:val="left"/>
        </w:tabs>
        <w:numPr>
          <w:ilvl w:val="1"/>
          <w:numId w:val="365"/>
        </w:numPr>
        <w:rPr>
          <w:rFonts w:ascii="Arial" w:cs="Arial" w:eastAsia="Arial" w:hAnsi="Arial"/>
          <w:sz w:val="14"/>
          <w:szCs w:val="14"/>
          <w:color w:val="auto"/>
        </w:rPr>
      </w:pPr>
      <w:r>
        <w:rPr>
          <w:rFonts w:ascii="Arial" w:cs="Arial" w:eastAsia="Arial" w:hAnsi="Arial"/>
          <w:sz w:val="14"/>
          <w:szCs w:val="14"/>
          <w:u w:val="single" w:color="auto"/>
          <w:color w:val="auto"/>
        </w:rPr>
        <w:t>Contractor Requirements</w:t>
      </w:r>
      <w:r>
        <w:rPr>
          <w:rFonts w:ascii="Arial" w:cs="Arial" w:eastAsia="Arial" w:hAnsi="Arial"/>
          <w:sz w:val="14"/>
          <w:szCs w:val="14"/>
          <w:color w:val="auto"/>
        </w:rPr>
        <w:t>. The contractor engaged by Tenant for Tenant’s Work, and any subcontractors, shall be duly licensed in California, shall use only union labor on or in connection with Tenant’s Work and shall be subject to Landlord’s prior written approval, which approval shall not be unreasonably withheld or delayed.</w:t>
      </w:r>
    </w:p>
    <w:p>
      <w:pPr>
        <w:spacing w:after="0" w:line="101" w:lineRule="exact"/>
        <w:rPr>
          <w:rFonts w:ascii="Arial" w:cs="Arial" w:eastAsia="Arial" w:hAnsi="Arial"/>
          <w:sz w:val="14"/>
          <w:szCs w:val="14"/>
          <w:color w:val="auto"/>
        </w:rPr>
      </w:pPr>
    </w:p>
    <w:p>
      <w:pPr>
        <w:ind w:right="80" w:firstLine="462"/>
        <w:spacing w:after="0" w:line="300" w:lineRule="auto"/>
        <w:tabs>
          <w:tab w:leader="none" w:pos="651" w:val="left"/>
        </w:tabs>
        <w:numPr>
          <w:ilvl w:val="1"/>
          <w:numId w:val="365"/>
        </w:numPr>
        <w:rPr>
          <w:rFonts w:ascii="Arial" w:cs="Arial" w:eastAsia="Arial" w:hAnsi="Arial"/>
          <w:sz w:val="12"/>
          <w:szCs w:val="12"/>
          <w:color w:val="auto"/>
        </w:rPr>
      </w:pPr>
      <w:r>
        <w:rPr>
          <w:rFonts w:ascii="Arial" w:cs="Arial" w:eastAsia="Arial" w:hAnsi="Arial"/>
          <w:sz w:val="12"/>
          <w:szCs w:val="12"/>
          <w:u w:val="single" w:color="auto"/>
          <w:color w:val="auto"/>
        </w:rPr>
        <w:t>Costs and Expenses of Tenant’s Work</w:t>
      </w:r>
      <w:r>
        <w:rPr>
          <w:rFonts w:ascii="Arial" w:cs="Arial" w:eastAsia="Arial" w:hAnsi="Arial"/>
          <w:sz w:val="12"/>
          <w:szCs w:val="12"/>
          <w:color w:val="auto"/>
        </w:rPr>
        <w:t>. Subject to Landlord’s payment or reimbursement obligations under Paragraph 4(b) hereof with respect to the Allowance, Tenant shall promptly pay all costs and expenses arising out of the performance of Tenant’s Work (including the costs of permits) and shall furnish Landlord with evidence of payment on request. Tenant shall provide Landlord with ten (10) days’ prior written notice before commencing any Tenant’s Work. On completion of Tenant’s Work, Tenant shall deliver to Landlord a release and waiver of lien executed by each contractor, subcontractor and materialman involved in the performance of Tenant’s Work. If any lien is filed against the Property or against Tenant’s leasehold interest, Tenant shall obtain, within ten (10) days after the filing, the release or discharge of that lien. If Tenant fails to do so, Landlord shall have the right (but not the obligation) to obtain the release or discharge of the lien and Tenant shall, within fifteen (15) days after written demand by Landlord (accompanied by reasonable documentation of the items claimed), reimburse Landlord for all costs, including (but not limited to) reasonable attorneys’ fees, incurred by Landlord in obtaining the release or discharge of such lien, together with interest from the date of demand at the interest rate set forth in Section 3.2 of the Lease.</w:t>
      </w:r>
    </w:p>
    <w:p>
      <w:pPr>
        <w:spacing w:after="0" w:line="88" w:lineRule="exact"/>
        <w:rPr>
          <w:rFonts w:ascii="Arial" w:cs="Arial" w:eastAsia="Arial" w:hAnsi="Arial"/>
          <w:sz w:val="12"/>
          <w:szCs w:val="12"/>
          <w:color w:val="auto"/>
        </w:rPr>
      </w:pPr>
    </w:p>
    <w:p>
      <w:pPr>
        <w:ind w:right="80" w:firstLine="462"/>
        <w:spacing w:after="0" w:line="255" w:lineRule="auto"/>
        <w:tabs>
          <w:tab w:leader="none" w:pos="643" w:val="left"/>
        </w:tabs>
        <w:numPr>
          <w:ilvl w:val="1"/>
          <w:numId w:val="365"/>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Tenant shall indemnify, defend (with counsel satisfactory to Landlord) and hold Landlord harmless from all suits, claims, actions, losses, costs and expenses (including, but not limited to, claims for workers’ compensation, attorneys’ fees and costs) based on personal injury or property damage or contract claims (including, but not limited to, claims for breach of warranty) arising from the performance of Tenant’s Work. Tenant shall repair or replace (or, at Landlord’s election, reimburse Landlord for the cost of repairing or replacing) any portion of the Improvements and/or any of Landlord’s real or personal property or equipment that is damaged, lost or destroyed in the performance of Tenant’s Work.</w:t>
      </w:r>
    </w:p>
    <w:p>
      <w:pPr>
        <w:spacing w:after="0" w:line="109" w:lineRule="exact"/>
        <w:rPr>
          <w:rFonts w:ascii="Arial" w:cs="Arial" w:eastAsia="Arial" w:hAnsi="Arial"/>
          <w:sz w:val="14"/>
          <w:szCs w:val="14"/>
          <w:color w:val="auto"/>
        </w:rPr>
      </w:pPr>
    </w:p>
    <w:p>
      <w:pPr>
        <w:ind w:right="200" w:firstLine="462"/>
        <w:spacing w:after="0" w:line="267" w:lineRule="auto"/>
        <w:tabs>
          <w:tab w:leader="none" w:pos="651" w:val="left"/>
        </w:tabs>
        <w:numPr>
          <w:ilvl w:val="1"/>
          <w:numId w:val="365"/>
        </w:numPr>
        <w:rPr>
          <w:rFonts w:ascii="Arial" w:cs="Arial" w:eastAsia="Arial" w:hAnsi="Arial"/>
          <w:sz w:val="14"/>
          <w:szCs w:val="14"/>
          <w:color w:val="auto"/>
        </w:rPr>
      </w:pPr>
      <w:r>
        <w:rPr>
          <w:rFonts w:ascii="Arial" w:cs="Arial" w:eastAsia="Arial" w:hAnsi="Arial"/>
          <w:sz w:val="14"/>
          <w:szCs w:val="14"/>
          <w:u w:val="single" w:color="auto"/>
          <w:color w:val="auto"/>
        </w:rPr>
        <w:t>Insurance</w:t>
      </w:r>
      <w:r>
        <w:rPr>
          <w:rFonts w:ascii="Arial" w:cs="Arial" w:eastAsia="Arial" w:hAnsi="Arial"/>
          <w:sz w:val="14"/>
          <w:szCs w:val="14"/>
          <w:color w:val="auto"/>
        </w:rPr>
        <w:t>. Tenant’s contractors shall obtain and provide to Landlord certificates evidencing workers’ compensation, public liability, and property damage insurance in amounts and forms and with companies satisfactory to Landlord.</w:t>
      </w:r>
    </w:p>
    <w:p>
      <w:pPr>
        <w:spacing w:after="0" w:line="101" w:lineRule="exact"/>
        <w:rPr>
          <w:rFonts w:ascii="Arial" w:cs="Arial" w:eastAsia="Arial" w:hAnsi="Arial"/>
          <w:sz w:val="14"/>
          <w:szCs w:val="14"/>
          <w:color w:val="auto"/>
        </w:rPr>
      </w:pPr>
    </w:p>
    <w:p>
      <w:pPr>
        <w:jc w:val="both"/>
        <w:ind w:right="160" w:firstLine="462"/>
        <w:spacing w:after="0" w:line="258" w:lineRule="auto"/>
        <w:tabs>
          <w:tab w:leader="none" w:pos="643" w:val="left"/>
        </w:tabs>
        <w:numPr>
          <w:ilvl w:val="1"/>
          <w:numId w:val="365"/>
        </w:numPr>
        <w:rPr>
          <w:rFonts w:ascii="Arial" w:cs="Arial" w:eastAsia="Arial" w:hAnsi="Arial"/>
          <w:sz w:val="14"/>
          <w:szCs w:val="14"/>
          <w:color w:val="auto"/>
        </w:rPr>
      </w:pPr>
      <w:r>
        <w:rPr>
          <w:rFonts w:ascii="Arial" w:cs="Arial" w:eastAsia="Arial" w:hAnsi="Arial"/>
          <w:sz w:val="14"/>
          <w:szCs w:val="14"/>
          <w:u w:val="single" w:color="auto"/>
          <w:color w:val="auto"/>
        </w:rPr>
        <w:t>Rules and Regulations</w:t>
      </w:r>
      <w:r>
        <w:rPr>
          <w:rFonts w:ascii="Arial" w:cs="Arial" w:eastAsia="Arial" w:hAnsi="Arial"/>
          <w:sz w:val="14"/>
          <w:szCs w:val="14"/>
          <w:color w:val="auto"/>
        </w:rPr>
        <w:t>. Tenant and Tenant’s contractors shall comply with any other rules, regulations and requirements that Landlord or General Contractor may reasonably impose with respect to the performance of Tenant’s Work. Tenant’s agreement with Tenant’s contractors shall require each contractor to provide daily cleanup of the construction area to the extent that such cleanup is necessitated by the performance of Tenant’s Work.</w:t>
      </w:r>
    </w:p>
    <w:p>
      <w:pPr>
        <w:spacing w:after="0" w:line="97" w:lineRule="exact"/>
        <w:rPr>
          <w:rFonts w:ascii="Arial" w:cs="Arial" w:eastAsia="Arial" w:hAnsi="Arial"/>
          <w:sz w:val="14"/>
          <w:szCs w:val="14"/>
          <w:color w:val="auto"/>
        </w:rPr>
      </w:pPr>
    </w:p>
    <w:p>
      <w:pPr>
        <w:ind w:left="5700" w:hanging="79"/>
        <w:spacing w:after="0"/>
        <w:tabs>
          <w:tab w:leader="none" w:pos="5700" w:val="left"/>
        </w:tabs>
        <w:numPr>
          <w:ilvl w:val="2"/>
          <w:numId w:val="365"/>
        </w:numPr>
        <w:rPr>
          <w:rFonts w:ascii="Arial" w:cs="Arial" w:eastAsia="Arial" w:hAnsi="Arial"/>
          <w:sz w:val="14"/>
          <w:szCs w:val="14"/>
          <w:color w:val="auto"/>
        </w:rPr>
      </w:pPr>
      <w:r>
        <w:rPr>
          <w:rFonts w:ascii="Arial" w:cs="Arial" w:eastAsia="Arial" w:hAnsi="Arial"/>
          <w:sz w:val="14"/>
          <w:szCs w:val="14"/>
          <w:color w:val="auto"/>
        </w:rPr>
        <w:t>6 -</w:t>
      </w:r>
    </w:p>
    <w:p>
      <w:pPr>
        <w:sectPr>
          <w:pgSz w:w="11900" w:h="16838" w:orient="portrait"/>
          <w:cols w:equalWidth="0" w:num="1">
            <w:col w:w="11460"/>
          </w:cols>
          <w:pgMar w:left="220" w:top="247" w:right="219" w:bottom="1440" w:gutter="0" w:footer="0" w:header="0"/>
        </w:sectPr>
      </w:pPr>
    </w:p>
    <w:bookmarkStart w:id="427" w:name="page428"/>
    <w:bookmarkEnd w:id="427"/>
    <w:p>
      <w:pPr>
        <w:ind w:right="120" w:firstLine="462"/>
        <w:spacing w:after="0" w:line="258" w:lineRule="auto"/>
        <w:tabs>
          <w:tab w:leader="none" w:pos="628" w:val="left"/>
        </w:tabs>
        <w:numPr>
          <w:ilvl w:val="1"/>
          <w:numId w:val="36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Early Entry</w:t>
      </w:r>
      <w:r>
        <w:rPr>
          <w:rFonts w:ascii="Arial" w:cs="Arial" w:eastAsia="Arial" w:hAnsi="Arial"/>
          <w:sz w:val="14"/>
          <w:szCs w:val="14"/>
          <w:color w:val="auto"/>
        </w:rPr>
        <w:t>. Landlord shall permit entry of contractors into the Initial Building for the purposes of performing Tenant’s Work, prior to the Commencement Date, subject to satisfaction of the conditions set forth in the Lease. This license to enter before commencement of the Term is expressly conditioned on the contractor(s) retained by Tenant working in harmony with, and not interfering with, the workers, mechanics and contractors of Landlord.</w:t>
      </w:r>
    </w:p>
    <w:p>
      <w:pPr>
        <w:spacing w:after="0" w:line="107" w:lineRule="exact"/>
        <w:rPr>
          <w:rFonts w:ascii="Arial" w:cs="Arial" w:eastAsia="Arial" w:hAnsi="Arial"/>
          <w:sz w:val="14"/>
          <w:szCs w:val="14"/>
          <w:color w:val="auto"/>
        </w:rPr>
      </w:pPr>
    </w:p>
    <w:p>
      <w:pPr>
        <w:ind w:right="340" w:firstLine="462"/>
        <w:spacing w:after="0" w:line="267" w:lineRule="auto"/>
        <w:tabs>
          <w:tab w:leader="none" w:pos="651" w:val="left"/>
        </w:tabs>
        <w:numPr>
          <w:ilvl w:val="1"/>
          <w:numId w:val="366"/>
        </w:numPr>
        <w:rPr>
          <w:rFonts w:ascii="Arial" w:cs="Arial" w:eastAsia="Arial" w:hAnsi="Arial"/>
          <w:sz w:val="14"/>
          <w:szCs w:val="14"/>
          <w:color w:val="auto"/>
        </w:rPr>
      </w:pPr>
      <w:r>
        <w:rPr>
          <w:rFonts w:ascii="Arial" w:cs="Arial" w:eastAsia="Arial" w:hAnsi="Arial"/>
          <w:sz w:val="14"/>
          <w:szCs w:val="14"/>
          <w:u w:val="single" w:color="auto"/>
          <w:color w:val="auto"/>
        </w:rPr>
        <w:t>Risk of Loss</w:t>
      </w:r>
      <w:r>
        <w:rPr>
          <w:rFonts w:ascii="Arial" w:cs="Arial" w:eastAsia="Arial" w:hAnsi="Arial"/>
          <w:sz w:val="14"/>
          <w:szCs w:val="14"/>
          <w:color w:val="auto"/>
        </w:rPr>
        <w:t>. All materials, work, installations and decorations of any nature brought onto or installed in the Initial Building before the commencement of the Term shall be at Tenant’s risk, and neither Landlord nor any party acting on Landlord’s behalf shall be responsible for any damage, loss or destruction thereof.</w:t>
      </w:r>
    </w:p>
    <w:p>
      <w:pPr>
        <w:spacing w:after="0" w:line="101" w:lineRule="exact"/>
        <w:rPr>
          <w:rFonts w:ascii="Arial" w:cs="Arial" w:eastAsia="Arial" w:hAnsi="Arial"/>
          <w:sz w:val="14"/>
          <w:szCs w:val="14"/>
          <w:color w:val="auto"/>
        </w:rPr>
      </w:pPr>
    </w:p>
    <w:p>
      <w:pPr>
        <w:ind w:right="20" w:firstLine="462"/>
        <w:spacing w:after="0" w:line="258" w:lineRule="auto"/>
        <w:tabs>
          <w:tab w:leader="none" w:pos="651" w:val="left"/>
        </w:tabs>
        <w:numPr>
          <w:ilvl w:val="1"/>
          <w:numId w:val="366"/>
        </w:numPr>
        <w:rPr>
          <w:rFonts w:ascii="Arial" w:cs="Arial" w:eastAsia="Arial" w:hAnsi="Arial"/>
          <w:sz w:val="14"/>
          <w:szCs w:val="14"/>
          <w:color w:val="auto"/>
        </w:rPr>
      </w:pPr>
      <w:r>
        <w:rPr>
          <w:rFonts w:ascii="Arial" w:cs="Arial" w:eastAsia="Arial" w:hAnsi="Arial"/>
          <w:sz w:val="14"/>
          <w:szCs w:val="14"/>
          <w:u w:val="single" w:color="auto"/>
          <w:color w:val="auto"/>
        </w:rPr>
        <w:t>Condition of Tenant’s Work.</w:t>
      </w:r>
      <w:r>
        <w:rPr>
          <w:rFonts w:ascii="Arial" w:cs="Arial" w:eastAsia="Arial" w:hAnsi="Arial"/>
          <w:sz w:val="14"/>
          <w:szCs w:val="14"/>
          <w:color w:val="auto"/>
        </w:rPr>
        <w:t xml:space="preserve"> All work performed by Tenant shall be performed in a good and workmanlike manner, shall be free from defects in design, materials and workmanship, and shall be completed in compliance with the plans approved by Landlord for such Tenant’s Work in all material respects and in compliance with all applicable governmental laws, ordinances, codes and regulations in force at the time such work is completed.</w:t>
      </w:r>
    </w:p>
    <w:p>
      <w:pPr>
        <w:spacing w:after="0" w:line="107" w:lineRule="exact"/>
        <w:rPr>
          <w:rFonts w:ascii="Arial" w:cs="Arial" w:eastAsia="Arial" w:hAnsi="Arial"/>
          <w:sz w:val="14"/>
          <w:szCs w:val="14"/>
          <w:color w:val="auto"/>
        </w:rPr>
      </w:pPr>
    </w:p>
    <w:p>
      <w:pPr>
        <w:ind w:right="80" w:firstLine="4"/>
        <w:spacing w:after="0" w:line="351" w:lineRule="auto"/>
        <w:tabs>
          <w:tab w:leader="none" w:pos="136" w:val="left"/>
        </w:tabs>
        <w:numPr>
          <w:ilvl w:val="0"/>
          <w:numId w:val="367"/>
        </w:numPr>
        <w:rPr>
          <w:rFonts w:ascii="Arial" w:cs="Arial" w:eastAsia="Arial" w:hAnsi="Arial"/>
          <w:sz w:val="12"/>
          <w:szCs w:val="12"/>
          <w:color w:val="auto"/>
        </w:rPr>
      </w:pPr>
      <w:r>
        <w:rPr>
          <w:rFonts w:ascii="Arial" w:cs="Arial" w:eastAsia="Arial" w:hAnsi="Arial"/>
          <w:sz w:val="12"/>
          <w:szCs w:val="12"/>
          <w:u w:val="single" w:color="auto"/>
          <w:color w:val="auto"/>
        </w:rPr>
        <w:t>Effect of Delays</w:t>
      </w:r>
      <w:r>
        <w:rPr>
          <w:rFonts w:ascii="Arial" w:cs="Arial" w:eastAsia="Arial" w:hAnsi="Arial"/>
          <w:sz w:val="12"/>
          <w:szCs w:val="12"/>
          <w:color w:val="auto"/>
        </w:rPr>
        <w:t>. Any delay in any of the Work Deadlines (including any item that must be redone due to Tenant’s disapproval) shall automatically delay all subsequent deadlines by the same amount of time. To the extent that any delay constitutes a Tenant Delay, the Commencement Date for all purposes under the Lease shall be the date the Commencement Date would have occurred absent the Tenant Delay.</w:t>
      </w:r>
    </w:p>
    <w:p>
      <w:pPr>
        <w:spacing w:after="0" w:line="56" w:lineRule="exact"/>
        <w:rPr>
          <w:rFonts w:ascii="Arial" w:cs="Arial" w:eastAsia="Arial" w:hAnsi="Arial"/>
          <w:sz w:val="12"/>
          <w:szCs w:val="12"/>
          <w:color w:val="auto"/>
        </w:rPr>
      </w:pPr>
    </w:p>
    <w:p>
      <w:pPr>
        <w:ind w:left="140" w:hanging="136"/>
        <w:spacing w:after="0"/>
        <w:tabs>
          <w:tab w:leader="none" w:pos="140"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No Agency</w:t>
      </w:r>
      <w:r>
        <w:rPr>
          <w:rFonts w:ascii="Arial" w:cs="Arial" w:eastAsia="Arial" w:hAnsi="Arial"/>
          <w:sz w:val="14"/>
          <w:szCs w:val="14"/>
          <w:color w:val="auto"/>
        </w:rPr>
        <w:t>. Nothing contained in this Workletter shall make or constitute Tenant as the agent of Landlord.</w:t>
      </w:r>
    </w:p>
    <w:p>
      <w:pPr>
        <w:spacing w:after="0" w:line="131" w:lineRule="exact"/>
        <w:rPr>
          <w:rFonts w:ascii="Arial" w:cs="Arial" w:eastAsia="Arial" w:hAnsi="Arial"/>
          <w:sz w:val="14"/>
          <w:szCs w:val="14"/>
          <w:color w:val="auto"/>
        </w:rPr>
      </w:pPr>
    </w:p>
    <w:p>
      <w:pPr>
        <w:ind w:right="300" w:firstLine="4"/>
        <w:spacing w:after="0" w:line="267" w:lineRule="auto"/>
        <w:tabs>
          <w:tab w:leader="none" w:pos="136"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Without limiting survival provisions which would otherwise be implied or construed under applicable law, the provisions of Paragraph 5(c) of this Workletter shall survive the termination of the Lease with respect to matters occurring prior to expiration of the Lease.</w:t>
      </w:r>
    </w:p>
    <w:p>
      <w:pPr>
        <w:spacing w:after="0" w:line="101" w:lineRule="exact"/>
        <w:rPr>
          <w:rFonts w:ascii="Arial" w:cs="Arial" w:eastAsia="Arial" w:hAnsi="Arial"/>
          <w:sz w:val="14"/>
          <w:szCs w:val="14"/>
          <w:color w:val="auto"/>
        </w:rPr>
      </w:pPr>
    </w:p>
    <w:p>
      <w:pPr>
        <w:ind w:right="80" w:firstLine="4"/>
        <w:spacing w:after="0" w:line="305" w:lineRule="auto"/>
        <w:tabs>
          <w:tab w:leader="none" w:pos="136" w:val="left"/>
        </w:tabs>
        <w:numPr>
          <w:ilvl w:val="0"/>
          <w:numId w:val="367"/>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All references in this Workletter to a “number of days” shall be construed to refer to calendar days, unless otherwise specified herein. In all instances where Tenant’s approval is required, if no written notice of disapproval is given within the applicable time period, at the end of that period Tenant shall be deemed to have given approval and the next succeeding time period shall commence. If any item requiring approval is disapproved by Tenant in a timely manner, the procedure for preparation of that item and approval shall be repeated. Landlord may, in connection with any assignment of its interest under the Lease, assign to the same person or entity all of Landlord’s rights and obligations hereunder, in which event Landlord shall have no continuing obligations or liabilities hereunder (except to the extent otherwise expressly provided in Section 21.2 of the Lease) and all such continuing obligations and liabilities shall be assumed by and be binding upon Landlord’s assignee.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the parties have executed this Workletter concurrently with and as of the date of the Lease.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680" w:type="dxa"/>
            <w:vAlign w:val="bottom"/>
          </w:tcPr>
          <w:p>
            <w:pPr>
              <w:ind w:left="1360"/>
              <w:spacing w:after="0"/>
              <w:rPr>
                <w:sz w:val="20"/>
                <w:szCs w:val="20"/>
                <w:color w:val="auto"/>
              </w:rPr>
            </w:pPr>
            <w:r>
              <w:rPr>
                <w:rFonts w:ascii="Arial" w:cs="Arial" w:eastAsia="Arial" w:hAnsi="Arial"/>
                <w:sz w:val="14"/>
                <w:szCs w:val="14"/>
                <w:color w:val="auto"/>
              </w:rPr>
              <w:t>“Landlord”</w:t>
            </w:r>
          </w:p>
        </w:tc>
        <w:tc>
          <w:tcPr>
            <w:tcW w:w="4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“Tenant”</w:t>
            </w:r>
          </w:p>
        </w:tc>
        <w:tc>
          <w:tcPr>
            <w:tcW w:w="0" w:type="dxa"/>
            <w:vAlign w:val="bottom"/>
          </w:tcPr>
          <w:p>
            <w:pPr>
              <w:spacing w:after="0"/>
              <w:rPr>
                <w:sz w:val="1"/>
                <w:szCs w:val="1"/>
                <w:color w:val="auto"/>
              </w:rPr>
            </w:pPr>
          </w:p>
        </w:tc>
      </w:tr>
      <w:tr>
        <w:trPr>
          <w:trHeight w:val="328"/>
        </w:trPr>
        <w:tc>
          <w:tcPr>
            <w:tcW w:w="4020" w:type="dxa"/>
            <w:vAlign w:val="bottom"/>
            <w:gridSpan w:val="2"/>
          </w:tcPr>
          <w:p>
            <w:pPr>
              <w:spacing w:after="0"/>
              <w:rPr>
                <w:sz w:val="20"/>
                <w:szCs w:val="20"/>
                <w:color w:val="auto"/>
              </w:rPr>
            </w:pPr>
            <w:r>
              <w:rPr>
                <w:rFonts w:ascii="Arial" w:cs="Arial" w:eastAsia="Arial" w:hAnsi="Arial"/>
                <w:sz w:val="14"/>
                <w:szCs w:val="14"/>
                <w:color w:val="auto"/>
              </w:rPr>
              <w:t>BRITANNIA DEVELOPMENTS, INC.,</w:t>
            </w:r>
          </w:p>
        </w:tc>
        <w:tc>
          <w:tcPr>
            <w:tcW w:w="5160" w:type="dxa"/>
            <w:vAlign w:val="bottom"/>
            <w:gridSpan w:val="2"/>
          </w:tcPr>
          <w:p>
            <w:pPr>
              <w:ind w:left="3680"/>
              <w:spacing w:after="0"/>
              <w:rPr>
                <w:sz w:val="20"/>
                <w:szCs w:val="20"/>
                <w:color w:val="auto"/>
              </w:rPr>
            </w:pPr>
            <w:r>
              <w:rPr>
                <w:rFonts w:ascii="Arial" w:cs="Arial" w:eastAsia="Arial" w:hAnsi="Arial"/>
                <w:sz w:val="14"/>
                <w:szCs w:val="14"/>
                <w:color w:val="auto"/>
              </w:rPr>
              <w:t>TULARIK INC.,</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20" w:type="dxa"/>
            <w:vAlign w:val="bottom"/>
            <w:gridSpan w:val="2"/>
          </w:tcPr>
          <w:p>
            <w:pPr>
              <w:spacing w:after="0"/>
              <w:rPr>
                <w:sz w:val="20"/>
                <w:szCs w:val="20"/>
                <w:color w:val="auto"/>
              </w:rPr>
            </w:pPr>
            <w:r>
              <w:rPr>
                <w:rFonts w:ascii="Arial" w:cs="Arial" w:eastAsia="Arial" w:hAnsi="Arial"/>
                <w:sz w:val="14"/>
                <w:szCs w:val="14"/>
                <w:color w:val="auto"/>
              </w:rPr>
              <w:t>a California corporation</w:t>
            </w:r>
          </w:p>
        </w:tc>
        <w:tc>
          <w:tcPr>
            <w:tcW w:w="5160" w:type="dxa"/>
            <w:vAlign w:val="bottom"/>
            <w:gridSpan w:val="2"/>
          </w:tcPr>
          <w:p>
            <w:pPr>
              <w:ind w:left="3680"/>
              <w:spacing w:after="0"/>
              <w:rPr>
                <w:sz w:val="20"/>
                <w:szCs w:val="20"/>
                <w:color w:val="auto"/>
              </w:rPr>
            </w:pPr>
            <w:r>
              <w:rPr>
                <w:rFonts w:ascii="Arial" w:cs="Arial" w:eastAsia="Arial" w:hAnsi="Arial"/>
                <w:sz w:val="14"/>
                <w:szCs w:val="14"/>
                <w:color w:val="auto"/>
              </w:rPr>
              <w:t>a California corporation</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4020" w:type="dxa"/>
            <w:vAlign w:val="bottom"/>
            <w:gridSpan w:val="2"/>
          </w:tcPr>
          <w:p>
            <w:pPr>
              <w:spacing w:after="0"/>
              <w:rPr>
                <w:sz w:val="20"/>
                <w:szCs w:val="20"/>
                <w:color w:val="auto"/>
              </w:rPr>
            </w:pPr>
            <w:r>
              <w:rPr>
                <w:rFonts w:ascii="Arial" w:cs="Arial" w:eastAsia="Arial" w:hAnsi="Arial"/>
                <w:sz w:val="14"/>
                <w:szCs w:val="14"/>
                <w:color w:val="auto"/>
              </w:rPr>
              <w:t>By:  /s/ T.J. Bristow</w:t>
            </w:r>
          </w:p>
        </w:tc>
        <w:tc>
          <w:tcPr>
            <w:tcW w:w="5160" w:type="dxa"/>
            <w:vAlign w:val="bottom"/>
            <w:gridSpan w:val="2"/>
          </w:tcPr>
          <w:p>
            <w:pPr>
              <w:ind w:left="3680"/>
              <w:spacing w:after="0"/>
              <w:rPr>
                <w:sz w:val="20"/>
                <w:szCs w:val="20"/>
                <w:color w:val="auto"/>
              </w:rPr>
            </w:pPr>
            <w:r>
              <w:rPr>
                <w:rFonts w:ascii="Arial" w:cs="Arial" w:eastAsia="Arial" w:hAnsi="Arial"/>
                <w:sz w:val="14"/>
                <w:szCs w:val="14"/>
                <w:color w:val="auto"/>
              </w:rPr>
              <w:t>By:</w:t>
            </w:r>
          </w:p>
        </w:tc>
        <w:tc>
          <w:tcPr>
            <w:tcW w:w="2280" w:type="dxa"/>
            <w:vAlign w:val="bottom"/>
          </w:tcPr>
          <w:p>
            <w:pPr>
              <w:ind w:left="340"/>
              <w:spacing w:after="0"/>
              <w:rPr>
                <w:sz w:val="20"/>
                <w:szCs w:val="20"/>
                <w:color w:val="auto"/>
              </w:rPr>
            </w:pPr>
            <w:r>
              <w:rPr>
                <w:rFonts w:ascii="Arial" w:cs="Arial" w:eastAsia="Arial" w:hAnsi="Arial"/>
                <w:sz w:val="14"/>
                <w:szCs w:val="14"/>
                <w:color w:val="auto"/>
              </w:rPr>
              <w:t>illegible</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T.J. Bristow</w:t>
            </w:r>
          </w:p>
        </w:tc>
        <w:tc>
          <w:tcPr>
            <w:tcW w:w="40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color w:val="auto"/>
              </w:rPr>
              <w:t>illegible</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4"/>
                <w:szCs w:val="14"/>
                <w:color w:val="auto"/>
              </w:rPr>
              <w:t>President</w:t>
            </w:r>
          </w:p>
        </w:tc>
        <w:tc>
          <w:tcPr>
            <w:tcW w:w="5160" w:type="dxa"/>
            <w:vAlign w:val="bottom"/>
            <w:gridSpan w:val="2"/>
          </w:tcPr>
          <w:p>
            <w:pPr>
              <w:ind w:left="3680"/>
              <w:spacing w:after="0"/>
              <w:rPr>
                <w:sz w:val="20"/>
                <w:szCs w:val="20"/>
                <w:color w:val="auto"/>
              </w:rPr>
            </w:pPr>
            <w:r>
              <w:rPr>
                <w:rFonts w:ascii="Arial" w:cs="Arial" w:eastAsia="Arial" w:hAnsi="Arial"/>
                <w:sz w:val="14"/>
                <w:szCs w:val="14"/>
                <w:color w:val="auto"/>
              </w:rPr>
              <w:t>Its:</w:t>
            </w: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Arial" w:cs="Arial" w:eastAsia="Arial" w:hAnsi="Arial"/>
                <w:sz w:val="14"/>
                <w:szCs w:val="14"/>
                <w:color w:val="auto"/>
              </w:rPr>
              <w:t>- 7 -</w:t>
            </w:r>
          </w:p>
        </w:tc>
        <w:tc>
          <w:tcPr>
            <w:tcW w:w="116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6" w:right="219" w:bottom="1440" w:gutter="0" w:footer="0" w:header="0"/>
        </w:sectPr>
      </w:pPr>
    </w:p>
    <w:bookmarkStart w:id="428" w:name="page429"/>
    <w:bookmarkEnd w:id="4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1</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4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96" w:lineRule="exact"/>
        <w:rPr>
          <w:sz w:val="20"/>
          <w:szCs w:val="20"/>
          <w:color w:val="auto"/>
        </w:rPr>
      </w:pPr>
    </w:p>
    <w:p>
      <w:pPr>
        <w:ind w:left="460" w:hanging="456"/>
        <w:spacing w:after="0"/>
        <w:tabs>
          <w:tab w:leader="none" w:pos="460" w:val="left"/>
        </w:tabs>
        <w:numPr>
          <w:ilvl w:val="0"/>
          <w:numId w:val="368"/>
        </w:numPr>
        <w:rPr>
          <w:rFonts w:ascii="Arial" w:cs="Arial" w:eastAsia="Arial" w:hAnsi="Arial"/>
          <w:sz w:val="14"/>
          <w:szCs w:val="14"/>
          <w:color w:val="auto"/>
        </w:rPr>
      </w:pPr>
      <w:r>
        <w:rPr>
          <w:rFonts w:ascii="Arial" w:cs="Arial" w:eastAsia="Arial" w:hAnsi="Arial"/>
          <w:sz w:val="14"/>
          <w:szCs w:val="14"/>
          <w:color w:val="auto"/>
        </w:rPr>
        <w:t>GENERAL</w:t>
      </w:r>
    </w:p>
    <w:p>
      <w:pPr>
        <w:spacing w:after="0" w:line="89" w:lineRule="exact"/>
        <w:rPr>
          <w:rFonts w:ascii="Arial" w:cs="Arial" w:eastAsia="Arial" w:hAnsi="Arial"/>
          <w:sz w:val="14"/>
          <w:szCs w:val="14"/>
          <w:color w:val="auto"/>
        </w:rPr>
      </w:pPr>
    </w:p>
    <w:p>
      <w:pPr>
        <w:ind w:left="700" w:right="160" w:hanging="247"/>
        <w:spacing w:after="0" w:line="258" w:lineRule="auto"/>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As approved by the City of South San Francisco and all other necessary government agencies, the premises shell and site shall be used as a tenant improvement with laboratory research and development facility, including, but not limited to, wet chemistry and biology labs, clean rooms, pilot scale and clinical scale manufacturing, storage and use of toxic and radioactive materials and laboratory animals and other legal related purposes.</w:t>
      </w:r>
    </w:p>
    <w:p>
      <w:pPr>
        <w:spacing w:after="0" w:line="65" w:lineRule="exact"/>
        <w:rPr>
          <w:rFonts w:ascii="Arial" w:cs="Arial" w:eastAsia="Arial" w:hAnsi="Arial"/>
          <w:sz w:val="14"/>
          <w:szCs w:val="14"/>
          <w:color w:val="auto"/>
        </w:rPr>
      </w:pPr>
    </w:p>
    <w:p>
      <w:pPr>
        <w:ind w:left="1140" w:hanging="447"/>
        <w:spacing w:after="0"/>
        <w:tabs>
          <w:tab w:leader="none" w:pos="1140" w:val="left"/>
        </w:tabs>
        <w:numPr>
          <w:ilvl w:val="2"/>
          <w:numId w:val="368"/>
        </w:numPr>
        <w:rPr>
          <w:rFonts w:ascii="Arial" w:cs="Arial" w:eastAsia="Arial" w:hAnsi="Arial"/>
          <w:sz w:val="14"/>
          <w:szCs w:val="14"/>
          <w:color w:val="auto"/>
        </w:rPr>
      </w:pPr>
      <w:r>
        <w:rPr>
          <w:rFonts w:ascii="Arial" w:cs="Arial" w:eastAsia="Arial" w:hAnsi="Arial"/>
          <w:sz w:val="14"/>
          <w:szCs w:val="14"/>
          <w:color w:val="auto"/>
        </w:rPr>
        <w:t>A two story, approximately 66,127 s.f. building, Building “B”. See attached plan.</w:t>
      </w:r>
    </w:p>
    <w:p>
      <w:pPr>
        <w:spacing w:after="0" w:line="89" w:lineRule="exact"/>
        <w:rPr>
          <w:rFonts w:ascii="Arial" w:cs="Arial" w:eastAsia="Arial" w:hAnsi="Arial"/>
          <w:sz w:val="14"/>
          <w:szCs w:val="14"/>
          <w:color w:val="auto"/>
        </w:rPr>
      </w:pPr>
    </w:p>
    <w:p>
      <w:pPr>
        <w:ind w:left="700" w:right="20" w:hanging="247"/>
        <w:spacing w:after="0" w:line="267" w:lineRule="auto"/>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There may need to be modification of the proposed building structural requirements (noted herein) dependent upon the final building design. This may result in a change from braced frame locations to some acceptable alternate, but in no event will the following specifications be compromised.</w:t>
      </w:r>
    </w:p>
    <w:p>
      <w:pPr>
        <w:spacing w:after="0" w:line="59" w:lineRule="exact"/>
        <w:rPr>
          <w:rFonts w:ascii="Arial" w:cs="Arial" w:eastAsia="Arial" w:hAnsi="Arial"/>
          <w:sz w:val="14"/>
          <w:szCs w:val="14"/>
          <w:color w:val="auto"/>
        </w:rPr>
      </w:pPr>
    </w:p>
    <w:p>
      <w:pPr>
        <w:ind w:left="700" w:hanging="247"/>
        <w:spacing w:after="0"/>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Building heights shall be per the following Hallenbeck/Chamorro cross section, dated 3/23/95, conceptual foot print and site plan, all attached.</w:t>
      </w:r>
    </w:p>
    <w:p>
      <w:pPr>
        <w:spacing w:after="0" w:line="89" w:lineRule="exact"/>
        <w:rPr>
          <w:rFonts w:ascii="Arial" w:cs="Arial" w:eastAsia="Arial" w:hAnsi="Arial"/>
          <w:sz w:val="14"/>
          <w:szCs w:val="14"/>
          <w:color w:val="auto"/>
        </w:rPr>
      </w:pPr>
    </w:p>
    <w:p>
      <w:pPr>
        <w:ind w:left="880" w:hanging="187"/>
        <w:spacing w:after="0"/>
        <w:tabs>
          <w:tab w:leader="none" w:pos="880" w:val="left"/>
        </w:tabs>
        <w:numPr>
          <w:ilvl w:val="2"/>
          <w:numId w:val="368"/>
        </w:numPr>
        <w:rPr>
          <w:rFonts w:ascii="Arial" w:cs="Arial" w:eastAsia="Arial" w:hAnsi="Arial"/>
          <w:sz w:val="14"/>
          <w:szCs w:val="14"/>
          <w:color w:val="auto"/>
        </w:rPr>
      </w:pPr>
      <w:r>
        <w:rPr>
          <w:rFonts w:ascii="Arial" w:cs="Arial" w:eastAsia="Arial" w:hAnsi="Arial"/>
          <w:sz w:val="14"/>
          <w:szCs w:val="14"/>
          <w:color w:val="auto"/>
        </w:rPr>
        <w:t>17’-0” floor to floor height.</w:t>
      </w:r>
    </w:p>
    <w:p>
      <w:pPr>
        <w:spacing w:after="0" w:line="89" w:lineRule="exact"/>
        <w:rPr>
          <w:rFonts w:ascii="Arial" w:cs="Arial" w:eastAsia="Arial" w:hAnsi="Arial"/>
          <w:sz w:val="14"/>
          <w:szCs w:val="14"/>
          <w:color w:val="auto"/>
        </w:rPr>
      </w:pPr>
    </w:p>
    <w:p>
      <w:pPr>
        <w:ind w:left="700" w:right="260" w:hanging="247"/>
        <w:spacing w:after="0" w:line="267" w:lineRule="auto"/>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Tenant improvement design will require vertical openings at second floor and roof. The operating assumption is that these openings will be located and coordinated with Building shell structural design, and subsequent construction activities.</w:t>
      </w:r>
    </w:p>
    <w:p>
      <w:pPr>
        <w:spacing w:after="0" w:line="59" w:lineRule="exact"/>
        <w:rPr>
          <w:rFonts w:ascii="Arial" w:cs="Arial" w:eastAsia="Arial" w:hAnsi="Arial"/>
          <w:sz w:val="14"/>
          <w:szCs w:val="14"/>
          <w:color w:val="auto"/>
        </w:rPr>
      </w:pPr>
    </w:p>
    <w:p>
      <w:pPr>
        <w:ind w:left="1160" w:hanging="467"/>
        <w:spacing w:after="0"/>
        <w:tabs>
          <w:tab w:leader="none" w:pos="1160" w:val="left"/>
        </w:tabs>
        <w:numPr>
          <w:ilvl w:val="2"/>
          <w:numId w:val="368"/>
        </w:numPr>
        <w:rPr>
          <w:rFonts w:ascii="Arial" w:cs="Arial" w:eastAsia="Arial" w:hAnsi="Arial"/>
          <w:sz w:val="14"/>
          <w:szCs w:val="14"/>
          <w:color w:val="auto"/>
        </w:rPr>
      </w:pPr>
      <w:r>
        <w:rPr>
          <w:rFonts w:ascii="Arial" w:cs="Arial" w:eastAsia="Arial" w:hAnsi="Arial"/>
          <w:sz w:val="14"/>
          <w:szCs w:val="14"/>
          <w:color w:val="auto"/>
        </w:rPr>
        <w:t>Duct shafts.</w:t>
      </w:r>
    </w:p>
    <w:p>
      <w:pPr>
        <w:spacing w:after="0" w:line="12" w:lineRule="exact"/>
        <w:rPr>
          <w:rFonts w:ascii="Arial" w:cs="Arial" w:eastAsia="Arial" w:hAnsi="Arial"/>
          <w:sz w:val="14"/>
          <w:szCs w:val="14"/>
          <w:color w:val="auto"/>
        </w:rPr>
      </w:pPr>
    </w:p>
    <w:p>
      <w:pPr>
        <w:ind w:left="1160" w:hanging="467"/>
        <w:spacing w:after="0"/>
        <w:tabs>
          <w:tab w:leader="none" w:pos="1160" w:val="left"/>
        </w:tabs>
        <w:numPr>
          <w:ilvl w:val="2"/>
          <w:numId w:val="368"/>
        </w:numPr>
        <w:rPr>
          <w:rFonts w:ascii="Arial" w:cs="Arial" w:eastAsia="Arial" w:hAnsi="Arial"/>
          <w:sz w:val="14"/>
          <w:szCs w:val="14"/>
          <w:color w:val="auto"/>
        </w:rPr>
      </w:pPr>
      <w:r>
        <w:rPr>
          <w:rFonts w:ascii="Arial" w:cs="Arial" w:eastAsia="Arial" w:hAnsi="Arial"/>
          <w:sz w:val="14"/>
          <w:szCs w:val="14"/>
          <w:color w:val="auto"/>
        </w:rPr>
        <w:t>Toilets/stairs.</w:t>
      </w:r>
    </w:p>
    <w:p>
      <w:pPr>
        <w:spacing w:after="0" w:line="83" w:lineRule="exact"/>
        <w:rPr>
          <w:rFonts w:ascii="Arial" w:cs="Arial" w:eastAsia="Arial" w:hAnsi="Arial"/>
          <w:sz w:val="14"/>
          <w:szCs w:val="14"/>
          <w:color w:val="auto"/>
        </w:rPr>
      </w:pPr>
    </w:p>
    <w:p>
      <w:pPr>
        <w:ind w:left="700" w:hanging="247"/>
        <w:spacing w:after="0"/>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Design to 1994 California State Building Code.</w:t>
      </w:r>
    </w:p>
    <w:p>
      <w:pPr>
        <w:spacing w:after="0" w:line="89" w:lineRule="exact"/>
        <w:rPr>
          <w:rFonts w:ascii="Arial" w:cs="Arial" w:eastAsia="Arial" w:hAnsi="Arial"/>
          <w:sz w:val="14"/>
          <w:szCs w:val="14"/>
          <w:color w:val="auto"/>
        </w:rPr>
      </w:pPr>
    </w:p>
    <w:p>
      <w:pPr>
        <w:ind w:left="700" w:hanging="247"/>
        <w:spacing w:after="0"/>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Property line to be shown between buildings to allow for individual purchase of buildings - locate at future date.</w:t>
      </w:r>
    </w:p>
    <w:p>
      <w:pPr>
        <w:spacing w:after="0" w:line="89" w:lineRule="exact"/>
        <w:rPr>
          <w:rFonts w:ascii="Arial" w:cs="Arial" w:eastAsia="Arial" w:hAnsi="Arial"/>
          <w:sz w:val="14"/>
          <w:szCs w:val="14"/>
          <w:color w:val="auto"/>
        </w:rPr>
      </w:pPr>
    </w:p>
    <w:p>
      <w:pPr>
        <w:ind w:left="700" w:hanging="247"/>
        <w:spacing w:after="0"/>
        <w:tabs>
          <w:tab w:leader="none" w:pos="700" w:val="left"/>
        </w:tabs>
        <w:numPr>
          <w:ilvl w:val="1"/>
          <w:numId w:val="368"/>
        </w:numPr>
        <w:rPr>
          <w:rFonts w:ascii="Arial" w:cs="Arial" w:eastAsia="Arial" w:hAnsi="Arial"/>
          <w:sz w:val="14"/>
          <w:szCs w:val="14"/>
          <w:color w:val="auto"/>
        </w:rPr>
      </w:pPr>
      <w:r>
        <w:rPr>
          <w:rFonts w:ascii="Arial" w:cs="Arial" w:eastAsia="Arial" w:hAnsi="Arial"/>
          <w:sz w:val="14"/>
          <w:szCs w:val="14"/>
          <w:color w:val="auto"/>
        </w:rPr>
        <w:t>Phasing line on site drawing provided by Britannia to show limit of Phase l Construction.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13</w:t>
      </w:r>
    </w:p>
    <w:p>
      <w:pPr>
        <w:sectPr>
          <w:pgSz w:w="11900" w:h="16838" w:orient="portrait"/>
          <w:cols w:equalWidth="0" w:num="1">
            <w:col w:w="11460"/>
          </w:cols>
          <w:pgMar w:left="220" w:top="229" w:right="21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2</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4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96" w:lineRule="exact"/>
        <w:rPr>
          <w:sz w:val="20"/>
          <w:szCs w:val="20"/>
          <w:color w:val="auto"/>
        </w:rPr>
      </w:pPr>
    </w:p>
    <w:p>
      <w:pPr>
        <w:ind w:left="460" w:hanging="456"/>
        <w:spacing w:after="0"/>
        <w:tabs>
          <w:tab w:leader="none" w:pos="46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SITE WORK</w:t>
      </w:r>
    </w:p>
    <w:p>
      <w:pPr>
        <w:spacing w:after="0" w:line="89" w:lineRule="exact"/>
        <w:rPr>
          <w:rFonts w:ascii="Arial" w:cs="Arial" w:eastAsia="Arial" w:hAnsi="Arial"/>
          <w:sz w:val="14"/>
          <w:szCs w:val="14"/>
          <w:color w:val="auto"/>
        </w:rPr>
      </w:pPr>
    </w:p>
    <w:p>
      <w:pPr>
        <w:ind w:left="700" w:hanging="247"/>
        <w:spacing w:after="0"/>
        <w:tabs>
          <w:tab w:leader="none" w:pos="700" w:val="left"/>
        </w:tabs>
        <w:numPr>
          <w:ilvl w:val="1"/>
          <w:numId w:val="369"/>
        </w:numPr>
        <w:rPr>
          <w:rFonts w:ascii="Arial" w:cs="Arial" w:eastAsia="Arial" w:hAnsi="Arial"/>
          <w:sz w:val="14"/>
          <w:szCs w:val="14"/>
          <w:color w:val="auto"/>
        </w:rPr>
      </w:pPr>
      <w:r>
        <w:rPr>
          <w:rFonts w:ascii="Arial" w:cs="Arial" w:eastAsia="Arial" w:hAnsi="Arial"/>
          <w:sz w:val="14"/>
          <w:szCs w:val="14"/>
          <w:color w:val="auto"/>
        </w:rPr>
        <w:t>Show limits of work for Phase 1 per attached drawings per Hallenbeck/Chamorro, dated 10/5/94.</w:t>
      </w:r>
    </w:p>
    <w:p>
      <w:pPr>
        <w:spacing w:after="0" w:line="89" w:lineRule="exact"/>
        <w:rPr>
          <w:rFonts w:ascii="Arial" w:cs="Arial" w:eastAsia="Arial" w:hAnsi="Arial"/>
          <w:sz w:val="14"/>
          <w:szCs w:val="14"/>
          <w:color w:val="auto"/>
        </w:rPr>
      </w:pPr>
    </w:p>
    <w:p>
      <w:pPr>
        <w:ind w:left="700" w:hanging="247"/>
        <w:spacing w:after="0"/>
        <w:tabs>
          <w:tab w:leader="none" w:pos="700" w:val="left"/>
        </w:tabs>
        <w:numPr>
          <w:ilvl w:val="1"/>
          <w:numId w:val="369"/>
        </w:numPr>
        <w:rPr>
          <w:rFonts w:ascii="Arial" w:cs="Arial" w:eastAsia="Arial" w:hAnsi="Arial"/>
          <w:sz w:val="14"/>
          <w:szCs w:val="14"/>
          <w:color w:val="auto"/>
        </w:rPr>
      </w:pPr>
      <w:r>
        <w:rPr>
          <w:rFonts w:ascii="Arial" w:cs="Arial" w:eastAsia="Arial" w:hAnsi="Arial"/>
          <w:sz w:val="14"/>
          <w:szCs w:val="14"/>
          <w:color w:val="auto"/>
        </w:rPr>
        <w:t>Grading</w:t>
      </w:r>
    </w:p>
    <w:p>
      <w:pPr>
        <w:spacing w:after="0" w:line="7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color w:val="auto"/>
                <w:w w:val="90"/>
              </w:rPr>
              <w:t>(l)   Rough Pad Grade at Finish Floor, Level One</w:t>
            </w:r>
          </w:p>
        </w:tc>
        <w:tc>
          <w:tcPr>
            <w:tcW w:w="400" w:type="dxa"/>
            <w:vAlign w:val="bottom"/>
            <w:tcBorders>
              <w:bottom w:val="single" w:sz="8" w:color="auto"/>
            </w:tcBorders>
            <w:gridSpan w:val="2"/>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47"/>
        </w:trPr>
        <w:tc>
          <w:tcPr>
            <w:tcW w:w="2760" w:type="dxa"/>
            <w:vAlign w:val="bottom"/>
          </w:tcPr>
          <w:p>
            <w:pPr>
              <w:spacing w:after="0" w:line="147" w:lineRule="exact"/>
              <w:rPr>
                <w:sz w:val="20"/>
                <w:szCs w:val="20"/>
                <w:color w:val="auto"/>
              </w:rPr>
            </w:pPr>
            <w:r>
              <w:rPr>
                <w:rFonts w:ascii="Arial" w:cs="Arial" w:eastAsia="Arial" w:hAnsi="Arial"/>
                <w:sz w:val="14"/>
                <w:szCs w:val="14"/>
                <w:color w:val="auto"/>
                <w:w w:val="91"/>
              </w:rPr>
              <w:t>(2)  Finish Pad Grade at Finish Floor, Level One</w:t>
            </w:r>
          </w:p>
        </w:tc>
        <w:tc>
          <w:tcPr>
            <w:tcW w:w="44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w:t>
            </w:r>
          </w:p>
        </w:tc>
      </w:tr>
      <w:tr>
        <w:trPr>
          <w:trHeight w:val="20"/>
        </w:trPr>
        <w:tc>
          <w:tcPr>
            <w:tcW w:w="27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7" w:lineRule="exact"/>
        <w:rPr>
          <w:sz w:val="20"/>
          <w:szCs w:val="20"/>
          <w:color w:val="auto"/>
        </w:rPr>
      </w:pPr>
    </w:p>
    <w:p>
      <w:pPr>
        <w:ind w:left="700" w:hanging="247"/>
        <w:spacing w:after="0"/>
        <w:tabs>
          <w:tab w:leader="none" w:pos="70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Concrete</w:t>
      </w:r>
    </w:p>
    <w:p>
      <w:pPr>
        <w:spacing w:after="0" w:line="89" w:lineRule="exact"/>
        <w:rPr>
          <w:rFonts w:ascii="Arial" w:cs="Arial" w:eastAsia="Arial" w:hAnsi="Arial"/>
          <w:sz w:val="14"/>
          <w:szCs w:val="14"/>
          <w:color w:val="auto"/>
        </w:rPr>
      </w:pPr>
    </w:p>
    <w:p>
      <w:pPr>
        <w:ind w:left="1060" w:hanging="367"/>
        <w:spacing w:after="0"/>
        <w:tabs>
          <w:tab w:leader="none" w:pos="1060" w:val="left"/>
        </w:tabs>
        <w:numPr>
          <w:ilvl w:val="1"/>
          <w:numId w:val="370"/>
        </w:numPr>
        <w:rPr>
          <w:rFonts w:ascii="Arial" w:cs="Arial" w:eastAsia="Arial" w:hAnsi="Arial"/>
          <w:sz w:val="14"/>
          <w:szCs w:val="14"/>
          <w:color w:val="auto"/>
        </w:rPr>
      </w:pPr>
      <w:r>
        <w:rPr>
          <w:rFonts w:ascii="Arial" w:cs="Arial" w:eastAsia="Arial" w:hAnsi="Arial"/>
          <w:sz w:val="14"/>
          <w:szCs w:val="14"/>
          <w:color w:val="auto"/>
        </w:rPr>
        <w:t>Sidewalks - per approved City Planning submittal.</w:t>
      </w:r>
    </w:p>
    <w:p>
      <w:pPr>
        <w:spacing w:after="0" w:line="12" w:lineRule="exact"/>
        <w:rPr>
          <w:rFonts w:ascii="Arial" w:cs="Arial" w:eastAsia="Arial" w:hAnsi="Arial"/>
          <w:sz w:val="14"/>
          <w:szCs w:val="14"/>
          <w:color w:val="auto"/>
        </w:rPr>
      </w:pPr>
    </w:p>
    <w:p>
      <w:pPr>
        <w:ind w:left="1060" w:hanging="367"/>
        <w:spacing w:after="0"/>
        <w:tabs>
          <w:tab w:leader="none" w:pos="1060" w:val="left"/>
        </w:tabs>
        <w:numPr>
          <w:ilvl w:val="1"/>
          <w:numId w:val="370"/>
        </w:numPr>
        <w:rPr>
          <w:rFonts w:ascii="Arial" w:cs="Arial" w:eastAsia="Arial" w:hAnsi="Arial"/>
          <w:sz w:val="14"/>
          <w:szCs w:val="14"/>
          <w:color w:val="auto"/>
        </w:rPr>
      </w:pPr>
      <w:r>
        <w:rPr>
          <w:rFonts w:ascii="Arial" w:cs="Arial" w:eastAsia="Arial" w:hAnsi="Arial"/>
          <w:sz w:val="14"/>
          <w:szCs w:val="14"/>
          <w:color w:val="auto"/>
        </w:rPr>
        <w:t>Ramps - disabled access.</w:t>
      </w:r>
    </w:p>
    <w:p>
      <w:pPr>
        <w:spacing w:after="0" w:line="6"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4"/>
          <w:szCs w:val="14"/>
          <w:color w:val="auto"/>
        </w:rPr>
        <w:t>(3)</w:t>
        <w:tab/>
        <w:t>Hinge site flatwork off buildings at ingress/egress - docks, ramps to meet site requirements. Bay Mud has been  surcharged. Geotechnical report states stability.</w:t>
      </w:r>
    </w:p>
    <w:p>
      <w:pPr>
        <w:spacing w:after="0" w:line="6" w:lineRule="exact"/>
        <w:rPr>
          <w:sz w:val="20"/>
          <w:szCs w:val="20"/>
          <w:color w:val="auto"/>
        </w:rPr>
      </w:pPr>
    </w:p>
    <w:p>
      <w:pPr>
        <w:ind w:left="1060" w:hanging="367"/>
        <w:spacing w:after="0"/>
        <w:tabs>
          <w:tab w:leader="none" w:pos="1060" w:val="left"/>
        </w:tabs>
        <w:numPr>
          <w:ilvl w:val="1"/>
          <w:numId w:val="371"/>
        </w:numPr>
        <w:rPr>
          <w:rFonts w:ascii="Arial" w:cs="Arial" w:eastAsia="Arial" w:hAnsi="Arial"/>
          <w:sz w:val="14"/>
          <w:szCs w:val="14"/>
          <w:color w:val="auto"/>
        </w:rPr>
      </w:pPr>
      <w:r>
        <w:rPr>
          <w:rFonts w:ascii="Arial" w:cs="Arial" w:eastAsia="Arial" w:hAnsi="Arial"/>
          <w:sz w:val="14"/>
          <w:szCs w:val="14"/>
          <w:color w:val="auto"/>
        </w:rPr>
        <w:t>Raised planter - at courtyard. 50% of cost to Britannia, 50% pro - rated to Building “A”.</w:t>
      </w:r>
    </w:p>
    <w:p>
      <w:pPr>
        <w:spacing w:after="0" w:line="83" w:lineRule="exact"/>
        <w:rPr>
          <w:rFonts w:ascii="Arial" w:cs="Arial" w:eastAsia="Arial" w:hAnsi="Arial"/>
          <w:sz w:val="14"/>
          <w:szCs w:val="14"/>
          <w:color w:val="auto"/>
        </w:rPr>
      </w:pPr>
    </w:p>
    <w:p>
      <w:pPr>
        <w:ind w:left="700" w:hanging="247"/>
        <w:spacing w:after="0"/>
        <w:tabs>
          <w:tab w:leader="none" w:pos="7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Paying</w:t>
      </w:r>
    </w:p>
    <w:p>
      <w:pPr>
        <w:spacing w:after="0" w:line="89"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Concrete - thickened section at truck loading traffic.</w:t>
      </w:r>
    </w:p>
    <w:p>
      <w:pPr>
        <w:spacing w:after="0" w:line="12"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Striping and Marking.</w:t>
      </w:r>
    </w:p>
    <w:p>
      <w:pPr>
        <w:spacing w:after="0" w:line="83" w:lineRule="exact"/>
        <w:rPr>
          <w:rFonts w:ascii="Arial" w:cs="Arial" w:eastAsia="Arial" w:hAnsi="Arial"/>
          <w:sz w:val="14"/>
          <w:szCs w:val="14"/>
          <w:color w:val="auto"/>
        </w:rPr>
      </w:pPr>
    </w:p>
    <w:p>
      <w:pPr>
        <w:ind w:left="700" w:hanging="247"/>
        <w:spacing w:after="0"/>
        <w:tabs>
          <w:tab w:leader="none" w:pos="7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Subsurface piping</w:t>
      </w:r>
    </w:p>
    <w:p>
      <w:pPr>
        <w:spacing w:after="0" w:line="89"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Water - minimum 3” diameter.</w:t>
      </w:r>
    </w:p>
    <w:p>
      <w:pPr>
        <w:spacing w:after="0" w:line="12"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Gas - minimum 6” diameter (minimum, subject to change) - to building and service yard.</w:t>
      </w:r>
    </w:p>
    <w:p>
      <w:pPr>
        <w:spacing w:after="0" w:line="6"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Sewer - minimum 6” diameter sewer laterals.</w:t>
      </w:r>
    </w:p>
    <w:p>
      <w:pPr>
        <w:spacing w:after="0" w:line="6"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Storm water - minimum 8” diameter.</w:t>
      </w:r>
    </w:p>
    <w:p>
      <w:pPr>
        <w:spacing w:after="0" w:line="83" w:lineRule="exact"/>
        <w:rPr>
          <w:rFonts w:ascii="Arial" w:cs="Arial" w:eastAsia="Arial" w:hAnsi="Arial"/>
          <w:sz w:val="14"/>
          <w:szCs w:val="14"/>
          <w:color w:val="auto"/>
        </w:rPr>
      </w:pPr>
    </w:p>
    <w:p>
      <w:pPr>
        <w:ind w:left="700" w:hanging="247"/>
        <w:spacing w:after="0"/>
        <w:tabs>
          <w:tab w:leader="none" w:pos="70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Drains</w:t>
      </w:r>
    </w:p>
    <w:p>
      <w:pPr>
        <w:spacing w:after="0" w:line="89"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Parking.</w:t>
      </w:r>
    </w:p>
    <w:p>
      <w:pPr>
        <w:spacing w:after="0" w:line="12" w:lineRule="exact"/>
        <w:rPr>
          <w:rFonts w:ascii="Arial" w:cs="Arial" w:eastAsia="Arial" w:hAnsi="Arial"/>
          <w:sz w:val="14"/>
          <w:szCs w:val="14"/>
          <w:color w:val="auto"/>
        </w:rPr>
      </w:pPr>
    </w:p>
    <w:p>
      <w:pPr>
        <w:ind w:left="980" w:hanging="287"/>
        <w:spacing w:after="0"/>
        <w:tabs>
          <w:tab w:leader="none" w:pos="9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Landscape area drains.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13</w:t>
      </w:r>
    </w:p>
    <w:p>
      <w:pPr>
        <w:sectPr>
          <w:pgSz w:w="11900" w:h="16838" w:orient="portrait"/>
          <w:cols w:equalWidth="0" w:num="1">
            <w:col w:w="11460"/>
          </w:cols>
          <w:pgMar w:left="220" w:top="229" w:right="219" w:bottom="1440" w:gutter="0" w:footer="0" w:header="0"/>
        </w:sectPr>
      </w:pPr>
    </w:p>
    <w:bookmarkStart w:id="430" w:name="page431"/>
    <w:bookmarkEnd w:id="430"/>
    <w:p>
      <w:pPr>
        <w:jc w:val="center"/>
        <w:ind w:left="24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 to Workletter</w:t>
      </w:r>
    </w:p>
    <w:p>
      <w:pPr>
        <w:spacing w:after="0" w:line="132" w:lineRule="exact"/>
        <w:rPr>
          <w:sz w:val="20"/>
          <w:szCs w:val="20"/>
          <w:color w:val="auto"/>
        </w:rPr>
      </w:pPr>
    </w:p>
    <w:p>
      <w:pPr>
        <w:jc w:val="center"/>
        <w:ind w:left="2480"/>
        <w:spacing w:after="0"/>
        <w:rPr>
          <w:sz w:val="20"/>
          <w:szCs w:val="20"/>
          <w:color w:val="auto"/>
        </w:rPr>
      </w:pPr>
      <w:r>
        <w:rPr>
          <w:rFonts w:ascii="Arial" w:cs="Arial" w:eastAsia="Arial" w:hAnsi="Arial"/>
          <w:sz w:val="12"/>
          <w:szCs w:val="12"/>
          <w:b w:val="1"/>
          <w:bCs w:val="1"/>
          <w:u w:val="single" w:color="auto"/>
          <w:color w:val="auto"/>
        </w:rPr>
        <w:t>DEFINITION OF BUILDING SHELL AND “ABOVE STANDARD” ITEMS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WHL Architects - Planners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03/09/95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03/17/95 Rev. 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03/24/95 Rev. 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04/10/95 Rev. 3</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96" w:lineRule="exact"/>
        <w:rPr>
          <w:sz w:val="20"/>
          <w:szCs w:val="20"/>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Gates and handicapped signage - reference City submittal package dated 10/5/94.</w:t>
      </w:r>
    </w:p>
    <w:p>
      <w:pPr>
        <w:spacing w:after="0" w:line="89" w:lineRule="exact"/>
        <w:rPr>
          <w:rFonts w:ascii="Arial" w:cs="Arial" w:eastAsia="Arial" w:hAnsi="Arial"/>
          <w:sz w:val="14"/>
          <w:szCs w:val="14"/>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Pad location for Tularik bicycle lockers - coordinate with H.C.A. package dated 10/5/94.</w:t>
      </w:r>
    </w:p>
    <w:p>
      <w:pPr>
        <w:spacing w:after="0" w:line="89" w:lineRule="exact"/>
        <w:rPr>
          <w:rFonts w:ascii="Arial" w:cs="Arial" w:eastAsia="Arial" w:hAnsi="Arial"/>
          <w:sz w:val="14"/>
          <w:szCs w:val="14"/>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Landscape materials - reference City submittal package dated 10/5/94.</w:t>
      </w:r>
    </w:p>
    <w:p>
      <w:pPr>
        <w:spacing w:after="0" w:line="89" w:lineRule="exact"/>
        <w:rPr>
          <w:rFonts w:ascii="Arial" w:cs="Arial" w:eastAsia="Arial" w:hAnsi="Arial"/>
          <w:sz w:val="14"/>
          <w:szCs w:val="14"/>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Landscape sprinklers - reference City submittal package dated 10/5/94.</w:t>
      </w:r>
    </w:p>
    <w:p>
      <w:pPr>
        <w:spacing w:after="0" w:line="89" w:lineRule="exact"/>
        <w:rPr>
          <w:rFonts w:ascii="Arial" w:cs="Arial" w:eastAsia="Arial" w:hAnsi="Arial"/>
          <w:sz w:val="14"/>
          <w:szCs w:val="14"/>
          <w:color w:val="auto"/>
        </w:rPr>
      </w:pPr>
    </w:p>
    <w:p>
      <w:pPr>
        <w:ind w:left="1040" w:hanging="336"/>
        <w:spacing w:after="0"/>
        <w:tabs>
          <w:tab w:leader="none" w:pos="104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Monument sign, base only - reference City submittal package dated 10/5/94. Final approval from City in progress.</w:t>
      </w:r>
    </w:p>
    <w:p>
      <w:pPr>
        <w:spacing w:after="0" w:line="112" w:lineRule="exact"/>
        <w:rPr>
          <w:rFonts w:ascii="Arial" w:cs="Arial" w:eastAsia="Arial" w:hAnsi="Arial"/>
          <w:sz w:val="12"/>
          <w:szCs w:val="12"/>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Dumpster enclosure pad, fence and metal gates - reference City submittal package dated 10/5/94.</w:t>
      </w:r>
    </w:p>
    <w:p>
      <w:pPr>
        <w:spacing w:after="0" w:line="89" w:lineRule="exact"/>
        <w:rPr>
          <w:rFonts w:ascii="Arial" w:cs="Arial" w:eastAsia="Arial" w:hAnsi="Arial"/>
          <w:sz w:val="14"/>
          <w:szCs w:val="14"/>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Fire riser location on plan.</w:t>
      </w:r>
    </w:p>
    <w:p>
      <w:pPr>
        <w:spacing w:after="0" w:line="89" w:lineRule="exact"/>
        <w:rPr>
          <w:rFonts w:ascii="Arial" w:cs="Arial" w:eastAsia="Arial" w:hAnsi="Arial"/>
          <w:sz w:val="14"/>
          <w:szCs w:val="14"/>
          <w:color w:val="auto"/>
        </w:rPr>
      </w:pPr>
    </w:p>
    <w:p>
      <w:pPr>
        <w:ind w:left="1040" w:hanging="336"/>
        <w:spacing w:after="0"/>
        <w:tabs>
          <w:tab w:leader="none" w:pos="1040" w:val="left"/>
        </w:tabs>
        <w:numPr>
          <w:ilvl w:val="0"/>
          <w:numId w:val="373"/>
        </w:numPr>
        <w:rPr>
          <w:rFonts w:ascii="Arial" w:cs="Arial" w:eastAsia="Arial" w:hAnsi="Arial"/>
          <w:sz w:val="14"/>
          <w:szCs w:val="14"/>
          <w:color w:val="auto"/>
        </w:rPr>
      </w:pPr>
      <w:r>
        <w:rPr>
          <w:rFonts w:ascii="Arial" w:cs="Arial" w:eastAsia="Arial" w:hAnsi="Arial"/>
          <w:sz w:val="14"/>
          <w:szCs w:val="14"/>
          <w:color w:val="auto"/>
        </w:rPr>
        <w:t>Site Lighting - soffit Lighting at building connected with parking lot lights.</w:t>
      </w:r>
    </w:p>
    <w:p>
      <w:pPr>
        <w:spacing w:after="0" w:line="12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PAGE 3 OF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Britannia Biotechnology Center</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Site Work/Shell Building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Tularik Corporation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ectPr>
          <w:pgSz w:w="11900" w:h="16838" w:orient="portrait"/>
          <w:cols w:equalWidth="0" w:num="2">
            <w:col w:w="9000" w:space="720"/>
            <w:col w:w="1740"/>
          </w:cols>
          <w:pgMar w:left="220" w:top="245" w:right="219" w:bottom="1440" w:gutter="0" w:footer="0" w:header="0"/>
        </w:sectPr>
      </w:pPr>
    </w:p>
    <w:bookmarkStart w:id="431" w:name="page432"/>
    <w:bookmarkEnd w:id="431"/>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4</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96" w:lineRule="exact"/>
        <w:rPr>
          <w:sz w:val="20"/>
          <w:szCs w:val="20"/>
          <w:color w:val="auto"/>
        </w:rPr>
      </w:pPr>
    </w:p>
    <w:p>
      <w:pPr>
        <w:ind w:left="740" w:hanging="736"/>
        <w:spacing w:after="0"/>
        <w:tabs>
          <w:tab w:leader="none" w:pos="740" w:val="left"/>
        </w:tabs>
        <w:numPr>
          <w:ilvl w:val="0"/>
          <w:numId w:val="374"/>
        </w:numPr>
        <w:rPr>
          <w:rFonts w:ascii="Arial" w:cs="Arial" w:eastAsia="Arial" w:hAnsi="Arial"/>
          <w:sz w:val="14"/>
          <w:szCs w:val="14"/>
          <w:color w:val="auto"/>
        </w:rPr>
      </w:pPr>
      <w:r>
        <w:rPr>
          <w:rFonts w:ascii="Arial" w:cs="Arial" w:eastAsia="Arial" w:hAnsi="Arial"/>
          <w:sz w:val="14"/>
          <w:szCs w:val="14"/>
          <w:color w:val="auto"/>
        </w:rPr>
        <w:t>CONCRETE</w:t>
      </w:r>
    </w:p>
    <w:p>
      <w:pPr>
        <w:spacing w:after="0" w:line="89" w:lineRule="exact"/>
        <w:rPr>
          <w:rFonts w:ascii="Arial" w:cs="Arial" w:eastAsia="Arial" w:hAnsi="Arial"/>
          <w:sz w:val="14"/>
          <w:szCs w:val="14"/>
          <w:color w:val="auto"/>
        </w:rPr>
      </w:pPr>
    </w:p>
    <w:p>
      <w:pPr>
        <w:ind w:left="1160" w:hanging="421"/>
        <w:spacing w:after="0"/>
        <w:tabs>
          <w:tab w:leader="none" w:pos="1160" w:val="left"/>
        </w:tabs>
        <w:numPr>
          <w:ilvl w:val="1"/>
          <w:numId w:val="374"/>
        </w:numPr>
        <w:rPr>
          <w:rFonts w:ascii="Arial" w:cs="Arial" w:eastAsia="Arial" w:hAnsi="Arial"/>
          <w:sz w:val="14"/>
          <w:szCs w:val="14"/>
          <w:color w:val="auto"/>
        </w:rPr>
      </w:pPr>
      <w:r>
        <w:rPr>
          <w:rFonts w:ascii="Arial" w:cs="Arial" w:eastAsia="Arial" w:hAnsi="Arial"/>
          <w:sz w:val="14"/>
          <w:szCs w:val="14"/>
          <w:color w:val="auto"/>
        </w:rPr>
        <w:t>Excavation</w:t>
      </w:r>
    </w:p>
    <w:p>
      <w:pPr>
        <w:spacing w:after="0" w:line="89" w:lineRule="exact"/>
        <w:rPr>
          <w:rFonts w:ascii="Arial" w:cs="Arial" w:eastAsia="Arial" w:hAnsi="Arial"/>
          <w:sz w:val="14"/>
          <w:szCs w:val="14"/>
          <w:color w:val="auto"/>
        </w:rPr>
      </w:pPr>
    </w:p>
    <w:p>
      <w:pPr>
        <w:ind w:left="1460" w:hanging="297"/>
        <w:spacing w:after="0"/>
        <w:tabs>
          <w:tab w:leader="none" w:pos="1460" w:val="left"/>
        </w:tabs>
        <w:numPr>
          <w:ilvl w:val="2"/>
          <w:numId w:val="374"/>
        </w:numPr>
        <w:rPr>
          <w:rFonts w:ascii="Arial" w:cs="Arial" w:eastAsia="Arial" w:hAnsi="Arial"/>
          <w:sz w:val="14"/>
          <w:szCs w:val="14"/>
          <w:color w:val="auto"/>
        </w:rPr>
      </w:pPr>
      <w:r>
        <w:rPr>
          <w:rFonts w:ascii="Arial" w:cs="Arial" w:eastAsia="Arial" w:hAnsi="Arial"/>
          <w:sz w:val="14"/>
          <w:szCs w:val="14"/>
          <w:color w:val="auto"/>
        </w:rPr>
        <w:t>Pile foundation.</w:t>
      </w:r>
    </w:p>
    <w:p>
      <w:pPr>
        <w:spacing w:after="0" w:line="12" w:lineRule="exact"/>
        <w:rPr>
          <w:rFonts w:ascii="Arial" w:cs="Arial" w:eastAsia="Arial" w:hAnsi="Arial"/>
          <w:sz w:val="14"/>
          <w:szCs w:val="14"/>
          <w:color w:val="auto"/>
        </w:rPr>
      </w:pPr>
    </w:p>
    <w:p>
      <w:pPr>
        <w:ind w:left="1460" w:hanging="297"/>
        <w:spacing w:after="0"/>
        <w:tabs>
          <w:tab w:leader="none" w:pos="1460" w:val="left"/>
        </w:tabs>
        <w:numPr>
          <w:ilvl w:val="2"/>
          <w:numId w:val="374"/>
        </w:numPr>
        <w:rPr>
          <w:rFonts w:ascii="Arial" w:cs="Arial" w:eastAsia="Arial" w:hAnsi="Arial"/>
          <w:sz w:val="14"/>
          <w:szCs w:val="14"/>
          <w:color w:val="auto"/>
        </w:rPr>
      </w:pPr>
      <w:r>
        <w:rPr>
          <w:rFonts w:ascii="Arial" w:cs="Arial" w:eastAsia="Arial" w:hAnsi="Arial"/>
          <w:sz w:val="14"/>
          <w:szCs w:val="14"/>
          <w:color w:val="auto"/>
        </w:rPr>
        <w:t>Elevator pits - part of T.I. allowance.</w:t>
      </w:r>
    </w:p>
    <w:p>
      <w:pPr>
        <w:spacing w:after="0" w:line="6" w:lineRule="exact"/>
        <w:rPr>
          <w:rFonts w:ascii="Arial" w:cs="Arial" w:eastAsia="Arial" w:hAnsi="Arial"/>
          <w:sz w:val="14"/>
          <w:szCs w:val="14"/>
          <w:color w:val="auto"/>
        </w:rPr>
      </w:pPr>
    </w:p>
    <w:p>
      <w:pPr>
        <w:ind w:left="1460" w:hanging="297"/>
        <w:spacing w:after="0"/>
        <w:tabs>
          <w:tab w:leader="none" w:pos="1460" w:val="left"/>
        </w:tabs>
        <w:numPr>
          <w:ilvl w:val="2"/>
          <w:numId w:val="374"/>
        </w:numPr>
        <w:rPr>
          <w:rFonts w:ascii="Arial" w:cs="Arial" w:eastAsia="Arial" w:hAnsi="Arial"/>
          <w:sz w:val="14"/>
          <w:szCs w:val="14"/>
          <w:color w:val="auto"/>
        </w:rPr>
      </w:pPr>
      <w:r>
        <w:rPr>
          <w:rFonts w:ascii="Arial" w:cs="Arial" w:eastAsia="Arial" w:hAnsi="Arial"/>
          <w:sz w:val="14"/>
          <w:szCs w:val="14"/>
          <w:color w:val="auto"/>
        </w:rPr>
        <w:t>Dock leveler pit - cost by Britannia.</w:t>
      </w:r>
    </w:p>
    <w:p>
      <w:pPr>
        <w:spacing w:after="0" w:line="83" w:lineRule="exact"/>
        <w:rPr>
          <w:rFonts w:ascii="Arial" w:cs="Arial" w:eastAsia="Arial" w:hAnsi="Arial"/>
          <w:sz w:val="14"/>
          <w:szCs w:val="14"/>
          <w:color w:val="auto"/>
        </w:rPr>
      </w:pPr>
    </w:p>
    <w:p>
      <w:pPr>
        <w:ind w:left="1160" w:hanging="414"/>
        <w:spacing w:after="0"/>
        <w:tabs>
          <w:tab w:leader="none" w:pos="1160" w:val="left"/>
        </w:tabs>
        <w:numPr>
          <w:ilvl w:val="1"/>
          <w:numId w:val="374"/>
        </w:numPr>
        <w:rPr>
          <w:rFonts w:ascii="Arial" w:cs="Arial" w:eastAsia="Arial" w:hAnsi="Arial"/>
          <w:sz w:val="14"/>
          <w:szCs w:val="14"/>
          <w:color w:val="auto"/>
        </w:rPr>
      </w:pPr>
      <w:r>
        <w:rPr>
          <w:rFonts w:ascii="Arial" w:cs="Arial" w:eastAsia="Arial" w:hAnsi="Arial"/>
          <w:sz w:val="14"/>
          <w:szCs w:val="14"/>
          <w:color w:val="auto"/>
        </w:rPr>
        <w:t>Concrete Forms</w:t>
      </w:r>
    </w:p>
    <w:p>
      <w:pPr>
        <w:spacing w:after="0" w:line="89" w:lineRule="exact"/>
        <w:rPr>
          <w:rFonts w:ascii="Arial" w:cs="Arial" w:eastAsia="Arial" w:hAnsi="Arial"/>
          <w:sz w:val="14"/>
          <w:szCs w:val="14"/>
          <w:color w:val="auto"/>
        </w:rPr>
      </w:pPr>
    </w:p>
    <w:p>
      <w:pPr>
        <w:ind w:left="1160" w:hanging="414"/>
        <w:spacing w:after="0"/>
        <w:tabs>
          <w:tab w:leader="none" w:pos="1160" w:val="left"/>
        </w:tabs>
        <w:numPr>
          <w:ilvl w:val="1"/>
          <w:numId w:val="374"/>
        </w:numPr>
        <w:rPr>
          <w:rFonts w:ascii="Arial" w:cs="Arial" w:eastAsia="Arial" w:hAnsi="Arial"/>
          <w:sz w:val="14"/>
          <w:szCs w:val="14"/>
          <w:color w:val="auto"/>
        </w:rPr>
      </w:pPr>
      <w:r>
        <w:rPr>
          <w:rFonts w:ascii="Arial" w:cs="Arial" w:eastAsia="Arial" w:hAnsi="Arial"/>
          <w:sz w:val="14"/>
          <w:szCs w:val="14"/>
          <w:color w:val="auto"/>
        </w:rPr>
        <w:t>Concrete</w:t>
      </w:r>
    </w:p>
    <w:p>
      <w:pPr>
        <w:spacing w:after="0" w:line="89" w:lineRule="exact"/>
        <w:rPr>
          <w:rFonts w:ascii="Arial" w:cs="Arial" w:eastAsia="Arial" w:hAnsi="Arial"/>
          <w:sz w:val="14"/>
          <w:szCs w:val="14"/>
          <w:color w:val="auto"/>
        </w:rPr>
      </w:pPr>
    </w:p>
    <w:p>
      <w:pPr>
        <w:ind w:left="1500" w:right="120" w:hanging="337"/>
        <w:spacing w:after="0" w:line="253" w:lineRule="auto"/>
        <w:tabs>
          <w:tab w:leader="none" w:pos="1460" w:val="left"/>
        </w:tabs>
        <w:numPr>
          <w:ilvl w:val="2"/>
          <w:numId w:val="374"/>
        </w:numPr>
        <w:rPr>
          <w:rFonts w:ascii="Arial" w:cs="Arial" w:eastAsia="Arial" w:hAnsi="Arial"/>
          <w:sz w:val="14"/>
          <w:szCs w:val="14"/>
          <w:color w:val="auto"/>
        </w:rPr>
      </w:pPr>
      <w:r>
        <w:rPr>
          <w:rFonts w:ascii="Arial" w:cs="Arial" w:eastAsia="Arial" w:hAnsi="Arial"/>
          <w:sz w:val="14"/>
          <w:szCs w:val="14"/>
          <w:color w:val="auto"/>
        </w:rPr>
        <w:t>Ground level structural slab, slab on grade, grade beams and pilecaps, tolerance 1/8” in 10’-0”, 1/2” max, total difference. Maintain moisture content to no greater than 3 lbs/1,000 by means of a sub-slab barrier.</w:t>
      </w:r>
    </w:p>
    <w:p>
      <w:pPr>
        <w:ind w:left="1500" w:right="360" w:hanging="337"/>
        <w:spacing w:after="0" w:line="249" w:lineRule="auto"/>
        <w:tabs>
          <w:tab w:leader="none" w:pos="1460" w:val="left"/>
        </w:tabs>
        <w:numPr>
          <w:ilvl w:val="2"/>
          <w:numId w:val="374"/>
        </w:numPr>
        <w:rPr>
          <w:rFonts w:ascii="Arial" w:cs="Arial" w:eastAsia="Arial" w:hAnsi="Arial"/>
          <w:sz w:val="14"/>
          <w:szCs w:val="14"/>
          <w:color w:val="auto"/>
        </w:rPr>
      </w:pPr>
      <w:r>
        <w:rPr>
          <w:rFonts w:ascii="Arial" w:cs="Arial" w:eastAsia="Arial" w:hAnsi="Arial"/>
          <w:sz w:val="14"/>
          <w:szCs w:val="14"/>
          <w:color w:val="auto"/>
        </w:rPr>
        <w:t>Second level slab - concrete slab on metal deck, perforated deck for moisture content reduction - to yield minimum one hour rating, tolerance 1/8” in 10’-0”, 1/2” maximum total difference.</w:t>
      </w:r>
    </w:p>
    <w:p>
      <w:pPr>
        <w:ind w:left="1460" w:hanging="297"/>
        <w:spacing w:after="0"/>
        <w:tabs>
          <w:tab w:leader="none" w:pos="1460" w:val="left"/>
        </w:tabs>
        <w:numPr>
          <w:ilvl w:val="2"/>
          <w:numId w:val="374"/>
        </w:numPr>
        <w:rPr>
          <w:rFonts w:ascii="Arial" w:cs="Arial" w:eastAsia="Arial" w:hAnsi="Arial"/>
          <w:sz w:val="14"/>
          <w:szCs w:val="14"/>
          <w:color w:val="auto"/>
        </w:rPr>
      </w:pPr>
      <w:r>
        <w:rPr>
          <w:rFonts w:ascii="Arial" w:cs="Arial" w:eastAsia="Arial" w:hAnsi="Arial"/>
          <w:sz w:val="14"/>
          <w:szCs w:val="14"/>
          <w:color w:val="auto"/>
        </w:rPr>
        <w:t>There shall be no interior structural concrete or masonry shear walls.</w:t>
      </w:r>
    </w:p>
    <w:p>
      <w:pPr>
        <w:spacing w:after="0" w:line="6" w:lineRule="exact"/>
        <w:rPr>
          <w:rFonts w:ascii="Arial" w:cs="Arial" w:eastAsia="Arial" w:hAnsi="Arial"/>
          <w:sz w:val="14"/>
          <w:szCs w:val="14"/>
          <w:color w:val="auto"/>
        </w:rPr>
      </w:pPr>
    </w:p>
    <w:p>
      <w:pPr>
        <w:ind w:left="1500" w:right="180" w:hanging="337"/>
        <w:spacing w:after="0" w:line="258" w:lineRule="auto"/>
        <w:tabs>
          <w:tab w:leader="none" w:pos="1452" w:val="left"/>
        </w:tabs>
        <w:numPr>
          <w:ilvl w:val="2"/>
          <w:numId w:val="374"/>
        </w:numPr>
        <w:rPr>
          <w:rFonts w:ascii="Arial" w:cs="Arial" w:eastAsia="Arial" w:hAnsi="Arial"/>
          <w:sz w:val="14"/>
          <w:szCs w:val="14"/>
          <w:color w:val="auto"/>
        </w:rPr>
      </w:pPr>
      <w:r>
        <w:rPr>
          <w:rFonts w:ascii="Arial" w:cs="Arial" w:eastAsia="Arial" w:hAnsi="Arial"/>
          <w:sz w:val="14"/>
          <w:szCs w:val="14"/>
          <w:color w:val="auto"/>
        </w:rPr>
        <w:t>Autoclaves, washers, etc. pits to be coordinated with structural slab system, to be engineered in coordination with Tenant Improvement Design/Construction team, as required - need very soon. Cost of these pits to be a part of T.I. allowance; above standard shell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13</w:t>
      </w:r>
    </w:p>
    <w:p>
      <w:pPr>
        <w:sectPr>
          <w:pgSz w:w="11900" w:h="16838" w:orient="portrait"/>
          <w:cols w:equalWidth="0" w:num="1">
            <w:col w:w="11460"/>
          </w:cols>
          <w:pgMar w:left="220" w:top="229" w:right="219" w:bottom="1440" w:gutter="0" w:footer="0" w:header="0"/>
        </w:sectPr>
      </w:pPr>
    </w:p>
    <w:bookmarkStart w:id="432" w:name="page433"/>
    <w:bookmarkEnd w:id="432"/>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5</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96" w:lineRule="exact"/>
        <w:rPr>
          <w:sz w:val="20"/>
          <w:szCs w:val="20"/>
          <w:color w:val="auto"/>
        </w:rPr>
      </w:pPr>
    </w:p>
    <w:p>
      <w:pPr>
        <w:ind w:left="700" w:hanging="696"/>
        <w:spacing w:after="0"/>
        <w:tabs>
          <w:tab w:leader="none" w:pos="700" w:val="left"/>
        </w:tabs>
        <w:numPr>
          <w:ilvl w:val="0"/>
          <w:numId w:val="375"/>
        </w:numPr>
        <w:rPr>
          <w:rFonts w:ascii="Arial" w:cs="Arial" w:eastAsia="Arial" w:hAnsi="Arial"/>
          <w:sz w:val="14"/>
          <w:szCs w:val="14"/>
          <w:color w:val="auto"/>
        </w:rPr>
      </w:pPr>
      <w:r>
        <w:rPr>
          <w:rFonts w:ascii="Arial" w:cs="Arial" w:eastAsia="Arial" w:hAnsi="Arial"/>
          <w:sz w:val="14"/>
          <w:szCs w:val="14"/>
          <w:color w:val="auto"/>
        </w:rPr>
        <w:t>MASONRY</w:t>
      </w:r>
    </w:p>
    <w:p>
      <w:pPr>
        <w:spacing w:after="0" w:line="89"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4"/>
          <w:szCs w:val="14"/>
          <w:color w:val="auto"/>
        </w:rPr>
        <w:t>A.   Concrete block walls, if utilized, at trash enclosure.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13</w:t>
      </w:r>
    </w:p>
    <w:p>
      <w:pPr>
        <w:sectPr>
          <w:pgSz w:w="11900" w:h="16838" w:orient="portrait"/>
          <w:cols w:equalWidth="0" w:num="1">
            <w:col w:w="11460"/>
          </w:cols>
          <w:pgMar w:left="220" w:top="229" w:right="219" w:bottom="1440" w:gutter="0" w:footer="0" w:header="0"/>
        </w:sectPr>
      </w:pPr>
    </w:p>
    <w:bookmarkStart w:id="433" w:name="page434"/>
    <w:bookmarkEnd w:id="433"/>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6</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4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460" w:hanging="456"/>
        <w:spacing w:after="0"/>
        <w:tabs>
          <w:tab w:leader="none" w:pos="460" w:val="left"/>
        </w:tabs>
        <w:numPr>
          <w:ilvl w:val="0"/>
          <w:numId w:val="376"/>
        </w:numPr>
        <w:rPr>
          <w:rFonts w:ascii="Arial" w:cs="Arial" w:eastAsia="Arial" w:hAnsi="Arial"/>
          <w:sz w:val="14"/>
          <w:szCs w:val="14"/>
          <w:color w:val="auto"/>
        </w:rPr>
      </w:pPr>
      <w:r>
        <w:rPr>
          <w:rFonts w:ascii="Arial" w:cs="Arial" w:eastAsia="Arial" w:hAnsi="Arial"/>
          <w:sz w:val="14"/>
          <w:szCs w:val="14"/>
          <w:color w:val="auto"/>
        </w:rPr>
        <w:t>METALS</w:t>
      </w:r>
    </w:p>
    <w:p>
      <w:pPr>
        <w:spacing w:after="0" w:line="141" w:lineRule="exact"/>
        <w:rPr>
          <w:rFonts w:ascii="Arial" w:cs="Arial" w:eastAsia="Arial" w:hAnsi="Arial"/>
          <w:sz w:val="14"/>
          <w:szCs w:val="14"/>
          <w:color w:val="auto"/>
        </w:rPr>
      </w:pPr>
    </w:p>
    <w:p>
      <w:pPr>
        <w:ind w:left="800" w:hanging="337"/>
        <w:spacing w:after="0"/>
        <w:tabs>
          <w:tab w:leader="none" w:pos="80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Steel columns and beams</w:t>
      </w:r>
    </w:p>
    <w:p>
      <w:pPr>
        <w:spacing w:after="0" w:line="89" w:lineRule="exact"/>
        <w:rPr>
          <w:rFonts w:ascii="Arial" w:cs="Arial" w:eastAsia="Arial" w:hAnsi="Arial"/>
          <w:sz w:val="14"/>
          <w:szCs w:val="14"/>
          <w:color w:val="auto"/>
        </w:rPr>
      </w:pPr>
    </w:p>
    <w:p>
      <w:pPr>
        <w:ind w:left="1160" w:hanging="352"/>
        <w:spacing w:after="0"/>
        <w:tabs>
          <w:tab w:leader="none" w:pos="1160" w:val="left"/>
        </w:tabs>
        <w:numPr>
          <w:ilvl w:val="2"/>
          <w:numId w:val="376"/>
        </w:numPr>
        <w:rPr>
          <w:rFonts w:ascii="Arial" w:cs="Arial" w:eastAsia="Arial" w:hAnsi="Arial"/>
          <w:sz w:val="14"/>
          <w:szCs w:val="14"/>
          <w:color w:val="auto"/>
        </w:rPr>
      </w:pPr>
      <w:r>
        <w:rPr>
          <w:rFonts w:ascii="Arial" w:cs="Arial" w:eastAsia="Arial" w:hAnsi="Arial"/>
          <w:sz w:val="14"/>
          <w:szCs w:val="14"/>
          <w:color w:val="auto"/>
        </w:rPr>
        <w:t>Structural steel braced frame at exterior building line.</w:t>
      </w:r>
    </w:p>
    <w:p>
      <w:pPr>
        <w:spacing w:after="0" w:line="89" w:lineRule="exact"/>
        <w:rPr>
          <w:rFonts w:ascii="Arial" w:cs="Arial" w:eastAsia="Arial" w:hAnsi="Arial"/>
          <w:sz w:val="14"/>
          <w:szCs w:val="14"/>
          <w:color w:val="auto"/>
        </w:rPr>
      </w:pPr>
    </w:p>
    <w:p>
      <w:pPr>
        <w:ind w:left="1160" w:hanging="352"/>
        <w:spacing w:after="0"/>
        <w:tabs>
          <w:tab w:leader="none" w:pos="1160" w:val="left"/>
        </w:tabs>
        <w:numPr>
          <w:ilvl w:val="2"/>
          <w:numId w:val="376"/>
        </w:numPr>
        <w:rPr>
          <w:rFonts w:ascii="Arial" w:cs="Arial" w:eastAsia="Arial" w:hAnsi="Arial"/>
          <w:sz w:val="14"/>
          <w:szCs w:val="14"/>
          <w:color w:val="auto"/>
        </w:rPr>
      </w:pPr>
      <w:r>
        <w:rPr>
          <w:rFonts w:ascii="Arial" w:cs="Arial" w:eastAsia="Arial" w:hAnsi="Arial"/>
          <w:sz w:val="14"/>
          <w:szCs w:val="14"/>
          <w:color w:val="auto"/>
        </w:rPr>
        <w:t>Second level structural steel truss and girder construction.</w:t>
      </w:r>
    </w:p>
    <w:p>
      <w:pPr>
        <w:spacing w:after="0" w:line="89"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4"/>
          <w:szCs w:val="14"/>
          <w:color w:val="auto"/>
        </w:rPr>
        <w:t>a.   The 70 PSF Dead/120 PSF Live for this project requirement was derived as follows:</w:t>
      </w:r>
    </w:p>
    <w:p>
      <w:pPr>
        <w:spacing w:after="0" w:line="89" w:lineRule="exact"/>
        <w:rPr>
          <w:rFonts w:ascii="Arial" w:cs="Arial" w:eastAsia="Arial" w:hAnsi="Arial"/>
          <w:sz w:val="14"/>
          <w:szCs w:val="14"/>
          <w:color w:val="auto"/>
        </w:rPr>
      </w:pPr>
    </w:p>
    <w:p>
      <w:pPr>
        <w:ind w:left="1820" w:right="100" w:hanging="333"/>
        <w:spacing w:after="0" w:line="252" w:lineRule="auto"/>
        <w:tabs>
          <w:tab w:leader="none" w:pos="1845" w:val="left"/>
        </w:tabs>
        <w:numPr>
          <w:ilvl w:val="4"/>
          <w:numId w:val="376"/>
        </w:numPr>
        <w:rPr>
          <w:rFonts w:ascii="Arial" w:cs="Arial" w:eastAsia="Arial" w:hAnsi="Arial"/>
          <w:sz w:val="14"/>
          <w:szCs w:val="14"/>
          <w:color w:val="auto"/>
        </w:rPr>
      </w:pPr>
      <w:r>
        <w:rPr>
          <w:rFonts w:ascii="Arial" w:cs="Arial" w:eastAsia="Arial" w:hAnsi="Arial"/>
          <w:sz w:val="14"/>
          <w:szCs w:val="14"/>
          <w:color w:val="auto"/>
        </w:rPr>
        <w:t>The 70 PSF Dead load projection figure is only provided as a gauge, since the actual dead load will not be known until the design is complete. The definition of this load is the weight of the structure - and in the case of the concrete on steel, the concrete surprisingly makes up from one-third to one-half of the dead load. It also includes loads for roof drainage piping and any core sanitary sewer piping. It does not cover anything beyond these self weights.</w:t>
      </w:r>
    </w:p>
    <w:p>
      <w:pPr>
        <w:ind w:left="1820" w:right="160" w:hanging="333"/>
        <w:spacing w:after="0" w:line="258" w:lineRule="auto"/>
        <w:tabs>
          <w:tab w:leader="none" w:pos="1848" w:val="left"/>
        </w:tabs>
        <w:numPr>
          <w:ilvl w:val="4"/>
          <w:numId w:val="376"/>
        </w:numPr>
        <w:rPr>
          <w:rFonts w:ascii="Arial" w:cs="Arial" w:eastAsia="Arial" w:hAnsi="Arial"/>
          <w:sz w:val="14"/>
          <w:szCs w:val="14"/>
          <w:color w:val="auto"/>
        </w:rPr>
      </w:pPr>
      <w:r>
        <w:rPr>
          <w:rFonts w:ascii="Arial" w:cs="Arial" w:eastAsia="Arial" w:hAnsi="Arial"/>
          <w:sz w:val="14"/>
          <w:szCs w:val="14"/>
          <w:color w:val="auto"/>
        </w:rPr>
        <w:t>120 PSF Live load is to be incorporated into the design. Increased cost of 120 lbs Live load over 100 lbs Live load is to be regarded as above standard shell. Cost to be part of Tenant Improvement Allowance.</w:t>
      </w:r>
    </w:p>
    <w:p>
      <w:pPr>
        <w:spacing w:after="0" w:line="65" w:lineRule="exact"/>
        <w:rPr>
          <w:rFonts w:ascii="Arial" w:cs="Arial" w:eastAsia="Arial" w:hAnsi="Arial"/>
          <w:sz w:val="14"/>
          <w:szCs w:val="14"/>
          <w:color w:val="auto"/>
        </w:rPr>
      </w:pPr>
    </w:p>
    <w:p>
      <w:pPr>
        <w:ind w:left="800" w:hanging="337"/>
        <w:spacing w:after="0"/>
        <w:tabs>
          <w:tab w:leader="none" w:pos="80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Railings, (temporary) for construction.</w:t>
      </w:r>
    </w:p>
    <w:p>
      <w:pPr>
        <w:spacing w:after="0" w:line="89" w:lineRule="exact"/>
        <w:rPr>
          <w:rFonts w:ascii="Arial" w:cs="Arial" w:eastAsia="Arial" w:hAnsi="Arial"/>
          <w:sz w:val="14"/>
          <w:szCs w:val="14"/>
          <w:color w:val="auto"/>
        </w:rPr>
      </w:pPr>
    </w:p>
    <w:p>
      <w:pPr>
        <w:ind w:left="800" w:hanging="337"/>
        <w:spacing w:after="0"/>
        <w:tabs>
          <w:tab w:leader="none" w:pos="80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Steel deck</w:t>
      </w:r>
    </w:p>
    <w:p>
      <w:pPr>
        <w:spacing w:after="0" w:line="89" w:lineRule="exact"/>
        <w:rPr>
          <w:rFonts w:ascii="Arial" w:cs="Arial" w:eastAsia="Arial" w:hAnsi="Arial"/>
          <w:sz w:val="14"/>
          <w:szCs w:val="14"/>
          <w:color w:val="auto"/>
        </w:rPr>
      </w:pPr>
    </w:p>
    <w:p>
      <w:pPr>
        <w:ind w:left="1160" w:hanging="352"/>
        <w:spacing w:after="0"/>
        <w:tabs>
          <w:tab w:leader="none" w:pos="1160" w:val="left"/>
        </w:tabs>
        <w:numPr>
          <w:ilvl w:val="2"/>
          <w:numId w:val="376"/>
        </w:numPr>
        <w:rPr>
          <w:rFonts w:ascii="Arial" w:cs="Arial" w:eastAsia="Arial" w:hAnsi="Arial"/>
          <w:sz w:val="14"/>
          <w:szCs w:val="14"/>
          <w:color w:val="auto"/>
        </w:rPr>
      </w:pPr>
      <w:r>
        <w:rPr>
          <w:rFonts w:ascii="Arial" w:cs="Arial" w:eastAsia="Arial" w:hAnsi="Arial"/>
          <w:sz w:val="14"/>
          <w:szCs w:val="14"/>
          <w:color w:val="auto"/>
        </w:rPr>
        <w:t>Second level metal deck perforated for moisture content reduction at upper level - designed for one hour rating.</w:t>
      </w:r>
    </w:p>
    <w:p>
      <w:pPr>
        <w:spacing w:after="0" w:line="12" w:lineRule="exact"/>
        <w:rPr>
          <w:rFonts w:ascii="Arial" w:cs="Arial" w:eastAsia="Arial" w:hAnsi="Arial"/>
          <w:sz w:val="14"/>
          <w:szCs w:val="14"/>
          <w:color w:val="auto"/>
        </w:rPr>
      </w:pPr>
    </w:p>
    <w:p>
      <w:pPr>
        <w:ind w:left="1160" w:hanging="352"/>
        <w:spacing w:after="0"/>
        <w:tabs>
          <w:tab w:leader="none" w:pos="1160" w:val="left"/>
        </w:tabs>
        <w:numPr>
          <w:ilvl w:val="2"/>
          <w:numId w:val="376"/>
        </w:numPr>
        <w:rPr>
          <w:rFonts w:ascii="Arial" w:cs="Arial" w:eastAsia="Arial" w:hAnsi="Arial"/>
          <w:sz w:val="12"/>
          <w:szCs w:val="12"/>
          <w:color w:val="auto"/>
        </w:rPr>
      </w:pPr>
      <w:r>
        <w:rPr>
          <w:rFonts w:ascii="Arial" w:cs="Arial" w:eastAsia="Arial" w:hAnsi="Arial"/>
          <w:sz w:val="12"/>
          <w:szCs w:val="12"/>
          <w:color w:val="auto"/>
        </w:rPr>
        <w:t>Roof level metal deck to support 30 psf live load at mechanical support areas, and at non-mechanical support areas within the roof screen. Metal roof deck to be supported by steel joists.</w:t>
      </w:r>
    </w:p>
    <w:p>
      <w:pPr>
        <w:spacing w:after="0" w:line="106" w:lineRule="exact"/>
        <w:rPr>
          <w:rFonts w:ascii="Arial" w:cs="Arial" w:eastAsia="Arial" w:hAnsi="Arial"/>
          <w:sz w:val="12"/>
          <w:szCs w:val="12"/>
          <w:color w:val="auto"/>
        </w:rPr>
      </w:pPr>
    </w:p>
    <w:p>
      <w:pPr>
        <w:ind w:left="800" w:hanging="337"/>
        <w:spacing w:after="0"/>
        <w:tabs>
          <w:tab w:leader="none" w:pos="80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Exterior 6” metal stud to support EIFS, wind load per 1994 California Building Code.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13</w:t>
      </w:r>
    </w:p>
    <w:p>
      <w:pPr>
        <w:sectPr>
          <w:pgSz w:w="11900" w:h="16838" w:orient="portrait"/>
          <w:cols w:equalWidth="0" w:num="1">
            <w:col w:w="11460"/>
          </w:cols>
          <w:pgMar w:left="220" w:top="229" w:right="219" w:bottom="1440" w:gutter="0" w:footer="0" w:header="0"/>
        </w:sectPr>
      </w:pPr>
    </w:p>
    <w:bookmarkStart w:id="434" w:name="page435"/>
    <w:bookmarkEnd w:id="434"/>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7</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68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96" w:lineRule="exact"/>
        <w:rPr>
          <w:sz w:val="20"/>
          <w:szCs w:val="20"/>
          <w:color w:val="auto"/>
        </w:rPr>
      </w:pPr>
    </w:p>
    <w:p>
      <w:pPr>
        <w:ind w:left="700" w:hanging="696"/>
        <w:spacing w:after="0"/>
        <w:tabs>
          <w:tab w:leader="none" w:pos="700" w:val="left"/>
        </w:tabs>
        <w:numPr>
          <w:ilvl w:val="0"/>
          <w:numId w:val="377"/>
        </w:numPr>
        <w:rPr>
          <w:rFonts w:ascii="Arial" w:cs="Arial" w:eastAsia="Arial" w:hAnsi="Arial"/>
          <w:sz w:val="14"/>
          <w:szCs w:val="14"/>
          <w:color w:val="auto"/>
        </w:rPr>
      </w:pPr>
      <w:r>
        <w:rPr>
          <w:rFonts w:ascii="Arial" w:cs="Arial" w:eastAsia="Arial" w:hAnsi="Arial"/>
          <w:sz w:val="14"/>
          <w:szCs w:val="14"/>
          <w:color w:val="auto"/>
        </w:rPr>
        <w:t>THERMAL AND MOISTURE PROTECTION</w:t>
      </w:r>
    </w:p>
    <w:p>
      <w:pPr>
        <w:spacing w:after="0" w:line="89" w:lineRule="exact"/>
        <w:rPr>
          <w:rFonts w:ascii="Arial" w:cs="Arial" w:eastAsia="Arial" w:hAnsi="Arial"/>
          <w:sz w:val="14"/>
          <w:szCs w:val="14"/>
          <w:color w:val="auto"/>
        </w:rPr>
      </w:pPr>
    </w:p>
    <w:p>
      <w:pPr>
        <w:ind w:left="1000" w:hanging="307"/>
        <w:spacing w:after="0"/>
        <w:tabs>
          <w:tab w:leader="none" w:pos="1000" w:val="left"/>
        </w:tabs>
        <w:numPr>
          <w:ilvl w:val="1"/>
          <w:numId w:val="377"/>
        </w:numPr>
        <w:rPr>
          <w:rFonts w:ascii="Arial" w:cs="Arial" w:eastAsia="Arial" w:hAnsi="Arial"/>
          <w:sz w:val="14"/>
          <w:szCs w:val="14"/>
          <w:color w:val="auto"/>
        </w:rPr>
      </w:pPr>
      <w:r>
        <w:rPr>
          <w:rFonts w:ascii="Arial" w:cs="Arial" w:eastAsia="Arial" w:hAnsi="Arial"/>
          <w:sz w:val="14"/>
          <w:szCs w:val="14"/>
          <w:color w:val="auto"/>
        </w:rPr>
        <w:t>Thermal Insulation at roof - R-19 to meet Title 24 calculations.</w:t>
      </w:r>
    </w:p>
    <w:p>
      <w:pPr>
        <w:spacing w:after="0" w:line="89" w:lineRule="exact"/>
        <w:rPr>
          <w:rFonts w:ascii="Arial" w:cs="Arial" w:eastAsia="Arial" w:hAnsi="Arial"/>
          <w:sz w:val="14"/>
          <w:szCs w:val="14"/>
          <w:color w:val="auto"/>
        </w:rPr>
      </w:pPr>
    </w:p>
    <w:p>
      <w:pPr>
        <w:ind w:left="980" w:hanging="287"/>
        <w:spacing w:after="0"/>
        <w:tabs>
          <w:tab w:leader="none" w:pos="980" w:val="left"/>
        </w:tabs>
        <w:numPr>
          <w:ilvl w:val="1"/>
          <w:numId w:val="377"/>
        </w:numPr>
        <w:rPr>
          <w:rFonts w:ascii="Arial" w:cs="Arial" w:eastAsia="Arial" w:hAnsi="Arial"/>
          <w:sz w:val="14"/>
          <w:szCs w:val="14"/>
          <w:color w:val="auto"/>
        </w:rPr>
      </w:pPr>
      <w:r>
        <w:rPr>
          <w:rFonts w:ascii="Arial" w:cs="Arial" w:eastAsia="Arial" w:hAnsi="Arial"/>
          <w:sz w:val="14"/>
          <w:szCs w:val="14"/>
          <w:color w:val="auto"/>
        </w:rPr>
        <w:t>Roofing, 4-ply minimum.</w:t>
      </w:r>
    </w:p>
    <w:p>
      <w:pPr>
        <w:spacing w:after="0" w:line="89" w:lineRule="exact"/>
        <w:rPr>
          <w:rFonts w:ascii="Arial" w:cs="Arial" w:eastAsia="Arial" w:hAnsi="Arial"/>
          <w:sz w:val="14"/>
          <w:szCs w:val="14"/>
          <w:color w:val="auto"/>
        </w:rPr>
      </w:pPr>
    </w:p>
    <w:p>
      <w:pPr>
        <w:ind w:left="980" w:hanging="287"/>
        <w:spacing w:after="0"/>
        <w:tabs>
          <w:tab w:leader="none" w:pos="980" w:val="left"/>
        </w:tabs>
        <w:numPr>
          <w:ilvl w:val="1"/>
          <w:numId w:val="377"/>
        </w:numPr>
        <w:rPr>
          <w:rFonts w:ascii="Arial" w:cs="Arial" w:eastAsia="Arial" w:hAnsi="Arial"/>
          <w:sz w:val="14"/>
          <w:szCs w:val="14"/>
          <w:color w:val="auto"/>
        </w:rPr>
      </w:pPr>
      <w:r>
        <w:rPr>
          <w:rFonts w:ascii="Arial" w:cs="Arial" w:eastAsia="Arial" w:hAnsi="Arial"/>
          <w:sz w:val="14"/>
          <w:szCs w:val="14"/>
          <w:color w:val="auto"/>
        </w:rPr>
        <w:t>Firestopping.</w:t>
      </w:r>
    </w:p>
    <w:p>
      <w:pPr>
        <w:spacing w:after="0" w:line="89" w:lineRule="exact"/>
        <w:rPr>
          <w:rFonts w:ascii="Arial" w:cs="Arial" w:eastAsia="Arial" w:hAnsi="Arial"/>
          <w:sz w:val="14"/>
          <w:szCs w:val="14"/>
          <w:color w:val="auto"/>
        </w:rPr>
      </w:pPr>
    </w:p>
    <w:p>
      <w:pPr>
        <w:ind w:left="1000" w:hanging="307"/>
        <w:spacing w:after="0"/>
        <w:tabs>
          <w:tab w:leader="none" w:pos="1000" w:val="left"/>
        </w:tabs>
        <w:numPr>
          <w:ilvl w:val="1"/>
          <w:numId w:val="377"/>
        </w:numPr>
        <w:rPr>
          <w:rFonts w:ascii="Arial" w:cs="Arial" w:eastAsia="Arial" w:hAnsi="Arial"/>
          <w:sz w:val="14"/>
          <w:szCs w:val="14"/>
          <w:color w:val="auto"/>
        </w:rPr>
      </w:pPr>
      <w:r>
        <w:rPr>
          <w:rFonts w:ascii="Arial" w:cs="Arial" w:eastAsia="Arial" w:hAnsi="Arial"/>
          <w:sz w:val="14"/>
          <w:szCs w:val="14"/>
          <w:color w:val="auto"/>
        </w:rPr>
        <w:t>Roof flashing.</w:t>
      </w:r>
    </w:p>
    <w:p>
      <w:pPr>
        <w:spacing w:after="0" w:line="89" w:lineRule="exact"/>
        <w:rPr>
          <w:rFonts w:ascii="Arial" w:cs="Arial" w:eastAsia="Arial" w:hAnsi="Arial"/>
          <w:sz w:val="14"/>
          <w:szCs w:val="14"/>
          <w:color w:val="auto"/>
        </w:rPr>
      </w:pPr>
    </w:p>
    <w:p>
      <w:pPr>
        <w:ind w:left="980" w:hanging="287"/>
        <w:spacing w:after="0"/>
        <w:tabs>
          <w:tab w:leader="none" w:pos="980" w:val="left"/>
        </w:tabs>
        <w:numPr>
          <w:ilvl w:val="1"/>
          <w:numId w:val="377"/>
        </w:numPr>
        <w:rPr>
          <w:rFonts w:ascii="Arial" w:cs="Arial" w:eastAsia="Arial" w:hAnsi="Arial"/>
          <w:sz w:val="14"/>
          <w:szCs w:val="14"/>
          <w:color w:val="auto"/>
        </w:rPr>
      </w:pPr>
      <w:r>
        <w:rPr>
          <w:rFonts w:ascii="Arial" w:cs="Arial" w:eastAsia="Arial" w:hAnsi="Arial"/>
          <w:sz w:val="14"/>
          <w:szCs w:val="14"/>
          <w:color w:val="auto"/>
        </w:rPr>
        <w:t>Sealants.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13</w:t>
      </w:r>
    </w:p>
    <w:p>
      <w:pPr>
        <w:sectPr>
          <w:pgSz w:w="11900" w:h="16838" w:orient="portrait"/>
          <w:cols w:equalWidth="0" w:num="1">
            <w:col w:w="11460"/>
          </w:cols>
          <w:pgMar w:left="220" w:top="229" w:right="21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8</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56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580" w:hanging="576"/>
        <w:spacing w:after="0"/>
        <w:tabs>
          <w:tab w:leader="none" w:pos="580" w:val="left"/>
        </w:tabs>
        <w:numPr>
          <w:ilvl w:val="0"/>
          <w:numId w:val="378"/>
        </w:numPr>
        <w:rPr>
          <w:rFonts w:ascii="Arial" w:cs="Arial" w:eastAsia="Arial" w:hAnsi="Arial"/>
          <w:sz w:val="14"/>
          <w:szCs w:val="14"/>
          <w:color w:val="auto"/>
        </w:rPr>
      </w:pPr>
      <w:r>
        <w:rPr>
          <w:rFonts w:ascii="Arial" w:cs="Arial" w:eastAsia="Arial" w:hAnsi="Arial"/>
          <w:sz w:val="14"/>
          <w:szCs w:val="14"/>
          <w:color w:val="auto"/>
        </w:rPr>
        <w:t>DOORS AND WINDOWS</w:t>
      </w:r>
    </w:p>
    <w:p>
      <w:pPr>
        <w:spacing w:after="0" w:line="89" w:lineRule="exact"/>
        <w:rPr>
          <w:rFonts w:ascii="Arial" w:cs="Arial" w:eastAsia="Arial" w:hAnsi="Arial"/>
          <w:sz w:val="14"/>
          <w:szCs w:val="14"/>
          <w:color w:val="auto"/>
        </w:rPr>
      </w:pPr>
    </w:p>
    <w:p>
      <w:pPr>
        <w:ind w:left="880" w:hanging="302"/>
        <w:spacing w:after="0"/>
        <w:tabs>
          <w:tab w:leader="none" w:pos="880" w:val="left"/>
        </w:tabs>
        <w:numPr>
          <w:ilvl w:val="1"/>
          <w:numId w:val="378"/>
        </w:numPr>
        <w:rPr>
          <w:rFonts w:ascii="Arial" w:cs="Arial" w:eastAsia="Arial" w:hAnsi="Arial"/>
          <w:sz w:val="14"/>
          <w:szCs w:val="14"/>
          <w:color w:val="auto"/>
        </w:rPr>
      </w:pPr>
      <w:r>
        <w:rPr>
          <w:rFonts w:ascii="Arial" w:cs="Arial" w:eastAsia="Arial" w:hAnsi="Arial"/>
          <w:sz w:val="14"/>
          <w:szCs w:val="14"/>
          <w:color w:val="auto"/>
        </w:rPr>
        <w:t>Exterior glass - per approved drawings.</w:t>
      </w:r>
    </w:p>
    <w:p>
      <w:pPr>
        <w:spacing w:after="0" w:line="89" w:lineRule="exact"/>
        <w:rPr>
          <w:rFonts w:ascii="Arial" w:cs="Arial" w:eastAsia="Arial" w:hAnsi="Arial"/>
          <w:sz w:val="14"/>
          <w:szCs w:val="14"/>
          <w:color w:val="auto"/>
        </w:rPr>
      </w:pPr>
    </w:p>
    <w:p>
      <w:pPr>
        <w:ind w:left="1200" w:hanging="287"/>
        <w:spacing w:after="0"/>
        <w:tabs>
          <w:tab w:leader="none" w:pos="1200" w:val="left"/>
        </w:tabs>
        <w:numPr>
          <w:ilvl w:val="2"/>
          <w:numId w:val="378"/>
        </w:numPr>
        <w:rPr>
          <w:rFonts w:ascii="Arial" w:cs="Arial" w:eastAsia="Arial" w:hAnsi="Arial"/>
          <w:sz w:val="14"/>
          <w:szCs w:val="14"/>
          <w:color w:val="auto"/>
        </w:rPr>
      </w:pPr>
      <w:r>
        <w:rPr>
          <w:rFonts w:ascii="Arial" w:cs="Arial" w:eastAsia="Arial" w:hAnsi="Arial"/>
          <w:sz w:val="14"/>
          <w:szCs w:val="14"/>
          <w:color w:val="auto"/>
        </w:rPr>
        <w:t>First floor - per approved drawings</w:t>
      </w:r>
    </w:p>
    <w:p>
      <w:pPr>
        <w:spacing w:after="0" w:line="12" w:lineRule="exact"/>
        <w:rPr>
          <w:rFonts w:ascii="Arial" w:cs="Arial" w:eastAsia="Arial" w:hAnsi="Arial"/>
          <w:sz w:val="14"/>
          <w:szCs w:val="14"/>
          <w:color w:val="auto"/>
        </w:rPr>
      </w:pPr>
    </w:p>
    <w:p>
      <w:pPr>
        <w:ind w:left="1200" w:hanging="287"/>
        <w:spacing w:after="0"/>
        <w:tabs>
          <w:tab w:leader="none" w:pos="1200" w:val="left"/>
        </w:tabs>
        <w:numPr>
          <w:ilvl w:val="2"/>
          <w:numId w:val="378"/>
        </w:numPr>
        <w:rPr>
          <w:rFonts w:ascii="Arial" w:cs="Arial" w:eastAsia="Arial" w:hAnsi="Arial"/>
          <w:sz w:val="14"/>
          <w:szCs w:val="14"/>
          <w:color w:val="auto"/>
        </w:rPr>
      </w:pPr>
      <w:r>
        <w:rPr>
          <w:rFonts w:ascii="Arial" w:cs="Arial" w:eastAsia="Arial" w:hAnsi="Arial"/>
          <w:sz w:val="14"/>
          <w:szCs w:val="14"/>
          <w:color w:val="auto"/>
        </w:rPr>
        <w:t>Second floor - per approved drawings</w:t>
      </w:r>
    </w:p>
    <w:p>
      <w:pPr>
        <w:spacing w:after="0" w:line="83" w:lineRule="exact"/>
        <w:rPr>
          <w:rFonts w:ascii="Arial" w:cs="Arial" w:eastAsia="Arial" w:hAnsi="Arial"/>
          <w:sz w:val="14"/>
          <w:szCs w:val="14"/>
          <w:color w:val="auto"/>
        </w:rPr>
      </w:pPr>
    </w:p>
    <w:p>
      <w:pPr>
        <w:ind w:left="920" w:right="80" w:hanging="342"/>
        <w:spacing w:after="0" w:line="267" w:lineRule="auto"/>
        <w:tabs>
          <w:tab w:leader="none" w:pos="880" w:val="left"/>
        </w:tabs>
        <w:numPr>
          <w:ilvl w:val="1"/>
          <w:numId w:val="378"/>
        </w:numPr>
        <w:rPr>
          <w:rFonts w:ascii="Arial" w:cs="Arial" w:eastAsia="Arial" w:hAnsi="Arial"/>
          <w:sz w:val="14"/>
          <w:szCs w:val="14"/>
          <w:color w:val="auto"/>
        </w:rPr>
      </w:pPr>
      <w:r>
        <w:rPr>
          <w:rFonts w:ascii="Arial" w:cs="Arial" w:eastAsia="Arial" w:hAnsi="Arial"/>
          <w:sz w:val="14"/>
          <w:szCs w:val="14"/>
          <w:color w:val="auto"/>
        </w:rPr>
        <w:t>Exterior doors - one (l) pair storefront type at lobby and one (1) pair at secondary entrance/exit and one (1) single at roll-up door as mentioned in 8.c.. following. Location to be coordinated with tenant improvement.</w:t>
      </w:r>
    </w:p>
    <w:p>
      <w:pPr>
        <w:spacing w:after="0" w:line="59" w:lineRule="exact"/>
        <w:rPr>
          <w:rFonts w:ascii="Arial" w:cs="Arial" w:eastAsia="Arial" w:hAnsi="Arial"/>
          <w:sz w:val="14"/>
          <w:szCs w:val="14"/>
          <w:color w:val="auto"/>
        </w:rPr>
      </w:pPr>
    </w:p>
    <w:p>
      <w:pPr>
        <w:ind w:left="880" w:hanging="302"/>
        <w:spacing w:after="0"/>
        <w:tabs>
          <w:tab w:leader="none" w:pos="880" w:val="left"/>
        </w:tabs>
        <w:numPr>
          <w:ilvl w:val="1"/>
          <w:numId w:val="378"/>
        </w:numPr>
        <w:rPr>
          <w:rFonts w:ascii="Arial" w:cs="Arial" w:eastAsia="Arial" w:hAnsi="Arial"/>
          <w:sz w:val="14"/>
          <w:szCs w:val="14"/>
          <w:color w:val="auto"/>
        </w:rPr>
      </w:pPr>
      <w:r>
        <w:rPr>
          <w:rFonts w:ascii="Arial" w:cs="Arial" w:eastAsia="Arial" w:hAnsi="Arial"/>
          <w:sz w:val="14"/>
          <w:szCs w:val="14"/>
          <w:color w:val="auto"/>
        </w:rPr>
        <w:t>Two (2) roll-up doors inclusive of person door adjacent, common platform between roll-up doors, two (2) at grade level, [one (1) dock scissors lift].</w:t>
      </w:r>
    </w:p>
    <w:p>
      <w:pPr>
        <w:spacing w:after="0" w:line="89" w:lineRule="exact"/>
        <w:rPr>
          <w:rFonts w:ascii="Arial" w:cs="Arial" w:eastAsia="Arial" w:hAnsi="Arial"/>
          <w:sz w:val="14"/>
          <w:szCs w:val="14"/>
          <w:color w:val="auto"/>
        </w:rPr>
      </w:pPr>
    </w:p>
    <w:p>
      <w:pPr>
        <w:ind w:left="880" w:hanging="302"/>
        <w:spacing w:after="0"/>
        <w:tabs>
          <w:tab w:leader="none" w:pos="880" w:val="left"/>
        </w:tabs>
        <w:numPr>
          <w:ilvl w:val="1"/>
          <w:numId w:val="378"/>
        </w:numPr>
        <w:rPr>
          <w:rFonts w:ascii="Arial" w:cs="Arial" w:eastAsia="Arial" w:hAnsi="Arial"/>
          <w:sz w:val="14"/>
          <w:szCs w:val="14"/>
          <w:color w:val="auto"/>
        </w:rPr>
      </w:pPr>
      <w:r>
        <w:rPr>
          <w:rFonts w:ascii="Arial" w:cs="Arial" w:eastAsia="Arial" w:hAnsi="Arial"/>
          <w:sz w:val="14"/>
          <w:szCs w:val="14"/>
          <w:color w:val="auto"/>
        </w:rPr>
        <w:t>Finish hardware/exterior - ready for electrification.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 OF 13</w:t>
      </w:r>
    </w:p>
    <w:p>
      <w:pPr>
        <w:sectPr>
          <w:pgSz w:w="11900" w:h="16838" w:orient="portrait"/>
          <w:cols w:equalWidth="0" w:num="1">
            <w:col w:w="11460"/>
          </w:cols>
          <w:pgMar w:left="220" w:top="229" w:right="21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9</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560" w:hanging="556"/>
        <w:spacing w:after="0"/>
        <w:tabs>
          <w:tab w:leader="none" w:pos="560" w:val="left"/>
        </w:tabs>
        <w:numPr>
          <w:ilvl w:val="0"/>
          <w:numId w:val="379"/>
        </w:numPr>
        <w:rPr>
          <w:rFonts w:ascii="Arial" w:cs="Arial" w:eastAsia="Arial" w:hAnsi="Arial"/>
          <w:sz w:val="14"/>
          <w:szCs w:val="14"/>
          <w:color w:val="auto"/>
        </w:rPr>
      </w:pPr>
      <w:r>
        <w:rPr>
          <w:rFonts w:ascii="Arial" w:cs="Arial" w:eastAsia="Arial" w:hAnsi="Arial"/>
          <w:sz w:val="14"/>
          <w:szCs w:val="14"/>
          <w:color w:val="auto"/>
        </w:rPr>
        <w:t>FINISHES</w:t>
      </w:r>
    </w:p>
    <w:p>
      <w:pPr>
        <w:spacing w:after="0" w:line="89" w:lineRule="exact"/>
        <w:rPr>
          <w:rFonts w:ascii="Arial" w:cs="Arial" w:eastAsia="Arial" w:hAnsi="Arial"/>
          <w:sz w:val="14"/>
          <w:szCs w:val="14"/>
          <w:color w:val="auto"/>
        </w:rPr>
      </w:pPr>
    </w:p>
    <w:p>
      <w:pPr>
        <w:ind w:left="920" w:hanging="352"/>
        <w:spacing w:after="0"/>
        <w:tabs>
          <w:tab w:leader="none" w:pos="920" w:val="left"/>
        </w:tabs>
        <w:numPr>
          <w:ilvl w:val="1"/>
          <w:numId w:val="379"/>
        </w:numPr>
        <w:rPr>
          <w:rFonts w:ascii="Arial" w:cs="Arial" w:eastAsia="Arial" w:hAnsi="Arial"/>
          <w:sz w:val="14"/>
          <w:szCs w:val="14"/>
          <w:color w:val="auto"/>
        </w:rPr>
      </w:pPr>
      <w:r>
        <w:rPr>
          <w:rFonts w:ascii="Arial" w:cs="Arial" w:eastAsia="Arial" w:hAnsi="Arial"/>
          <w:sz w:val="14"/>
          <w:szCs w:val="14"/>
          <w:color w:val="auto"/>
        </w:rPr>
        <w:t xml:space="preserve">Exterior 1 </w:t>
      </w:r>
      <w:r>
        <w:rPr>
          <w:rFonts w:ascii="Arial" w:cs="Arial" w:eastAsia="Arial" w:hAnsi="Arial"/>
          <w:sz w:val="8"/>
          <w:szCs w:val="8"/>
          <w:color w:val="auto"/>
        </w:rPr>
        <w:t>1</w:t>
      </w:r>
      <w:r>
        <w:rPr>
          <w:rFonts w:ascii="Arial" w:cs="Arial" w:eastAsia="Arial" w:hAnsi="Arial"/>
          <w:sz w:val="14"/>
          <w:szCs w:val="14"/>
          <w:color w:val="auto"/>
        </w:rPr>
        <w:t>/</w:t>
      </w:r>
      <w:r>
        <w:rPr>
          <w:rFonts w:ascii="Arial" w:cs="Arial" w:eastAsia="Arial" w:hAnsi="Arial"/>
          <w:sz w:val="8"/>
          <w:szCs w:val="8"/>
          <w:color w:val="auto"/>
        </w:rPr>
        <w:t>2</w:t>
      </w:r>
      <w:r>
        <w:rPr>
          <w:rFonts w:ascii="Arial" w:cs="Arial" w:eastAsia="Arial" w:hAnsi="Arial"/>
          <w:sz w:val="14"/>
          <w:szCs w:val="14"/>
          <w:color w:val="auto"/>
        </w:rPr>
        <w:t>” Dryvit finish (EIFS).</w:t>
      </w:r>
    </w:p>
    <w:p>
      <w:pPr>
        <w:spacing w:after="0" w:line="89" w:lineRule="exact"/>
        <w:rPr>
          <w:rFonts w:ascii="Arial" w:cs="Arial" w:eastAsia="Arial" w:hAnsi="Arial"/>
          <w:sz w:val="14"/>
          <w:szCs w:val="14"/>
          <w:color w:val="auto"/>
        </w:rPr>
      </w:pPr>
    </w:p>
    <w:p>
      <w:pPr>
        <w:ind w:left="920" w:hanging="352"/>
        <w:spacing w:after="0"/>
        <w:tabs>
          <w:tab w:leader="none" w:pos="920" w:val="left"/>
        </w:tabs>
        <w:numPr>
          <w:ilvl w:val="1"/>
          <w:numId w:val="379"/>
        </w:numPr>
        <w:rPr>
          <w:rFonts w:ascii="Arial" w:cs="Arial" w:eastAsia="Arial" w:hAnsi="Arial"/>
          <w:sz w:val="14"/>
          <w:szCs w:val="14"/>
          <w:color w:val="auto"/>
        </w:rPr>
      </w:pPr>
      <w:r>
        <w:rPr>
          <w:rFonts w:ascii="Arial" w:cs="Arial" w:eastAsia="Arial" w:hAnsi="Arial"/>
          <w:sz w:val="14"/>
          <w:szCs w:val="14"/>
          <w:color w:val="auto"/>
        </w:rPr>
        <w:t>Panzer Mesh at first 10’-0” of height and, to reinforce all openings.</w:t>
      </w:r>
    </w:p>
    <w:p>
      <w:pPr>
        <w:spacing w:after="0" w:line="89" w:lineRule="exact"/>
        <w:rPr>
          <w:rFonts w:ascii="Arial" w:cs="Arial" w:eastAsia="Arial" w:hAnsi="Arial"/>
          <w:sz w:val="14"/>
          <w:szCs w:val="14"/>
          <w:color w:val="auto"/>
        </w:rPr>
      </w:pPr>
    </w:p>
    <w:p>
      <w:pPr>
        <w:ind w:left="5320" w:right="4560" w:hanging="4752"/>
        <w:spacing w:after="0" w:line="551" w:lineRule="auto"/>
        <w:tabs>
          <w:tab w:leader="none" w:pos="920" w:val="left"/>
        </w:tabs>
        <w:numPr>
          <w:ilvl w:val="1"/>
          <w:numId w:val="379"/>
        </w:numPr>
        <w:rPr>
          <w:rFonts w:ascii="Arial" w:cs="Arial" w:eastAsia="Arial" w:hAnsi="Arial"/>
          <w:sz w:val="12"/>
          <w:szCs w:val="12"/>
          <w:color w:val="auto"/>
        </w:rPr>
      </w:pPr>
      <w:r>
        <w:rPr>
          <w:rFonts w:ascii="Arial" w:cs="Arial" w:eastAsia="Arial" w:hAnsi="Arial"/>
          <w:sz w:val="12"/>
          <w:szCs w:val="12"/>
          <w:color w:val="auto"/>
        </w:rPr>
        <w:t>Equipment Pad Area wall, below 10’-0”, of weatherproof durable finish, for connection of pipe support racks. PAGE 9 OF 13</w:t>
      </w:r>
    </w:p>
    <w:p>
      <w:pPr>
        <w:sectPr>
          <w:pgSz w:w="11900" w:h="16838" w:orient="portrait"/>
          <w:cols w:equalWidth="0" w:num="1">
            <w:col w:w="11460"/>
          </w:cols>
          <w:pgMar w:left="220" w:top="229" w:right="219" w:bottom="1440" w:gutter="0" w:footer="0" w:header="0"/>
        </w:sectPr>
      </w:pPr>
    </w:p>
    <w:bookmarkStart w:id="437" w:name="page438"/>
    <w:bookmarkEnd w:id="437"/>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10</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560" w:hanging="556"/>
        <w:spacing w:after="0"/>
        <w:tabs>
          <w:tab w:leader="none" w:pos="560" w:val="left"/>
        </w:tabs>
        <w:numPr>
          <w:ilvl w:val="0"/>
          <w:numId w:val="380"/>
        </w:numPr>
        <w:rPr>
          <w:rFonts w:ascii="Arial" w:cs="Arial" w:eastAsia="Arial" w:hAnsi="Arial"/>
          <w:sz w:val="14"/>
          <w:szCs w:val="14"/>
          <w:color w:val="auto"/>
        </w:rPr>
      </w:pPr>
      <w:r>
        <w:rPr>
          <w:rFonts w:ascii="Arial" w:cs="Arial" w:eastAsia="Arial" w:hAnsi="Arial"/>
          <w:sz w:val="14"/>
          <w:szCs w:val="14"/>
          <w:color w:val="auto"/>
        </w:rPr>
        <w:t>EQUIPMENT</w:t>
      </w:r>
    </w:p>
    <w:p>
      <w:pPr>
        <w:spacing w:after="0" w:line="8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A.   Loading dock scissors lift, 6’x8’ minimum.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13</w:t>
      </w:r>
    </w:p>
    <w:p>
      <w:pPr>
        <w:sectPr>
          <w:pgSz w:w="11900" w:h="16838" w:orient="portrait"/>
          <w:cols w:equalWidth="0" w:num="1">
            <w:col w:w="11460"/>
          </w:cols>
          <w:pgMar w:left="220" w:top="229" w:right="21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11</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560" w:hanging="556"/>
        <w:spacing w:after="0"/>
        <w:tabs>
          <w:tab w:leader="none" w:pos="560" w:val="left"/>
        </w:tabs>
        <w:numPr>
          <w:ilvl w:val="0"/>
          <w:numId w:val="381"/>
        </w:numPr>
        <w:rPr>
          <w:rFonts w:ascii="Arial" w:cs="Arial" w:eastAsia="Arial" w:hAnsi="Arial"/>
          <w:sz w:val="14"/>
          <w:szCs w:val="14"/>
          <w:color w:val="auto"/>
        </w:rPr>
      </w:pPr>
      <w:r>
        <w:rPr>
          <w:rFonts w:ascii="Arial" w:cs="Arial" w:eastAsia="Arial" w:hAnsi="Arial"/>
          <w:sz w:val="14"/>
          <w:szCs w:val="14"/>
          <w:color w:val="auto"/>
        </w:rPr>
        <w:t>CONVEYING SYSTEMS</w:t>
      </w:r>
    </w:p>
    <w:p>
      <w:pPr>
        <w:spacing w:after="0" w:line="89" w:lineRule="exact"/>
        <w:rPr>
          <w:rFonts w:ascii="Arial" w:cs="Arial" w:eastAsia="Arial" w:hAnsi="Arial"/>
          <w:sz w:val="14"/>
          <w:szCs w:val="14"/>
          <w:color w:val="auto"/>
        </w:rPr>
      </w:pPr>
    </w:p>
    <w:p>
      <w:pPr>
        <w:ind w:left="5300" w:right="2660" w:hanging="4724"/>
        <w:spacing w:after="0" w:line="438" w:lineRule="auto"/>
        <w:rPr>
          <w:rFonts w:ascii="Arial" w:cs="Arial" w:eastAsia="Arial" w:hAnsi="Arial"/>
          <w:sz w:val="14"/>
          <w:szCs w:val="14"/>
          <w:color w:val="auto"/>
        </w:rPr>
      </w:pPr>
      <w:r>
        <w:rPr>
          <w:rFonts w:ascii="Arial" w:cs="Arial" w:eastAsia="Arial" w:hAnsi="Arial"/>
          <w:sz w:val="14"/>
          <w:szCs w:val="14"/>
          <w:color w:val="auto"/>
        </w:rPr>
        <w:t>A. Heavy load elevator - 4000 lb., performance to meet CBC and ADA. Minimum cab interior dimensions 5’-8”x8’5”. Part of $5.00 T.L allowance. PAGE 11 OF 13</w:t>
      </w:r>
    </w:p>
    <w:p>
      <w:pPr>
        <w:sectPr>
          <w:pgSz w:w="11900" w:h="16838" w:orient="portrait"/>
          <w:cols w:equalWidth="0" w:num="1">
            <w:col w:w="11460"/>
          </w:cols>
          <w:pgMar w:left="220" w:top="229" w:right="219" w:bottom="1440" w:gutter="0" w:footer="0" w:header="0"/>
        </w:sectPr>
      </w:pPr>
    </w:p>
    <w:bookmarkStart w:id="439" w:name="page440"/>
    <w:bookmarkEnd w:id="439"/>
    <w:p>
      <w:pPr>
        <w:jc w:val="center"/>
        <w:ind w:left="24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 to Workletter</w:t>
      </w:r>
    </w:p>
    <w:p>
      <w:pPr>
        <w:spacing w:after="0" w:line="132" w:lineRule="exact"/>
        <w:rPr>
          <w:sz w:val="20"/>
          <w:szCs w:val="20"/>
          <w:color w:val="auto"/>
        </w:rPr>
      </w:pPr>
    </w:p>
    <w:p>
      <w:pPr>
        <w:jc w:val="center"/>
        <w:ind w:left="2480"/>
        <w:spacing w:after="0"/>
        <w:rPr>
          <w:sz w:val="20"/>
          <w:szCs w:val="20"/>
          <w:color w:val="auto"/>
        </w:rPr>
      </w:pPr>
      <w:r>
        <w:rPr>
          <w:rFonts w:ascii="Arial" w:cs="Arial" w:eastAsia="Arial" w:hAnsi="Arial"/>
          <w:sz w:val="12"/>
          <w:szCs w:val="12"/>
          <w:b w:val="1"/>
          <w:bCs w:val="1"/>
          <w:u w:val="single" w:color="auto"/>
          <w:color w:val="auto"/>
        </w:rPr>
        <w:t>DEFINITION OF BUILDING SHELL AND “ABOVE STANDARD” ITEMS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WHL Architects - Planners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03/09/95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03/17/95 Rev. 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03/24/95 Rev. 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04/10/95 Rev. 3</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56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580" w:hanging="576"/>
        <w:spacing w:after="0"/>
        <w:tabs>
          <w:tab w:leader="none" w:pos="580" w:val="left"/>
        </w:tabs>
        <w:numPr>
          <w:ilvl w:val="0"/>
          <w:numId w:val="382"/>
        </w:numPr>
        <w:rPr>
          <w:rFonts w:ascii="Arial" w:cs="Arial" w:eastAsia="Arial" w:hAnsi="Arial"/>
          <w:sz w:val="14"/>
          <w:szCs w:val="14"/>
          <w:color w:val="auto"/>
        </w:rPr>
      </w:pPr>
      <w:r>
        <w:rPr>
          <w:rFonts w:ascii="Arial" w:cs="Arial" w:eastAsia="Arial" w:hAnsi="Arial"/>
          <w:sz w:val="14"/>
          <w:szCs w:val="14"/>
          <w:color w:val="auto"/>
        </w:rPr>
        <w:t>MECHANICAL</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Fire protection</w:t>
      </w:r>
    </w:p>
    <w:p>
      <w:pPr>
        <w:spacing w:after="0" w:line="89" w:lineRule="exact"/>
        <w:rPr>
          <w:rFonts w:ascii="Arial" w:cs="Arial" w:eastAsia="Arial" w:hAnsi="Arial"/>
          <w:sz w:val="14"/>
          <w:szCs w:val="14"/>
          <w:color w:val="auto"/>
        </w:rPr>
      </w:pPr>
    </w:p>
    <w:p>
      <w:pPr>
        <w:ind w:left="1380" w:hanging="436"/>
        <w:spacing w:after="0"/>
        <w:tabs>
          <w:tab w:leader="none" w:pos="1380" w:val="left"/>
        </w:tabs>
        <w:numPr>
          <w:ilvl w:val="2"/>
          <w:numId w:val="382"/>
        </w:numPr>
        <w:rPr>
          <w:rFonts w:ascii="Arial" w:cs="Arial" w:eastAsia="Arial" w:hAnsi="Arial"/>
          <w:sz w:val="14"/>
          <w:szCs w:val="14"/>
          <w:color w:val="auto"/>
        </w:rPr>
      </w:pPr>
      <w:r>
        <w:rPr>
          <w:rFonts w:ascii="Arial" w:cs="Arial" w:eastAsia="Arial" w:hAnsi="Arial"/>
          <w:sz w:val="14"/>
          <w:szCs w:val="14"/>
          <w:color w:val="auto"/>
        </w:rPr>
        <w:t>NFPA ordinary hazard occupancy (Group 1) for entire building.</w:t>
      </w:r>
    </w:p>
    <w:p>
      <w:pPr>
        <w:spacing w:after="0" w:line="89" w:lineRule="exact"/>
        <w:rPr>
          <w:rFonts w:ascii="Arial" w:cs="Arial" w:eastAsia="Arial" w:hAnsi="Arial"/>
          <w:sz w:val="14"/>
          <w:szCs w:val="14"/>
          <w:color w:val="auto"/>
        </w:rPr>
      </w:pPr>
    </w:p>
    <w:p>
      <w:pPr>
        <w:ind w:left="1380" w:hanging="436"/>
        <w:spacing w:after="0"/>
        <w:tabs>
          <w:tab w:leader="none" w:pos="1380" w:val="left"/>
        </w:tabs>
        <w:numPr>
          <w:ilvl w:val="2"/>
          <w:numId w:val="382"/>
        </w:numPr>
        <w:rPr>
          <w:rFonts w:ascii="Arial" w:cs="Arial" w:eastAsia="Arial" w:hAnsi="Arial"/>
          <w:sz w:val="14"/>
          <w:szCs w:val="14"/>
          <w:color w:val="auto"/>
        </w:rPr>
      </w:pPr>
      <w:r>
        <w:rPr>
          <w:rFonts w:ascii="Arial" w:cs="Arial" w:eastAsia="Arial" w:hAnsi="Arial"/>
          <w:sz w:val="14"/>
          <w:szCs w:val="14"/>
          <w:color w:val="auto"/>
        </w:rPr>
        <w:t>Minimum 8” diameter riser.</w:t>
      </w:r>
    </w:p>
    <w:p>
      <w:pPr>
        <w:spacing w:after="0" w:line="89" w:lineRule="exact"/>
        <w:rPr>
          <w:rFonts w:ascii="Arial" w:cs="Arial" w:eastAsia="Arial" w:hAnsi="Arial"/>
          <w:sz w:val="14"/>
          <w:szCs w:val="14"/>
          <w:color w:val="auto"/>
        </w:rPr>
      </w:pPr>
    </w:p>
    <w:p>
      <w:pPr>
        <w:ind w:left="1380" w:hanging="436"/>
        <w:spacing w:after="0"/>
        <w:tabs>
          <w:tab w:leader="none" w:pos="1380" w:val="left"/>
        </w:tabs>
        <w:numPr>
          <w:ilvl w:val="2"/>
          <w:numId w:val="382"/>
        </w:numPr>
        <w:rPr>
          <w:rFonts w:ascii="Arial" w:cs="Arial" w:eastAsia="Arial" w:hAnsi="Arial"/>
          <w:sz w:val="14"/>
          <w:szCs w:val="14"/>
          <w:color w:val="auto"/>
        </w:rPr>
      </w:pPr>
      <w:r>
        <w:rPr>
          <w:rFonts w:ascii="Arial" w:cs="Arial" w:eastAsia="Arial" w:hAnsi="Arial"/>
          <w:sz w:val="14"/>
          <w:szCs w:val="14"/>
          <w:color w:val="auto"/>
        </w:rPr>
        <w:t>Install two layers of sprinklers, one per floor with “t” and plugs for tenant improvements.</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Toilet room exhaust (core allowance).</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Sanitary plumbing main (gut line) 8”. See Site page 2 - cost to be equally divided, 50% shell, 50% T.L Allowance.</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Water supply.</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Gas to building. 6” (low pressure). See Site page 2.</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Minimum flow alarm - A.F.S.</w:t>
      </w:r>
    </w:p>
    <w:p>
      <w:pPr>
        <w:spacing w:after="0" w:line="89" w:lineRule="exact"/>
        <w:rPr>
          <w:rFonts w:ascii="Arial" w:cs="Arial" w:eastAsia="Arial" w:hAnsi="Arial"/>
          <w:sz w:val="14"/>
          <w:szCs w:val="14"/>
          <w:color w:val="auto"/>
        </w:rPr>
      </w:pPr>
    </w:p>
    <w:p>
      <w:pPr>
        <w:ind w:left="940" w:hanging="362"/>
        <w:spacing w:after="0"/>
        <w:tabs>
          <w:tab w:leader="none" w:pos="94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Internal roof drains, connected to underground storm drainage, and overflows as required.</w:t>
      </w:r>
    </w:p>
    <w:p>
      <w:pPr>
        <w:spacing w:after="0" w:line="121"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PAGE 12 OF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Britannia Biotechnology Center</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Site Work/Shell Building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Tularik Corporation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ectPr>
          <w:pgSz w:w="11900" w:h="16838" w:orient="portrait"/>
          <w:cols w:equalWidth="0" w:num="2">
            <w:col w:w="9000" w:space="720"/>
            <w:col w:w="1740"/>
          </w:cols>
          <w:pgMar w:left="220" w:top="245" w:right="21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Schedule 1 to Workletter</w:t>
            </w:r>
          </w:p>
        </w:tc>
        <w:tc>
          <w:tcPr>
            <w:tcW w:w="5000" w:type="dxa"/>
            <w:vAlign w:val="bottom"/>
            <w:gridSpan w:val="2"/>
          </w:tcPr>
          <w:p>
            <w:pPr>
              <w:spacing w:after="0"/>
              <w:rPr>
                <w:sz w:val="14"/>
                <w:szCs w:val="14"/>
                <w:color w:val="auto"/>
              </w:rPr>
            </w:pPr>
          </w:p>
        </w:tc>
      </w:tr>
      <w:tr>
        <w:trPr>
          <w:trHeight w:val="273"/>
        </w:trPr>
        <w:tc>
          <w:tcPr>
            <w:tcW w:w="2480" w:type="dxa"/>
            <w:vAlign w:val="bottom"/>
          </w:tcPr>
          <w:p>
            <w:pPr>
              <w:spacing w:after="0"/>
              <w:rPr>
                <w:sz w:val="23"/>
                <w:szCs w:val="23"/>
                <w:color w:val="auto"/>
              </w:rPr>
            </w:pPr>
          </w:p>
        </w:tc>
        <w:tc>
          <w:tcPr>
            <w:tcW w:w="8980" w:type="dxa"/>
            <w:vAlign w:val="bottom"/>
            <w:gridSpan w:val="5"/>
          </w:tcPr>
          <w:p>
            <w:pPr>
              <w:jc w:val="center"/>
              <w:ind w:right="2392"/>
              <w:spacing w:after="0"/>
              <w:rPr>
                <w:sz w:val="20"/>
                <w:szCs w:val="20"/>
                <w:color w:val="auto"/>
              </w:rPr>
            </w:pPr>
            <w:r>
              <w:rPr>
                <w:rFonts w:ascii="Arial" w:cs="Arial" w:eastAsia="Arial" w:hAnsi="Arial"/>
                <w:sz w:val="14"/>
                <w:szCs w:val="14"/>
                <w:b w:val="1"/>
                <w:bCs w:val="1"/>
                <w:color w:val="auto"/>
                <w:w w:val="98"/>
              </w:rPr>
              <w:t>DEFINITION OF BUILDING SHELL AND “ABOVE STANDARD” ITEMS</w:t>
            </w:r>
          </w:p>
        </w:tc>
      </w:tr>
      <w:tr>
        <w:trPr>
          <w:trHeight w:val="328"/>
        </w:trPr>
        <w:tc>
          <w:tcPr>
            <w:tcW w:w="2480" w:type="dxa"/>
            <w:vAlign w:val="bottom"/>
          </w:tcPr>
          <w:p>
            <w:pPr>
              <w:spacing w:after="0"/>
              <w:rPr>
                <w:sz w:val="20"/>
                <w:szCs w:val="20"/>
                <w:color w:val="auto"/>
              </w:rPr>
            </w:pPr>
            <w:r>
              <w:rPr>
                <w:rFonts w:ascii="Arial" w:cs="Arial" w:eastAsia="Arial" w:hAnsi="Arial"/>
                <w:sz w:val="14"/>
                <w:szCs w:val="14"/>
                <w:color w:val="auto"/>
              </w:rPr>
              <w:t>WHL Architects - Planners</w:t>
            </w:r>
          </w:p>
        </w:tc>
        <w:tc>
          <w:tcPr>
            <w:tcW w:w="10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Britannia Biotechnology Center</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03/09/95</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Site Work/Shell Building</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03/17/95 Rev. 1</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Tularik Corporation</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03/24/95 Rev. 2</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80" w:type="dxa"/>
            <w:vAlign w:val="bottom"/>
          </w:tcPr>
          <w:p>
            <w:pPr>
              <w:jc w:val="right"/>
              <w:spacing w:after="0"/>
              <w:rPr>
                <w:sz w:val="20"/>
                <w:szCs w:val="20"/>
                <w:color w:val="auto"/>
              </w:rPr>
            </w:pPr>
            <w:r>
              <w:rPr>
                <w:rFonts w:ascii="Arial" w:cs="Arial" w:eastAsia="Arial" w:hAnsi="Arial"/>
                <w:sz w:val="14"/>
                <w:szCs w:val="14"/>
                <w:color w:val="auto"/>
              </w:rPr>
              <w:t>Page 13</w:t>
            </w:r>
          </w:p>
        </w:tc>
      </w:tr>
      <w:tr>
        <w:trPr>
          <w:trHeight w:val="173"/>
        </w:trPr>
        <w:tc>
          <w:tcPr>
            <w:tcW w:w="2480" w:type="dxa"/>
            <w:vAlign w:val="bottom"/>
          </w:tcPr>
          <w:p>
            <w:pPr>
              <w:spacing w:after="0"/>
              <w:rPr>
                <w:sz w:val="20"/>
                <w:szCs w:val="20"/>
                <w:color w:val="auto"/>
              </w:rPr>
            </w:pPr>
            <w:r>
              <w:rPr>
                <w:rFonts w:ascii="Arial" w:cs="Arial" w:eastAsia="Arial" w:hAnsi="Arial"/>
                <w:sz w:val="14"/>
                <w:szCs w:val="14"/>
                <w:color w:val="auto"/>
              </w:rPr>
              <w:t>04/10/95 Rev. 3</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80" w:type="dxa"/>
            <w:vAlign w:val="bottom"/>
          </w:tcPr>
          <w:p>
            <w:pPr>
              <w:spacing w:after="0"/>
              <w:rPr>
                <w:sz w:val="15"/>
                <w:szCs w:val="15"/>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CSI</w:t>
      </w:r>
    </w:p>
    <w:p>
      <w:pPr>
        <w:spacing w:after="0" w:line="8" w:lineRule="exact"/>
        <w:rPr>
          <w:sz w:val="20"/>
          <w:szCs w:val="20"/>
          <w:color w:val="auto"/>
        </w:rPr>
      </w:pPr>
    </w:p>
    <w:p>
      <w:pPr>
        <w:spacing w:after="0"/>
        <w:tabs>
          <w:tab w:leader="none" w:pos="540" w:val="left"/>
        </w:tabs>
        <w:rPr>
          <w:sz w:val="20"/>
          <w:szCs w:val="20"/>
          <w:color w:val="auto"/>
        </w:rPr>
      </w:pPr>
      <w:r>
        <w:rPr>
          <w:rFonts w:ascii="Arial" w:cs="Arial" w:eastAsia="Arial" w:hAnsi="Arial"/>
          <w:sz w:val="10"/>
          <w:szCs w:val="10"/>
          <w:u w:val="single" w:color="auto"/>
          <w:color w:val="auto"/>
        </w:rPr>
        <w:t>Index</w:t>
      </w:r>
      <w:r>
        <w:rPr>
          <w:sz w:val="20"/>
          <w:szCs w:val="20"/>
          <w:color w:val="auto"/>
        </w:rPr>
        <w:tab/>
      </w:r>
      <w:r>
        <w:rPr>
          <w:rFonts w:ascii="Arial" w:cs="Arial" w:eastAsia="Arial" w:hAnsi="Arial"/>
          <w:sz w:val="10"/>
          <w:szCs w:val="10"/>
          <w:u w:val="single" w:color="auto"/>
          <w:color w:val="auto"/>
        </w:rPr>
        <w:t>Description</w:t>
      </w:r>
    </w:p>
    <w:p>
      <w:pPr>
        <w:spacing w:after="0" w:line="85" w:lineRule="exact"/>
        <w:rPr>
          <w:sz w:val="20"/>
          <w:szCs w:val="20"/>
          <w:color w:val="auto"/>
        </w:rPr>
      </w:pPr>
    </w:p>
    <w:p>
      <w:pPr>
        <w:ind w:left="560" w:hanging="556"/>
        <w:spacing w:after="0"/>
        <w:tabs>
          <w:tab w:leader="none" w:pos="560" w:val="left"/>
        </w:tabs>
        <w:numPr>
          <w:ilvl w:val="0"/>
          <w:numId w:val="383"/>
        </w:numPr>
        <w:rPr>
          <w:rFonts w:ascii="Arial" w:cs="Arial" w:eastAsia="Arial" w:hAnsi="Arial"/>
          <w:sz w:val="14"/>
          <w:szCs w:val="14"/>
          <w:color w:val="auto"/>
        </w:rPr>
      </w:pPr>
      <w:r>
        <w:rPr>
          <w:rFonts w:ascii="Arial" w:cs="Arial" w:eastAsia="Arial" w:hAnsi="Arial"/>
          <w:sz w:val="14"/>
          <w:szCs w:val="14"/>
          <w:color w:val="auto"/>
        </w:rPr>
        <w:t>ELECTRICAL</w:t>
      </w:r>
    </w:p>
    <w:p>
      <w:pPr>
        <w:spacing w:after="0" w:line="89" w:lineRule="exact"/>
        <w:rPr>
          <w:rFonts w:ascii="Arial" w:cs="Arial" w:eastAsia="Arial" w:hAnsi="Arial"/>
          <w:sz w:val="14"/>
          <w:szCs w:val="14"/>
          <w:color w:val="auto"/>
        </w:rPr>
      </w:pPr>
    </w:p>
    <w:p>
      <w:pPr>
        <w:ind w:left="920" w:hanging="352"/>
        <w:spacing w:after="0"/>
        <w:tabs>
          <w:tab w:leader="none" w:pos="920" w:val="left"/>
        </w:tabs>
        <w:numPr>
          <w:ilvl w:val="1"/>
          <w:numId w:val="383"/>
        </w:numPr>
        <w:rPr>
          <w:rFonts w:ascii="Arial" w:cs="Arial" w:eastAsia="Arial" w:hAnsi="Arial"/>
          <w:sz w:val="12"/>
          <w:szCs w:val="12"/>
          <w:color w:val="auto"/>
        </w:rPr>
      </w:pPr>
      <w:r>
        <w:rPr>
          <w:rFonts w:ascii="Arial" w:cs="Arial" w:eastAsia="Arial" w:hAnsi="Arial"/>
          <w:sz w:val="12"/>
          <w:szCs w:val="12"/>
          <w:color w:val="auto"/>
        </w:rPr>
        <w:t>Power - 4,000 amp in shell electrical service at 480 volts with primary transformer, bus duct, pull section, switch/ Cost of electrical service over 2000 amp to be part of T.I. Allowance.</w:t>
      </w:r>
    </w:p>
    <w:p>
      <w:pPr>
        <w:spacing w:after="0" w:line="112" w:lineRule="exact"/>
        <w:rPr>
          <w:rFonts w:ascii="Arial" w:cs="Arial" w:eastAsia="Arial" w:hAnsi="Arial"/>
          <w:sz w:val="12"/>
          <w:szCs w:val="12"/>
          <w:color w:val="auto"/>
        </w:rPr>
      </w:pPr>
    </w:p>
    <w:p>
      <w:pPr>
        <w:ind w:left="920" w:hanging="352"/>
        <w:spacing w:after="0"/>
        <w:tabs>
          <w:tab w:leader="none" w:pos="920" w:val="left"/>
        </w:tabs>
        <w:numPr>
          <w:ilvl w:val="1"/>
          <w:numId w:val="383"/>
        </w:numPr>
        <w:rPr>
          <w:rFonts w:ascii="Arial" w:cs="Arial" w:eastAsia="Arial" w:hAnsi="Arial"/>
          <w:sz w:val="14"/>
          <w:szCs w:val="14"/>
          <w:color w:val="auto"/>
        </w:rPr>
      </w:pPr>
      <w:r>
        <w:rPr>
          <w:rFonts w:ascii="Arial" w:cs="Arial" w:eastAsia="Arial" w:hAnsi="Arial"/>
          <w:sz w:val="14"/>
          <w:szCs w:val="14"/>
          <w:color w:val="auto"/>
        </w:rPr>
        <w:t>Exterior Lighting.</w:t>
      </w:r>
    </w:p>
    <w:p>
      <w:pPr>
        <w:spacing w:after="0" w:line="89" w:lineRule="exact"/>
        <w:rPr>
          <w:rFonts w:ascii="Arial" w:cs="Arial" w:eastAsia="Arial" w:hAnsi="Arial"/>
          <w:sz w:val="14"/>
          <w:szCs w:val="14"/>
          <w:color w:val="auto"/>
        </w:rPr>
      </w:pPr>
    </w:p>
    <w:p>
      <w:pPr>
        <w:ind w:left="920" w:hanging="352"/>
        <w:spacing w:after="0"/>
        <w:tabs>
          <w:tab w:leader="none" w:pos="920" w:val="left"/>
        </w:tabs>
        <w:numPr>
          <w:ilvl w:val="1"/>
          <w:numId w:val="383"/>
        </w:numPr>
        <w:rPr>
          <w:rFonts w:ascii="Arial" w:cs="Arial" w:eastAsia="Arial" w:hAnsi="Arial"/>
          <w:sz w:val="14"/>
          <w:szCs w:val="14"/>
          <w:color w:val="auto"/>
        </w:rPr>
      </w:pPr>
      <w:r>
        <w:rPr>
          <w:rFonts w:ascii="Arial" w:cs="Arial" w:eastAsia="Arial" w:hAnsi="Arial"/>
          <w:sz w:val="14"/>
          <w:szCs w:val="14"/>
          <w:color w:val="auto"/>
        </w:rPr>
        <w:t>Fire alarm (minimum flow alarm.</w:t>
      </w:r>
    </w:p>
    <w:p>
      <w:pPr>
        <w:spacing w:after="0" w:line="89" w:lineRule="exact"/>
        <w:rPr>
          <w:rFonts w:ascii="Arial" w:cs="Arial" w:eastAsia="Arial" w:hAnsi="Arial"/>
          <w:sz w:val="14"/>
          <w:szCs w:val="14"/>
          <w:color w:val="auto"/>
        </w:rPr>
      </w:pPr>
    </w:p>
    <w:p>
      <w:pPr>
        <w:ind w:left="920" w:hanging="352"/>
        <w:spacing w:after="0"/>
        <w:tabs>
          <w:tab w:leader="none" w:pos="920" w:val="left"/>
        </w:tabs>
        <w:numPr>
          <w:ilvl w:val="1"/>
          <w:numId w:val="383"/>
        </w:numPr>
        <w:rPr>
          <w:rFonts w:ascii="Arial" w:cs="Arial" w:eastAsia="Arial" w:hAnsi="Arial"/>
          <w:sz w:val="14"/>
          <w:szCs w:val="14"/>
          <w:color w:val="auto"/>
        </w:rPr>
      </w:pPr>
      <w:r>
        <w:rPr>
          <w:rFonts w:ascii="Arial" w:cs="Arial" w:eastAsia="Arial" w:hAnsi="Arial"/>
          <w:sz w:val="14"/>
          <w:szCs w:val="14"/>
          <w:color w:val="auto"/>
        </w:rPr>
        <w:t>Separate house panel (100 amp), meter for down lights in soffit, landscaping and site lighting.</w:t>
      </w:r>
    </w:p>
    <w:p>
      <w:pPr>
        <w:spacing w:after="0" w:line="89" w:lineRule="exact"/>
        <w:rPr>
          <w:rFonts w:ascii="Arial" w:cs="Arial" w:eastAsia="Arial" w:hAnsi="Arial"/>
          <w:sz w:val="14"/>
          <w:szCs w:val="14"/>
          <w:color w:val="auto"/>
        </w:rPr>
      </w:pPr>
    </w:p>
    <w:p>
      <w:pPr>
        <w:ind w:left="920" w:hanging="352"/>
        <w:spacing w:after="0"/>
        <w:tabs>
          <w:tab w:leader="none" w:pos="920" w:val="left"/>
        </w:tabs>
        <w:numPr>
          <w:ilvl w:val="1"/>
          <w:numId w:val="383"/>
        </w:numPr>
        <w:rPr>
          <w:rFonts w:ascii="Arial" w:cs="Arial" w:eastAsia="Arial" w:hAnsi="Arial"/>
          <w:sz w:val="14"/>
          <w:szCs w:val="14"/>
          <w:color w:val="auto"/>
        </w:rPr>
      </w:pPr>
      <w:r>
        <w:rPr>
          <w:rFonts w:ascii="Arial" w:cs="Arial" w:eastAsia="Arial" w:hAnsi="Arial"/>
          <w:sz w:val="14"/>
          <w:szCs w:val="14"/>
          <w:color w:val="auto"/>
        </w:rPr>
        <w:t>2-4” diameter P.V.C. conduits suitable for telephone/data connection (wiring or fiber optics) between buildings “A” and “B”.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13</w:t>
      </w:r>
    </w:p>
    <w:p>
      <w:pPr>
        <w:sectPr>
          <w:pgSz w:w="11900" w:h="16838" w:orient="portrait"/>
          <w:cols w:equalWidth="0" w:num="1">
            <w:col w:w="11460"/>
          </w:cols>
          <w:pgMar w:left="220" w:top="229" w:right="219" w:bottom="1440" w:gutter="0" w:footer="0" w:header="0"/>
        </w:sectPr>
      </w:pPr>
    </w:p>
    <w:bookmarkStart w:id="441" w:name="page442"/>
    <w:bookmarkEnd w:id="4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725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316470" cy="572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PAGE 1 OF 2</w:t>
      </w:r>
    </w:p>
    <w:p>
      <w:pPr>
        <w:sectPr>
          <w:pgSz w:w="11900" w:h="16838" w:orient="portrait"/>
          <w:cols w:equalWidth="0" w:num="1">
            <w:col w:w="9019"/>
          </w:cols>
          <w:pgMar w:left="1440" w:top="1440" w:right="1440" w:bottom="1440" w:gutter="0" w:footer="0" w:header="0"/>
        </w:sectPr>
      </w:pPr>
    </w:p>
    <w:bookmarkStart w:id="442" w:name="page443"/>
    <w:bookmarkEnd w:id="4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72452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316470" cy="572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PAGE 2 OF 2</w:t>
      </w:r>
    </w:p>
    <w:p>
      <w:pPr>
        <w:sectPr>
          <w:pgSz w:w="11900" w:h="16838" w:orient="portrait"/>
          <w:cols w:equalWidth="0" w:num="1">
            <w:col w:w="9019"/>
          </w:cols>
          <w:pgMar w:left="1440" w:top="1440" w:right="1440" w:bottom="1440" w:gutter="0" w:footer="0" w:header="0"/>
        </w:sectPr>
      </w:pPr>
    </w:p>
    <w:bookmarkStart w:id="443" w:name="page444"/>
    <w:bookmarkEnd w:id="4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57245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316470" cy="5724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w:t>
      </w:r>
      <w:r>
        <w:rPr>
          <w:rFonts w:ascii="Arial" w:cs="Arial" w:eastAsia="Arial" w:hAnsi="Arial"/>
          <w:sz w:val="11"/>
          <w:szCs w:val="11"/>
          <w:b w:val="1"/>
          <w:bCs w:val="1"/>
          <w:color w:val="auto"/>
        </w:rPr>
        <w:t>XHIBIT</w:t>
      </w:r>
      <w:r>
        <w:rPr>
          <w:rFonts w:ascii="Arial" w:cs="Arial" w:eastAsia="Arial" w:hAnsi="Arial"/>
          <w:sz w:val="14"/>
          <w:szCs w:val="14"/>
          <w:b w:val="1"/>
          <w:bCs w:val="1"/>
          <w:color w:val="auto"/>
        </w:rPr>
        <w:t xml:space="preserve"> B</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OUTLINE OF SUBLEASE PREMISES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44" w:right="1440" w:bottom="1440" w:gutter="0" w:footer="0" w:header="0"/>
        </w:sectPr>
      </w:pPr>
    </w:p>
    <w:bookmarkStart w:id="445" w:name="page446"/>
    <w:bookmarkEnd w:id="445"/>
    <w:p>
      <w:pPr>
        <w:ind w:left="418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B</w:t>
      </w:r>
    </w:p>
    <w:p>
      <w:pPr>
        <w:spacing w:after="0" w:line="132" w:lineRule="exact"/>
        <w:rPr>
          <w:sz w:val="20"/>
          <w:szCs w:val="20"/>
          <w:color w:val="auto"/>
        </w:rPr>
      </w:pPr>
    </w:p>
    <w:p>
      <w:pPr>
        <w:ind w:left="4180"/>
        <w:spacing w:after="0"/>
        <w:rPr>
          <w:sz w:val="20"/>
          <w:szCs w:val="20"/>
          <w:color w:val="auto"/>
        </w:rPr>
      </w:pPr>
      <w:r>
        <w:rPr>
          <w:rFonts w:ascii="Arial" w:cs="Arial" w:eastAsia="Arial" w:hAnsi="Arial"/>
          <w:sz w:val="12"/>
          <w:szCs w:val="12"/>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123190</wp:posOffset>
            </wp:positionV>
            <wp:extent cx="3350260" cy="40201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50260" cy="402018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446" w:name="page447"/>
    <w:bookmarkEnd w:id="446"/>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C</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TENANT IMPROVEMENT AGREEMENT</w:t>
      </w:r>
    </w:p>
    <w:p>
      <w:pPr>
        <w:spacing w:after="0" w:line="132" w:lineRule="exact"/>
        <w:rPr>
          <w:sz w:val="20"/>
          <w:szCs w:val="20"/>
          <w:color w:val="auto"/>
        </w:rPr>
      </w:pPr>
    </w:p>
    <w:p>
      <w:pPr>
        <w:ind w:right="80" w:firstLine="458"/>
        <w:spacing w:after="0" w:line="322" w:lineRule="auto"/>
        <w:rPr>
          <w:sz w:val="20"/>
          <w:szCs w:val="20"/>
          <w:color w:val="auto"/>
        </w:rPr>
      </w:pPr>
      <w:r>
        <w:rPr>
          <w:rFonts w:ascii="Arial" w:cs="Arial" w:eastAsia="Arial" w:hAnsi="Arial"/>
          <w:sz w:val="12"/>
          <w:szCs w:val="12"/>
          <w:color w:val="auto"/>
        </w:rPr>
        <w:t>This Tenant Improvement Agreement (this “</w:t>
      </w:r>
      <w:r>
        <w:rPr>
          <w:rFonts w:ascii="Arial" w:cs="Arial" w:eastAsia="Arial" w:hAnsi="Arial"/>
          <w:sz w:val="12"/>
          <w:szCs w:val="12"/>
          <w:b w:val="1"/>
          <w:bCs w:val="1"/>
          <w:i w:val="1"/>
          <w:iCs w:val="1"/>
          <w:color w:val="auto"/>
        </w:rPr>
        <w:t>TI Exhibit</w:t>
      </w:r>
      <w:r>
        <w:rPr>
          <w:rFonts w:ascii="Arial" w:cs="Arial" w:eastAsia="Arial" w:hAnsi="Arial"/>
          <w:sz w:val="12"/>
          <w:szCs w:val="12"/>
          <w:color w:val="auto"/>
        </w:rPr>
        <w:t>”) is attached to and incorporated within that certain Sublease (the “</w:t>
      </w:r>
      <w:r>
        <w:rPr>
          <w:rFonts w:ascii="Arial" w:cs="Arial" w:eastAsia="Arial" w:hAnsi="Arial"/>
          <w:sz w:val="12"/>
          <w:szCs w:val="12"/>
          <w:b w:val="1"/>
          <w:bCs w:val="1"/>
          <w:i w:val="1"/>
          <w:iCs w:val="1"/>
          <w:color w:val="auto"/>
        </w:rPr>
        <w:t>Sublease</w:t>
      </w:r>
      <w:r>
        <w:rPr>
          <w:rFonts w:ascii="Arial" w:cs="Arial" w:eastAsia="Arial" w:hAnsi="Arial"/>
          <w:sz w:val="12"/>
          <w:szCs w:val="12"/>
          <w:color w:val="auto"/>
        </w:rPr>
        <w:t xml:space="preserve">”) by and between </w:t>
      </w:r>
      <w:r>
        <w:rPr>
          <w:rFonts w:ascii="Arial" w:cs="Arial" w:eastAsia="Arial" w:hAnsi="Arial"/>
          <w:sz w:val="12"/>
          <w:szCs w:val="12"/>
          <w:b w:val="1"/>
          <w:bCs w:val="1"/>
          <w:color w:val="auto"/>
        </w:rPr>
        <w:t>A</w:t>
      </w:r>
      <w:r>
        <w:rPr>
          <w:rFonts w:ascii="Arial" w:cs="Arial" w:eastAsia="Arial" w:hAnsi="Arial"/>
          <w:sz w:val="10"/>
          <w:szCs w:val="10"/>
          <w:b w:val="1"/>
          <w:bCs w:val="1"/>
          <w:color w:val="auto"/>
        </w:rPr>
        <w:t>MGEN</w:t>
      </w:r>
      <w:r>
        <w:rPr>
          <w:rFonts w:ascii="Arial" w:cs="Arial" w:eastAsia="Arial" w:hAnsi="Arial"/>
          <w:sz w:val="12"/>
          <w:szCs w:val="12"/>
          <w:color w:val="auto"/>
        </w:rPr>
        <w:t xml:space="preserve"> </w:t>
      </w:r>
      <w:r>
        <w:rPr>
          <w:rFonts w:ascii="Arial" w:cs="Arial" w:eastAsia="Arial" w:hAnsi="Arial"/>
          <w:sz w:val="12"/>
          <w:szCs w:val="12"/>
          <w:b w:val="1"/>
          <w:bCs w:val="1"/>
          <w:color w:val="auto"/>
        </w:rPr>
        <w:t>SF, LLC</w:t>
      </w:r>
      <w:r>
        <w:rPr>
          <w:rFonts w:ascii="Arial" w:cs="Arial" w:eastAsia="Arial" w:hAnsi="Arial"/>
          <w:sz w:val="12"/>
          <w:szCs w:val="12"/>
          <w:color w:val="auto"/>
        </w:rPr>
        <w:t>, a Delaware limited liability company (“</w:t>
      </w:r>
      <w:r>
        <w:rPr>
          <w:rFonts w:ascii="Arial" w:cs="Arial" w:eastAsia="Arial" w:hAnsi="Arial"/>
          <w:sz w:val="12"/>
          <w:szCs w:val="12"/>
          <w:b w:val="1"/>
          <w:bCs w:val="1"/>
          <w:i w:val="1"/>
          <w:iCs w:val="1"/>
          <w:color w:val="auto"/>
        </w:rPr>
        <w:t>Sublandlord</w:t>
      </w:r>
      <w:r>
        <w:rPr>
          <w:rFonts w:ascii="Arial" w:cs="Arial" w:eastAsia="Arial" w:hAnsi="Arial"/>
          <w:sz w:val="12"/>
          <w:szCs w:val="12"/>
          <w:color w:val="auto"/>
        </w:rPr>
        <w:t xml:space="preserve">”), and </w:t>
      </w:r>
      <w:r>
        <w:rPr>
          <w:rFonts w:ascii="Arial" w:cs="Arial" w:eastAsia="Arial" w:hAnsi="Arial"/>
          <w:sz w:val="12"/>
          <w:szCs w:val="12"/>
          <w:b w:val="1"/>
          <w:bCs w:val="1"/>
          <w:color w:val="auto"/>
        </w:rPr>
        <w:t>R</w:t>
      </w:r>
      <w:r>
        <w:rPr>
          <w:rFonts w:ascii="Arial" w:cs="Arial" w:eastAsia="Arial" w:hAnsi="Arial"/>
          <w:sz w:val="10"/>
          <w:szCs w:val="10"/>
          <w:b w:val="1"/>
          <w:bCs w:val="1"/>
          <w:color w:val="auto"/>
        </w:rPr>
        <w:t>AVEN BIOTECHNOLOGIES</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0"/>
          <w:szCs w:val="10"/>
          <w:b w:val="1"/>
          <w:bCs w:val="1"/>
          <w:color w:val="auto"/>
        </w:rPr>
        <w:t>INC</w:t>
      </w:r>
      <w:r>
        <w:rPr>
          <w:rFonts w:ascii="Arial" w:cs="Arial" w:eastAsia="Arial" w:hAnsi="Arial"/>
          <w:sz w:val="12"/>
          <w:szCs w:val="12"/>
          <w:b w:val="1"/>
          <w:bCs w:val="1"/>
          <w:color w:val="auto"/>
        </w:rPr>
        <w:t>.,</w:t>
      </w:r>
      <w:r>
        <w:rPr>
          <w:rFonts w:ascii="Arial" w:cs="Arial" w:eastAsia="Arial" w:hAnsi="Arial"/>
          <w:sz w:val="12"/>
          <w:szCs w:val="12"/>
          <w:color w:val="auto"/>
        </w:rPr>
        <w:t xml:space="preserve"> a Delaware corporation (“</w:t>
      </w:r>
      <w:r>
        <w:rPr>
          <w:rFonts w:ascii="Arial" w:cs="Arial" w:eastAsia="Arial" w:hAnsi="Arial"/>
          <w:sz w:val="12"/>
          <w:szCs w:val="12"/>
          <w:b w:val="1"/>
          <w:bCs w:val="1"/>
          <w:i w:val="1"/>
          <w:iCs w:val="1"/>
          <w:color w:val="auto"/>
        </w:rPr>
        <w:t>Subtenant</w:t>
      </w:r>
      <w:r>
        <w:rPr>
          <w:rFonts w:ascii="Arial" w:cs="Arial" w:eastAsia="Arial" w:hAnsi="Arial"/>
          <w:sz w:val="12"/>
          <w:szCs w:val="12"/>
          <w:color w:val="auto"/>
        </w:rPr>
        <w:t>”). This TI Exhibit shall constitute a portion of the Sublease, and failure to comply with the terms hereof shall constitute a default under the Sublease by the party failing to perform. All capitalized terms used in this TI Exhibit and not otherwise defined shall have the meanings ascribed thereto in the Sublease.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1. Defined Terms.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1.01. Tenant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term “</w:t>
      </w:r>
      <w:r>
        <w:rPr>
          <w:rFonts w:ascii="Arial" w:cs="Arial" w:eastAsia="Arial" w:hAnsi="Arial"/>
          <w:sz w:val="12"/>
          <w:szCs w:val="12"/>
          <w:b w:val="1"/>
          <w:bCs w:val="1"/>
          <w:i w:val="1"/>
          <w:iCs w:val="1"/>
          <w:color w:val="auto"/>
        </w:rPr>
        <w:t>Tenant Improvements</w:t>
      </w:r>
      <w:r>
        <w:rPr>
          <w:rFonts w:ascii="Arial" w:cs="Arial" w:eastAsia="Arial" w:hAnsi="Arial"/>
          <w:sz w:val="12"/>
          <w:szCs w:val="12"/>
          <w:color w:val="auto"/>
        </w:rPr>
        <w:t>” shall mean all improvements to be constructed or installed in or on the Premises in accordance with the Drawings and Specifications, as hereinafter defined.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1.02. Base Building Condition.</w:t>
      </w:r>
    </w:p>
    <w:p>
      <w:pPr>
        <w:spacing w:after="0" w:line="132" w:lineRule="exact"/>
        <w:rPr>
          <w:sz w:val="20"/>
          <w:szCs w:val="20"/>
          <w:color w:val="auto"/>
        </w:rPr>
      </w:pPr>
    </w:p>
    <w:p>
      <w:pPr>
        <w:ind w:right="160" w:firstLine="458"/>
        <w:spacing w:after="0" w:line="321"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b w:val="1"/>
          <w:bCs w:val="1"/>
          <w:i w:val="1"/>
          <w:iCs w:val="1"/>
          <w:color w:val="auto"/>
        </w:rPr>
        <w:t>Base Building Condition</w:t>
      </w:r>
      <w:r>
        <w:rPr>
          <w:rFonts w:ascii="Arial" w:cs="Arial" w:eastAsia="Arial" w:hAnsi="Arial"/>
          <w:sz w:val="12"/>
          <w:szCs w:val="12"/>
          <w:color w:val="auto"/>
        </w:rPr>
        <w:t>” shall mean the condition of the Sublease Premises on the date of the Sublease, which condition Subtenant hereby accepts “AS IS,” except as otherwise expressly provided by the terms of the Sublease. All alterations, additions and improvements existing on the date of this Sublease shall be left in place by Sublandlord and shall be available for reuse at no cost to Subtenant or may be disposed of, demolished or modified by Subtenant, at Subtenant’s expense, in accordance with the Drawings and Specifications.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1.03. Tenant Improvement Costs.</w:t>
      </w:r>
    </w:p>
    <w:p>
      <w:pPr>
        <w:spacing w:after="0" w:line="132"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b w:val="1"/>
          <w:bCs w:val="1"/>
          <w:i w:val="1"/>
          <w:iCs w:val="1"/>
          <w:color w:val="auto"/>
        </w:rPr>
        <w:t>Tenant Improvement Costs</w:t>
      </w:r>
      <w:r>
        <w:rPr>
          <w:rFonts w:ascii="Arial" w:cs="Arial" w:eastAsia="Arial" w:hAnsi="Arial"/>
          <w:sz w:val="12"/>
          <w:szCs w:val="12"/>
          <w:color w:val="auto"/>
        </w:rPr>
        <w:t>” shall mean the total cost of (i) the preparation of the Drawings and Specifications, (ii) the construction and installation of the Tenant Improvements, (iii) the costs of furnishings and equipment to be used by Subtenant within the Premises, including telecommunication equipment, (iv) costs of signage installed in accordance with the Master Lease, the Sublease, and applicable law, and (v) the costs of Subtenant’s relocation to the Premises, exclusive of any costs incurred by Subtenant with respect to any other lease of space.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1.04. Drawings and Specifications.</w:t>
      </w:r>
    </w:p>
    <w:p>
      <w:pPr>
        <w:spacing w:after="0" w:line="132"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The term “</w:t>
      </w:r>
      <w:r>
        <w:rPr>
          <w:rFonts w:ascii="Arial" w:cs="Arial" w:eastAsia="Arial" w:hAnsi="Arial"/>
          <w:sz w:val="14"/>
          <w:szCs w:val="14"/>
          <w:b w:val="1"/>
          <w:bCs w:val="1"/>
          <w:i w:val="1"/>
          <w:iCs w:val="1"/>
          <w:color w:val="auto"/>
        </w:rPr>
        <w:t>Drawings and Specifications</w:t>
      </w:r>
      <w:r>
        <w:rPr>
          <w:rFonts w:ascii="Arial" w:cs="Arial" w:eastAsia="Arial" w:hAnsi="Arial"/>
          <w:sz w:val="14"/>
          <w:szCs w:val="14"/>
          <w:color w:val="auto"/>
        </w:rPr>
        <w:t>” shall mean the final drawings, specifications and finish schedules for the Tenant Improvements, which shall be prepared by Subtenant and approved by Master Landlord and Sublandlord in accordance with the terms of this TI Exhibit.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20" w:top="245" w:right="259" w:bottom="1440" w:gutter="0" w:footer="0" w:header="0"/>
        </w:sectPr>
      </w:pPr>
    </w:p>
    <w:bookmarkStart w:id="447" w:name="page448"/>
    <w:bookmarkEnd w:id="44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Section 2. Construction of Tenant Improvements.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2.01. Submittal of Drawings and Specifications.</w:t>
      </w:r>
    </w:p>
    <w:p>
      <w:pPr>
        <w:spacing w:after="0" w:line="132" w:lineRule="exact"/>
        <w:rPr>
          <w:sz w:val="20"/>
          <w:szCs w:val="20"/>
          <w:color w:val="auto"/>
        </w:rPr>
      </w:pPr>
    </w:p>
    <w:p>
      <w:pPr>
        <w:ind w:right="60" w:firstLine="458"/>
        <w:spacing w:after="0" w:line="351" w:lineRule="auto"/>
        <w:rPr>
          <w:sz w:val="20"/>
          <w:szCs w:val="20"/>
          <w:color w:val="auto"/>
        </w:rPr>
      </w:pPr>
      <w:r>
        <w:rPr>
          <w:rFonts w:ascii="Arial" w:cs="Arial" w:eastAsia="Arial" w:hAnsi="Arial"/>
          <w:sz w:val="12"/>
          <w:szCs w:val="12"/>
          <w:color w:val="auto"/>
        </w:rPr>
        <w:t>As soon as reasonably possible after execution of the Sublease, but in no event later than ten (10) days thereafter, Subtenant shall commence preparation of the final working drawings and specifications necessary to commence construction of the Tenant Improvements and inform Sublandlord of the identity of the architect or other design specialist whom Subtenant desires to use for such work.</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2.02. Review of Drawings and Specifications.</w:t>
      </w:r>
    </w:p>
    <w:p>
      <w:pPr>
        <w:spacing w:after="0" w:line="132" w:lineRule="exact"/>
        <w:rPr>
          <w:sz w:val="20"/>
          <w:szCs w:val="20"/>
          <w:color w:val="auto"/>
        </w:rPr>
      </w:pPr>
    </w:p>
    <w:p>
      <w:pPr>
        <w:ind w:right="80" w:firstLine="458"/>
        <w:spacing w:after="0" w:line="311" w:lineRule="auto"/>
        <w:rPr>
          <w:sz w:val="20"/>
          <w:szCs w:val="20"/>
          <w:color w:val="auto"/>
        </w:rPr>
      </w:pPr>
      <w:r>
        <w:rPr>
          <w:rFonts w:ascii="Arial" w:cs="Arial" w:eastAsia="Arial" w:hAnsi="Arial"/>
          <w:sz w:val="12"/>
          <w:szCs w:val="12"/>
          <w:color w:val="auto"/>
        </w:rPr>
        <w:t>As soon as reasonably possible, Subtenant shall deliver to Sublandlord Subtenant’s proposed final working drawings and specifications for the Tenant Improvements. Sublandlord shall promptly submit such materials to Master Landlord and shall review such materials with Master Landlord. Sublandlord shall use commercially reasonable efforts to facilitate Master Landlord’s review and approval of such materials and Master Landlord’s agreement to allow all Tenant Improvements to remain within the Premises following expiration of the Term. Once Master Landlord and Sublandlord have approved the foregoing materials, such materials shall be deemed to be the Drawings and Specifications hereunder.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2.03. Approval of General Contractor.</w:t>
      </w:r>
    </w:p>
    <w:p>
      <w:pPr>
        <w:spacing w:after="0" w:line="132" w:lineRule="exact"/>
        <w:rPr>
          <w:sz w:val="20"/>
          <w:szCs w:val="20"/>
          <w:color w:val="auto"/>
        </w:rPr>
      </w:pPr>
    </w:p>
    <w:p>
      <w:pPr>
        <w:ind w:right="80" w:firstLine="458"/>
        <w:spacing w:after="0" w:line="311" w:lineRule="auto"/>
        <w:rPr>
          <w:sz w:val="20"/>
          <w:szCs w:val="20"/>
          <w:color w:val="auto"/>
        </w:rPr>
      </w:pPr>
      <w:r>
        <w:rPr>
          <w:rFonts w:ascii="Arial" w:cs="Arial" w:eastAsia="Arial" w:hAnsi="Arial"/>
          <w:sz w:val="12"/>
          <w:szCs w:val="12"/>
          <w:color w:val="auto"/>
        </w:rPr>
        <w:t>Subtenant shall notify Sublandlord of Subtenant’s selection of a general contractor for the construction and completion of the Tenant Improvements (“</w:t>
      </w:r>
      <w:r>
        <w:rPr>
          <w:rFonts w:ascii="Arial" w:cs="Arial" w:eastAsia="Arial" w:hAnsi="Arial"/>
          <w:sz w:val="12"/>
          <w:szCs w:val="12"/>
          <w:b w:val="1"/>
          <w:bCs w:val="1"/>
          <w:i w:val="1"/>
          <w:iCs w:val="1"/>
          <w:color w:val="auto"/>
        </w:rPr>
        <w:t>Subtenant’s Contractor</w:t>
      </w:r>
      <w:r>
        <w:rPr>
          <w:rFonts w:ascii="Arial" w:cs="Arial" w:eastAsia="Arial" w:hAnsi="Arial"/>
          <w:sz w:val="12"/>
          <w:szCs w:val="12"/>
          <w:color w:val="auto"/>
        </w:rPr>
        <w:t>”). Sublandlord and, to the extent required under the Master Lease, Master Landlord, shall have the right to approve the Subtenant’s Contractor for the construction and completion of the Tenant Improvements, such approval not to be unreasonably withheld on the part of Sublandlord. Subtenant’s Contractor shall have and maintain such insurance as is customarily required in connection with the construction and completion of improvements similar to the Tenant Improvements, with such insurance to designate Sublandlord as an additional insured thereunder as appropriate.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2.04. Completion of Tenant Improvements.</w:t>
      </w:r>
    </w:p>
    <w:p>
      <w:pPr>
        <w:spacing w:after="0" w:line="132"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In the event Subtenant elects to undertake the Tenant Improvements, as evidenced by Subtenant’s commencement of work thereon, Subtenant shall complete all such Tenant Improvements in a good and workmanlike manner, using new and first-class materials, and in compliance with all applicable laws and ordinances. Subtenant shall not allow any materialmens’ or mechanics’ lien to attach to the Premises and shall promptly pay all invoices received in connection with the construction and completion of the Tenant Improvements. Except as otherwise stated above, Subtenant shall have no obligation to commence the Tenant Improvements; provided that failure of Subtenant to commence and complete the Tenant Improvements shall not excuse Subtenant’s obligations under the Sublease, including the obligation to pay Rent.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2.05. Modifications of Drawings and Specifications.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at any time after the Drawings and Specifications are approved, Subtenant desires to make material changes in the Drawings and Specifications, Subtenant shall submit to</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247" w:right="219" w:bottom="1440" w:gutter="0" w:footer="0" w:header="0"/>
        </w:sectPr>
      </w:pPr>
    </w:p>
    <w:bookmarkStart w:id="448" w:name="page449"/>
    <w:bookmarkEnd w:id="448"/>
    <w:p>
      <w:pPr>
        <w:jc w:val="both"/>
        <w:ind w:right="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Sublandlord for approval working drawings and specifications for any and all such desired changes. The process of finalizing and approving such drawings and specifications shall be in the same manner as set forth in Section 2.02 above.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3. Payment of Tenant Improvement Costs.</w:t>
      </w:r>
    </w:p>
    <w:p>
      <w:pPr>
        <w:spacing w:after="0" w:line="69"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Section 3.01. Subtenant shall be solely responsible for the payment of all Tenant Improvement Costs; provided, however, the foregoing shall not operate to negate Sublandlord’s agreement to fund the Subtenant Allowance in accordance with the terms of this TI Exhibit.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3.02. Failure to Pay Tenant’s Costs.</w:t>
      </w:r>
    </w:p>
    <w:p>
      <w:pPr>
        <w:spacing w:after="0" w:line="132" w:lineRule="exact"/>
        <w:rPr>
          <w:sz w:val="20"/>
          <w:szCs w:val="20"/>
          <w:color w:val="auto"/>
        </w:rPr>
      </w:pPr>
    </w:p>
    <w:p>
      <w:pPr>
        <w:ind w:right="240" w:firstLine="458"/>
        <w:spacing w:after="0" w:line="351" w:lineRule="auto"/>
        <w:rPr>
          <w:sz w:val="20"/>
          <w:szCs w:val="20"/>
          <w:color w:val="auto"/>
        </w:rPr>
      </w:pPr>
      <w:r>
        <w:rPr>
          <w:rFonts w:ascii="Arial" w:cs="Arial" w:eastAsia="Arial" w:hAnsi="Arial"/>
          <w:sz w:val="12"/>
          <w:szCs w:val="12"/>
          <w:color w:val="auto"/>
        </w:rPr>
        <w:t>Failure by Subtenant to pay the Tenant Improvement Costs when due and payable shall constitute a failure by Subtenant to pay Rent when due under the Sublease and shall constitute a default by Subtenant under the Sublease, and Sublandlord shall have all of the remedies available to it under the Sublease and at law or in equity for a default, subject to the notice and cure provisions of the Sublease.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3.03. Subtenant Allowance.</w:t>
      </w:r>
    </w:p>
    <w:p>
      <w:pPr>
        <w:spacing w:after="0" w:line="132" w:lineRule="exact"/>
        <w:rPr>
          <w:sz w:val="20"/>
          <w:szCs w:val="20"/>
          <w:color w:val="auto"/>
        </w:rPr>
      </w:pPr>
    </w:p>
    <w:p>
      <w:pPr>
        <w:jc w:val="both"/>
        <w:ind w:right="40" w:firstLine="458"/>
        <w:spacing w:after="0" w:line="255" w:lineRule="auto"/>
        <w:rPr>
          <w:sz w:val="20"/>
          <w:szCs w:val="20"/>
          <w:color w:val="auto"/>
        </w:rPr>
      </w:pPr>
      <w:r>
        <w:rPr>
          <w:rFonts w:ascii="Arial" w:cs="Arial" w:eastAsia="Arial" w:hAnsi="Arial"/>
          <w:sz w:val="14"/>
          <w:szCs w:val="14"/>
          <w:color w:val="auto"/>
        </w:rPr>
        <w:t>Sublandlord shall provide Subtenant up to $4,000,000.00 (the “</w:t>
      </w:r>
      <w:r>
        <w:rPr>
          <w:rFonts w:ascii="Arial" w:cs="Arial" w:eastAsia="Arial" w:hAnsi="Arial"/>
          <w:sz w:val="14"/>
          <w:szCs w:val="14"/>
          <w:b w:val="1"/>
          <w:bCs w:val="1"/>
          <w:i w:val="1"/>
          <w:iCs w:val="1"/>
          <w:color w:val="auto"/>
        </w:rPr>
        <w:t>Subtenant Allowance</w:t>
      </w:r>
      <w:r>
        <w:rPr>
          <w:rFonts w:ascii="Arial" w:cs="Arial" w:eastAsia="Arial" w:hAnsi="Arial"/>
          <w:sz w:val="14"/>
          <w:szCs w:val="14"/>
          <w:color w:val="auto"/>
        </w:rPr>
        <w:t>”) which may be used for Tenant Improvement Costs. All portions of the Subtenant Allowance advanced in excess of $1,700,000.00 shall be repaid to Sublandlord in equal monthly installments over the Term, commencing on the Rent Commencement Date, and continuing on the first day of each calendar month thereafter. Such amounts shall be added to and constitute an addition to Additional Rent otherwise payable under the Sublease. The obligation to repay all portions of the Subtenant Allowance in excess of $1,700,000.00 shall survive the termination of the Sublease.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Section 3.05. Subtenant Disbursement Obligations.</w:t>
      </w:r>
    </w:p>
    <w:p>
      <w:pPr>
        <w:spacing w:after="0" w:line="132" w:lineRule="exact"/>
        <w:rPr>
          <w:sz w:val="20"/>
          <w:szCs w:val="20"/>
          <w:color w:val="auto"/>
        </w:rPr>
      </w:pPr>
    </w:p>
    <w:p>
      <w:pPr>
        <w:ind w:firstLine="458"/>
        <w:spacing w:after="0" w:line="305" w:lineRule="auto"/>
        <w:rPr>
          <w:sz w:val="20"/>
          <w:szCs w:val="20"/>
          <w:color w:val="auto"/>
        </w:rPr>
      </w:pPr>
      <w:r>
        <w:rPr>
          <w:rFonts w:ascii="Arial" w:cs="Arial" w:eastAsia="Arial" w:hAnsi="Arial"/>
          <w:sz w:val="12"/>
          <w:szCs w:val="12"/>
          <w:color w:val="auto"/>
        </w:rPr>
        <w:t>Sublandlord agrees to disburse the Subtenant Allowance to Subtenant to pay the Tenant Improvement Costs not more than once per month, upon the receipt by Sublandlord from Subtenant of (i) copies of invoices for the Tenant Improvement Costs and (ii) contractor lien waivers with respect to any portion of the Tenant Improvements then constructed or completed. Sublandlord shall be entitled to rely on the accuracy of any and all invoices, fee statements and lien waivers for labor and materials performed on or furnished to the Premises in connection with the Tenant Improvements and to rely, to the extent submitted, on any and all certifications as to Tenant Improvement Costs submitted by Subtenant’s Contractor and/or Subtenant’s architect. In addition, Sublandlord shall have the option and right to inspect all Tenant Improvements prior to any disbursement of the Subtenant Allowance.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60"/>
          </w:cols>
          <w:pgMar w:left="220" w:top="247" w:right="31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w:t>
      </w:r>
      <w:r>
        <w:rPr>
          <w:rFonts w:ascii="Arial" w:cs="Arial" w:eastAsia="Arial" w:hAnsi="Arial"/>
          <w:sz w:val="11"/>
          <w:szCs w:val="11"/>
          <w:b w:val="1"/>
          <w:bCs w:val="1"/>
          <w:color w:val="auto"/>
        </w:rPr>
        <w:t>XHIBIT</w:t>
      </w:r>
      <w:r>
        <w:rPr>
          <w:rFonts w:ascii="Arial" w:cs="Arial" w:eastAsia="Arial" w:hAnsi="Arial"/>
          <w:sz w:val="14"/>
          <w:szCs w:val="14"/>
          <w:b w:val="1"/>
          <w:bCs w:val="1"/>
          <w:color w:val="auto"/>
        </w:rPr>
        <w:t xml:space="preserve"> 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LETTER OF CREDIT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ISSUING BANK</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ADDRESS OF ISSUING BANK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IRREVOCABLE STANDBY LETTER OF CREDIT NUMBER: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20"/>
                <w:szCs w:val="20"/>
                <w:color w:val="auto"/>
              </w:rPr>
            </w:pPr>
            <w:r>
              <w:rPr>
                <w:rFonts w:ascii="Arial" w:cs="Arial" w:eastAsia="Arial" w:hAnsi="Arial"/>
                <w:sz w:val="14"/>
                <w:szCs w:val="14"/>
                <w:color w:val="auto"/>
              </w:rPr>
              <w:t>BENEFICIARY:</w:t>
            </w:r>
          </w:p>
        </w:tc>
        <w:tc>
          <w:tcPr>
            <w:tcW w:w="1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APPLICANT:</w:t>
            </w:r>
          </w:p>
        </w:tc>
      </w:tr>
      <w:tr>
        <w:trPr>
          <w:trHeight w:val="169"/>
        </w:trPr>
        <w:tc>
          <w:tcPr>
            <w:tcW w:w="1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2480" w:type="dxa"/>
            <w:vAlign w:val="bottom"/>
          </w:tcPr>
          <w:p>
            <w:pPr>
              <w:spacing w:after="0"/>
              <w:rPr>
                <w:sz w:val="14"/>
                <w:szCs w:val="14"/>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4"/>
                <w:szCs w:val="14"/>
                <w:color w:val="auto"/>
              </w:rPr>
              <w:t>AMOUNT: USD $</w:t>
            </w:r>
          </w:p>
        </w:tc>
        <w:tc>
          <w:tcPr>
            <w:tcW w:w="18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1"/>
        </w:trPr>
        <w:tc>
          <w:tcPr>
            <w:tcW w:w="1160" w:type="dxa"/>
            <w:vAlign w:val="bottom"/>
          </w:tcPr>
          <w:p>
            <w:pPr>
              <w:spacing w:after="0"/>
              <w:rPr>
                <w:sz w:val="20"/>
                <w:szCs w:val="20"/>
                <w:color w:val="auto"/>
              </w:rPr>
            </w:pPr>
            <w:r>
              <w:rPr>
                <w:rFonts w:ascii="Arial" w:cs="Arial" w:eastAsia="Arial" w:hAnsi="Arial"/>
                <w:sz w:val="14"/>
                <w:szCs w:val="14"/>
                <w:color w:val="auto"/>
              </w:rPr>
              <w:t>EXPIRATION:</w:t>
            </w:r>
          </w:p>
        </w:tc>
        <w:tc>
          <w:tcPr>
            <w:tcW w:w="1840" w:type="dxa"/>
            <w:vAlign w:val="bottom"/>
          </w:tcPr>
          <w:p>
            <w:pPr>
              <w:ind w:left="120"/>
              <w:spacing w:after="0"/>
              <w:rPr>
                <w:sz w:val="20"/>
                <w:szCs w:val="20"/>
                <w:color w:val="auto"/>
              </w:rPr>
            </w:pPr>
            <w:r>
              <w:rPr>
                <w:rFonts w:ascii="Arial" w:cs="Arial" w:eastAsia="Arial" w:hAnsi="Arial"/>
                <w:sz w:val="14"/>
                <w:szCs w:val="14"/>
                <w:color w:val="auto"/>
              </w:rPr>
              <w:t>AT OUR COUNTERS</w:t>
            </w:r>
          </w:p>
        </w:tc>
        <w:tc>
          <w:tcPr>
            <w:tcW w:w="16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87"/>
        </w:trPr>
        <w:tc>
          <w:tcPr>
            <w:tcW w:w="6700" w:type="dxa"/>
            <w:vAlign w:val="bottom"/>
            <w:gridSpan w:val="5"/>
          </w:tcPr>
          <w:p>
            <w:pPr>
              <w:spacing w:after="0"/>
              <w:rPr>
                <w:sz w:val="20"/>
                <w:szCs w:val="20"/>
                <w:color w:val="auto"/>
              </w:rPr>
            </w:pPr>
            <w:r>
              <w:rPr>
                <w:rFonts w:ascii="Arial" w:cs="Arial" w:eastAsia="Arial" w:hAnsi="Arial"/>
                <w:sz w:val="14"/>
                <w:szCs w:val="14"/>
                <w:color w:val="auto"/>
                <w:w w:val="96"/>
              </w:rPr>
              <w:t>WE HEREBY ESTABLISH IN YOUR FAVOR OUR IRREVOCABLE STANDBY LETTER OF CREDIT NUMBER</w:t>
            </w:r>
          </w:p>
        </w:tc>
        <w:tc>
          <w:tcPr>
            <w:tcW w:w="4620" w:type="dxa"/>
            <w:vAlign w:val="bottom"/>
            <w:gridSpan w:val="2"/>
          </w:tcPr>
          <w:p>
            <w:pPr>
              <w:ind w:left="240"/>
              <w:spacing w:after="0"/>
              <w:rPr>
                <w:sz w:val="20"/>
                <w:szCs w:val="20"/>
                <w:color w:val="auto"/>
              </w:rPr>
            </w:pPr>
            <w:r>
              <w:rPr>
                <w:rFonts w:ascii="Arial" w:cs="Arial" w:eastAsia="Arial" w:hAnsi="Arial"/>
                <w:sz w:val="14"/>
                <w:szCs w:val="14"/>
                <w:color w:val="auto"/>
                <w:w w:val="95"/>
              </w:rPr>
              <w:t>WHICH IS AVAILABLE WITH [ISSUING BANK] BY PAYMENT AGAINST</w:t>
            </w:r>
          </w:p>
        </w:tc>
      </w:tr>
      <w:tr>
        <w:trPr>
          <w:trHeight w:val="167"/>
        </w:trPr>
        <w:tc>
          <w:tcPr>
            <w:tcW w:w="11320" w:type="dxa"/>
            <w:vAlign w:val="bottom"/>
            <w:gridSpan w:val="7"/>
          </w:tcPr>
          <w:p>
            <w:pPr>
              <w:spacing w:after="0"/>
              <w:rPr>
                <w:sz w:val="20"/>
                <w:szCs w:val="20"/>
                <w:color w:val="auto"/>
              </w:rPr>
            </w:pPr>
            <w:r>
              <w:rPr>
                <w:rFonts w:ascii="Arial" w:cs="Arial" w:eastAsia="Arial" w:hAnsi="Arial"/>
                <w:sz w:val="14"/>
                <w:szCs w:val="14"/>
                <w:color w:val="auto"/>
                <w:w w:val="96"/>
              </w:rPr>
              <w:t>PRESENTATION OF THE ORIGINAL OF THIS LETTER OF CREDIT AND YOUR DRAFTS AT SIGHT DRAWN ON [ISSUING BANK] AT THE ADDRESS ABOVE, ACCOMPANIED BY THE</w:t>
            </w:r>
          </w:p>
        </w:tc>
      </w:tr>
      <w:tr>
        <w:trPr>
          <w:trHeight w:val="173"/>
        </w:trPr>
        <w:tc>
          <w:tcPr>
            <w:tcW w:w="3000" w:type="dxa"/>
            <w:vAlign w:val="bottom"/>
            <w:gridSpan w:val="2"/>
          </w:tcPr>
          <w:p>
            <w:pPr>
              <w:spacing w:after="0"/>
              <w:rPr>
                <w:sz w:val="20"/>
                <w:szCs w:val="20"/>
                <w:color w:val="auto"/>
              </w:rPr>
            </w:pPr>
            <w:r>
              <w:rPr>
                <w:rFonts w:ascii="Arial" w:cs="Arial" w:eastAsia="Arial" w:hAnsi="Arial"/>
                <w:sz w:val="14"/>
                <w:szCs w:val="14"/>
                <w:color w:val="auto"/>
              </w:rPr>
              <w:t>DOCUMENTS DETAILED BELOW:</w:t>
            </w: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87"/>
        </w:trPr>
        <w:tc>
          <w:tcPr>
            <w:tcW w:w="11320" w:type="dxa"/>
            <w:vAlign w:val="bottom"/>
            <w:gridSpan w:val="7"/>
          </w:tcPr>
          <w:p>
            <w:pPr>
              <w:spacing w:after="0"/>
              <w:rPr>
                <w:sz w:val="20"/>
                <w:szCs w:val="20"/>
                <w:color w:val="auto"/>
              </w:rPr>
            </w:pPr>
            <w:r>
              <w:rPr>
                <w:rFonts w:ascii="Arial" w:cs="Arial" w:eastAsia="Arial" w:hAnsi="Arial"/>
                <w:sz w:val="14"/>
                <w:szCs w:val="14"/>
                <w:color w:val="auto"/>
                <w:w w:val="95"/>
              </w:rPr>
              <w:t>A LETTER SIGNED BY A PURPORTED AUTHORIZED REPRESENTATIVE OF THE BENEFICIARY STATING THAT BENEFICIARY IS ENTITLED TO DRAW ON THIS LETTER OF CREDIT</w:t>
            </w:r>
          </w:p>
        </w:tc>
      </w:tr>
      <w:tr>
        <w:trPr>
          <w:trHeight w:val="173"/>
        </w:trPr>
        <w:tc>
          <w:tcPr>
            <w:tcW w:w="3000" w:type="dxa"/>
            <w:vAlign w:val="bottom"/>
            <w:gridSpan w:val="2"/>
          </w:tcPr>
          <w:p>
            <w:pPr>
              <w:spacing w:after="0"/>
              <w:rPr>
                <w:sz w:val="20"/>
                <w:szCs w:val="20"/>
                <w:color w:val="auto"/>
              </w:rPr>
            </w:pPr>
            <w:r>
              <w:rPr>
                <w:rFonts w:ascii="Arial" w:cs="Arial" w:eastAsia="Arial" w:hAnsi="Arial"/>
                <w:sz w:val="14"/>
                <w:szCs w:val="14"/>
                <w:color w:val="auto"/>
              </w:rPr>
              <w:t>PURSUANT TO THAT SUBLEASE DATED</w:t>
            </w:r>
          </w:p>
        </w:tc>
        <w:tc>
          <w:tcPr>
            <w:tcW w:w="1620" w:type="dxa"/>
            <w:vAlign w:val="bottom"/>
          </w:tcPr>
          <w:p>
            <w:pPr>
              <w:ind w:left="260"/>
              <w:spacing w:after="0"/>
              <w:rPr>
                <w:sz w:val="20"/>
                <w:szCs w:val="20"/>
                <w:color w:val="auto"/>
              </w:rPr>
            </w:pPr>
            <w:r>
              <w:rPr>
                <w:rFonts w:ascii="Arial" w:cs="Arial" w:eastAsia="Arial" w:hAnsi="Arial"/>
                <w:sz w:val="14"/>
                <w:szCs w:val="14"/>
                <w:color w:val="auto"/>
              </w:rPr>
              <w:t>BETWEEN</w:t>
            </w:r>
          </w:p>
        </w:tc>
        <w:tc>
          <w:tcPr>
            <w:tcW w:w="2080" w:type="dxa"/>
            <w:vAlign w:val="bottom"/>
            <w:gridSpan w:val="2"/>
          </w:tcPr>
          <w:p>
            <w:pPr>
              <w:ind w:left="720"/>
              <w:spacing w:after="0"/>
              <w:rPr>
                <w:sz w:val="20"/>
                <w:szCs w:val="20"/>
                <w:color w:val="auto"/>
              </w:rPr>
            </w:pPr>
            <w:r>
              <w:rPr>
                <w:rFonts w:ascii="Arial" w:cs="Arial" w:eastAsia="Arial" w:hAnsi="Arial"/>
                <w:sz w:val="14"/>
                <w:szCs w:val="14"/>
                <w:color w:val="auto"/>
              </w:rPr>
              <w:t>AND</w:t>
            </w:r>
          </w:p>
        </w:tc>
        <w:tc>
          <w:tcPr>
            <w:tcW w:w="4620" w:type="dxa"/>
            <w:vAlign w:val="bottom"/>
            <w:gridSpan w:val="2"/>
          </w:tcPr>
          <w:p>
            <w:pPr>
              <w:ind w:left="320"/>
              <w:spacing w:after="0"/>
              <w:rPr>
                <w:sz w:val="20"/>
                <w:szCs w:val="20"/>
                <w:color w:val="auto"/>
              </w:rPr>
            </w:pPr>
            <w:r>
              <w:rPr>
                <w:rFonts w:ascii="Arial" w:cs="Arial" w:eastAsia="Arial" w:hAnsi="Arial"/>
                <w:sz w:val="14"/>
                <w:szCs w:val="14"/>
                <w:color w:val="auto"/>
              </w:rPr>
              <w:t>, AS IT MAY BE AMENDED.</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THIS LETTER OF CREDIT CANNOT BE MODIFIED OR REVOKED WITHOUT YOUR WRITTEN CONSENT OF BENEFICIARY.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SPECIAL CONDITIONS:</w:t>
      </w:r>
    </w:p>
    <w:p>
      <w:pPr>
        <w:spacing w:after="0" w:line="132" w:lineRule="exact"/>
        <w:rPr>
          <w:sz w:val="20"/>
          <w:szCs w:val="20"/>
          <w:color w:val="auto"/>
        </w:rPr>
      </w:pPr>
    </w:p>
    <w:p>
      <w:pPr>
        <w:ind w:right="120"/>
        <w:spacing w:after="0" w:line="302" w:lineRule="auto"/>
        <w:rPr>
          <w:sz w:val="20"/>
          <w:szCs w:val="20"/>
          <w:color w:val="auto"/>
        </w:rPr>
      </w:pPr>
      <w:r>
        <w:rPr>
          <w:rFonts w:ascii="Arial" w:cs="Arial" w:eastAsia="Arial" w:hAnsi="Arial"/>
          <w:sz w:val="12"/>
          <w:szCs w:val="12"/>
          <w:color w:val="auto"/>
        </w:rPr>
        <w:t>THIS LETTER OF CREDIT SHALL AUTOMATICALLY RENEW WITHOUT AMENDMENT FOR AN ADDITIONAL ONE YEAR PERIOD FROM THE CURRENT OR FOR ANY FUTURE EXPIRATION DATE, UNLESS WE SHALL NOTIFY YOU IN WRITING BY CERTIFIED MAIL, RETURN RECEIPT REQUESTED OR OVERNIGHT COURIER AT LEAST 30 DAYS PRIOR TO THE THEN CURRENT EXPIRATION DATE THAT THIS LETTER OF CREDIT WILL NOT BE RENEWED. FOLLOWING SUCH NOTIFICATION AND PRIOR TO THE EXPIRATION OF THIS LETTER OF CREDIT, YOU MAY DRAW UPON THIS LETTER OF CREDIT BY PRESENTATION OF THE SIGHT DRAFT(S) MENTIONED ABOVE, ACCOMPANIED BY A LETTER SIGNED BY A PURPORTED AUTHORIZED REPRESENTATIVE OF BENEFICIARY STATING THAT BENEFICIARY HAS NOT BEEN PRESENTED WITH A SUBSTITUTE LETTER OF CREDIT IN THE SAME PRINCIPAL AMOUNT, AND ON THE SAME TERMS AS THIS LETTER OF CREDIT FROM AN ISSUER REASONABLY SATISFACTORY TO YOU.</w:t>
      </w:r>
    </w:p>
    <w:p>
      <w:pPr>
        <w:spacing w:after="0" w:line="8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THIS LETTER OF CREDIT IS TRANSFERABLE AND MAY BE TRANSFERRED ONE OR MORE TIMES BY THE NAMED BENEFICIARY HEREUNDER OR BY ANY TRANSFEREE HEREUNDER TO A SUCCESSOR TRANSFEREE. TRANSFER OF THIS LETTER OF CREDIT IS SUBJECT TO OUR RECEIPT OF BENEFICIARY’S INSTRUCTIONS IN THE FORM ATTACHED AS EXHIBIT A, ACCOMPANIED BY THE ORIGINAL LETTER OF CREDIT AND AMENDMENT(S), IF ANY.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PARTIAL DRAWS ARE ALLOWED UNDER THIS LETTER OF CREDIT.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0"/>
          </w:cols>
          <w:pgMar w:left="220" w:top="245" w:right="239" w:bottom="1440" w:gutter="0" w:footer="0" w:header="0"/>
        </w:sectPr>
      </w:pPr>
    </w:p>
    <w:bookmarkStart w:id="450" w:name="page451"/>
    <w:bookmarkEnd w:id="450"/>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THIS LETTER OF CREDIT IS SUBJECT TO THE UNIFORM CUSTOMS AND PRACTICE FOR DOCUMENTARY CREDITS (1993 REVISION), INTERNATIONAL CHAMBER OF COMMERCE PUBLICATION NO. 590 AND ENGAGES US PURSUANT TO THE TERMS THEREIN.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[ISSUING BANK]</w:t>
      </w:r>
    </w:p>
    <w:p>
      <w:pPr>
        <w:spacing w:after="0" w:line="173"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AUTHORIZED SIGNATURE</w:t>
      </w:r>
      <w:r>
        <w:rPr>
          <w:sz w:val="20"/>
          <w:szCs w:val="20"/>
          <w:color w:val="auto"/>
        </w:rPr>
        <w:tab/>
      </w:r>
      <w:r>
        <w:rPr>
          <w:rFonts w:ascii="Arial" w:cs="Arial" w:eastAsia="Arial" w:hAnsi="Arial"/>
          <w:sz w:val="12"/>
          <w:szCs w:val="12"/>
          <w:color w:val="auto"/>
        </w:rPr>
        <w:t>AUTHORIZED SIGNATURE</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20"/>
          </w:cols>
          <w:pgMar w:left="220" w:top="247" w:right="559" w:bottom="1440" w:gutter="0" w:footer="0" w:header="0"/>
        </w:sectPr>
      </w:pPr>
    </w:p>
    <w:bookmarkStart w:id="451" w:name="page452"/>
    <w:bookmarkEnd w:id="451"/>
    <w:p>
      <w:pPr>
        <w:jc w:val="right"/>
        <w:spacing w:after="0"/>
        <w:rPr>
          <w:sz w:val="20"/>
          <w:szCs w:val="20"/>
          <w:color w:val="auto"/>
        </w:rPr>
      </w:pPr>
      <w:r>
        <w:rPr>
          <w:rFonts w:ascii="Arial" w:cs="Arial" w:eastAsia="Arial" w:hAnsi="Arial"/>
          <w:sz w:val="14"/>
          <w:szCs w:val="14"/>
          <w:b w:val="1"/>
          <w:bCs w:val="1"/>
          <w:color w:val="auto"/>
        </w:rPr>
        <w:t>Exhibit 10.15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Materials omitted and filed separately with the Securities and Exchange Commission.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BI Contract No. 43032525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COLLABORATION AND LICENSE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BY AND BETWEEN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BOEHRINGER INGELHEIM INTERNATIONAL GMBH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OCTOBER 18, 2010</w:t>
      </w:r>
    </w:p>
    <w:p>
      <w:pPr>
        <w:sectPr>
          <w:pgSz w:w="11900" w:h="16838" w:orient="portrait"/>
          <w:cols w:equalWidth="0" w:num="1">
            <w:col w:w="11460"/>
          </w:cols>
          <w:pgMar w:left="220" w:top="130" w:right="21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9540" w:type="dxa"/>
            <w:vAlign w:val="bottom"/>
          </w:tcPr>
          <w:p>
            <w:pPr>
              <w:jc w:val="center"/>
              <w:ind w:left="1192"/>
              <w:spacing w:after="0"/>
              <w:rPr>
                <w:sz w:val="20"/>
                <w:szCs w:val="20"/>
                <w:color w:val="auto"/>
              </w:rPr>
            </w:pPr>
            <w:r>
              <w:rPr>
                <w:rFonts w:ascii="Arial" w:cs="Arial" w:eastAsia="Arial" w:hAnsi="Arial"/>
                <w:sz w:val="14"/>
                <w:szCs w:val="14"/>
                <w:b w:val="1"/>
                <w:bCs w:val="1"/>
                <w:i w:val="1"/>
                <w:iCs w:val="1"/>
                <w:color w:val="auto"/>
                <w:w w:val="84"/>
              </w:rPr>
              <w:t>Confidential Materials omitted and filed separately with the Securities and Exchange Commission.</w:t>
            </w:r>
          </w:p>
        </w:tc>
        <w:tc>
          <w:tcPr>
            <w:tcW w:w="1520" w:type="dxa"/>
            <w:vAlign w:val="bottom"/>
          </w:tcPr>
          <w:p>
            <w:pPr>
              <w:spacing w:after="0"/>
              <w:rPr>
                <w:sz w:val="14"/>
                <w:szCs w:val="14"/>
                <w:color w:val="auto"/>
              </w:rPr>
            </w:pPr>
          </w:p>
        </w:tc>
      </w:tr>
      <w:tr>
        <w:trPr>
          <w:trHeight w:val="173"/>
        </w:trPr>
        <w:tc>
          <w:tcPr>
            <w:tcW w:w="340" w:type="dxa"/>
            <w:vAlign w:val="bottom"/>
          </w:tcPr>
          <w:p>
            <w:pPr>
              <w:spacing w:after="0"/>
              <w:rPr>
                <w:sz w:val="15"/>
                <w:szCs w:val="15"/>
                <w:color w:val="auto"/>
              </w:rPr>
            </w:pPr>
          </w:p>
        </w:tc>
        <w:tc>
          <w:tcPr>
            <w:tcW w:w="9540" w:type="dxa"/>
            <w:vAlign w:val="bottom"/>
          </w:tcPr>
          <w:p>
            <w:pPr>
              <w:jc w:val="center"/>
              <w:ind w:left="1192"/>
              <w:spacing w:after="0"/>
              <w:rPr>
                <w:sz w:val="20"/>
                <w:szCs w:val="20"/>
                <w:color w:val="auto"/>
              </w:rPr>
            </w:pPr>
            <w:r>
              <w:rPr>
                <w:rFonts w:ascii="Arial" w:cs="Arial" w:eastAsia="Arial" w:hAnsi="Arial"/>
                <w:sz w:val="14"/>
                <w:szCs w:val="14"/>
                <w:b w:val="1"/>
                <w:bCs w:val="1"/>
                <w:i w:val="1"/>
                <w:iCs w:val="1"/>
                <w:color w:val="auto"/>
                <w:w w:val="81"/>
              </w:rPr>
              <w:t>Triple asterisks denote omissions.</w:t>
            </w:r>
          </w:p>
        </w:tc>
        <w:tc>
          <w:tcPr>
            <w:tcW w:w="1520" w:type="dxa"/>
            <w:vAlign w:val="bottom"/>
          </w:tcPr>
          <w:p>
            <w:pPr>
              <w:spacing w:after="0"/>
              <w:rPr>
                <w:sz w:val="15"/>
                <w:szCs w:val="15"/>
                <w:color w:val="auto"/>
              </w:rPr>
            </w:pPr>
          </w:p>
        </w:tc>
      </w:tr>
      <w:tr>
        <w:trPr>
          <w:trHeight w:val="293"/>
        </w:trPr>
        <w:tc>
          <w:tcPr>
            <w:tcW w:w="340" w:type="dxa"/>
            <w:vAlign w:val="bottom"/>
          </w:tcPr>
          <w:p>
            <w:pPr>
              <w:spacing w:after="0"/>
              <w:rPr>
                <w:sz w:val="24"/>
                <w:szCs w:val="24"/>
                <w:color w:val="auto"/>
              </w:rPr>
            </w:pPr>
          </w:p>
        </w:tc>
        <w:tc>
          <w:tcPr>
            <w:tcW w:w="9540" w:type="dxa"/>
            <w:vAlign w:val="bottom"/>
          </w:tcPr>
          <w:p>
            <w:pPr>
              <w:jc w:val="center"/>
              <w:ind w:left="1172"/>
              <w:spacing w:after="0"/>
              <w:rPr>
                <w:sz w:val="20"/>
                <w:szCs w:val="20"/>
                <w:color w:val="auto"/>
              </w:rPr>
            </w:pPr>
            <w:r>
              <w:rPr>
                <w:rFonts w:ascii="Arial" w:cs="Arial" w:eastAsia="Arial" w:hAnsi="Arial"/>
                <w:sz w:val="14"/>
                <w:szCs w:val="14"/>
                <w:b w:val="1"/>
                <w:bCs w:val="1"/>
                <w:color w:val="auto"/>
                <w:w w:val="96"/>
              </w:rPr>
              <w:t>TABLE OF CONTENTS</w:t>
            </w:r>
          </w:p>
        </w:tc>
        <w:tc>
          <w:tcPr>
            <w:tcW w:w="1520" w:type="dxa"/>
            <w:vAlign w:val="bottom"/>
          </w:tcPr>
          <w:p>
            <w:pPr>
              <w:spacing w:after="0"/>
              <w:rPr>
                <w:sz w:val="24"/>
                <w:szCs w:val="24"/>
                <w:color w:val="auto"/>
              </w:rPr>
            </w:pPr>
          </w:p>
        </w:tc>
      </w:tr>
      <w:tr>
        <w:trPr>
          <w:trHeight w:val="324"/>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ARTICLE I DEFINITIONS</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51"/>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ARTICLE II GOVERNANCE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245"/>
        </w:trPr>
        <w:tc>
          <w:tcPr>
            <w:tcW w:w="340" w:type="dxa"/>
            <w:vAlign w:val="bottom"/>
          </w:tcPr>
          <w:p>
            <w:pPr>
              <w:spacing w:after="0"/>
              <w:rPr>
                <w:sz w:val="20"/>
                <w:szCs w:val="20"/>
                <w:color w:val="auto"/>
              </w:rPr>
            </w:pPr>
            <w:r>
              <w:rPr>
                <w:rFonts w:ascii="Arial" w:cs="Arial" w:eastAsia="Arial" w:hAnsi="Arial"/>
                <w:sz w:val="14"/>
                <w:szCs w:val="14"/>
                <w:color w:val="auto"/>
              </w:rPr>
              <w:t>2.1</w:t>
            </w:r>
          </w:p>
        </w:tc>
        <w:tc>
          <w:tcPr>
            <w:tcW w:w="9540" w:type="dxa"/>
            <w:vAlign w:val="bottom"/>
          </w:tcPr>
          <w:p>
            <w:pPr>
              <w:ind w:left="180"/>
              <w:spacing w:after="0"/>
              <w:rPr>
                <w:sz w:val="20"/>
                <w:szCs w:val="20"/>
                <w:color w:val="auto"/>
              </w:rPr>
            </w:pPr>
            <w:r>
              <w:rPr>
                <w:rFonts w:ascii="Arial" w:cs="Arial" w:eastAsia="Arial" w:hAnsi="Arial"/>
                <w:sz w:val="14"/>
                <w:szCs w:val="14"/>
                <w:color w:val="auto"/>
              </w:rPr>
              <w:t>Project Leaders</w:t>
            </w:r>
          </w:p>
        </w:tc>
        <w:tc>
          <w:tcPr>
            <w:tcW w:w="15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2.2</w:t>
            </w:r>
          </w:p>
        </w:tc>
        <w:tc>
          <w:tcPr>
            <w:tcW w:w="9540" w:type="dxa"/>
            <w:vAlign w:val="bottom"/>
          </w:tcPr>
          <w:p>
            <w:pPr>
              <w:ind w:left="180"/>
              <w:spacing w:after="0"/>
              <w:rPr>
                <w:sz w:val="20"/>
                <w:szCs w:val="20"/>
                <w:color w:val="auto"/>
              </w:rPr>
            </w:pPr>
            <w:r>
              <w:rPr>
                <w:rFonts w:ascii="Arial" w:cs="Arial" w:eastAsia="Arial" w:hAnsi="Arial"/>
                <w:sz w:val="14"/>
                <w:szCs w:val="14"/>
                <w:color w:val="auto"/>
              </w:rPr>
              <w:t>Joint Steering Committee.</w:t>
            </w:r>
          </w:p>
        </w:tc>
        <w:tc>
          <w:tcPr>
            <w:tcW w:w="15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2.3</w:t>
            </w:r>
          </w:p>
        </w:tc>
        <w:tc>
          <w:tcPr>
            <w:tcW w:w="9540" w:type="dxa"/>
            <w:vAlign w:val="bottom"/>
          </w:tcPr>
          <w:p>
            <w:pPr>
              <w:ind w:left="180"/>
              <w:spacing w:after="0"/>
              <w:rPr>
                <w:sz w:val="20"/>
                <w:szCs w:val="20"/>
                <w:color w:val="auto"/>
              </w:rPr>
            </w:pPr>
            <w:r>
              <w:rPr>
                <w:rFonts w:ascii="Arial" w:cs="Arial" w:eastAsia="Arial" w:hAnsi="Arial"/>
                <w:sz w:val="14"/>
                <w:szCs w:val="14"/>
                <w:color w:val="auto"/>
              </w:rPr>
              <w:t>Subcommittees</w:t>
            </w:r>
          </w:p>
        </w:tc>
        <w:tc>
          <w:tcPr>
            <w:tcW w:w="15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2.4</w:t>
            </w:r>
          </w:p>
        </w:tc>
        <w:tc>
          <w:tcPr>
            <w:tcW w:w="9540" w:type="dxa"/>
            <w:vAlign w:val="bottom"/>
          </w:tcPr>
          <w:p>
            <w:pPr>
              <w:ind w:left="180"/>
              <w:spacing w:after="0"/>
              <w:rPr>
                <w:sz w:val="20"/>
                <w:szCs w:val="20"/>
                <w:color w:val="auto"/>
              </w:rPr>
            </w:pPr>
            <w:r>
              <w:rPr>
                <w:rFonts w:ascii="Arial" w:cs="Arial" w:eastAsia="Arial" w:hAnsi="Arial"/>
                <w:sz w:val="14"/>
                <w:szCs w:val="14"/>
                <w:color w:val="auto"/>
              </w:rPr>
              <w:t>Meetings</w:t>
            </w:r>
          </w:p>
        </w:tc>
        <w:tc>
          <w:tcPr>
            <w:tcW w:w="15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2.5</w:t>
            </w:r>
          </w:p>
        </w:tc>
        <w:tc>
          <w:tcPr>
            <w:tcW w:w="9540" w:type="dxa"/>
            <w:vAlign w:val="bottom"/>
          </w:tcPr>
          <w:p>
            <w:pPr>
              <w:ind w:left="180"/>
              <w:spacing w:after="0"/>
              <w:rPr>
                <w:sz w:val="20"/>
                <w:szCs w:val="20"/>
                <w:color w:val="auto"/>
              </w:rPr>
            </w:pPr>
            <w:r>
              <w:rPr>
                <w:rFonts w:ascii="Arial" w:cs="Arial" w:eastAsia="Arial" w:hAnsi="Arial"/>
                <w:sz w:val="14"/>
                <w:szCs w:val="14"/>
                <w:color w:val="auto"/>
              </w:rPr>
              <w:t>Decision-making.</w:t>
            </w:r>
          </w:p>
        </w:tc>
        <w:tc>
          <w:tcPr>
            <w:tcW w:w="15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73"/>
        </w:trPr>
        <w:tc>
          <w:tcPr>
            <w:tcW w:w="340" w:type="dxa"/>
            <w:vAlign w:val="bottom"/>
          </w:tcPr>
          <w:p>
            <w:pPr>
              <w:spacing w:after="0"/>
              <w:rPr>
                <w:sz w:val="20"/>
                <w:szCs w:val="20"/>
                <w:color w:val="auto"/>
              </w:rPr>
            </w:pPr>
            <w:r>
              <w:rPr>
                <w:rFonts w:ascii="Arial" w:cs="Arial" w:eastAsia="Arial" w:hAnsi="Arial"/>
                <w:sz w:val="14"/>
                <w:szCs w:val="14"/>
                <w:color w:val="auto"/>
              </w:rPr>
              <w:t>2.6</w:t>
            </w:r>
          </w:p>
        </w:tc>
        <w:tc>
          <w:tcPr>
            <w:tcW w:w="9540" w:type="dxa"/>
            <w:vAlign w:val="bottom"/>
          </w:tcPr>
          <w:p>
            <w:pPr>
              <w:ind w:left="180"/>
              <w:spacing w:after="0"/>
              <w:rPr>
                <w:sz w:val="20"/>
                <w:szCs w:val="20"/>
                <w:color w:val="auto"/>
              </w:rPr>
            </w:pPr>
            <w:r>
              <w:rPr>
                <w:rFonts w:ascii="Arial" w:cs="Arial" w:eastAsia="Arial" w:hAnsi="Arial"/>
                <w:sz w:val="14"/>
                <w:szCs w:val="14"/>
                <w:color w:val="auto"/>
              </w:rPr>
              <w:t>Limitations on JSC Authority</w:t>
            </w: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51"/>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ARTICLE III RESEARCH PROGRAM</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45"/>
        </w:trPr>
        <w:tc>
          <w:tcPr>
            <w:tcW w:w="340" w:type="dxa"/>
            <w:vAlign w:val="bottom"/>
          </w:tcPr>
          <w:p>
            <w:pPr>
              <w:spacing w:after="0"/>
              <w:rPr>
                <w:sz w:val="20"/>
                <w:szCs w:val="20"/>
                <w:color w:val="auto"/>
              </w:rPr>
            </w:pPr>
            <w:r>
              <w:rPr>
                <w:rFonts w:ascii="Arial" w:cs="Arial" w:eastAsia="Arial" w:hAnsi="Arial"/>
                <w:sz w:val="14"/>
                <w:szCs w:val="14"/>
                <w:color w:val="auto"/>
              </w:rPr>
              <w:t>3.1</w:t>
            </w:r>
          </w:p>
        </w:tc>
        <w:tc>
          <w:tcPr>
            <w:tcW w:w="9540" w:type="dxa"/>
            <w:vAlign w:val="bottom"/>
          </w:tcPr>
          <w:p>
            <w:pPr>
              <w:ind w:left="180"/>
              <w:spacing w:after="0"/>
              <w:rPr>
                <w:sz w:val="20"/>
                <w:szCs w:val="20"/>
                <w:color w:val="auto"/>
              </w:rPr>
            </w:pPr>
            <w:r>
              <w:rPr>
                <w:rFonts w:ascii="Arial" w:cs="Arial" w:eastAsia="Arial" w:hAnsi="Arial"/>
                <w:sz w:val="14"/>
                <w:szCs w:val="14"/>
                <w:color w:val="auto"/>
              </w:rPr>
              <w:t>General.</w:t>
            </w: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3.2</w:t>
            </w:r>
          </w:p>
        </w:tc>
        <w:tc>
          <w:tcPr>
            <w:tcW w:w="9540" w:type="dxa"/>
            <w:vAlign w:val="bottom"/>
          </w:tcPr>
          <w:p>
            <w:pPr>
              <w:ind w:left="180"/>
              <w:spacing w:after="0"/>
              <w:rPr>
                <w:sz w:val="20"/>
                <w:szCs w:val="20"/>
                <w:color w:val="auto"/>
              </w:rPr>
            </w:pPr>
            <w:r>
              <w:rPr>
                <w:rFonts w:ascii="Arial" w:cs="Arial" w:eastAsia="Arial" w:hAnsi="Arial"/>
                <w:sz w:val="14"/>
                <w:szCs w:val="14"/>
                <w:color w:val="auto"/>
              </w:rPr>
              <w:t>Selection of Collaboration Targets.</w:t>
            </w:r>
          </w:p>
        </w:tc>
        <w:tc>
          <w:tcPr>
            <w:tcW w:w="15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3.3</w:t>
            </w:r>
          </w:p>
        </w:tc>
        <w:tc>
          <w:tcPr>
            <w:tcW w:w="9540" w:type="dxa"/>
            <w:vAlign w:val="bottom"/>
          </w:tcPr>
          <w:p>
            <w:pPr>
              <w:ind w:left="180"/>
              <w:spacing w:after="0"/>
              <w:rPr>
                <w:sz w:val="20"/>
                <w:szCs w:val="20"/>
                <w:color w:val="auto"/>
              </w:rPr>
            </w:pPr>
            <w:r>
              <w:rPr>
                <w:rFonts w:ascii="Arial" w:cs="Arial" w:eastAsia="Arial" w:hAnsi="Arial"/>
                <w:sz w:val="14"/>
                <w:szCs w:val="14"/>
                <w:color w:val="auto"/>
              </w:rPr>
              <w:t>Conduct of the Programs.</w:t>
            </w:r>
          </w:p>
        </w:tc>
        <w:tc>
          <w:tcPr>
            <w:tcW w:w="15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3.4</w:t>
            </w:r>
          </w:p>
        </w:tc>
        <w:tc>
          <w:tcPr>
            <w:tcW w:w="9540" w:type="dxa"/>
            <w:vAlign w:val="bottom"/>
          </w:tcPr>
          <w:p>
            <w:pPr>
              <w:ind w:left="180"/>
              <w:spacing w:after="0"/>
              <w:rPr>
                <w:sz w:val="20"/>
                <w:szCs w:val="20"/>
                <w:color w:val="auto"/>
              </w:rPr>
            </w:pPr>
            <w:r>
              <w:rPr>
                <w:rFonts w:ascii="Arial" w:cs="Arial" w:eastAsia="Arial" w:hAnsi="Arial"/>
                <w:sz w:val="14"/>
                <w:szCs w:val="14"/>
                <w:color w:val="auto"/>
              </w:rPr>
              <w:t>Research Target Profile; Lead Candidate Identification.</w:t>
            </w:r>
          </w:p>
        </w:tc>
        <w:tc>
          <w:tcPr>
            <w:tcW w:w="15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3.5</w:t>
            </w:r>
          </w:p>
        </w:tc>
        <w:tc>
          <w:tcPr>
            <w:tcW w:w="9540" w:type="dxa"/>
            <w:vAlign w:val="bottom"/>
          </w:tcPr>
          <w:p>
            <w:pPr>
              <w:ind w:left="180"/>
              <w:spacing w:after="0"/>
              <w:rPr>
                <w:sz w:val="20"/>
                <w:szCs w:val="20"/>
                <w:color w:val="auto"/>
              </w:rPr>
            </w:pPr>
            <w:r>
              <w:rPr>
                <w:rFonts w:ascii="Arial" w:cs="Arial" w:eastAsia="Arial" w:hAnsi="Arial"/>
                <w:sz w:val="14"/>
                <w:szCs w:val="14"/>
                <w:color w:val="auto"/>
              </w:rPr>
              <w:t>Start of Pre-Clinical Development Candidate Criteria; SOPD Candidate Identification.</w:t>
            </w:r>
          </w:p>
        </w:tc>
        <w:tc>
          <w:tcPr>
            <w:tcW w:w="15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3.6</w:t>
            </w:r>
          </w:p>
        </w:tc>
        <w:tc>
          <w:tcPr>
            <w:tcW w:w="9540" w:type="dxa"/>
            <w:vAlign w:val="bottom"/>
          </w:tcPr>
          <w:p>
            <w:pPr>
              <w:ind w:left="180"/>
              <w:spacing w:after="0"/>
              <w:rPr>
                <w:sz w:val="20"/>
                <w:szCs w:val="20"/>
                <w:color w:val="auto"/>
              </w:rPr>
            </w:pPr>
            <w:r>
              <w:rPr>
                <w:rFonts w:ascii="Arial" w:cs="Arial" w:eastAsia="Arial" w:hAnsi="Arial"/>
                <w:sz w:val="14"/>
                <w:szCs w:val="14"/>
                <w:color w:val="auto"/>
              </w:rPr>
              <w:t>Materials and Know-How Transfer.</w:t>
            </w:r>
          </w:p>
        </w:tc>
        <w:tc>
          <w:tcPr>
            <w:tcW w:w="15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3.7</w:t>
            </w:r>
          </w:p>
        </w:tc>
        <w:tc>
          <w:tcPr>
            <w:tcW w:w="9540" w:type="dxa"/>
            <w:vAlign w:val="bottom"/>
          </w:tcPr>
          <w:p>
            <w:pPr>
              <w:ind w:left="180"/>
              <w:spacing w:after="0"/>
              <w:rPr>
                <w:sz w:val="20"/>
                <w:szCs w:val="20"/>
                <w:color w:val="auto"/>
              </w:rPr>
            </w:pPr>
            <w:r>
              <w:rPr>
                <w:rFonts w:ascii="Arial" w:cs="Arial" w:eastAsia="Arial" w:hAnsi="Arial"/>
                <w:sz w:val="14"/>
                <w:szCs w:val="14"/>
                <w:color w:val="auto"/>
              </w:rPr>
              <w:t>Third Party Intellectual Property</w:t>
            </w:r>
          </w:p>
        </w:tc>
        <w:tc>
          <w:tcPr>
            <w:tcW w:w="15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3.8</w:t>
            </w:r>
          </w:p>
        </w:tc>
        <w:tc>
          <w:tcPr>
            <w:tcW w:w="9540" w:type="dxa"/>
            <w:vAlign w:val="bottom"/>
          </w:tcPr>
          <w:p>
            <w:pPr>
              <w:ind w:left="180"/>
              <w:spacing w:after="0"/>
              <w:rPr>
                <w:sz w:val="20"/>
                <w:szCs w:val="20"/>
                <w:color w:val="auto"/>
              </w:rPr>
            </w:pPr>
            <w:r>
              <w:rPr>
                <w:rFonts w:ascii="Arial" w:cs="Arial" w:eastAsia="Arial" w:hAnsi="Arial"/>
                <w:sz w:val="14"/>
                <w:szCs w:val="14"/>
                <w:color w:val="auto"/>
              </w:rPr>
              <w:t>Manufacturing of Research Material</w:t>
            </w:r>
          </w:p>
        </w:tc>
        <w:tc>
          <w:tcPr>
            <w:tcW w:w="15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340" w:type="dxa"/>
            <w:vAlign w:val="bottom"/>
          </w:tcPr>
          <w:p>
            <w:pPr>
              <w:spacing w:after="0"/>
              <w:rPr>
                <w:sz w:val="20"/>
                <w:szCs w:val="20"/>
                <w:color w:val="auto"/>
              </w:rPr>
            </w:pPr>
            <w:r>
              <w:rPr>
                <w:rFonts w:ascii="Arial" w:cs="Arial" w:eastAsia="Arial" w:hAnsi="Arial"/>
                <w:sz w:val="14"/>
                <w:szCs w:val="14"/>
                <w:color w:val="auto"/>
              </w:rPr>
              <w:t>3.9</w:t>
            </w:r>
          </w:p>
        </w:tc>
        <w:tc>
          <w:tcPr>
            <w:tcW w:w="9540" w:type="dxa"/>
            <w:vAlign w:val="bottom"/>
          </w:tcPr>
          <w:p>
            <w:pPr>
              <w:ind w:left="180"/>
              <w:spacing w:after="0"/>
              <w:rPr>
                <w:sz w:val="20"/>
                <w:szCs w:val="20"/>
                <w:color w:val="auto"/>
              </w:rPr>
            </w:pPr>
            <w:r>
              <w:rPr>
                <w:rFonts w:ascii="Arial" w:cs="Arial" w:eastAsia="Arial" w:hAnsi="Arial"/>
                <w:sz w:val="14"/>
                <w:szCs w:val="14"/>
                <w:color w:val="auto"/>
              </w:rPr>
              <w:t>Records and Reports.</w:t>
            </w:r>
          </w:p>
        </w:tc>
        <w:tc>
          <w:tcPr>
            <w:tcW w:w="15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1"/>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ARTICLE IV DEVELOPMENT AND COMMERCIALIZATION OF PRODUCTS; DILIGENCE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45"/>
        </w:trPr>
        <w:tc>
          <w:tcPr>
            <w:tcW w:w="340" w:type="dxa"/>
            <w:vAlign w:val="bottom"/>
          </w:tcPr>
          <w:p>
            <w:pPr>
              <w:spacing w:after="0"/>
              <w:rPr>
                <w:sz w:val="20"/>
                <w:szCs w:val="20"/>
                <w:color w:val="auto"/>
              </w:rPr>
            </w:pPr>
            <w:r>
              <w:rPr>
                <w:rFonts w:ascii="Arial" w:cs="Arial" w:eastAsia="Arial" w:hAnsi="Arial"/>
                <w:sz w:val="14"/>
                <w:szCs w:val="14"/>
                <w:color w:val="auto"/>
              </w:rPr>
              <w:t>4.1</w:t>
            </w:r>
          </w:p>
        </w:tc>
        <w:tc>
          <w:tcPr>
            <w:tcW w:w="9540" w:type="dxa"/>
            <w:vAlign w:val="bottom"/>
          </w:tcPr>
          <w:p>
            <w:pPr>
              <w:ind w:left="180"/>
              <w:spacing w:after="0"/>
              <w:rPr>
                <w:sz w:val="20"/>
                <w:szCs w:val="20"/>
                <w:color w:val="auto"/>
              </w:rPr>
            </w:pPr>
            <w:r>
              <w:rPr>
                <w:rFonts w:ascii="Arial" w:cs="Arial" w:eastAsia="Arial" w:hAnsi="Arial"/>
                <w:sz w:val="14"/>
                <w:szCs w:val="14"/>
                <w:color w:val="auto"/>
              </w:rPr>
              <w:t>Responsibility for Development, Manufacturing and Commercialization.</w:t>
            </w:r>
          </w:p>
        </w:tc>
        <w:tc>
          <w:tcPr>
            <w:tcW w:w="1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4.2</w:t>
            </w:r>
          </w:p>
        </w:tc>
        <w:tc>
          <w:tcPr>
            <w:tcW w:w="9540" w:type="dxa"/>
            <w:vAlign w:val="bottom"/>
          </w:tcPr>
          <w:p>
            <w:pPr>
              <w:ind w:left="180"/>
              <w:spacing w:after="0"/>
              <w:rPr>
                <w:sz w:val="20"/>
                <w:szCs w:val="20"/>
                <w:color w:val="auto"/>
              </w:rPr>
            </w:pPr>
            <w:r>
              <w:rPr>
                <w:rFonts w:ascii="Arial" w:cs="Arial" w:eastAsia="Arial" w:hAnsi="Arial"/>
                <w:sz w:val="14"/>
                <w:szCs w:val="14"/>
                <w:color w:val="auto"/>
              </w:rPr>
              <w:t>Development and Commercialization Activities.</w:t>
            </w:r>
          </w:p>
        </w:tc>
        <w:tc>
          <w:tcPr>
            <w:tcW w:w="15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4.3</w:t>
            </w:r>
          </w:p>
        </w:tc>
        <w:tc>
          <w:tcPr>
            <w:tcW w:w="9540" w:type="dxa"/>
            <w:vAlign w:val="bottom"/>
          </w:tcPr>
          <w:p>
            <w:pPr>
              <w:ind w:left="18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4.4</w:t>
            </w:r>
          </w:p>
        </w:tc>
        <w:tc>
          <w:tcPr>
            <w:tcW w:w="9540" w:type="dxa"/>
            <w:vAlign w:val="bottom"/>
          </w:tcPr>
          <w:p>
            <w:pPr>
              <w:ind w:left="180"/>
              <w:spacing w:after="0"/>
              <w:rPr>
                <w:sz w:val="20"/>
                <w:szCs w:val="20"/>
                <w:color w:val="auto"/>
              </w:rPr>
            </w:pPr>
            <w:r>
              <w:rPr>
                <w:rFonts w:ascii="Arial" w:cs="Arial" w:eastAsia="Arial" w:hAnsi="Arial"/>
                <w:sz w:val="14"/>
                <w:szCs w:val="14"/>
                <w:color w:val="auto"/>
              </w:rPr>
              <w:t>Co-Development.</w:t>
            </w:r>
          </w:p>
        </w:tc>
        <w:tc>
          <w:tcPr>
            <w:tcW w:w="15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340" w:type="dxa"/>
            <w:vAlign w:val="bottom"/>
          </w:tcPr>
          <w:p>
            <w:pPr>
              <w:spacing w:after="0"/>
              <w:rPr>
                <w:sz w:val="20"/>
                <w:szCs w:val="20"/>
                <w:color w:val="auto"/>
              </w:rPr>
            </w:pPr>
            <w:r>
              <w:rPr>
                <w:rFonts w:ascii="Arial" w:cs="Arial" w:eastAsia="Arial" w:hAnsi="Arial"/>
                <w:sz w:val="14"/>
                <w:szCs w:val="14"/>
                <w:color w:val="auto"/>
              </w:rPr>
              <w:t>4.5</w:t>
            </w:r>
          </w:p>
        </w:tc>
        <w:tc>
          <w:tcPr>
            <w:tcW w:w="9540" w:type="dxa"/>
            <w:vAlign w:val="bottom"/>
          </w:tcPr>
          <w:p>
            <w:pPr>
              <w:ind w:left="180"/>
              <w:spacing w:after="0"/>
              <w:rPr>
                <w:sz w:val="20"/>
                <w:szCs w:val="20"/>
                <w:color w:val="auto"/>
              </w:rPr>
            </w:pPr>
            <w:r>
              <w:rPr>
                <w:rFonts w:ascii="Arial" w:cs="Arial" w:eastAsia="Arial" w:hAnsi="Arial"/>
                <w:sz w:val="14"/>
                <w:szCs w:val="14"/>
                <w:color w:val="auto"/>
              </w:rPr>
              <w:t>Co-Promotion.</w:t>
            </w:r>
          </w:p>
        </w:tc>
        <w:tc>
          <w:tcPr>
            <w:tcW w:w="1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51"/>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ARTICLE V GRANTS OF RIGHTS</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45"/>
        </w:trPr>
        <w:tc>
          <w:tcPr>
            <w:tcW w:w="340" w:type="dxa"/>
            <w:vAlign w:val="bottom"/>
          </w:tcPr>
          <w:p>
            <w:pPr>
              <w:spacing w:after="0"/>
              <w:rPr>
                <w:sz w:val="20"/>
                <w:szCs w:val="20"/>
                <w:color w:val="auto"/>
              </w:rPr>
            </w:pPr>
            <w:r>
              <w:rPr>
                <w:rFonts w:ascii="Arial" w:cs="Arial" w:eastAsia="Arial" w:hAnsi="Arial"/>
                <w:sz w:val="14"/>
                <w:szCs w:val="14"/>
                <w:color w:val="auto"/>
              </w:rPr>
              <w:t>5.1</w:t>
            </w:r>
          </w:p>
        </w:tc>
        <w:tc>
          <w:tcPr>
            <w:tcW w:w="9540" w:type="dxa"/>
            <w:vAlign w:val="bottom"/>
          </w:tcPr>
          <w:p>
            <w:pPr>
              <w:ind w:left="180"/>
              <w:spacing w:after="0"/>
              <w:rPr>
                <w:sz w:val="20"/>
                <w:szCs w:val="20"/>
                <w:color w:val="auto"/>
              </w:rPr>
            </w:pPr>
            <w:r>
              <w:rPr>
                <w:rFonts w:ascii="Arial" w:cs="Arial" w:eastAsia="Arial" w:hAnsi="Arial"/>
                <w:sz w:val="14"/>
                <w:szCs w:val="14"/>
                <w:color w:val="auto"/>
              </w:rPr>
              <w:t>Licenses to BI.</w:t>
            </w:r>
          </w:p>
        </w:tc>
        <w:tc>
          <w:tcPr>
            <w:tcW w:w="1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5.2</w:t>
            </w:r>
          </w:p>
        </w:tc>
        <w:tc>
          <w:tcPr>
            <w:tcW w:w="9540" w:type="dxa"/>
            <w:vAlign w:val="bottom"/>
          </w:tcPr>
          <w:p>
            <w:pPr>
              <w:ind w:left="180"/>
              <w:spacing w:after="0"/>
              <w:rPr>
                <w:sz w:val="20"/>
                <w:szCs w:val="20"/>
                <w:color w:val="auto"/>
              </w:rPr>
            </w:pPr>
            <w:r>
              <w:rPr>
                <w:rFonts w:ascii="Arial" w:cs="Arial" w:eastAsia="Arial" w:hAnsi="Arial"/>
                <w:sz w:val="14"/>
                <w:szCs w:val="14"/>
                <w:color w:val="auto"/>
              </w:rPr>
              <w:t>Recordation</w:t>
            </w:r>
          </w:p>
        </w:tc>
        <w:tc>
          <w:tcPr>
            <w:tcW w:w="15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5.3</w:t>
            </w:r>
          </w:p>
        </w:tc>
        <w:tc>
          <w:tcPr>
            <w:tcW w:w="9540" w:type="dxa"/>
            <w:vAlign w:val="bottom"/>
          </w:tcPr>
          <w:p>
            <w:pPr>
              <w:ind w:left="180"/>
              <w:spacing w:after="0"/>
              <w:rPr>
                <w:sz w:val="20"/>
                <w:szCs w:val="20"/>
                <w:color w:val="auto"/>
              </w:rPr>
            </w:pPr>
            <w:r>
              <w:rPr>
                <w:rFonts w:ascii="Arial" w:cs="Arial" w:eastAsia="Arial" w:hAnsi="Arial"/>
                <w:sz w:val="14"/>
                <w:szCs w:val="14"/>
                <w:color w:val="auto"/>
              </w:rPr>
              <w:t>Non-Exclusive Research License to MacroGenics</w:t>
            </w: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5.4</w:t>
            </w:r>
          </w:p>
        </w:tc>
        <w:tc>
          <w:tcPr>
            <w:tcW w:w="9540" w:type="dxa"/>
            <w:vAlign w:val="bottom"/>
          </w:tcPr>
          <w:p>
            <w:pPr>
              <w:ind w:left="180"/>
              <w:spacing w:after="0"/>
              <w:rPr>
                <w:sz w:val="20"/>
                <w:szCs w:val="20"/>
                <w:color w:val="auto"/>
              </w:rPr>
            </w:pPr>
            <w:r>
              <w:rPr>
                <w:rFonts w:ascii="Arial" w:cs="Arial" w:eastAsia="Arial" w:hAnsi="Arial"/>
                <w:sz w:val="14"/>
                <w:szCs w:val="14"/>
                <w:color w:val="auto"/>
              </w:rPr>
              <w:t>Sublicenses.</w:t>
            </w: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5.5</w:t>
            </w:r>
          </w:p>
        </w:tc>
        <w:tc>
          <w:tcPr>
            <w:tcW w:w="9540" w:type="dxa"/>
            <w:vAlign w:val="bottom"/>
          </w:tcPr>
          <w:p>
            <w:pPr>
              <w:ind w:left="180"/>
              <w:spacing w:after="0"/>
              <w:rPr>
                <w:sz w:val="20"/>
                <w:szCs w:val="20"/>
                <w:color w:val="auto"/>
              </w:rPr>
            </w:pPr>
            <w:r>
              <w:rPr>
                <w:rFonts w:ascii="Arial" w:cs="Arial" w:eastAsia="Arial" w:hAnsi="Arial"/>
                <w:sz w:val="14"/>
                <w:szCs w:val="14"/>
                <w:color w:val="auto"/>
              </w:rPr>
              <w:t>Covenant not to Sue</w:t>
            </w: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5.6</w:t>
            </w:r>
          </w:p>
        </w:tc>
        <w:tc>
          <w:tcPr>
            <w:tcW w:w="9540" w:type="dxa"/>
            <w:vAlign w:val="bottom"/>
          </w:tcPr>
          <w:p>
            <w:pPr>
              <w:ind w:left="180"/>
              <w:spacing w:after="0"/>
              <w:rPr>
                <w:sz w:val="20"/>
                <w:szCs w:val="20"/>
                <w:color w:val="auto"/>
              </w:rPr>
            </w:pPr>
            <w:r>
              <w:rPr>
                <w:rFonts w:ascii="Arial" w:cs="Arial" w:eastAsia="Arial" w:hAnsi="Arial"/>
                <w:sz w:val="14"/>
                <w:szCs w:val="14"/>
                <w:color w:val="auto"/>
              </w:rPr>
              <w:t>Rights Retained by the Parties.</w:t>
            </w: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5.7</w:t>
            </w:r>
          </w:p>
        </w:tc>
        <w:tc>
          <w:tcPr>
            <w:tcW w:w="9540" w:type="dxa"/>
            <w:vAlign w:val="bottom"/>
          </w:tcPr>
          <w:p>
            <w:pPr>
              <w:ind w:left="180"/>
              <w:spacing w:after="0"/>
              <w:rPr>
                <w:sz w:val="20"/>
                <w:szCs w:val="20"/>
                <w:color w:val="auto"/>
              </w:rPr>
            </w:pPr>
            <w:r>
              <w:rPr>
                <w:rFonts w:ascii="Arial" w:cs="Arial" w:eastAsia="Arial" w:hAnsi="Arial"/>
                <w:sz w:val="14"/>
                <w:szCs w:val="14"/>
                <w:color w:val="auto"/>
              </w:rPr>
              <w:t>Section 365(n) of the Bankruptcy Code</w:t>
            </w:r>
          </w:p>
        </w:tc>
        <w:tc>
          <w:tcPr>
            <w:tcW w:w="15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73"/>
        </w:trPr>
        <w:tc>
          <w:tcPr>
            <w:tcW w:w="340" w:type="dxa"/>
            <w:vAlign w:val="bottom"/>
          </w:tcPr>
          <w:p>
            <w:pPr>
              <w:spacing w:after="0"/>
              <w:rPr>
                <w:sz w:val="20"/>
                <w:szCs w:val="20"/>
                <w:color w:val="auto"/>
              </w:rPr>
            </w:pPr>
            <w:r>
              <w:rPr>
                <w:rFonts w:ascii="Arial" w:cs="Arial" w:eastAsia="Arial" w:hAnsi="Arial"/>
                <w:sz w:val="14"/>
                <w:szCs w:val="14"/>
                <w:color w:val="auto"/>
              </w:rPr>
              <w:t>5.8</w:t>
            </w:r>
          </w:p>
        </w:tc>
        <w:tc>
          <w:tcPr>
            <w:tcW w:w="9540" w:type="dxa"/>
            <w:vAlign w:val="bottom"/>
          </w:tcPr>
          <w:p>
            <w:pPr>
              <w:ind w:left="180"/>
              <w:spacing w:after="0"/>
              <w:rPr>
                <w:sz w:val="20"/>
                <w:szCs w:val="20"/>
                <w:color w:val="auto"/>
              </w:rPr>
            </w:pPr>
            <w:r>
              <w:rPr>
                <w:rFonts w:ascii="Arial" w:cs="Arial" w:eastAsia="Arial" w:hAnsi="Arial"/>
                <w:sz w:val="14"/>
                <w:szCs w:val="14"/>
                <w:color w:val="auto"/>
              </w:rPr>
              <w:t>Exclusivity</w:t>
            </w:r>
          </w:p>
        </w:tc>
        <w:tc>
          <w:tcPr>
            <w:tcW w:w="152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175"/>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ARTICLE VI PAYMENTS; ROYALTIES AND REPORTS</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45"/>
        </w:trPr>
        <w:tc>
          <w:tcPr>
            <w:tcW w:w="440" w:type="dxa"/>
            <w:vAlign w:val="bottom"/>
          </w:tcPr>
          <w:p>
            <w:pPr>
              <w:spacing w:after="0"/>
              <w:rPr>
                <w:sz w:val="20"/>
                <w:szCs w:val="20"/>
                <w:color w:val="auto"/>
              </w:rPr>
            </w:pPr>
            <w:r>
              <w:rPr>
                <w:rFonts w:ascii="Arial" w:cs="Arial" w:eastAsia="Arial" w:hAnsi="Arial"/>
                <w:sz w:val="14"/>
                <w:szCs w:val="14"/>
                <w:color w:val="auto"/>
              </w:rPr>
              <w:t>6.1</w:t>
            </w:r>
          </w:p>
        </w:tc>
        <w:tc>
          <w:tcPr>
            <w:tcW w:w="8000" w:type="dxa"/>
            <w:vAlign w:val="bottom"/>
          </w:tcPr>
          <w:p>
            <w:pPr>
              <w:ind w:left="200"/>
              <w:spacing w:after="0"/>
              <w:rPr>
                <w:sz w:val="20"/>
                <w:szCs w:val="20"/>
                <w:color w:val="auto"/>
              </w:rPr>
            </w:pPr>
            <w:r>
              <w:rPr>
                <w:rFonts w:ascii="Arial" w:cs="Arial" w:eastAsia="Arial" w:hAnsi="Arial"/>
                <w:sz w:val="14"/>
                <w:szCs w:val="14"/>
                <w:color w:val="auto"/>
              </w:rPr>
              <w:t>Initial License Payment</w:t>
            </w:r>
          </w:p>
        </w:tc>
        <w:tc>
          <w:tcPr>
            <w:tcW w:w="29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6.2</w:t>
            </w:r>
          </w:p>
        </w:tc>
        <w:tc>
          <w:tcPr>
            <w:tcW w:w="8000" w:type="dxa"/>
            <w:vAlign w:val="bottom"/>
          </w:tcPr>
          <w:p>
            <w:pPr>
              <w:ind w:left="200"/>
              <w:spacing w:after="0"/>
              <w:rPr>
                <w:sz w:val="20"/>
                <w:szCs w:val="20"/>
                <w:color w:val="auto"/>
              </w:rPr>
            </w:pPr>
            <w:r>
              <w:rPr>
                <w:rFonts w:ascii="Arial" w:cs="Arial" w:eastAsia="Arial" w:hAnsi="Arial"/>
                <w:sz w:val="14"/>
                <w:szCs w:val="14"/>
                <w:color w:val="auto"/>
              </w:rPr>
              <w:t>Equity Investment</w:t>
            </w:r>
          </w:p>
        </w:tc>
        <w:tc>
          <w:tcPr>
            <w:tcW w:w="29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6.3</w:t>
            </w:r>
          </w:p>
        </w:tc>
        <w:tc>
          <w:tcPr>
            <w:tcW w:w="8000" w:type="dxa"/>
            <w:vAlign w:val="bottom"/>
          </w:tcPr>
          <w:p>
            <w:pPr>
              <w:ind w:left="200"/>
              <w:spacing w:after="0"/>
              <w:rPr>
                <w:sz w:val="20"/>
                <w:szCs w:val="20"/>
                <w:color w:val="auto"/>
              </w:rPr>
            </w:pPr>
            <w:r>
              <w:rPr>
                <w:rFonts w:ascii="Arial" w:cs="Arial" w:eastAsia="Arial" w:hAnsi="Arial"/>
                <w:sz w:val="14"/>
                <w:szCs w:val="14"/>
                <w:color w:val="auto"/>
              </w:rPr>
              <w:t>Programs Funding.</w:t>
            </w:r>
          </w:p>
        </w:tc>
        <w:tc>
          <w:tcPr>
            <w:tcW w:w="29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6.4</w:t>
            </w:r>
          </w:p>
        </w:tc>
        <w:tc>
          <w:tcPr>
            <w:tcW w:w="8000" w:type="dxa"/>
            <w:vAlign w:val="bottom"/>
          </w:tcPr>
          <w:p>
            <w:pPr>
              <w:ind w:left="200"/>
              <w:spacing w:after="0"/>
              <w:rPr>
                <w:sz w:val="20"/>
                <w:szCs w:val="20"/>
                <w:color w:val="auto"/>
              </w:rPr>
            </w:pPr>
            <w:r>
              <w:rPr>
                <w:rFonts w:ascii="Arial" w:cs="Arial" w:eastAsia="Arial" w:hAnsi="Arial"/>
                <w:sz w:val="14"/>
                <w:szCs w:val="14"/>
                <w:color w:val="auto"/>
              </w:rPr>
              <w:t>Development Milestone Payments.</w:t>
            </w:r>
          </w:p>
        </w:tc>
        <w:tc>
          <w:tcPr>
            <w:tcW w:w="29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6.5</w:t>
            </w:r>
          </w:p>
        </w:tc>
        <w:tc>
          <w:tcPr>
            <w:tcW w:w="8000" w:type="dxa"/>
            <w:vAlign w:val="bottom"/>
          </w:tcPr>
          <w:p>
            <w:pPr>
              <w:ind w:left="200"/>
              <w:spacing w:after="0"/>
              <w:rPr>
                <w:sz w:val="20"/>
                <w:szCs w:val="20"/>
                <w:color w:val="auto"/>
              </w:rPr>
            </w:pPr>
            <w:r>
              <w:rPr>
                <w:rFonts w:ascii="Arial" w:cs="Arial" w:eastAsia="Arial" w:hAnsi="Arial"/>
                <w:sz w:val="14"/>
                <w:szCs w:val="14"/>
                <w:color w:val="auto"/>
              </w:rPr>
              <w:t>Sales Milestone Payments.</w:t>
            </w:r>
          </w:p>
        </w:tc>
        <w:tc>
          <w:tcPr>
            <w:tcW w:w="2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6.6</w:t>
            </w:r>
          </w:p>
        </w:tc>
        <w:tc>
          <w:tcPr>
            <w:tcW w:w="8000" w:type="dxa"/>
            <w:vAlign w:val="bottom"/>
          </w:tcPr>
          <w:p>
            <w:pPr>
              <w:ind w:left="200"/>
              <w:spacing w:after="0"/>
              <w:rPr>
                <w:sz w:val="20"/>
                <w:szCs w:val="20"/>
                <w:color w:val="auto"/>
              </w:rPr>
            </w:pPr>
            <w:r>
              <w:rPr>
                <w:rFonts w:ascii="Arial" w:cs="Arial" w:eastAsia="Arial" w:hAnsi="Arial"/>
                <w:sz w:val="14"/>
                <w:szCs w:val="14"/>
                <w:color w:val="auto"/>
              </w:rPr>
              <w:t>Royalties</w:t>
            </w:r>
          </w:p>
        </w:tc>
        <w:tc>
          <w:tcPr>
            <w:tcW w:w="2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6.7</w:t>
            </w:r>
          </w:p>
        </w:tc>
        <w:tc>
          <w:tcPr>
            <w:tcW w:w="8000" w:type="dxa"/>
            <w:vAlign w:val="bottom"/>
          </w:tcPr>
          <w:p>
            <w:pPr>
              <w:ind w:left="200"/>
              <w:spacing w:after="0"/>
              <w:rPr>
                <w:sz w:val="20"/>
                <w:szCs w:val="20"/>
                <w:color w:val="auto"/>
              </w:rPr>
            </w:pPr>
            <w:r>
              <w:rPr>
                <w:rFonts w:ascii="Arial" w:cs="Arial" w:eastAsia="Arial" w:hAnsi="Arial"/>
                <w:sz w:val="14"/>
                <w:szCs w:val="14"/>
                <w:color w:val="auto"/>
              </w:rPr>
              <w:t>Reports; Payments</w:t>
            </w:r>
          </w:p>
        </w:tc>
        <w:tc>
          <w:tcPr>
            <w:tcW w:w="2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6.8</w:t>
            </w:r>
          </w:p>
        </w:tc>
        <w:tc>
          <w:tcPr>
            <w:tcW w:w="8000" w:type="dxa"/>
            <w:vAlign w:val="bottom"/>
          </w:tcPr>
          <w:p>
            <w:pPr>
              <w:ind w:left="200"/>
              <w:spacing w:after="0"/>
              <w:rPr>
                <w:sz w:val="20"/>
                <w:szCs w:val="20"/>
                <w:color w:val="auto"/>
              </w:rPr>
            </w:pPr>
            <w:r>
              <w:rPr>
                <w:rFonts w:ascii="Arial" w:cs="Arial" w:eastAsia="Arial" w:hAnsi="Arial"/>
                <w:sz w:val="14"/>
                <w:szCs w:val="14"/>
                <w:color w:val="auto"/>
              </w:rPr>
              <w:t>Books and Records; Audit Rights</w:t>
            </w:r>
          </w:p>
        </w:tc>
        <w:tc>
          <w:tcPr>
            <w:tcW w:w="2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6.9</w:t>
            </w:r>
          </w:p>
        </w:tc>
        <w:tc>
          <w:tcPr>
            <w:tcW w:w="8000" w:type="dxa"/>
            <w:vAlign w:val="bottom"/>
          </w:tcPr>
          <w:p>
            <w:pPr>
              <w:ind w:left="200"/>
              <w:spacing w:after="0"/>
              <w:rPr>
                <w:sz w:val="20"/>
                <w:szCs w:val="20"/>
                <w:color w:val="auto"/>
              </w:rPr>
            </w:pPr>
            <w:r>
              <w:rPr>
                <w:rFonts w:ascii="Arial" w:cs="Arial" w:eastAsia="Arial" w:hAnsi="Arial"/>
                <w:sz w:val="14"/>
                <w:szCs w:val="14"/>
                <w:color w:val="auto"/>
              </w:rPr>
              <w:t>Taxes</w:t>
            </w:r>
          </w:p>
        </w:tc>
        <w:tc>
          <w:tcPr>
            <w:tcW w:w="29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6.10</w:t>
            </w:r>
          </w:p>
        </w:tc>
        <w:tc>
          <w:tcPr>
            <w:tcW w:w="8000" w:type="dxa"/>
            <w:vAlign w:val="bottom"/>
          </w:tcPr>
          <w:p>
            <w:pPr>
              <w:ind w:left="200"/>
              <w:spacing w:after="0"/>
              <w:rPr>
                <w:sz w:val="20"/>
                <w:szCs w:val="20"/>
                <w:color w:val="auto"/>
              </w:rPr>
            </w:pPr>
            <w:r>
              <w:rPr>
                <w:rFonts w:ascii="Arial" w:cs="Arial" w:eastAsia="Arial" w:hAnsi="Arial"/>
                <w:sz w:val="14"/>
                <w:szCs w:val="14"/>
                <w:color w:val="auto"/>
              </w:rPr>
              <w:t>United States Dollars</w:t>
            </w:r>
          </w:p>
        </w:tc>
        <w:tc>
          <w:tcPr>
            <w:tcW w:w="29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6.11</w:t>
            </w:r>
          </w:p>
        </w:tc>
        <w:tc>
          <w:tcPr>
            <w:tcW w:w="8000" w:type="dxa"/>
            <w:vAlign w:val="bottom"/>
          </w:tcPr>
          <w:p>
            <w:pPr>
              <w:ind w:left="200"/>
              <w:spacing w:after="0"/>
              <w:rPr>
                <w:sz w:val="20"/>
                <w:szCs w:val="20"/>
                <w:color w:val="auto"/>
              </w:rPr>
            </w:pPr>
            <w:r>
              <w:rPr>
                <w:rFonts w:ascii="Arial" w:cs="Arial" w:eastAsia="Arial" w:hAnsi="Arial"/>
                <w:sz w:val="14"/>
                <w:szCs w:val="14"/>
                <w:color w:val="auto"/>
              </w:rPr>
              <w:t>Payment Method and Currency Conversion</w:t>
            </w:r>
          </w:p>
        </w:tc>
        <w:tc>
          <w:tcPr>
            <w:tcW w:w="29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6.12</w:t>
            </w:r>
          </w:p>
        </w:tc>
        <w:tc>
          <w:tcPr>
            <w:tcW w:w="8000" w:type="dxa"/>
            <w:vAlign w:val="bottom"/>
          </w:tcPr>
          <w:p>
            <w:pPr>
              <w:ind w:left="200"/>
              <w:spacing w:after="0"/>
              <w:rPr>
                <w:sz w:val="20"/>
                <w:szCs w:val="20"/>
                <w:color w:val="auto"/>
              </w:rPr>
            </w:pPr>
            <w:r>
              <w:rPr>
                <w:rFonts w:ascii="Arial" w:cs="Arial" w:eastAsia="Arial" w:hAnsi="Arial"/>
                <w:sz w:val="14"/>
                <w:szCs w:val="14"/>
                <w:color w:val="auto"/>
              </w:rPr>
              <w:t>Blocked Payments</w:t>
            </w:r>
          </w:p>
        </w:tc>
        <w:tc>
          <w:tcPr>
            <w:tcW w:w="2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73"/>
        </w:trPr>
        <w:tc>
          <w:tcPr>
            <w:tcW w:w="440" w:type="dxa"/>
            <w:vAlign w:val="bottom"/>
          </w:tcPr>
          <w:p>
            <w:pPr>
              <w:spacing w:after="0"/>
              <w:rPr>
                <w:sz w:val="20"/>
                <w:szCs w:val="20"/>
                <w:color w:val="auto"/>
              </w:rPr>
            </w:pPr>
            <w:r>
              <w:rPr>
                <w:rFonts w:ascii="Arial" w:cs="Arial" w:eastAsia="Arial" w:hAnsi="Arial"/>
                <w:sz w:val="14"/>
                <w:szCs w:val="14"/>
                <w:color w:val="auto"/>
              </w:rPr>
              <w:t>6.13</w:t>
            </w:r>
          </w:p>
        </w:tc>
        <w:tc>
          <w:tcPr>
            <w:tcW w:w="8000" w:type="dxa"/>
            <w:vAlign w:val="bottom"/>
          </w:tcPr>
          <w:p>
            <w:pPr>
              <w:ind w:left="200"/>
              <w:spacing w:after="0"/>
              <w:rPr>
                <w:sz w:val="20"/>
                <w:szCs w:val="20"/>
                <w:color w:val="auto"/>
              </w:rPr>
            </w:pPr>
            <w:r>
              <w:rPr>
                <w:rFonts w:ascii="Arial" w:cs="Arial" w:eastAsia="Arial" w:hAnsi="Arial"/>
                <w:sz w:val="14"/>
                <w:szCs w:val="14"/>
                <w:color w:val="auto"/>
              </w:rPr>
              <w:t>Late Payments</w:t>
            </w:r>
          </w:p>
        </w:tc>
        <w:tc>
          <w:tcPr>
            <w:tcW w:w="2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ARTICLE VII PATENTS</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45"/>
        </w:trPr>
        <w:tc>
          <w:tcPr>
            <w:tcW w:w="440" w:type="dxa"/>
            <w:vAlign w:val="bottom"/>
          </w:tcPr>
          <w:p>
            <w:pPr>
              <w:spacing w:after="0"/>
              <w:rPr>
                <w:sz w:val="20"/>
                <w:szCs w:val="20"/>
                <w:color w:val="auto"/>
              </w:rPr>
            </w:pPr>
            <w:r>
              <w:rPr>
                <w:rFonts w:ascii="Arial" w:cs="Arial" w:eastAsia="Arial" w:hAnsi="Arial"/>
                <w:sz w:val="14"/>
                <w:szCs w:val="14"/>
                <w:color w:val="auto"/>
              </w:rPr>
              <w:t>7.1</w:t>
            </w:r>
          </w:p>
        </w:tc>
        <w:tc>
          <w:tcPr>
            <w:tcW w:w="8000" w:type="dxa"/>
            <w:vAlign w:val="bottom"/>
          </w:tcPr>
          <w:p>
            <w:pPr>
              <w:ind w:left="200"/>
              <w:spacing w:after="0"/>
              <w:rPr>
                <w:sz w:val="20"/>
                <w:szCs w:val="20"/>
                <w:color w:val="auto"/>
              </w:rPr>
            </w:pPr>
            <w:r>
              <w:rPr>
                <w:rFonts w:ascii="Arial" w:cs="Arial" w:eastAsia="Arial" w:hAnsi="Arial"/>
                <w:sz w:val="14"/>
                <w:szCs w:val="14"/>
                <w:color w:val="auto"/>
              </w:rPr>
              <w:t>Ownership.</w:t>
            </w:r>
          </w:p>
        </w:tc>
        <w:tc>
          <w:tcPr>
            <w:tcW w:w="2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7.2</w:t>
            </w:r>
          </w:p>
        </w:tc>
        <w:tc>
          <w:tcPr>
            <w:tcW w:w="8000" w:type="dxa"/>
            <w:vAlign w:val="bottom"/>
          </w:tcPr>
          <w:p>
            <w:pPr>
              <w:ind w:left="200"/>
              <w:spacing w:after="0"/>
              <w:rPr>
                <w:sz w:val="20"/>
                <w:szCs w:val="20"/>
                <w:color w:val="auto"/>
              </w:rPr>
            </w:pPr>
            <w:r>
              <w:rPr>
                <w:rFonts w:ascii="Arial" w:cs="Arial" w:eastAsia="Arial" w:hAnsi="Arial"/>
                <w:sz w:val="14"/>
                <w:szCs w:val="14"/>
                <w:color w:val="auto"/>
              </w:rPr>
              <w:t>BI Prosecution and Maintenance of Patent Rights</w:t>
            </w:r>
          </w:p>
        </w:tc>
        <w:tc>
          <w:tcPr>
            <w:tcW w:w="29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7.3</w:t>
            </w:r>
          </w:p>
        </w:tc>
        <w:tc>
          <w:tcPr>
            <w:tcW w:w="8000" w:type="dxa"/>
            <w:vAlign w:val="bottom"/>
          </w:tcPr>
          <w:p>
            <w:pPr>
              <w:ind w:left="200"/>
              <w:spacing w:after="0"/>
              <w:rPr>
                <w:sz w:val="20"/>
                <w:szCs w:val="20"/>
                <w:color w:val="auto"/>
              </w:rPr>
            </w:pPr>
            <w:r>
              <w:rPr>
                <w:rFonts w:ascii="Arial" w:cs="Arial" w:eastAsia="Arial" w:hAnsi="Arial"/>
                <w:sz w:val="14"/>
                <w:szCs w:val="14"/>
                <w:color w:val="auto"/>
              </w:rPr>
              <w:t>MacroGenics Prosecution and Maintenance of Patent Rights</w:t>
            </w:r>
          </w:p>
        </w:tc>
        <w:tc>
          <w:tcPr>
            <w:tcW w:w="29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7.4</w:t>
            </w:r>
          </w:p>
        </w:tc>
        <w:tc>
          <w:tcPr>
            <w:tcW w:w="8000" w:type="dxa"/>
            <w:vAlign w:val="bottom"/>
          </w:tcPr>
          <w:p>
            <w:pPr>
              <w:ind w:left="200"/>
              <w:spacing w:after="0"/>
              <w:rPr>
                <w:sz w:val="20"/>
                <w:szCs w:val="20"/>
                <w:color w:val="auto"/>
              </w:rPr>
            </w:pPr>
            <w:r>
              <w:rPr>
                <w:rFonts w:ascii="Arial" w:cs="Arial" w:eastAsia="Arial" w:hAnsi="Arial"/>
                <w:sz w:val="14"/>
                <w:szCs w:val="14"/>
                <w:color w:val="auto"/>
              </w:rPr>
              <w:t>Prosecution and Maintenance of Joint Patent Rights and Collaboration DART Patent Rights</w:t>
            </w:r>
          </w:p>
        </w:tc>
        <w:tc>
          <w:tcPr>
            <w:tcW w:w="29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7.5</w:t>
            </w:r>
          </w:p>
        </w:tc>
        <w:tc>
          <w:tcPr>
            <w:tcW w:w="8000" w:type="dxa"/>
            <w:vAlign w:val="bottom"/>
          </w:tcPr>
          <w:p>
            <w:pPr>
              <w:ind w:left="200"/>
              <w:spacing w:after="0"/>
              <w:rPr>
                <w:sz w:val="20"/>
                <w:szCs w:val="20"/>
                <w:color w:val="auto"/>
              </w:rPr>
            </w:pPr>
            <w:r>
              <w:rPr>
                <w:rFonts w:ascii="Arial" w:cs="Arial" w:eastAsia="Arial" w:hAnsi="Arial"/>
                <w:sz w:val="14"/>
                <w:szCs w:val="14"/>
                <w:color w:val="auto"/>
              </w:rPr>
              <w:t>Third Party Infringement.</w:t>
            </w:r>
          </w:p>
        </w:tc>
        <w:tc>
          <w:tcPr>
            <w:tcW w:w="29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7.6</w:t>
            </w:r>
          </w:p>
        </w:tc>
        <w:tc>
          <w:tcPr>
            <w:tcW w:w="8000" w:type="dxa"/>
            <w:vAlign w:val="bottom"/>
          </w:tcPr>
          <w:p>
            <w:pPr>
              <w:ind w:left="200"/>
              <w:spacing w:after="0"/>
              <w:rPr>
                <w:sz w:val="20"/>
                <w:szCs w:val="20"/>
                <w:color w:val="auto"/>
              </w:rPr>
            </w:pPr>
            <w:r>
              <w:rPr>
                <w:rFonts w:ascii="Arial" w:cs="Arial" w:eastAsia="Arial" w:hAnsi="Arial"/>
                <w:sz w:val="14"/>
                <w:szCs w:val="14"/>
                <w:color w:val="auto"/>
              </w:rPr>
              <w:t>Patent Invalidity Claim.</w:t>
            </w:r>
          </w:p>
        </w:tc>
        <w:tc>
          <w:tcPr>
            <w:tcW w:w="29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7.7</w:t>
            </w:r>
          </w:p>
        </w:tc>
        <w:tc>
          <w:tcPr>
            <w:tcW w:w="8000" w:type="dxa"/>
            <w:vAlign w:val="bottom"/>
          </w:tcPr>
          <w:p>
            <w:pPr>
              <w:ind w:left="200"/>
              <w:spacing w:after="0"/>
              <w:rPr>
                <w:sz w:val="20"/>
                <w:szCs w:val="20"/>
                <w:color w:val="auto"/>
              </w:rPr>
            </w:pPr>
            <w:r>
              <w:rPr>
                <w:rFonts w:ascii="Arial" w:cs="Arial" w:eastAsia="Arial" w:hAnsi="Arial"/>
                <w:sz w:val="14"/>
                <w:szCs w:val="14"/>
                <w:color w:val="auto"/>
              </w:rPr>
              <w:t>Patent Term Extensions</w:t>
            </w:r>
          </w:p>
        </w:tc>
        <w:tc>
          <w:tcPr>
            <w:tcW w:w="2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73"/>
        </w:trPr>
        <w:tc>
          <w:tcPr>
            <w:tcW w:w="440" w:type="dxa"/>
            <w:vAlign w:val="bottom"/>
          </w:tcPr>
          <w:p>
            <w:pPr>
              <w:spacing w:after="0"/>
              <w:rPr>
                <w:sz w:val="20"/>
                <w:szCs w:val="20"/>
                <w:color w:val="auto"/>
              </w:rPr>
            </w:pPr>
            <w:r>
              <w:rPr>
                <w:rFonts w:ascii="Arial" w:cs="Arial" w:eastAsia="Arial" w:hAnsi="Arial"/>
                <w:sz w:val="14"/>
                <w:szCs w:val="14"/>
                <w:color w:val="auto"/>
              </w:rPr>
              <w:t>7.8</w:t>
            </w:r>
          </w:p>
        </w:tc>
        <w:tc>
          <w:tcPr>
            <w:tcW w:w="8000" w:type="dxa"/>
            <w:vAlign w:val="bottom"/>
          </w:tcPr>
          <w:p>
            <w:pPr>
              <w:ind w:left="200"/>
              <w:spacing w:after="0"/>
              <w:rPr>
                <w:sz w:val="20"/>
                <w:szCs w:val="20"/>
                <w:color w:val="auto"/>
              </w:rPr>
            </w:pPr>
            <w:r>
              <w:rPr>
                <w:rFonts w:ascii="Arial" w:cs="Arial" w:eastAsia="Arial" w:hAnsi="Arial"/>
                <w:sz w:val="14"/>
                <w:szCs w:val="14"/>
                <w:color w:val="auto"/>
              </w:rPr>
              <w:t>Patent Marking</w:t>
            </w:r>
          </w:p>
        </w:tc>
        <w:tc>
          <w:tcPr>
            <w:tcW w:w="2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5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ARTICLE VIII CONFIDENTIALITY AND PUBLICATION</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45"/>
        </w:trPr>
        <w:tc>
          <w:tcPr>
            <w:tcW w:w="440" w:type="dxa"/>
            <w:vAlign w:val="bottom"/>
          </w:tcPr>
          <w:p>
            <w:pPr>
              <w:spacing w:after="0"/>
              <w:rPr>
                <w:sz w:val="20"/>
                <w:szCs w:val="20"/>
                <w:color w:val="auto"/>
              </w:rPr>
            </w:pPr>
            <w:r>
              <w:rPr>
                <w:rFonts w:ascii="Arial" w:cs="Arial" w:eastAsia="Arial" w:hAnsi="Arial"/>
                <w:sz w:val="14"/>
                <w:szCs w:val="14"/>
                <w:color w:val="auto"/>
              </w:rPr>
              <w:t>8.1</w:t>
            </w:r>
          </w:p>
        </w:tc>
        <w:tc>
          <w:tcPr>
            <w:tcW w:w="8000" w:type="dxa"/>
            <w:vAlign w:val="bottom"/>
          </w:tcPr>
          <w:p>
            <w:pPr>
              <w:ind w:left="200"/>
              <w:spacing w:after="0"/>
              <w:rPr>
                <w:sz w:val="20"/>
                <w:szCs w:val="20"/>
                <w:color w:val="auto"/>
              </w:rPr>
            </w:pPr>
            <w:r>
              <w:rPr>
                <w:rFonts w:ascii="Arial" w:cs="Arial" w:eastAsia="Arial" w:hAnsi="Arial"/>
                <w:sz w:val="14"/>
                <w:szCs w:val="14"/>
                <w:color w:val="auto"/>
              </w:rPr>
              <w:t>Nondisclosure Obligation</w:t>
            </w:r>
          </w:p>
        </w:tc>
        <w:tc>
          <w:tcPr>
            <w:tcW w:w="2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8.2</w:t>
            </w:r>
          </w:p>
        </w:tc>
        <w:tc>
          <w:tcPr>
            <w:tcW w:w="8000" w:type="dxa"/>
            <w:vAlign w:val="bottom"/>
          </w:tcPr>
          <w:p>
            <w:pPr>
              <w:ind w:left="180"/>
              <w:spacing w:after="0"/>
              <w:rPr>
                <w:sz w:val="20"/>
                <w:szCs w:val="20"/>
                <w:color w:val="auto"/>
              </w:rPr>
            </w:pPr>
            <w:r>
              <w:rPr>
                <w:rFonts w:ascii="Arial" w:cs="Arial" w:eastAsia="Arial" w:hAnsi="Arial"/>
                <w:sz w:val="14"/>
                <w:szCs w:val="14"/>
                <w:color w:val="auto"/>
              </w:rPr>
              <w:t>Authorized Disclosure</w:t>
            </w:r>
          </w:p>
        </w:tc>
        <w:tc>
          <w:tcPr>
            <w:tcW w:w="2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8.3</w:t>
            </w:r>
          </w:p>
        </w:tc>
        <w:tc>
          <w:tcPr>
            <w:tcW w:w="8000" w:type="dxa"/>
            <w:vAlign w:val="bottom"/>
          </w:tcPr>
          <w:p>
            <w:pPr>
              <w:ind w:left="200"/>
              <w:spacing w:after="0"/>
              <w:rPr>
                <w:sz w:val="20"/>
                <w:szCs w:val="20"/>
                <w:color w:val="auto"/>
              </w:rPr>
            </w:pPr>
            <w:r>
              <w:rPr>
                <w:rFonts w:ascii="Arial" w:cs="Arial" w:eastAsia="Arial" w:hAnsi="Arial"/>
                <w:sz w:val="14"/>
                <w:szCs w:val="14"/>
                <w:color w:val="auto"/>
              </w:rPr>
              <w:t>Scientific Publications</w:t>
            </w:r>
          </w:p>
        </w:tc>
        <w:tc>
          <w:tcPr>
            <w:tcW w:w="2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73"/>
        </w:trPr>
        <w:tc>
          <w:tcPr>
            <w:tcW w:w="440" w:type="dxa"/>
            <w:vAlign w:val="bottom"/>
          </w:tcPr>
          <w:p>
            <w:pPr>
              <w:spacing w:after="0"/>
              <w:rPr>
                <w:sz w:val="20"/>
                <w:szCs w:val="20"/>
                <w:color w:val="auto"/>
              </w:rPr>
            </w:pPr>
            <w:r>
              <w:rPr>
                <w:rFonts w:ascii="Arial" w:cs="Arial" w:eastAsia="Arial" w:hAnsi="Arial"/>
                <w:sz w:val="14"/>
                <w:szCs w:val="14"/>
                <w:color w:val="auto"/>
              </w:rPr>
              <w:t>8.4</w:t>
            </w:r>
          </w:p>
        </w:tc>
        <w:tc>
          <w:tcPr>
            <w:tcW w:w="8000" w:type="dxa"/>
            <w:vAlign w:val="bottom"/>
          </w:tcPr>
          <w:p>
            <w:pPr>
              <w:ind w:left="200"/>
              <w:spacing w:after="0"/>
              <w:rPr>
                <w:sz w:val="20"/>
                <w:szCs w:val="20"/>
                <w:color w:val="auto"/>
              </w:rPr>
            </w:pPr>
            <w:r>
              <w:rPr>
                <w:rFonts w:ascii="Arial" w:cs="Arial" w:eastAsia="Arial" w:hAnsi="Arial"/>
                <w:sz w:val="14"/>
                <w:szCs w:val="14"/>
                <w:color w:val="auto"/>
              </w:rPr>
              <w:t>Press Releases and Other Permitted Disclosures.</w:t>
            </w:r>
          </w:p>
        </w:tc>
        <w:tc>
          <w:tcPr>
            <w:tcW w:w="2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5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ARTICLE IX REPRESENTATIONS AND WARRANTIES; INDEMNIFICATION</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45"/>
        </w:trPr>
        <w:tc>
          <w:tcPr>
            <w:tcW w:w="440" w:type="dxa"/>
            <w:vAlign w:val="bottom"/>
          </w:tcPr>
          <w:p>
            <w:pPr>
              <w:spacing w:after="0"/>
              <w:rPr>
                <w:sz w:val="20"/>
                <w:szCs w:val="20"/>
                <w:color w:val="auto"/>
              </w:rPr>
            </w:pPr>
            <w:r>
              <w:rPr>
                <w:rFonts w:ascii="Arial" w:cs="Arial" w:eastAsia="Arial" w:hAnsi="Arial"/>
                <w:sz w:val="14"/>
                <w:szCs w:val="14"/>
                <w:color w:val="auto"/>
              </w:rPr>
              <w:t>9.1</w:t>
            </w:r>
          </w:p>
        </w:tc>
        <w:tc>
          <w:tcPr>
            <w:tcW w:w="8000" w:type="dxa"/>
            <w:vAlign w:val="bottom"/>
          </w:tcPr>
          <w:p>
            <w:pPr>
              <w:ind w:left="200"/>
              <w:spacing w:after="0"/>
              <w:rPr>
                <w:sz w:val="20"/>
                <w:szCs w:val="20"/>
                <w:color w:val="auto"/>
              </w:rPr>
            </w:pPr>
            <w:r>
              <w:rPr>
                <w:rFonts w:ascii="Arial" w:cs="Arial" w:eastAsia="Arial" w:hAnsi="Arial"/>
                <w:sz w:val="14"/>
                <w:szCs w:val="14"/>
                <w:color w:val="auto"/>
              </w:rPr>
              <w:t>Representations and Warranties of the Parties</w:t>
            </w:r>
          </w:p>
        </w:tc>
        <w:tc>
          <w:tcPr>
            <w:tcW w:w="29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9.2</w:t>
            </w:r>
          </w:p>
        </w:tc>
        <w:tc>
          <w:tcPr>
            <w:tcW w:w="8000" w:type="dxa"/>
            <w:vAlign w:val="bottom"/>
          </w:tcPr>
          <w:p>
            <w:pPr>
              <w:ind w:left="200"/>
              <w:spacing w:after="0"/>
              <w:rPr>
                <w:sz w:val="20"/>
                <w:szCs w:val="20"/>
                <w:color w:val="auto"/>
              </w:rPr>
            </w:pPr>
            <w:r>
              <w:rPr>
                <w:rFonts w:ascii="Arial" w:cs="Arial" w:eastAsia="Arial" w:hAnsi="Arial"/>
                <w:sz w:val="14"/>
                <w:szCs w:val="14"/>
                <w:color w:val="auto"/>
              </w:rPr>
              <w:t>Representations and Warranties of MacroGenics</w:t>
            </w:r>
          </w:p>
        </w:tc>
        <w:tc>
          <w:tcPr>
            <w:tcW w:w="29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9.3</w:t>
            </w:r>
          </w:p>
        </w:tc>
        <w:tc>
          <w:tcPr>
            <w:tcW w:w="8000" w:type="dxa"/>
            <w:vAlign w:val="bottom"/>
          </w:tcPr>
          <w:p>
            <w:pPr>
              <w:ind w:left="200"/>
              <w:spacing w:after="0"/>
              <w:rPr>
                <w:sz w:val="20"/>
                <w:szCs w:val="20"/>
                <w:color w:val="auto"/>
              </w:rPr>
            </w:pPr>
            <w:r>
              <w:rPr>
                <w:rFonts w:ascii="Arial" w:cs="Arial" w:eastAsia="Arial" w:hAnsi="Arial"/>
                <w:sz w:val="14"/>
                <w:szCs w:val="14"/>
                <w:color w:val="auto"/>
              </w:rPr>
              <w:t>No Other Warranties</w:t>
            </w:r>
          </w:p>
        </w:tc>
        <w:tc>
          <w:tcPr>
            <w:tcW w:w="29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9.4</w:t>
            </w:r>
          </w:p>
        </w:tc>
        <w:tc>
          <w:tcPr>
            <w:tcW w:w="8000" w:type="dxa"/>
            <w:vAlign w:val="bottom"/>
          </w:tcPr>
          <w:p>
            <w:pPr>
              <w:ind w:left="200"/>
              <w:spacing w:after="0"/>
              <w:rPr>
                <w:sz w:val="20"/>
                <w:szCs w:val="20"/>
                <w:color w:val="auto"/>
              </w:rPr>
            </w:pPr>
            <w:r>
              <w:rPr>
                <w:rFonts w:ascii="Arial" w:cs="Arial" w:eastAsia="Arial" w:hAnsi="Arial"/>
                <w:sz w:val="14"/>
                <w:szCs w:val="14"/>
                <w:color w:val="auto"/>
              </w:rPr>
              <w:t>Indemnification by BI</w:t>
            </w:r>
          </w:p>
        </w:tc>
        <w:tc>
          <w:tcPr>
            <w:tcW w:w="29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9.5</w:t>
            </w:r>
          </w:p>
        </w:tc>
        <w:tc>
          <w:tcPr>
            <w:tcW w:w="8000" w:type="dxa"/>
            <w:vAlign w:val="bottom"/>
          </w:tcPr>
          <w:p>
            <w:pPr>
              <w:ind w:left="200"/>
              <w:spacing w:after="0"/>
              <w:rPr>
                <w:sz w:val="20"/>
                <w:szCs w:val="20"/>
                <w:color w:val="auto"/>
              </w:rPr>
            </w:pPr>
            <w:r>
              <w:rPr>
                <w:rFonts w:ascii="Arial" w:cs="Arial" w:eastAsia="Arial" w:hAnsi="Arial"/>
                <w:sz w:val="14"/>
                <w:szCs w:val="14"/>
                <w:color w:val="auto"/>
              </w:rPr>
              <w:t>Indemnification by MacroGenics</w:t>
            </w:r>
          </w:p>
        </w:tc>
        <w:tc>
          <w:tcPr>
            <w:tcW w:w="29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9.6</w:t>
            </w:r>
          </w:p>
        </w:tc>
        <w:tc>
          <w:tcPr>
            <w:tcW w:w="8000" w:type="dxa"/>
            <w:vAlign w:val="bottom"/>
          </w:tcPr>
          <w:p>
            <w:pPr>
              <w:ind w:left="200"/>
              <w:spacing w:after="0"/>
              <w:rPr>
                <w:sz w:val="20"/>
                <w:szCs w:val="20"/>
                <w:color w:val="auto"/>
              </w:rPr>
            </w:pPr>
            <w:r>
              <w:rPr>
                <w:rFonts w:ascii="Arial" w:cs="Arial" w:eastAsia="Arial" w:hAnsi="Arial"/>
                <w:sz w:val="14"/>
                <w:szCs w:val="14"/>
                <w:color w:val="auto"/>
              </w:rPr>
              <w:t>Procedure</w:t>
            </w:r>
          </w:p>
        </w:tc>
        <w:tc>
          <w:tcPr>
            <w:tcW w:w="2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7"/>
        </w:trPr>
        <w:tc>
          <w:tcPr>
            <w:tcW w:w="440" w:type="dxa"/>
            <w:vAlign w:val="bottom"/>
          </w:tcPr>
          <w:p>
            <w:pPr>
              <w:spacing w:after="0"/>
              <w:rPr>
                <w:sz w:val="20"/>
                <w:szCs w:val="20"/>
                <w:color w:val="auto"/>
              </w:rPr>
            </w:pPr>
            <w:r>
              <w:rPr>
                <w:rFonts w:ascii="Arial" w:cs="Arial" w:eastAsia="Arial" w:hAnsi="Arial"/>
                <w:sz w:val="14"/>
                <w:szCs w:val="14"/>
                <w:color w:val="auto"/>
              </w:rPr>
              <w:t>9.7</w:t>
            </w:r>
          </w:p>
        </w:tc>
        <w:tc>
          <w:tcPr>
            <w:tcW w:w="8000" w:type="dxa"/>
            <w:vAlign w:val="bottom"/>
          </w:tcPr>
          <w:p>
            <w:pPr>
              <w:ind w:left="200"/>
              <w:spacing w:after="0"/>
              <w:rPr>
                <w:sz w:val="20"/>
                <w:szCs w:val="20"/>
                <w:color w:val="auto"/>
              </w:rPr>
            </w:pPr>
            <w:r>
              <w:rPr>
                <w:rFonts w:ascii="Arial" w:cs="Arial" w:eastAsia="Arial" w:hAnsi="Arial"/>
                <w:sz w:val="14"/>
                <w:szCs w:val="14"/>
                <w:color w:val="auto"/>
              </w:rPr>
              <w:t>Insurance</w:t>
            </w:r>
          </w:p>
        </w:tc>
        <w:tc>
          <w:tcPr>
            <w:tcW w:w="2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73"/>
        </w:trPr>
        <w:tc>
          <w:tcPr>
            <w:tcW w:w="440" w:type="dxa"/>
            <w:vAlign w:val="bottom"/>
          </w:tcPr>
          <w:p>
            <w:pPr>
              <w:spacing w:after="0"/>
              <w:rPr>
                <w:sz w:val="20"/>
                <w:szCs w:val="20"/>
                <w:color w:val="auto"/>
              </w:rPr>
            </w:pPr>
            <w:r>
              <w:rPr>
                <w:rFonts w:ascii="Arial" w:cs="Arial" w:eastAsia="Arial" w:hAnsi="Arial"/>
                <w:sz w:val="14"/>
                <w:szCs w:val="14"/>
                <w:color w:val="auto"/>
              </w:rPr>
              <w:t>9.8</w:t>
            </w:r>
          </w:p>
        </w:tc>
        <w:tc>
          <w:tcPr>
            <w:tcW w:w="8000" w:type="dxa"/>
            <w:vAlign w:val="bottom"/>
          </w:tcPr>
          <w:p>
            <w:pPr>
              <w:ind w:left="200"/>
              <w:spacing w:after="0"/>
              <w:rPr>
                <w:sz w:val="20"/>
                <w:szCs w:val="20"/>
                <w:color w:val="auto"/>
              </w:rPr>
            </w:pPr>
            <w:r>
              <w:rPr>
                <w:rFonts w:ascii="Arial" w:cs="Arial" w:eastAsia="Arial" w:hAnsi="Arial"/>
                <w:sz w:val="14"/>
                <w:szCs w:val="14"/>
                <w:color w:val="auto"/>
              </w:rPr>
              <w:t>No Consequential or Punitive Damages.</w:t>
            </w:r>
          </w:p>
        </w:tc>
        <w:tc>
          <w:tcPr>
            <w:tcW w:w="2960" w:type="dxa"/>
            <w:vAlign w:val="bottom"/>
          </w:tcPr>
          <w:p>
            <w:pPr>
              <w:jc w:val="right"/>
              <w:spacing w:after="0"/>
              <w:rPr>
                <w:sz w:val="20"/>
                <w:szCs w:val="20"/>
                <w:color w:val="auto"/>
              </w:rPr>
            </w:pPr>
            <w:r>
              <w:rPr>
                <w:rFonts w:ascii="Arial" w:cs="Arial" w:eastAsia="Arial" w:hAnsi="Arial"/>
                <w:sz w:val="14"/>
                <w:szCs w:val="14"/>
                <w:color w:val="auto"/>
              </w:rPr>
              <w:t>49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00"/>
          </w:cols>
          <w:pgMar w:left="220" w:top="328" w:right="279" w:bottom="144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175"/>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ARTICLE X TERM AND TERMINATION</w:t>
            </w: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45"/>
        </w:trPr>
        <w:tc>
          <w:tcPr>
            <w:tcW w:w="520" w:type="dxa"/>
            <w:vAlign w:val="bottom"/>
          </w:tcPr>
          <w:p>
            <w:pPr>
              <w:spacing w:after="0"/>
              <w:rPr>
                <w:sz w:val="20"/>
                <w:szCs w:val="20"/>
                <w:color w:val="auto"/>
              </w:rPr>
            </w:pPr>
            <w:r>
              <w:rPr>
                <w:rFonts w:ascii="Arial" w:cs="Arial" w:eastAsia="Arial" w:hAnsi="Arial"/>
                <w:sz w:val="14"/>
                <w:szCs w:val="14"/>
                <w:color w:val="auto"/>
              </w:rPr>
              <w:t>10.1</w:t>
            </w:r>
          </w:p>
        </w:tc>
        <w:tc>
          <w:tcPr>
            <w:tcW w:w="6720" w:type="dxa"/>
            <w:vAlign w:val="bottom"/>
          </w:tcPr>
          <w:p>
            <w:pPr>
              <w:ind w:left="220"/>
              <w:spacing w:after="0"/>
              <w:rPr>
                <w:sz w:val="20"/>
                <w:szCs w:val="20"/>
                <w:color w:val="auto"/>
              </w:rPr>
            </w:pPr>
            <w:r>
              <w:rPr>
                <w:rFonts w:ascii="Arial" w:cs="Arial" w:eastAsia="Arial" w:hAnsi="Arial"/>
                <w:sz w:val="14"/>
                <w:szCs w:val="14"/>
                <w:color w:val="auto"/>
              </w:rPr>
              <w:t>Term and Expiration</w:t>
            </w:r>
          </w:p>
        </w:tc>
        <w:tc>
          <w:tcPr>
            <w:tcW w:w="41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10.2</w:t>
            </w:r>
          </w:p>
        </w:tc>
        <w:tc>
          <w:tcPr>
            <w:tcW w:w="6720" w:type="dxa"/>
            <w:vAlign w:val="bottom"/>
          </w:tcPr>
          <w:p>
            <w:pPr>
              <w:ind w:left="220"/>
              <w:spacing w:after="0"/>
              <w:rPr>
                <w:sz w:val="20"/>
                <w:szCs w:val="20"/>
                <w:color w:val="auto"/>
              </w:rPr>
            </w:pPr>
            <w:r>
              <w:rPr>
                <w:rFonts w:ascii="Arial" w:cs="Arial" w:eastAsia="Arial" w:hAnsi="Arial"/>
                <w:sz w:val="14"/>
                <w:szCs w:val="14"/>
                <w:color w:val="auto"/>
              </w:rPr>
              <w:t>Termination.</w:t>
            </w:r>
          </w:p>
        </w:tc>
        <w:tc>
          <w:tcPr>
            <w:tcW w:w="41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10.3</w:t>
            </w:r>
          </w:p>
        </w:tc>
        <w:tc>
          <w:tcPr>
            <w:tcW w:w="6720" w:type="dxa"/>
            <w:vAlign w:val="bottom"/>
          </w:tcPr>
          <w:p>
            <w:pPr>
              <w:ind w:left="240"/>
              <w:spacing w:after="0"/>
              <w:rPr>
                <w:sz w:val="20"/>
                <w:szCs w:val="20"/>
                <w:color w:val="auto"/>
              </w:rPr>
            </w:pPr>
            <w:r>
              <w:rPr>
                <w:rFonts w:ascii="Arial" w:cs="Arial" w:eastAsia="Arial" w:hAnsi="Arial"/>
                <w:sz w:val="14"/>
                <w:szCs w:val="14"/>
                <w:color w:val="auto"/>
              </w:rPr>
              <w:t>Effect of Termination on Licenses.</w:t>
            </w:r>
          </w:p>
        </w:tc>
        <w:tc>
          <w:tcPr>
            <w:tcW w:w="41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10.4</w:t>
            </w:r>
          </w:p>
        </w:tc>
        <w:tc>
          <w:tcPr>
            <w:tcW w:w="6720" w:type="dxa"/>
            <w:vAlign w:val="bottom"/>
          </w:tcPr>
          <w:p>
            <w:pPr>
              <w:ind w:left="240"/>
              <w:spacing w:after="0"/>
              <w:rPr>
                <w:sz w:val="20"/>
                <w:szCs w:val="20"/>
                <w:color w:val="auto"/>
              </w:rPr>
            </w:pPr>
            <w:r>
              <w:rPr>
                <w:rFonts w:ascii="Arial" w:cs="Arial" w:eastAsia="Arial" w:hAnsi="Arial"/>
                <w:sz w:val="14"/>
                <w:szCs w:val="14"/>
                <w:color w:val="auto"/>
              </w:rPr>
              <w:t>Change of Control</w:t>
            </w:r>
          </w:p>
        </w:tc>
        <w:tc>
          <w:tcPr>
            <w:tcW w:w="41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73"/>
        </w:trPr>
        <w:tc>
          <w:tcPr>
            <w:tcW w:w="520" w:type="dxa"/>
            <w:vAlign w:val="bottom"/>
          </w:tcPr>
          <w:p>
            <w:pPr>
              <w:spacing w:after="0"/>
              <w:rPr>
                <w:sz w:val="20"/>
                <w:szCs w:val="20"/>
                <w:color w:val="auto"/>
              </w:rPr>
            </w:pPr>
            <w:r>
              <w:rPr>
                <w:rFonts w:ascii="Arial" w:cs="Arial" w:eastAsia="Arial" w:hAnsi="Arial"/>
                <w:sz w:val="14"/>
                <w:szCs w:val="14"/>
                <w:color w:val="auto"/>
              </w:rPr>
              <w:t>10.5</w:t>
            </w:r>
          </w:p>
        </w:tc>
        <w:tc>
          <w:tcPr>
            <w:tcW w:w="6720" w:type="dxa"/>
            <w:vAlign w:val="bottom"/>
          </w:tcPr>
          <w:p>
            <w:pPr>
              <w:ind w:left="240"/>
              <w:spacing w:after="0"/>
              <w:rPr>
                <w:sz w:val="20"/>
                <w:szCs w:val="20"/>
                <w:color w:val="auto"/>
              </w:rPr>
            </w:pPr>
            <w:r>
              <w:rPr>
                <w:rFonts w:ascii="Arial" w:cs="Arial" w:eastAsia="Arial" w:hAnsi="Arial"/>
                <w:sz w:val="14"/>
                <w:szCs w:val="14"/>
                <w:color w:val="auto"/>
              </w:rPr>
              <w:t>Effect of Expiration or Termination; Survival.</w:t>
            </w:r>
          </w:p>
        </w:tc>
        <w:tc>
          <w:tcPr>
            <w:tcW w:w="41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1"/>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ARTICLE XI DISPUTE RESOLUTION</w:t>
            </w: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r>
        <w:trPr>
          <w:trHeight w:val="245"/>
        </w:trPr>
        <w:tc>
          <w:tcPr>
            <w:tcW w:w="520" w:type="dxa"/>
            <w:vAlign w:val="bottom"/>
          </w:tcPr>
          <w:p>
            <w:pPr>
              <w:spacing w:after="0"/>
              <w:rPr>
                <w:sz w:val="20"/>
                <w:szCs w:val="20"/>
                <w:color w:val="auto"/>
              </w:rPr>
            </w:pPr>
            <w:r>
              <w:rPr>
                <w:rFonts w:ascii="Arial" w:cs="Arial" w:eastAsia="Arial" w:hAnsi="Arial"/>
                <w:sz w:val="14"/>
                <w:szCs w:val="14"/>
                <w:color w:val="auto"/>
              </w:rPr>
              <w:t>11.1</w:t>
            </w:r>
          </w:p>
        </w:tc>
        <w:tc>
          <w:tcPr>
            <w:tcW w:w="6720" w:type="dxa"/>
            <w:vAlign w:val="bottom"/>
          </w:tcPr>
          <w:p>
            <w:pPr>
              <w:ind w:left="240"/>
              <w:spacing w:after="0"/>
              <w:rPr>
                <w:sz w:val="20"/>
                <w:szCs w:val="20"/>
                <w:color w:val="auto"/>
              </w:rPr>
            </w:pPr>
            <w:r>
              <w:rPr>
                <w:rFonts w:ascii="Arial" w:cs="Arial" w:eastAsia="Arial" w:hAnsi="Arial"/>
                <w:sz w:val="14"/>
                <w:szCs w:val="14"/>
                <w:color w:val="auto"/>
              </w:rPr>
              <w:t>Seeking Consensus</w:t>
            </w:r>
          </w:p>
        </w:tc>
        <w:tc>
          <w:tcPr>
            <w:tcW w:w="41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11.2</w:t>
            </w:r>
          </w:p>
        </w:tc>
        <w:tc>
          <w:tcPr>
            <w:tcW w:w="6720" w:type="dxa"/>
            <w:vAlign w:val="bottom"/>
          </w:tcPr>
          <w:p>
            <w:pPr>
              <w:ind w:left="220"/>
              <w:spacing w:after="0"/>
              <w:rPr>
                <w:sz w:val="20"/>
                <w:szCs w:val="20"/>
                <w:color w:val="auto"/>
              </w:rPr>
            </w:pPr>
            <w:r>
              <w:rPr>
                <w:rFonts w:ascii="Arial" w:cs="Arial" w:eastAsia="Arial" w:hAnsi="Arial"/>
                <w:sz w:val="14"/>
                <w:szCs w:val="14"/>
                <w:color w:val="auto"/>
              </w:rPr>
              <w:t>Arbitration.</w:t>
            </w:r>
          </w:p>
        </w:tc>
        <w:tc>
          <w:tcPr>
            <w:tcW w:w="41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73"/>
        </w:trPr>
        <w:tc>
          <w:tcPr>
            <w:tcW w:w="520" w:type="dxa"/>
            <w:vAlign w:val="bottom"/>
          </w:tcPr>
          <w:p>
            <w:pPr>
              <w:spacing w:after="0"/>
              <w:rPr>
                <w:sz w:val="20"/>
                <w:szCs w:val="20"/>
                <w:color w:val="auto"/>
              </w:rPr>
            </w:pPr>
            <w:r>
              <w:rPr>
                <w:rFonts w:ascii="Arial" w:cs="Arial" w:eastAsia="Arial" w:hAnsi="Arial"/>
                <w:sz w:val="14"/>
                <w:szCs w:val="14"/>
                <w:color w:val="auto"/>
              </w:rPr>
              <w:t>11.3</w:t>
            </w:r>
          </w:p>
        </w:tc>
        <w:tc>
          <w:tcPr>
            <w:tcW w:w="6720" w:type="dxa"/>
            <w:vAlign w:val="bottom"/>
          </w:tcPr>
          <w:p>
            <w:pPr>
              <w:ind w:left="240"/>
              <w:spacing w:after="0"/>
              <w:rPr>
                <w:sz w:val="20"/>
                <w:szCs w:val="20"/>
                <w:color w:val="auto"/>
              </w:rPr>
            </w:pPr>
            <w:r>
              <w:rPr>
                <w:rFonts w:ascii="Arial" w:cs="Arial" w:eastAsia="Arial" w:hAnsi="Arial"/>
                <w:sz w:val="14"/>
                <w:szCs w:val="14"/>
                <w:color w:val="auto"/>
              </w:rPr>
              <w:t>Jury Waiver</w:t>
            </w:r>
          </w:p>
        </w:tc>
        <w:tc>
          <w:tcPr>
            <w:tcW w:w="41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51"/>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ARTICLE XII MISCELLANEOUS</w:t>
            </w: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45"/>
        </w:trPr>
        <w:tc>
          <w:tcPr>
            <w:tcW w:w="520" w:type="dxa"/>
            <w:vAlign w:val="bottom"/>
          </w:tcPr>
          <w:p>
            <w:pPr>
              <w:spacing w:after="0"/>
              <w:rPr>
                <w:sz w:val="20"/>
                <w:szCs w:val="20"/>
                <w:color w:val="auto"/>
              </w:rPr>
            </w:pPr>
            <w:r>
              <w:rPr>
                <w:rFonts w:ascii="Arial" w:cs="Arial" w:eastAsia="Arial" w:hAnsi="Arial"/>
                <w:sz w:val="14"/>
                <w:szCs w:val="14"/>
                <w:color w:val="auto"/>
              </w:rPr>
              <w:t>12.1</w:t>
            </w:r>
          </w:p>
        </w:tc>
        <w:tc>
          <w:tcPr>
            <w:tcW w:w="6720" w:type="dxa"/>
            <w:vAlign w:val="bottom"/>
          </w:tcPr>
          <w:p>
            <w:pPr>
              <w:ind w:left="240"/>
              <w:spacing w:after="0"/>
              <w:rPr>
                <w:sz w:val="20"/>
                <w:szCs w:val="20"/>
                <w:color w:val="auto"/>
              </w:rPr>
            </w:pPr>
            <w:r>
              <w:rPr>
                <w:rFonts w:ascii="Arial" w:cs="Arial" w:eastAsia="Arial" w:hAnsi="Arial"/>
                <w:sz w:val="14"/>
                <w:szCs w:val="14"/>
                <w:color w:val="auto"/>
              </w:rPr>
              <w:t>Governing Law</w:t>
            </w:r>
          </w:p>
        </w:tc>
        <w:tc>
          <w:tcPr>
            <w:tcW w:w="41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12.2</w:t>
            </w:r>
          </w:p>
        </w:tc>
        <w:tc>
          <w:tcPr>
            <w:tcW w:w="6720" w:type="dxa"/>
            <w:vAlign w:val="bottom"/>
          </w:tcPr>
          <w:p>
            <w:pPr>
              <w:ind w:left="220"/>
              <w:spacing w:after="0"/>
              <w:rPr>
                <w:sz w:val="20"/>
                <w:szCs w:val="20"/>
                <w:color w:val="auto"/>
              </w:rPr>
            </w:pPr>
            <w:r>
              <w:rPr>
                <w:rFonts w:ascii="Arial" w:cs="Arial" w:eastAsia="Arial" w:hAnsi="Arial"/>
                <w:sz w:val="14"/>
                <w:szCs w:val="14"/>
                <w:color w:val="auto"/>
              </w:rPr>
              <w:t>Waiver</w:t>
            </w:r>
          </w:p>
        </w:tc>
        <w:tc>
          <w:tcPr>
            <w:tcW w:w="41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12.3</w:t>
            </w:r>
          </w:p>
        </w:tc>
        <w:tc>
          <w:tcPr>
            <w:tcW w:w="6720" w:type="dxa"/>
            <w:vAlign w:val="bottom"/>
          </w:tcPr>
          <w:p>
            <w:pPr>
              <w:ind w:left="240"/>
              <w:spacing w:after="0"/>
              <w:rPr>
                <w:sz w:val="20"/>
                <w:szCs w:val="20"/>
                <w:color w:val="auto"/>
              </w:rPr>
            </w:pPr>
            <w:r>
              <w:rPr>
                <w:rFonts w:ascii="Arial" w:cs="Arial" w:eastAsia="Arial" w:hAnsi="Arial"/>
                <w:sz w:val="14"/>
                <w:szCs w:val="14"/>
                <w:color w:val="auto"/>
              </w:rPr>
              <w:t>Notices</w:t>
            </w:r>
          </w:p>
        </w:tc>
        <w:tc>
          <w:tcPr>
            <w:tcW w:w="41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12.4</w:t>
            </w:r>
          </w:p>
        </w:tc>
        <w:tc>
          <w:tcPr>
            <w:tcW w:w="6720" w:type="dxa"/>
            <w:vAlign w:val="bottom"/>
          </w:tcPr>
          <w:p>
            <w:pPr>
              <w:ind w:left="240"/>
              <w:spacing w:after="0"/>
              <w:rPr>
                <w:sz w:val="20"/>
                <w:szCs w:val="20"/>
                <w:color w:val="auto"/>
              </w:rPr>
            </w:pPr>
            <w:r>
              <w:rPr>
                <w:rFonts w:ascii="Arial" w:cs="Arial" w:eastAsia="Arial" w:hAnsi="Arial"/>
                <w:sz w:val="14"/>
                <w:szCs w:val="14"/>
                <w:color w:val="auto"/>
              </w:rPr>
              <w:t>Entire Agreement; Amendment</w:t>
            </w:r>
          </w:p>
        </w:tc>
        <w:tc>
          <w:tcPr>
            <w:tcW w:w="4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12.5</w:t>
            </w:r>
          </w:p>
        </w:tc>
        <w:tc>
          <w:tcPr>
            <w:tcW w:w="6720" w:type="dxa"/>
            <w:vAlign w:val="bottom"/>
          </w:tcPr>
          <w:p>
            <w:pPr>
              <w:ind w:left="240"/>
              <w:spacing w:after="0"/>
              <w:rPr>
                <w:sz w:val="20"/>
                <w:szCs w:val="20"/>
                <w:color w:val="auto"/>
              </w:rPr>
            </w:pPr>
            <w:r>
              <w:rPr>
                <w:rFonts w:ascii="Arial" w:cs="Arial" w:eastAsia="Arial" w:hAnsi="Arial"/>
                <w:sz w:val="14"/>
                <w:szCs w:val="14"/>
                <w:color w:val="auto"/>
              </w:rPr>
              <w:t>Headings</w:t>
            </w:r>
          </w:p>
        </w:tc>
        <w:tc>
          <w:tcPr>
            <w:tcW w:w="4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12.6</w:t>
            </w:r>
          </w:p>
        </w:tc>
        <w:tc>
          <w:tcPr>
            <w:tcW w:w="6720" w:type="dxa"/>
            <w:vAlign w:val="bottom"/>
          </w:tcPr>
          <w:p>
            <w:pPr>
              <w:ind w:left="240"/>
              <w:spacing w:after="0"/>
              <w:rPr>
                <w:sz w:val="20"/>
                <w:szCs w:val="20"/>
                <w:color w:val="auto"/>
              </w:rPr>
            </w:pPr>
            <w:r>
              <w:rPr>
                <w:rFonts w:ascii="Arial" w:cs="Arial" w:eastAsia="Arial" w:hAnsi="Arial"/>
                <w:sz w:val="14"/>
                <w:szCs w:val="14"/>
                <w:color w:val="auto"/>
              </w:rPr>
              <w:t>Severability</w:t>
            </w:r>
          </w:p>
        </w:tc>
        <w:tc>
          <w:tcPr>
            <w:tcW w:w="41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12.7</w:t>
            </w:r>
          </w:p>
        </w:tc>
        <w:tc>
          <w:tcPr>
            <w:tcW w:w="6720" w:type="dxa"/>
            <w:vAlign w:val="bottom"/>
          </w:tcPr>
          <w:p>
            <w:pPr>
              <w:ind w:left="220"/>
              <w:spacing w:after="0"/>
              <w:rPr>
                <w:sz w:val="20"/>
                <w:szCs w:val="20"/>
                <w:color w:val="auto"/>
              </w:rPr>
            </w:pPr>
            <w:r>
              <w:rPr>
                <w:rFonts w:ascii="Arial" w:cs="Arial" w:eastAsia="Arial" w:hAnsi="Arial"/>
                <w:sz w:val="14"/>
                <w:szCs w:val="14"/>
                <w:color w:val="auto"/>
              </w:rPr>
              <w:t>Assignment</w:t>
            </w:r>
          </w:p>
        </w:tc>
        <w:tc>
          <w:tcPr>
            <w:tcW w:w="41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12.8</w:t>
            </w:r>
          </w:p>
        </w:tc>
        <w:tc>
          <w:tcPr>
            <w:tcW w:w="6720" w:type="dxa"/>
            <w:vAlign w:val="bottom"/>
          </w:tcPr>
          <w:p>
            <w:pPr>
              <w:ind w:left="240"/>
              <w:spacing w:after="0"/>
              <w:rPr>
                <w:sz w:val="20"/>
                <w:szCs w:val="20"/>
                <w:color w:val="auto"/>
              </w:rPr>
            </w:pPr>
            <w:r>
              <w:rPr>
                <w:rFonts w:ascii="Arial" w:cs="Arial" w:eastAsia="Arial" w:hAnsi="Arial"/>
                <w:sz w:val="14"/>
                <w:szCs w:val="14"/>
                <w:color w:val="auto"/>
              </w:rPr>
              <w:t>Counterparts</w:t>
            </w:r>
          </w:p>
        </w:tc>
        <w:tc>
          <w:tcPr>
            <w:tcW w:w="41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12.9</w:t>
            </w:r>
          </w:p>
        </w:tc>
        <w:tc>
          <w:tcPr>
            <w:tcW w:w="6720" w:type="dxa"/>
            <w:vAlign w:val="bottom"/>
          </w:tcPr>
          <w:p>
            <w:pPr>
              <w:ind w:left="240"/>
              <w:spacing w:after="0"/>
              <w:rPr>
                <w:sz w:val="20"/>
                <w:szCs w:val="20"/>
                <w:color w:val="auto"/>
              </w:rPr>
            </w:pPr>
            <w:r>
              <w:rPr>
                <w:rFonts w:ascii="Arial" w:cs="Arial" w:eastAsia="Arial" w:hAnsi="Arial"/>
                <w:sz w:val="14"/>
                <w:szCs w:val="14"/>
                <w:color w:val="auto"/>
              </w:rPr>
              <w:t>Force Majeure</w:t>
            </w:r>
          </w:p>
        </w:tc>
        <w:tc>
          <w:tcPr>
            <w:tcW w:w="41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12.10</w:t>
            </w:r>
          </w:p>
        </w:tc>
        <w:tc>
          <w:tcPr>
            <w:tcW w:w="6720" w:type="dxa"/>
            <w:vAlign w:val="bottom"/>
          </w:tcPr>
          <w:p>
            <w:pPr>
              <w:ind w:left="220"/>
              <w:spacing w:after="0"/>
              <w:rPr>
                <w:sz w:val="20"/>
                <w:szCs w:val="20"/>
                <w:color w:val="auto"/>
              </w:rPr>
            </w:pPr>
            <w:r>
              <w:rPr>
                <w:rFonts w:ascii="Arial" w:cs="Arial" w:eastAsia="Arial" w:hAnsi="Arial"/>
                <w:sz w:val="14"/>
                <w:szCs w:val="14"/>
                <w:color w:val="auto"/>
              </w:rPr>
              <w:t>Third-Party Beneficiaries</w:t>
            </w:r>
          </w:p>
        </w:tc>
        <w:tc>
          <w:tcPr>
            <w:tcW w:w="41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12.11</w:t>
            </w:r>
          </w:p>
        </w:tc>
        <w:tc>
          <w:tcPr>
            <w:tcW w:w="6720" w:type="dxa"/>
            <w:vAlign w:val="bottom"/>
          </w:tcPr>
          <w:p>
            <w:pPr>
              <w:ind w:left="240"/>
              <w:spacing w:after="0"/>
              <w:rPr>
                <w:sz w:val="20"/>
                <w:szCs w:val="20"/>
                <w:color w:val="auto"/>
              </w:rPr>
            </w:pPr>
            <w:r>
              <w:rPr>
                <w:rFonts w:ascii="Arial" w:cs="Arial" w:eastAsia="Arial" w:hAnsi="Arial"/>
                <w:sz w:val="14"/>
                <w:szCs w:val="14"/>
                <w:color w:val="auto"/>
              </w:rPr>
              <w:t>Relationship of the Parties</w:t>
            </w:r>
          </w:p>
        </w:tc>
        <w:tc>
          <w:tcPr>
            <w:tcW w:w="41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12.12</w:t>
            </w:r>
          </w:p>
        </w:tc>
        <w:tc>
          <w:tcPr>
            <w:tcW w:w="6720" w:type="dxa"/>
            <w:vAlign w:val="bottom"/>
          </w:tcPr>
          <w:p>
            <w:pPr>
              <w:ind w:left="240"/>
              <w:spacing w:after="0"/>
              <w:rPr>
                <w:sz w:val="20"/>
                <w:szCs w:val="20"/>
                <w:color w:val="auto"/>
              </w:rPr>
            </w:pPr>
            <w:r>
              <w:rPr>
                <w:rFonts w:ascii="Arial" w:cs="Arial" w:eastAsia="Arial" w:hAnsi="Arial"/>
                <w:sz w:val="14"/>
                <w:szCs w:val="14"/>
                <w:color w:val="auto"/>
              </w:rPr>
              <w:t>Performance by Affiliates</w:t>
            </w:r>
          </w:p>
        </w:tc>
        <w:tc>
          <w:tcPr>
            <w:tcW w:w="41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rPr>
              <w:t>12.13</w:t>
            </w:r>
          </w:p>
        </w:tc>
        <w:tc>
          <w:tcPr>
            <w:tcW w:w="6720" w:type="dxa"/>
            <w:vAlign w:val="bottom"/>
          </w:tcPr>
          <w:p>
            <w:pPr>
              <w:ind w:left="240"/>
              <w:spacing w:after="0"/>
              <w:rPr>
                <w:sz w:val="20"/>
                <w:szCs w:val="20"/>
                <w:color w:val="auto"/>
              </w:rPr>
            </w:pPr>
            <w:r>
              <w:rPr>
                <w:rFonts w:ascii="Arial" w:cs="Arial" w:eastAsia="Arial" w:hAnsi="Arial"/>
                <w:sz w:val="14"/>
                <w:szCs w:val="14"/>
                <w:color w:val="auto"/>
              </w:rPr>
              <w:t>Construction</w:t>
            </w:r>
          </w:p>
        </w:tc>
        <w:tc>
          <w:tcPr>
            <w:tcW w:w="41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73"/>
        </w:trPr>
        <w:tc>
          <w:tcPr>
            <w:tcW w:w="520" w:type="dxa"/>
            <w:vAlign w:val="bottom"/>
          </w:tcPr>
          <w:p>
            <w:pPr>
              <w:spacing w:after="0"/>
              <w:rPr>
                <w:sz w:val="20"/>
                <w:szCs w:val="20"/>
                <w:color w:val="auto"/>
              </w:rPr>
            </w:pPr>
            <w:r>
              <w:rPr>
                <w:rFonts w:ascii="Arial" w:cs="Arial" w:eastAsia="Arial" w:hAnsi="Arial"/>
                <w:sz w:val="14"/>
                <w:szCs w:val="14"/>
                <w:color w:val="auto"/>
              </w:rPr>
              <w:t>12.14</w:t>
            </w:r>
          </w:p>
        </w:tc>
        <w:tc>
          <w:tcPr>
            <w:tcW w:w="6720" w:type="dxa"/>
            <w:vAlign w:val="bottom"/>
          </w:tcPr>
          <w:p>
            <w:pPr>
              <w:ind w:left="240"/>
              <w:spacing w:after="0"/>
              <w:rPr>
                <w:sz w:val="20"/>
                <w:szCs w:val="20"/>
                <w:color w:val="auto"/>
              </w:rPr>
            </w:pPr>
            <w:r>
              <w:rPr>
                <w:rFonts w:ascii="Arial" w:cs="Arial" w:eastAsia="Arial" w:hAnsi="Arial"/>
                <w:sz w:val="14"/>
                <w:szCs w:val="14"/>
                <w:color w:val="auto"/>
              </w:rPr>
              <w:t>Create Act</w:t>
            </w:r>
          </w:p>
        </w:tc>
        <w:tc>
          <w:tcPr>
            <w:tcW w:w="4160" w:type="dxa"/>
            <w:vAlign w:val="bottom"/>
          </w:tcPr>
          <w:p>
            <w:pPr>
              <w:jc w:val="right"/>
              <w:spacing w:after="0"/>
              <w:rPr>
                <w:sz w:val="20"/>
                <w:szCs w:val="20"/>
                <w:color w:val="auto"/>
              </w:rPr>
            </w:pPr>
            <w:r>
              <w:rPr>
                <w:rFonts w:ascii="Arial" w:cs="Arial" w:eastAsia="Arial" w:hAnsi="Arial"/>
                <w:sz w:val="14"/>
                <w:szCs w:val="14"/>
                <w:color w:val="auto"/>
              </w:rPr>
              <w:t>58</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00"/>
          </w:cols>
          <w:pgMar w:left="220" w:top="328" w:right="279" w:bottom="1440" w:gutter="0" w:footer="0" w:header="0"/>
        </w:sectPr>
      </w:pPr>
    </w:p>
    <w:bookmarkStart w:id="455" w:name="page456"/>
    <w:bookmarkEnd w:id="455"/>
    <w:p>
      <w:pPr>
        <w:jc w:val="center"/>
        <w:ind w:right="-1240"/>
        <w:spacing w:after="0"/>
        <w:rPr>
          <w:sz w:val="20"/>
          <w:szCs w:val="20"/>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Confidential Materials omitted and filed separately with the Securities and Exchange Commission.</w:t>
      </w:r>
    </w:p>
    <w:p>
      <w:pPr>
        <w:spacing w:after="0" w:line="47"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4"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SCHEDULES</w:t>
      </w:r>
    </w:p>
    <w:p>
      <w:pPr>
        <w:sectPr>
          <w:pgSz w:w="11900" w:h="16838" w:orient="portrait"/>
          <w:cols w:equalWidth="0" w:num="1">
            <w:col w:w="10239"/>
          </w:cols>
          <w:pgMar w:left="220" w:top="247" w:right="144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Schedule 1.5</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BI Exclusive Targets</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1.28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DART Platform</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1.47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Initial Collaboration Targets</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1.50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Draft Invoice</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1.58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MacroGenics Patent Rights</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1.77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RTP Criteria Template</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1.81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SOPD Candidate Criteria Template</w:t>
      </w:r>
    </w:p>
    <w:p>
      <w:pPr>
        <w:spacing w:after="0" w:line="113"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2"/>
          <w:szCs w:val="12"/>
          <w:color w:val="auto"/>
        </w:rPr>
        <w:t>Schedule 4.5(b)(I)</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Schedule 4.5(b)(II)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Co-Promotion Terms and Conditions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Dispute Resolution Procedures</w:t>
      </w:r>
    </w:p>
    <w:p>
      <w:pPr>
        <w:spacing w:after="0" w:line="84"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spacing w:after="0"/>
        <w:rPr>
          <w:sz w:val="20"/>
          <w:szCs w:val="20"/>
          <w:color w:val="auto"/>
        </w:rPr>
      </w:pPr>
      <w:r>
        <w:rPr>
          <w:rFonts w:ascii="Arial" w:cs="Arial" w:eastAsia="Arial" w:hAnsi="Arial"/>
          <w:sz w:val="11"/>
          <w:szCs w:val="11"/>
          <w:color w:val="auto"/>
        </w:rPr>
        <w:t>Schedule 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Press Release</w:t>
      </w:r>
    </w:p>
    <w:p>
      <w:pPr>
        <w:spacing w:after="0" w:line="156" w:lineRule="exact"/>
        <w:rPr>
          <w:sz w:val="20"/>
          <w:szCs w:val="20"/>
          <w:color w:val="auto"/>
        </w:rPr>
      </w:pPr>
    </w:p>
    <w:p>
      <w:pPr>
        <w:sectPr>
          <w:pgSz w:w="11900" w:h="16838" w:orient="portrait"/>
          <w:cols w:equalWidth="0" w:num="2">
            <w:col w:w="1120" w:space="720"/>
            <w:col w:w="8399"/>
          </w:cols>
          <w:pgMar w:left="220" w:top="247" w:right="1440" w:bottom="1440" w:gutter="0" w:footer="0" w:header="0"/>
          <w:type w:val="continuous"/>
        </w:sectPr>
      </w:pPr>
    </w:p>
    <w:p>
      <w:pPr>
        <w:jc w:val="center"/>
        <w:ind w:right="-1220"/>
        <w:spacing w:after="0"/>
        <w:rPr>
          <w:sz w:val="20"/>
          <w:szCs w:val="20"/>
          <w:color w:val="auto"/>
        </w:rPr>
      </w:pPr>
      <w:r>
        <w:rPr>
          <w:rFonts w:ascii="Arial" w:cs="Arial" w:eastAsia="Arial" w:hAnsi="Arial"/>
          <w:sz w:val="12"/>
          <w:szCs w:val="12"/>
          <w:color w:val="auto"/>
        </w:rPr>
        <w:t>*** = Portions of this exhibit have been omitted pursuant to a request for confidential treatment. An unredacted</w:t>
      </w:r>
    </w:p>
    <w:p>
      <w:pPr>
        <w:spacing w:after="0" w:line="35"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0239"/>
          </w:cols>
          <w:pgMar w:left="220" w:top="247" w:right="1440" w:bottom="1440" w:gutter="0" w:footer="0" w:header="0"/>
          <w:type w:val="continuous"/>
        </w:sectPr>
      </w:pPr>
    </w:p>
    <w:bookmarkStart w:id="456" w:name="page457"/>
    <w:bookmarkEnd w:id="45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COLLABORATION AND LICENSE AGREEMENT</w:t>
      </w:r>
    </w:p>
    <w:p>
      <w:pPr>
        <w:spacing w:after="0" w:line="134" w:lineRule="exact"/>
        <w:rPr>
          <w:sz w:val="20"/>
          <w:szCs w:val="20"/>
          <w:color w:val="auto"/>
        </w:rPr>
      </w:pPr>
    </w:p>
    <w:p>
      <w:pPr>
        <w:jc w:val="both"/>
        <w:ind w:right="140" w:firstLine="458"/>
        <w:spacing w:after="0" w:line="321" w:lineRule="auto"/>
        <w:rPr>
          <w:sz w:val="20"/>
          <w:szCs w:val="20"/>
          <w:color w:val="auto"/>
        </w:rPr>
      </w:pPr>
      <w:r>
        <w:rPr>
          <w:rFonts w:ascii="Arial" w:cs="Arial" w:eastAsia="Arial" w:hAnsi="Arial"/>
          <w:sz w:val="12"/>
          <w:szCs w:val="12"/>
          <w:color w:val="auto"/>
        </w:rPr>
        <w:t>This Collaboration and License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as of October 18, 2010 (the “</w:t>
      </w:r>
      <w:r>
        <w:rPr>
          <w:rFonts w:ascii="Arial" w:cs="Arial" w:eastAsia="Arial" w:hAnsi="Arial"/>
          <w:sz w:val="12"/>
          <w:szCs w:val="12"/>
          <w:u w:val="single" w:color="auto"/>
          <w:color w:val="auto"/>
        </w:rPr>
        <w:t>Effective Date</w:t>
      </w:r>
      <w:r>
        <w:rPr>
          <w:rFonts w:ascii="Arial" w:cs="Arial" w:eastAsia="Arial" w:hAnsi="Arial"/>
          <w:sz w:val="12"/>
          <w:szCs w:val="12"/>
          <w:color w:val="auto"/>
        </w:rPr>
        <w:t>”), by and between Boehringer Ingelheim International GmbH, a corporation organized and existing under the laws of Germany and having a principal office located at Binger Strasse 173, 55216 Ingelheim am Rhein, Germany (“</w:t>
      </w:r>
      <w:r>
        <w:rPr>
          <w:rFonts w:ascii="Arial" w:cs="Arial" w:eastAsia="Arial" w:hAnsi="Arial"/>
          <w:sz w:val="12"/>
          <w:szCs w:val="12"/>
          <w:u w:val="single" w:color="auto"/>
          <w:color w:val="auto"/>
        </w:rPr>
        <w:t>BI</w:t>
      </w:r>
      <w:r>
        <w:rPr>
          <w:rFonts w:ascii="Arial" w:cs="Arial" w:eastAsia="Arial" w:hAnsi="Arial"/>
          <w:sz w:val="12"/>
          <w:szCs w:val="12"/>
          <w:color w:val="auto"/>
        </w:rPr>
        <w:t>”), and MacroGenics, Inc. a corporation organized and existing under the laws of the State of Delaware and having a principal office located at 1500 East Gude Drive Rockville, MD 20850, USA (“</w:t>
      </w:r>
      <w:r>
        <w:rPr>
          <w:rFonts w:ascii="Arial" w:cs="Arial" w:eastAsia="Arial" w:hAnsi="Arial"/>
          <w:sz w:val="12"/>
          <w:szCs w:val="12"/>
          <w:u w:val="single" w:color="auto"/>
          <w:color w:val="auto"/>
        </w:rPr>
        <w:t>MacroGenics</w:t>
      </w:r>
      <w:r>
        <w:rPr>
          <w:rFonts w:ascii="Arial" w:cs="Arial" w:eastAsia="Arial" w:hAnsi="Arial"/>
          <w:sz w:val="12"/>
          <w:szCs w:val="12"/>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INTRODUCTION</w:t>
      </w:r>
    </w:p>
    <w:p>
      <w:pPr>
        <w:spacing w:after="0" w:line="134"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WHEREAS, MacroGenics has developed the DART Platform (as defined below), which is focused on dual specificity “antibody-like” therapeutic proteins capable of targeting multiple different epitopes with a single recombinant molecule, and certain intellectual property useful in connection with the application of the DART Platform;</w:t>
      </w:r>
    </w:p>
    <w:p>
      <w:pPr>
        <w:spacing w:after="0" w:line="101"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WHEREAS, BI is a company that is a member of the Boehringer Ingelheim group of companies which group possesses expertise and resources relating to the research, development, manufacturing and marketing of pharmaceutical and biopharmaceutical products;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BI has developed certain know-how and expertise relating to the same and holds certain intellectual property covering the same;</w:t>
      </w:r>
    </w:p>
    <w:p>
      <w:pPr>
        <w:spacing w:after="0" w:line="132"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WHEREAS, BI has developed certain know-how and expertise in the research and development of therapeutic agents for the prevention and treatment of a variety of human and animal diseases, and holds certain intellectual property covering the same;</w:t>
      </w:r>
    </w:p>
    <w:p>
      <w:pPr>
        <w:spacing w:after="0" w:line="101" w:lineRule="exact"/>
        <w:rPr>
          <w:sz w:val="20"/>
          <w:szCs w:val="20"/>
          <w:color w:val="auto"/>
        </w:rPr>
      </w:pPr>
    </w:p>
    <w:p>
      <w:pPr>
        <w:ind w:right="60" w:firstLine="458"/>
        <w:spacing w:after="0" w:line="351" w:lineRule="auto"/>
        <w:rPr>
          <w:sz w:val="20"/>
          <w:szCs w:val="20"/>
          <w:color w:val="auto"/>
        </w:rPr>
      </w:pPr>
      <w:r>
        <w:rPr>
          <w:rFonts w:ascii="Arial" w:cs="Arial" w:eastAsia="Arial" w:hAnsi="Arial"/>
          <w:sz w:val="12"/>
          <w:szCs w:val="12"/>
          <w:color w:val="auto"/>
        </w:rPr>
        <w:t>WHEREAS, MacroGenics and BI wish to enter into an agreement to collaborate on and to use their respective know-how and expertise for the generation, formatting, testing and development of DART Platform products against a series of Collaboration Targets (as defined below), which BI will have exclusive rights to develop, manufacture and commercialize;</w:t>
      </w:r>
    </w:p>
    <w:p>
      <w:pPr>
        <w:spacing w:after="0" w:line="56"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WHEREAS, MacroGenics and BI may enter a future co-promotion agreement in the event that MacroGenics exercises its non-transferable option to co-promote in the United States *** whose initial indication is Detailed by *** and</w:t>
      </w:r>
    </w:p>
    <w:p>
      <w:pPr>
        <w:spacing w:after="0" w:line="101"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WHEREAS, MacroGenics and BI or any of its Affiliates wish to enter a stock purchase investment, whereby BI or any of its Affiliates would purchase Preferred Stock in MacroGenics, upon the terms and conditions set forth in a definitive stock purchase agreement.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NOW, THEREFORE, in consideration of the mutual covenants contained herein, and other good and valuable consideration, the receipt of which is hereby acknowledged, MacroGenics and BI agree 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15" w:lineRule="exact"/>
        <w:rPr>
          <w:sz w:val="20"/>
          <w:szCs w:val="20"/>
          <w:color w:val="auto"/>
        </w:rPr>
      </w:pPr>
    </w:p>
    <w:p>
      <w:pPr>
        <w:ind w:left="3840" w:right="2700" w:hanging="1135"/>
        <w:spacing w:after="0" w:line="351" w:lineRule="auto"/>
        <w:tabs>
          <w:tab w:leader="none" w:pos="2944" w:val="left"/>
        </w:tabs>
        <w:numPr>
          <w:ilvl w:val="0"/>
          <w:numId w:val="38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457" w:name="page458"/>
    <w:bookmarkEnd w:id="457"/>
    <w:p>
      <w:pPr>
        <w:ind w:left="5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I</w:t>
      </w:r>
    </w:p>
    <w:p>
      <w:pPr>
        <w:spacing w:after="0" w:line="132" w:lineRule="exact"/>
        <w:rPr>
          <w:sz w:val="20"/>
          <w:szCs w:val="20"/>
          <w:color w:val="auto"/>
        </w:rPr>
      </w:pPr>
    </w:p>
    <w:p>
      <w:pPr>
        <w:ind w:left="5280"/>
        <w:spacing w:after="0"/>
        <w:rPr>
          <w:sz w:val="20"/>
          <w:szCs w:val="20"/>
          <w:color w:val="auto"/>
        </w:rPr>
      </w:pPr>
      <w:r>
        <w:rPr>
          <w:rFonts w:ascii="Arial" w:cs="Arial" w:eastAsia="Arial" w:hAnsi="Arial"/>
          <w:sz w:val="14"/>
          <w:szCs w:val="14"/>
          <w:b w:val="1"/>
          <w:bCs w:val="1"/>
          <w:u w:val="single" w:color="auto"/>
          <w:color w:val="auto"/>
        </w:rPr>
        <w:t>DEFINITIONS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Unless specifically set forth to the contrary herein, the following terms, whether used in the singular or plural, shall have the respective meanings set forth below:</w:t>
      </w:r>
    </w:p>
    <w:p>
      <w:pPr>
        <w:spacing w:after="0" w:line="132" w:lineRule="exact"/>
        <w:rPr>
          <w:sz w:val="20"/>
          <w:szCs w:val="20"/>
          <w:color w:val="auto"/>
        </w:rPr>
      </w:pPr>
    </w:p>
    <w:p>
      <w:pPr>
        <w:ind w:right="20" w:firstLine="917"/>
        <w:spacing w:after="0" w:line="351" w:lineRule="auto"/>
        <w:rPr>
          <w:sz w:val="20"/>
          <w:szCs w:val="20"/>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Accounting Standards</w:t>
      </w:r>
      <w:r>
        <w:rPr>
          <w:rFonts w:ascii="Arial" w:cs="Arial" w:eastAsia="Arial" w:hAnsi="Arial"/>
          <w:sz w:val="12"/>
          <w:szCs w:val="12"/>
          <w:color w:val="auto"/>
        </w:rPr>
        <w:t>”. Accounting Standards means, with respect to MacroGenics and its Affiliates, generally accepted accounting principles as practiced in the United States or, to the extent applicable, IFRS (International Financial Reporting Standards) or with respect to BI and its Affiliates German HGB (Handelsgesetzbuch), in each case as they exist from time to time, consistently applied.</w:t>
      </w:r>
    </w:p>
    <w:p>
      <w:pPr>
        <w:spacing w:after="0" w:line="56"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1.2 “</w:t>
      </w:r>
      <w:r>
        <w:rPr>
          <w:rFonts w:ascii="Arial" w:cs="Arial" w:eastAsia="Arial" w:hAnsi="Arial"/>
          <w:sz w:val="14"/>
          <w:szCs w:val="14"/>
          <w:u w:val="single" w:color="auto"/>
          <w:color w:val="auto"/>
        </w:rPr>
        <w:t>Affiliate</w:t>
      </w:r>
      <w:r>
        <w:rPr>
          <w:rFonts w:ascii="Arial" w:cs="Arial" w:eastAsia="Arial" w:hAnsi="Arial"/>
          <w:sz w:val="14"/>
          <w:szCs w:val="14"/>
          <w:color w:val="auto"/>
        </w:rPr>
        <w:t>”. Affiliate means with respect to a Party, any entity that directly or indirectly controls, is controlled by, or is under common control with such Party. As used in this definition, the term “control” means the possession, directly or indirectly, of the power to direct or cause the direction of the management and policies of an entity, whether through ownership of voting securities, by contract or otherwise. For purposes of this definition, “control” shall be presumed to exist if one of the following conditions are met: (a) in the case of corporate entities, direct or indirect ownership of more than fifty percent (50%) of the stock or shares having the right to vote for the election of directors, and (b) in the case of non-corporate entities, direct or indirect ownership of more than fifty percent (50%) of the equity interest with the power to direct the management and policies of such non-corporate entities.</w:t>
      </w:r>
    </w:p>
    <w:p>
      <w:pPr>
        <w:spacing w:after="0" w:line="113" w:lineRule="exact"/>
        <w:rPr>
          <w:sz w:val="20"/>
          <w:szCs w:val="20"/>
          <w:color w:val="auto"/>
        </w:rPr>
      </w:pPr>
    </w:p>
    <w:p>
      <w:pPr>
        <w:ind w:right="80" w:firstLine="917"/>
        <w:spacing w:after="0" w:line="267" w:lineRule="auto"/>
        <w:rPr>
          <w:sz w:val="20"/>
          <w:szCs w:val="20"/>
          <w:color w:val="auto"/>
        </w:rPr>
      </w:pPr>
      <w:r>
        <w:rPr>
          <w:rFonts w:ascii="Arial" w:cs="Arial" w:eastAsia="Arial" w:hAnsi="Arial"/>
          <w:sz w:val="14"/>
          <w:szCs w:val="14"/>
          <w:color w:val="auto"/>
        </w:rPr>
        <w:t>1.3 “</w:t>
      </w:r>
      <w:r>
        <w:rPr>
          <w:rFonts w:ascii="Arial" w:cs="Arial" w:eastAsia="Arial" w:hAnsi="Arial"/>
          <w:sz w:val="14"/>
          <w:szCs w:val="14"/>
          <w:u w:val="single" w:color="auto"/>
          <w:color w:val="auto"/>
        </w:rPr>
        <w:t>Annual Net Sales</w:t>
      </w:r>
      <w:r>
        <w:rPr>
          <w:rFonts w:ascii="Arial" w:cs="Arial" w:eastAsia="Arial" w:hAnsi="Arial"/>
          <w:sz w:val="14"/>
          <w:szCs w:val="14"/>
          <w:color w:val="auto"/>
        </w:rPr>
        <w:t>”. Annual Net Sales means worldwide Net Sales of Products by BI or its Affiliates or Sublicensees in any Calendar Year on a Product-by-Product basis, or in the first year and last year of the Royalty Term, the portion of such Calendar Year during which the Royalty Term is in effect.</w:t>
      </w:r>
    </w:p>
    <w:p>
      <w:pPr>
        <w:spacing w:after="0" w:line="101" w:lineRule="exact"/>
        <w:rPr>
          <w:sz w:val="20"/>
          <w:szCs w:val="20"/>
          <w:color w:val="auto"/>
        </w:rPr>
      </w:pPr>
    </w:p>
    <w:p>
      <w:pPr>
        <w:ind w:right="180" w:firstLine="917"/>
        <w:spacing w:after="0" w:line="321" w:lineRule="auto"/>
        <w:rPr>
          <w:sz w:val="20"/>
          <w:szCs w:val="20"/>
          <w:color w:val="auto"/>
        </w:rPr>
      </w:pPr>
      <w:r>
        <w:rPr>
          <w:rFonts w:ascii="Arial" w:cs="Arial" w:eastAsia="Arial" w:hAnsi="Arial"/>
          <w:sz w:val="12"/>
          <w:szCs w:val="12"/>
          <w:color w:val="auto"/>
        </w:rPr>
        <w:t>1.4 “</w:t>
      </w:r>
      <w:r>
        <w:rPr>
          <w:rFonts w:ascii="Arial" w:cs="Arial" w:eastAsia="Arial" w:hAnsi="Arial"/>
          <w:sz w:val="12"/>
          <w:szCs w:val="12"/>
          <w:u w:val="single" w:color="auto"/>
          <w:color w:val="auto"/>
        </w:rPr>
        <w:t>Antibody(ies)</w:t>
      </w:r>
      <w:r>
        <w:rPr>
          <w:rFonts w:ascii="Arial" w:cs="Arial" w:eastAsia="Arial" w:hAnsi="Arial"/>
          <w:sz w:val="12"/>
          <w:szCs w:val="12"/>
          <w:color w:val="auto"/>
        </w:rPr>
        <w:t>”. Antibody(ies) means a molecule which comprises or contains: (a) one or more immunoglobulin variable domains; (b) fragments, variants, modifications or derivatives of such immunoglobulin variable domains irrespective of origin or source; or (c) the nucleic acid consisting of a sequence of nucleotides encoding (or complementary to a nucleic acid encoding) the foregoing molecules in (a) or (b). The term “Antibody” shall include any monospecific antibodies and less than full-length antibody forms such as Fv, Fab, and F(ab’).</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1.5 “</w:t>
      </w:r>
      <w:r>
        <w:rPr>
          <w:rFonts w:ascii="Arial" w:cs="Arial" w:eastAsia="Arial" w:hAnsi="Arial"/>
          <w:sz w:val="14"/>
          <w:szCs w:val="14"/>
          <w:u w:val="single" w:color="auto"/>
          <w:color w:val="auto"/>
        </w:rPr>
        <w:t>BI Exclusive Targets</w:t>
      </w:r>
      <w:r>
        <w:rPr>
          <w:rFonts w:ascii="Arial" w:cs="Arial" w:eastAsia="Arial" w:hAnsi="Arial"/>
          <w:sz w:val="14"/>
          <w:szCs w:val="14"/>
          <w:color w:val="auto"/>
        </w:rPr>
        <w:t xml:space="preserve">” BI Exclusive Targets means the *** set forth on </w:t>
      </w:r>
      <w:r>
        <w:rPr>
          <w:rFonts w:ascii="Arial" w:cs="Arial" w:eastAsia="Arial" w:hAnsi="Arial"/>
          <w:sz w:val="14"/>
          <w:szCs w:val="14"/>
          <w:u w:val="single" w:color="auto"/>
          <w:color w:val="auto"/>
        </w:rPr>
        <w:t>Schedule 1.5</w:t>
      </w:r>
      <w:r>
        <w:rPr>
          <w:rFonts w:ascii="Arial" w:cs="Arial" w:eastAsia="Arial" w:hAnsi="Arial"/>
          <w:sz w:val="14"/>
          <w:szCs w:val="14"/>
          <w:color w:val="auto"/>
        </w:rPr>
        <w:t xml:space="preserve"> which are available Targets for Programs under this Agreement.</w:t>
      </w:r>
    </w:p>
    <w:p>
      <w:pPr>
        <w:spacing w:after="0" w:line="132" w:lineRule="exact"/>
        <w:rPr>
          <w:sz w:val="20"/>
          <w:szCs w:val="20"/>
          <w:color w:val="auto"/>
        </w:rPr>
      </w:pPr>
    </w:p>
    <w:p>
      <w:pPr>
        <w:ind w:right="40" w:firstLine="917"/>
        <w:spacing w:after="0" w:line="351" w:lineRule="auto"/>
        <w:rPr>
          <w:sz w:val="20"/>
          <w:szCs w:val="20"/>
          <w:color w:val="auto"/>
        </w:rPr>
      </w:pPr>
      <w:r>
        <w:rPr>
          <w:rFonts w:ascii="Arial" w:cs="Arial" w:eastAsia="Arial" w:hAnsi="Arial"/>
          <w:sz w:val="12"/>
          <w:szCs w:val="12"/>
          <w:color w:val="auto"/>
        </w:rPr>
        <w:t>1.6 “</w:t>
      </w:r>
      <w:r>
        <w:rPr>
          <w:rFonts w:ascii="Arial" w:cs="Arial" w:eastAsia="Arial" w:hAnsi="Arial"/>
          <w:sz w:val="12"/>
          <w:szCs w:val="12"/>
          <w:u w:val="single" w:color="auto"/>
          <w:color w:val="auto"/>
        </w:rPr>
        <w:t>BI Biopharmaceutical Technology</w:t>
      </w:r>
      <w:r>
        <w:rPr>
          <w:rFonts w:ascii="Arial" w:cs="Arial" w:eastAsia="Arial" w:hAnsi="Arial"/>
          <w:sz w:val="12"/>
          <w:szCs w:val="12"/>
          <w:color w:val="auto"/>
        </w:rPr>
        <w:t xml:space="preserve">” BI Biopharmaceutical Technology means with respect to any Lead Candidate, SOPD Candidate or Product, any Patent or Know-How conceived or generated solely by employees, agents or service providers of BI or its Affiliates or Sublicensees and that result from biopharmaceutical activities performed under this Agreement, including </w:t>
      </w:r>
      <w:r>
        <w:rPr>
          <w:rFonts w:ascii="Arial" w:cs="Arial" w:eastAsia="Arial" w:hAnsi="Arial"/>
          <w:sz w:val="12"/>
          <w:szCs w:val="12"/>
          <w:b w:val="1"/>
          <w:bCs w:val="1"/>
          <w:color w:val="auto"/>
        </w:rPr>
        <w:t>***</w:t>
      </w:r>
      <w:r>
        <w:rPr>
          <w:rFonts w:ascii="Arial" w:cs="Arial" w:eastAsia="Arial" w:hAnsi="Arial"/>
          <w:sz w:val="12"/>
          <w:szCs w:val="12"/>
          <w:color w:val="auto"/>
        </w:rPr>
        <w:t xml:space="preserve">for </w:t>
      </w:r>
      <w:r>
        <w:rPr>
          <w:rFonts w:ascii="Arial" w:cs="Arial" w:eastAsia="Arial" w:hAnsi="Arial"/>
          <w:sz w:val="12"/>
          <w:szCs w:val="12"/>
          <w:b w:val="1"/>
          <w:bCs w:val="1"/>
          <w:color w:val="auto"/>
        </w:rPr>
        <w:t>***</w:t>
      </w:r>
      <w:r>
        <w:rPr>
          <w:rFonts w:ascii="Arial" w:cs="Arial" w:eastAsia="Arial" w:hAnsi="Arial"/>
          <w:sz w:val="12"/>
          <w:szCs w:val="12"/>
          <w:color w:val="auto"/>
        </w:rPr>
        <w:t xml:space="preserve">and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38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458" w:name="page459"/>
    <w:bookmarkEnd w:id="458"/>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1.7 “</w:t>
      </w:r>
      <w:r>
        <w:rPr>
          <w:rFonts w:ascii="Arial" w:cs="Arial" w:eastAsia="Arial" w:hAnsi="Arial"/>
          <w:sz w:val="14"/>
          <w:szCs w:val="14"/>
          <w:u w:val="single" w:color="auto"/>
          <w:color w:val="auto"/>
        </w:rPr>
        <w:t>BI Intellectual Property</w:t>
      </w:r>
      <w:r>
        <w:rPr>
          <w:rFonts w:ascii="Arial" w:cs="Arial" w:eastAsia="Arial" w:hAnsi="Arial"/>
          <w:sz w:val="14"/>
          <w:szCs w:val="14"/>
          <w:color w:val="auto"/>
        </w:rPr>
        <w:t>”. BI Intellectual Property means the BI Know-How and the BI Patent Rights.</w:t>
      </w:r>
    </w:p>
    <w:p>
      <w:pPr>
        <w:spacing w:after="0" w:line="132" w:lineRule="exact"/>
        <w:rPr>
          <w:sz w:val="20"/>
          <w:szCs w:val="20"/>
          <w:color w:val="auto"/>
        </w:rPr>
      </w:pPr>
    </w:p>
    <w:p>
      <w:pPr>
        <w:ind w:right="180" w:firstLine="917"/>
        <w:spacing w:after="0" w:line="258" w:lineRule="auto"/>
        <w:rPr>
          <w:sz w:val="20"/>
          <w:szCs w:val="20"/>
          <w:color w:val="auto"/>
        </w:rPr>
      </w:pPr>
      <w:r>
        <w:rPr>
          <w:rFonts w:ascii="Arial" w:cs="Arial" w:eastAsia="Arial" w:hAnsi="Arial"/>
          <w:sz w:val="14"/>
          <w:szCs w:val="14"/>
          <w:color w:val="auto"/>
        </w:rPr>
        <w:t>1.8 “</w:t>
      </w:r>
      <w:r>
        <w:rPr>
          <w:rFonts w:ascii="Arial" w:cs="Arial" w:eastAsia="Arial" w:hAnsi="Arial"/>
          <w:sz w:val="14"/>
          <w:szCs w:val="14"/>
          <w:u w:val="single" w:color="auto"/>
          <w:color w:val="auto"/>
        </w:rPr>
        <w:t>BI Know-How</w:t>
      </w:r>
      <w:r>
        <w:rPr>
          <w:rFonts w:ascii="Arial" w:cs="Arial" w:eastAsia="Arial" w:hAnsi="Arial"/>
          <w:sz w:val="14"/>
          <w:szCs w:val="14"/>
          <w:color w:val="auto"/>
        </w:rPr>
        <w:t>”. BI Know-How means Know-How that (a) is Controlled by BI or its Affiliates as of the Effective Date or during the Term, and (b) is necessary or useful to conduct any Program or to research, Develop, make and have made, use, offer for sale, sell or import a Collaboration DART or a Product. BI Know-How does not include Collaboration DART Know-How or Joint Know-How.</w:t>
      </w:r>
    </w:p>
    <w:p>
      <w:pPr>
        <w:spacing w:after="0" w:line="108"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BI Patent Rights</w:t>
      </w:r>
      <w:r>
        <w:rPr>
          <w:rFonts w:ascii="Arial" w:cs="Arial" w:eastAsia="Arial" w:hAnsi="Arial"/>
          <w:sz w:val="14"/>
          <w:szCs w:val="14"/>
          <w:color w:val="auto"/>
        </w:rPr>
        <w:t>”. BI Patent Rights means any Patent Rights Controlled by BI or its Affiliates as of the Effective Date or during the Term that describe or claim BI Know-How. BI Patent Rights do not include Collaboration DART Patent Rights or Joint Patent Rights.</w:t>
      </w:r>
    </w:p>
    <w:p>
      <w:pPr>
        <w:spacing w:after="0" w:line="101"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1.10 “</w:t>
      </w:r>
      <w:r>
        <w:rPr>
          <w:rFonts w:ascii="Arial" w:cs="Arial" w:eastAsia="Arial" w:hAnsi="Arial"/>
          <w:sz w:val="14"/>
          <w:szCs w:val="14"/>
          <w:u w:val="single" w:color="auto"/>
          <w:color w:val="auto"/>
        </w:rPr>
        <w:t>Business Day</w:t>
      </w:r>
      <w:r>
        <w:rPr>
          <w:rFonts w:ascii="Arial" w:cs="Arial" w:eastAsia="Arial" w:hAnsi="Arial"/>
          <w:sz w:val="14"/>
          <w:szCs w:val="14"/>
          <w:color w:val="auto"/>
        </w:rPr>
        <w:t>”. Business Day means a day that is not a Saturday, Sunday or a day on which banking institutions in Washington, DC, USA or Ingelheim am Rhein, Germany are authorized by Law to remain closed.</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1.11 “</w:t>
      </w:r>
      <w:r>
        <w:rPr>
          <w:rFonts w:ascii="Arial" w:cs="Arial" w:eastAsia="Arial" w:hAnsi="Arial"/>
          <w:sz w:val="12"/>
          <w:szCs w:val="12"/>
          <w:u w:val="single" w:color="auto"/>
          <w:color w:val="auto"/>
        </w:rPr>
        <w:t>Calendar Quarter</w:t>
      </w:r>
      <w:r>
        <w:rPr>
          <w:rFonts w:ascii="Arial" w:cs="Arial" w:eastAsia="Arial" w:hAnsi="Arial"/>
          <w:sz w:val="12"/>
          <w:szCs w:val="12"/>
          <w:color w:val="auto"/>
        </w:rPr>
        <w:t>”. Calendar Quarter means the respective periods of three (3) consecutive calendar months ending on March 31, June 30, September 30 and December 31.</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1.12 “</w:t>
      </w:r>
      <w:r>
        <w:rPr>
          <w:rFonts w:ascii="Arial" w:cs="Arial" w:eastAsia="Arial" w:hAnsi="Arial"/>
          <w:sz w:val="14"/>
          <w:szCs w:val="14"/>
          <w:u w:val="single" w:color="auto"/>
          <w:color w:val="auto"/>
        </w:rPr>
        <w:t>Calendar Year</w:t>
      </w:r>
      <w:r>
        <w:rPr>
          <w:rFonts w:ascii="Arial" w:cs="Arial" w:eastAsia="Arial" w:hAnsi="Arial"/>
          <w:sz w:val="14"/>
          <w:szCs w:val="14"/>
          <w:color w:val="auto"/>
        </w:rPr>
        <w:t>”. Calendar Year means each successive period of twelve (12) months commencing on January 1 and ending on December 31.</w:t>
      </w:r>
    </w:p>
    <w:p>
      <w:pPr>
        <w:spacing w:after="0" w:line="132" w:lineRule="exact"/>
        <w:rPr>
          <w:sz w:val="20"/>
          <w:szCs w:val="20"/>
          <w:color w:val="auto"/>
        </w:rPr>
      </w:pPr>
    </w:p>
    <w:p>
      <w:pPr>
        <w:ind w:firstLine="917"/>
        <w:spacing w:after="0" w:line="297" w:lineRule="auto"/>
        <w:rPr>
          <w:sz w:val="20"/>
          <w:szCs w:val="20"/>
          <w:color w:val="auto"/>
        </w:rPr>
      </w:pPr>
      <w:r>
        <w:rPr>
          <w:rFonts w:ascii="Arial" w:cs="Arial" w:eastAsia="Arial" w:hAnsi="Arial"/>
          <w:sz w:val="12"/>
          <w:szCs w:val="12"/>
          <w:color w:val="auto"/>
        </w:rPr>
        <w:t>1.13 “</w:t>
      </w:r>
      <w:r>
        <w:rPr>
          <w:rFonts w:ascii="Arial" w:cs="Arial" w:eastAsia="Arial" w:hAnsi="Arial"/>
          <w:sz w:val="12"/>
          <w:szCs w:val="12"/>
          <w:u w:val="single" w:color="auto"/>
          <w:color w:val="auto"/>
        </w:rPr>
        <w:t>Change of Control</w:t>
      </w:r>
      <w:r>
        <w:rPr>
          <w:rFonts w:ascii="Arial" w:cs="Arial" w:eastAsia="Arial" w:hAnsi="Arial"/>
          <w:sz w:val="12"/>
          <w:szCs w:val="12"/>
          <w:color w:val="auto"/>
        </w:rPr>
        <w:t>”. Change of Control means any of the following events (a) the acquisition by any person or group or entity (other than any venture capital or other institutional investor) of “beneficial ownership” (as hereinafter defined) directly or indirectly, of more than fifty percent (50%) of the shares of MacroGenics’ capital stock or other voting securities, the holders of which have general voting power under ordinary circumstances to elect at least a majority of MacroGenics’ board of directors or equivalent body (the “Voting Stock”); (b) the approval by the shareholders of MacroGenics of a merger, share exchange, reorganization, consolidation or other similar transaction of MacroGenics and the consummation of such transaction (a “Transaction”), other than a Transaction which would result in the beneficial owners of Voting Stock of MacroGenics immediately prior thereto continuing to beneficially own (either by such voting Stock remaining outstanding or being converted into voting securities of the surviving or resulting entity) more than fifty percent (50%) of the Voting Stock of MacroGenics or such surviving or resulting entity immediately after such Transaction; or (c) the approval by the shareholders of MacroGenics of a complete liquidation or dissolution of MacroGenics or a sale or disposition of all or substantially all of the assets of MacroGenics and the consummation of such Transaction. For the purpose of this definition, “beneficial ownership” shall mean ownership of a security by any person or group or entity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Change of Control shall not include any public offering of the shares of MacroGenics.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38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459" w:name="page460"/>
    <w:bookmarkEnd w:id="459"/>
    <w:p>
      <w:pPr>
        <w:ind w:right="10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1.14 “</w:t>
      </w:r>
      <w:r>
        <w:rPr>
          <w:rFonts w:ascii="Arial" w:cs="Arial" w:eastAsia="Arial" w:hAnsi="Arial"/>
          <w:sz w:val="14"/>
          <w:szCs w:val="14"/>
          <w:u w:val="single" w:color="auto"/>
          <w:color w:val="auto"/>
        </w:rPr>
        <w:t>Clinical Development Costs</w:t>
      </w:r>
      <w:r>
        <w:rPr>
          <w:rFonts w:ascii="Arial" w:cs="Arial" w:eastAsia="Arial" w:hAnsi="Arial"/>
          <w:sz w:val="14"/>
          <w:szCs w:val="14"/>
          <w:color w:val="auto"/>
        </w:rPr>
        <w:t xml:space="preserve">”. Clinical Development Costs means the costs and expenses incurred by or on behalf of a Party that are specific to the conduct of *** for a Product. Clinical Development Costs shall include </w:t>
      </w:r>
      <w:r>
        <w:rPr>
          <w:rFonts w:ascii="Arial" w:cs="Arial" w:eastAsia="Arial" w:hAnsi="Arial"/>
          <w:sz w:val="14"/>
          <w:szCs w:val="14"/>
          <w:b w:val="1"/>
          <w:bCs w:val="1"/>
          <w:color w:val="auto"/>
        </w:rPr>
        <w: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1.15 “</w:t>
      </w:r>
      <w:r>
        <w:rPr>
          <w:rFonts w:ascii="Arial" w:cs="Arial" w:eastAsia="Arial" w:hAnsi="Arial"/>
          <w:sz w:val="14"/>
          <w:szCs w:val="14"/>
          <w:u w:val="single" w:color="auto"/>
          <w:color w:val="auto"/>
        </w:rPr>
        <w:t>Clinical Trial(s)</w:t>
      </w:r>
      <w:r>
        <w:rPr>
          <w:rFonts w:ascii="Arial" w:cs="Arial" w:eastAsia="Arial" w:hAnsi="Arial"/>
          <w:sz w:val="14"/>
          <w:szCs w:val="14"/>
          <w:color w:val="auto"/>
        </w:rPr>
        <w:t>”. Clinical Trial(s) means a Phase I Clinical Trial, a Phase II Clinical Trial, a Phase III Clinical Trial, and/or a Phase IV Clinical Trial.</w:t>
      </w:r>
    </w:p>
    <w:p>
      <w:pPr>
        <w:spacing w:after="0" w:line="132"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1.16 “</w:t>
      </w:r>
      <w:r>
        <w:rPr>
          <w:rFonts w:ascii="Arial" w:cs="Arial" w:eastAsia="Arial" w:hAnsi="Arial"/>
          <w:sz w:val="14"/>
          <w:szCs w:val="14"/>
          <w:u w:val="single" w:color="auto"/>
          <w:color w:val="auto"/>
        </w:rPr>
        <w:t>Collaboration DART</w:t>
      </w:r>
      <w:r>
        <w:rPr>
          <w:rFonts w:ascii="Arial" w:cs="Arial" w:eastAsia="Arial" w:hAnsi="Arial"/>
          <w:sz w:val="14"/>
          <w:szCs w:val="14"/>
          <w:color w:val="auto"/>
        </w:rPr>
        <w:t>”. Collaboration DART means any (a) molecule created from (i) any MacroGenics Collaboration Antibody or (ii) any Antibody provided by BI under this Agreement, in each case using the DART Platform or (b) derivative thereof, in each case that is Directed to a Collaboration Target.</w:t>
      </w:r>
    </w:p>
    <w:p>
      <w:pPr>
        <w:spacing w:after="0" w:line="101" w:lineRule="exact"/>
        <w:rPr>
          <w:sz w:val="20"/>
          <w:szCs w:val="20"/>
          <w:color w:val="auto"/>
        </w:rPr>
      </w:pPr>
    </w:p>
    <w:p>
      <w:pPr>
        <w:ind w:right="100" w:firstLine="917"/>
        <w:spacing w:after="0" w:line="305"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Collaboration DART Know-How</w:t>
      </w:r>
      <w:r>
        <w:rPr>
          <w:rFonts w:ascii="Arial" w:cs="Arial" w:eastAsia="Arial" w:hAnsi="Arial"/>
          <w:sz w:val="12"/>
          <w:szCs w:val="12"/>
          <w:color w:val="auto"/>
        </w:rPr>
        <w:t>”. Collaboration DART Know-How means any Know-How created by or on behalf of MacroGenics or BI or their respective Affiliates during the Research Term in the conduct of any Program that is specifically related to a Collaboration DART and any Joint Know-How that is specifically related to a Collaboration DART. However *** “Collaboration DART Know-How” does not include (a) Know-How specifically related to improvements to the DART Platform *** (b) Know-How that is *** (c) Know-How specifically related to the *** (d) any Antibody and any related Know-How created outside the conduct of any Program and provided to MacroGenics or its Affiliates by BI or its Affiliates under this Agreement; and (e) any Antibody and any related Know-How created outside the conduct of any Program and provided to BI or its Affiliates by MacroGenics or its Affiliates under this Agreement.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1.18 </w:t>
      </w:r>
      <w:r>
        <w:rPr>
          <w:rFonts w:ascii="Arial" w:cs="Arial" w:eastAsia="Arial" w:hAnsi="Arial"/>
          <w:sz w:val="12"/>
          <w:szCs w:val="12"/>
          <w:u w:val="single" w:color="auto"/>
          <w:color w:val="auto"/>
        </w:rPr>
        <w:t>“Collaboration DART Intellectual Property</w:t>
      </w:r>
      <w:r>
        <w:rPr>
          <w:rFonts w:ascii="Arial" w:cs="Arial" w:eastAsia="Arial" w:hAnsi="Arial"/>
          <w:sz w:val="12"/>
          <w:szCs w:val="12"/>
          <w:color w:val="auto"/>
        </w:rPr>
        <w:t>”. Collaboration DART Intellectual Property means the Collaboration DART Know-How and Collaboration DART Patent Rights.</w:t>
      </w:r>
    </w:p>
    <w:p>
      <w:pPr>
        <w:spacing w:after="0" w:line="155" w:lineRule="exact"/>
        <w:rPr>
          <w:sz w:val="20"/>
          <w:szCs w:val="20"/>
          <w:color w:val="auto"/>
        </w:rPr>
      </w:pPr>
    </w:p>
    <w:p>
      <w:pPr>
        <w:ind w:right="220" w:firstLine="917"/>
        <w:spacing w:after="0" w:line="351" w:lineRule="auto"/>
        <w:rPr>
          <w:sz w:val="20"/>
          <w:szCs w:val="20"/>
          <w:color w:val="auto"/>
        </w:rPr>
      </w:pPr>
      <w:r>
        <w:rPr>
          <w:rFonts w:ascii="Arial" w:cs="Arial" w:eastAsia="Arial" w:hAnsi="Arial"/>
          <w:sz w:val="12"/>
          <w:szCs w:val="12"/>
          <w:color w:val="auto"/>
        </w:rPr>
        <w:t>1.19 “</w:t>
      </w:r>
      <w:r>
        <w:rPr>
          <w:rFonts w:ascii="Arial" w:cs="Arial" w:eastAsia="Arial" w:hAnsi="Arial"/>
          <w:sz w:val="12"/>
          <w:szCs w:val="12"/>
          <w:u w:val="single" w:color="auto"/>
          <w:color w:val="auto"/>
        </w:rPr>
        <w:t>Collaboration DART Patent Rights</w:t>
      </w:r>
      <w:r>
        <w:rPr>
          <w:rFonts w:ascii="Arial" w:cs="Arial" w:eastAsia="Arial" w:hAnsi="Arial"/>
          <w:sz w:val="12"/>
          <w:szCs w:val="12"/>
          <w:color w:val="auto"/>
        </w:rPr>
        <w:t>”. Collaboration DART Patent Rights means any Patent Rights filed after the Effective Date by MacroGenics, BI or their respective Affiliates or the Joint Counsel that specifically describe or claim Collaboration DART Know-How, including Patent Rights that specifically describe or claim a Collaboration DART.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Collaboration Target</w:t>
      </w:r>
      <w:r>
        <w:rPr>
          <w:rFonts w:ascii="Arial" w:cs="Arial" w:eastAsia="Arial" w:hAnsi="Arial"/>
          <w:sz w:val="12"/>
          <w:szCs w:val="12"/>
          <w:color w:val="auto"/>
        </w:rPr>
        <w:t xml:space="preserve">”. Collaboration Target means Dual Target Combinations </w:t>
      </w:r>
      <w:r>
        <w:rPr>
          <w:rFonts w:ascii="Arial" w:cs="Arial" w:eastAsia="Arial" w:hAnsi="Arial"/>
          <w:sz w:val="12"/>
          <w:szCs w:val="12"/>
          <w:b w:val="1"/>
          <w:bCs w:val="1"/>
          <w:color w:val="auto"/>
        </w:rPr>
        <w:t>***</w:t>
      </w:r>
      <w:r>
        <w:rPr>
          <w:rFonts w:ascii="Arial" w:cs="Arial" w:eastAsia="Arial" w:hAnsi="Arial"/>
          <w:sz w:val="12"/>
          <w:szCs w:val="12"/>
          <w:color w:val="auto"/>
        </w:rPr>
        <w:t xml:space="preserve">with </w:t>
      </w:r>
      <w:r>
        <w:rPr>
          <w:rFonts w:ascii="Arial" w:cs="Arial" w:eastAsia="Arial" w:hAnsi="Arial"/>
          <w:sz w:val="12"/>
          <w:szCs w:val="12"/>
          <w:b w:val="1"/>
          <w:bCs w:val="1"/>
          <w:color w:val="auto"/>
        </w:rPr>
        <w:t>***</w:t>
      </w:r>
      <w:r>
        <w:rPr>
          <w:rFonts w:ascii="Arial" w:cs="Arial" w:eastAsia="Arial" w:hAnsi="Arial"/>
          <w:sz w:val="12"/>
          <w:szCs w:val="12"/>
          <w:color w:val="auto"/>
        </w:rPr>
        <w:t xml:space="preserve"> selected by BI and agreed to by the Parties for inclusion in the Programs in accordance with</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Section 3.2.</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1.21 “</w:t>
      </w:r>
      <w:r>
        <w:rPr>
          <w:rFonts w:ascii="Arial" w:cs="Arial" w:eastAsia="Arial" w:hAnsi="Arial"/>
          <w:sz w:val="12"/>
          <w:szCs w:val="12"/>
          <w:u w:val="single" w:color="auto"/>
          <w:color w:val="auto"/>
        </w:rPr>
        <w:t>Collaboration Target List</w:t>
      </w:r>
      <w:r>
        <w:rPr>
          <w:rFonts w:ascii="Arial" w:cs="Arial" w:eastAsia="Arial" w:hAnsi="Arial"/>
          <w:sz w:val="12"/>
          <w:szCs w:val="12"/>
          <w:color w:val="auto"/>
        </w:rPr>
        <w:t>”. Collaboration Target List means the list of all Collaboration Targets, as such list may be updated from time to time in accordance with Section 3.2.</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1.22 “</w:t>
      </w:r>
      <w:r>
        <w:rPr>
          <w:rFonts w:ascii="Arial" w:cs="Arial" w:eastAsia="Arial" w:hAnsi="Arial"/>
          <w:sz w:val="12"/>
          <w:szCs w:val="12"/>
          <w:u w:val="single" w:color="auto"/>
          <w:color w:val="auto"/>
        </w:rPr>
        <w:t>Combination Product</w:t>
      </w:r>
      <w:r>
        <w:rPr>
          <w:rFonts w:ascii="Arial" w:cs="Arial" w:eastAsia="Arial" w:hAnsi="Arial"/>
          <w:sz w:val="12"/>
          <w:szCs w:val="12"/>
          <w:color w:val="auto"/>
        </w:rPr>
        <w:t>”. Combination Product means a pharmaceutical formulation containing as its active ingredients both a Product and one or more other therapeutically active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ingredients.</w:t>
      </w:r>
    </w:p>
    <w:p>
      <w:pPr>
        <w:spacing w:after="0" w:line="126"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1.23 “</w:t>
      </w:r>
      <w:r>
        <w:rPr>
          <w:rFonts w:ascii="Arial" w:cs="Arial" w:eastAsia="Arial" w:hAnsi="Arial"/>
          <w:sz w:val="14"/>
          <w:szCs w:val="14"/>
          <w:u w:val="single" w:color="auto"/>
          <w:color w:val="auto"/>
        </w:rPr>
        <w:t>Commercially Reasonable Efforts</w:t>
      </w:r>
      <w:r>
        <w:rPr>
          <w:rFonts w:ascii="Arial" w:cs="Arial" w:eastAsia="Arial" w:hAnsi="Arial"/>
          <w:sz w:val="14"/>
          <w:szCs w:val="14"/>
          <w:color w:val="auto"/>
        </w:rPr>
        <w:t>”. Commercially Reasonable Efforts means the efforts required in order to carry out a task in a diligent and sustained manner without undue interruption or delay, which level is at least commensurate with the level of effort that 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12" w:lineRule="exact"/>
        <w:rPr>
          <w:sz w:val="20"/>
          <w:szCs w:val="20"/>
          <w:color w:val="auto"/>
        </w:rPr>
      </w:pPr>
    </w:p>
    <w:p>
      <w:pPr>
        <w:ind w:left="3840" w:right="2660" w:hanging="1135"/>
        <w:spacing w:after="0" w:line="341" w:lineRule="auto"/>
        <w:tabs>
          <w:tab w:leader="none" w:pos="2944" w:val="left"/>
        </w:tabs>
        <w:numPr>
          <w:ilvl w:val="0"/>
          <w:numId w:val="38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6" w:right="259" w:bottom="1440" w:gutter="0" w:footer="0" w:header="0"/>
        </w:sectPr>
      </w:pPr>
    </w:p>
    <w:bookmarkStart w:id="460" w:name="page461"/>
    <w:bookmarkEnd w:id="460"/>
    <w:p>
      <w:pPr>
        <w:ind w:right="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Party would devote to a product of similar market potential and having similar commercial and scientific advantages and disadvantages resulting from its own research efforts or to which it has rights, taking into account its safety and efficacy, regulatory status, the competitiveness of the marketplace, its proprietary position, pricing, reimbursement, launching strategy and other market-specific factors, and all other relevant factors.</w:t>
      </w:r>
    </w:p>
    <w:p>
      <w:pPr>
        <w:spacing w:after="0" w:line="108" w:lineRule="exact"/>
        <w:rPr>
          <w:sz w:val="20"/>
          <w:szCs w:val="20"/>
          <w:color w:val="auto"/>
        </w:rPr>
      </w:pPr>
    </w:p>
    <w:p>
      <w:pPr>
        <w:ind w:right="60" w:firstLine="917"/>
        <w:spacing w:after="0" w:line="267" w:lineRule="auto"/>
        <w:rPr>
          <w:sz w:val="20"/>
          <w:szCs w:val="20"/>
          <w:color w:val="auto"/>
        </w:rPr>
      </w:pPr>
      <w:r>
        <w:rPr>
          <w:rFonts w:ascii="Arial" w:cs="Arial" w:eastAsia="Arial" w:hAnsi="Arial"/>
          <w:sz w:val="14"/>
          <w:szCs w:val="14"/>
          <w:color w:val="auto"/>
        </w:rPr>
        <w:t>1.24 “</w:t>
      </w:r>
      <w:r>
        <w:rPr>
          <w:rFonts w:ascii="Arial" w:cs="Arial" w:eastAsia="Arial" w:hAnsi="Arial"/>
          <w:sz w:val="14"/>
          <w:szCs w:val="14"/>
          <w:u w:val="single" w:color="auto"/>
          <w:color w:val="auto"/>
        </w:rPr>
        <w:t>Commercialization</w:t>
      </w:r>
      <w:r>
        <w:rPr>
          <w:rFonts w:ascii="Arial" w:cs="Arial" w:eastAsia="Arial" w:hAnsi="Arial"/>
          <w:sz w:val="14"/>
          <w:szCs w:val="14"/>
          <w:color w:val="auto"/>
        </w:rPr>
        <w:t>” or “</w:t>
      </w:r>
      <w:r>
        <w:rPr>
          <w:rFonts w:ascii="Arial" w:cs="Arial" w:eastAsia="Arial" w:hAnsi="Arial"/>
          <w:sz w:val="14"/>
          <w:szCs w:val="14"/>
          <w:u w:val="single" w:color="auto"/>
          <w:color w:val="auto"/>
        </w:rPr>
        <w:t>Commercialize</w:t>
      </w:r>
      <w:r>
        <w:rPr>
          <w:rFonts w:ascii="Arial" w:cs="Arial" w:eastAsia="Arial" w:hAnsi="Arial"/>
          <w:sz w:val="14"/>
          <w:szCs w:val="14"/>
          <w:color w:val="auto"/>
        </w:rPr>
        <w:t>”. Commercialization or Commercialize means any activities directed to obtaining pricing and/or reimbursement approvals, marketing, promoting, distributing, importing, offering to sell, and/or selling a product.</w:t>
      </w:r>
    </w:p>
    <w:p>
      <w:pPr>
        <w:spacing w:after="0" w:line="101" w:lineRule="exact"/>
        <w:rPr>
          <w:sz w:val="20"/>
          <w:szCs w:val="20"/>
          <w:color w:val="auto"/>
        </w:rPr>
      </w:pPr>
    </w:p>
    <w:p>
      <w:pPr>
        <w:ind w:right="20" w:firstLine="917"/>
        <w:spacing w:after="0" w:line="255" w:lineRule="auto"/>
        <w:rPr>
          <w:sz w:val="20"/>
          <w:szCs w:val="20"/>
          <w:color w:val="auto"/>
        </w:rPr>
      </w:pPr>
      <w:r>
        <w:rPr>
          <w:rFonts w:ascii="Arial" w:cs="Arial" w:eastAsia="Arial" w:hAnsi="Arial"/>
          <w:sz w:val="14"/>
          <w:szCs w:val="14"/>
          <w:color w:val="auto"/>
        </w:rPr>
        <w:t>1.25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Confidential Information means any and all information and data, including all BI Know-How, MacroGenics Know-How, Collaboration DART Know-How and Joint Know-How, and all other scientific, pre-clinical, clinical, regulatory, manufacturing, marketing, financial and commercial information or data, whether communicated in writing or orally or by any other method, which is provided by one Party to the other Party in connection with this Agreement or the Prior Confidentiality Agreement. Notwithstanding the foregoing, Confidential Information excludes information that, in each case as demonstrated by competent written documentation:</w:t>
      </w:r>
    </w:p>
    <w:p>
      <w:pPr>
        <w:spacing w:after="0" w:line="110" w:lineRule="exact"/>
        <w:rPr>
          <w:sz w:val="20"/>
          <w:szCs w:val="20"/>
          <w:color w:val="auto"/>
        </w:rPr>
      </w:pPr>
    </w:p>
    <w:p>
      <w:pPr>
        <w:ind w:left="1680" w:hanging="187"/>
        <w:spacing w:after="0"/>
        <w:tabs>
          <w:tab w:leader="none" w:pos="168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is publicly disclosed and made generally available to the public by the disclosing Party, either before or after it becomes known to the receiving Party;</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was known to the receiving Party, without obligation to keep it confidential, prior to the date of disclosure by the disclosing Party;</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388"/>
        </w:numPr>
        <w:rPr>
          <w:rFonts w:ascii="Arial" w:cs="Arial" w:eastAsia="Arial" w:hAnsi="Arial"/>
          <w:sz w:val="12"/>
          <w:szCs w:val="12"/>
          <w:color w:val="auto"/>
        </w:rPr>
      </w:pPr>
      <w:r>
        <w:rPr>
          <w:rFonts w:ascii="Arial" w:cs="Arial" w:eastAsia="Arial" w:hAnsi="Arial"/>
          <w:sz w:val="12"/>
          <w:szCs w:val="12"/>
          <w:color w:val="auto"/>
        </w:rPr>
        <w:t>is subsequently disclosed to the receiving Party by a Third Party lawfully in possession thereof without obligation to keep it confidential and without a breach of such Third Party’s</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obligations of confidentiality;</w:t>
      </w:r>
    </w:p>
    <w:p>
      <w:pPr>
        <w:spacing w:after="0" w:line="125" w:lineRule="exact"/>
        <w:rPr>
          <w:rFonts w:ascii="Arial" w:cs="Arial" w:eastAsia="Arial" w:hAnsi="Arial"/>
          <w:sz w:val="12"/>
          <w:szCs w:val="12"/>
          <w:color w:val="auto"/>
        </w:rPr>
      </w:pPr>
    </w:p>
    <w:p>
      <w:pPr>
        <w:ind w:left="1680" w:hanging="187"/>
        <w:spacing w:after="0"/>
        <w:tabs>
          <w:tab w:leader="none" w:pos="1680" w:val="left"/>
        </w:tabs>
        <w:numPr>
          <w:ilvl w:val="0"/>
          <w:numId w:val="388"/>
        </w:numPr>
        <w:rPr>
          <w:rFonts w:ascii="Arial" w:cs="Arial" w:eastAsia="Arial" w:hAnsi="Arial"/>
          <w:sz w:val="12"/>
          <w:szCs w:val="12"/>
          <w:color w:val="auto"/>
        </w:rPr>
      </w:pPr>
      <w:r>
        <w:rPr>
          <w:rFonts w:ascii="Arial" w:cs="Arial" w:eastAsia="Arial" w:hAnsi="Arial"/>
          <w:sz w:val="12"/>
          <w:szCs w:val="12"/>
          <w:color w:val="auto"/>
        </w:rPr>
        <w:t>has been publicly disclosed or made generally available to the public other than through any act or omission of the receiving Party in breach of this Agreement; or</w:t>
      </w:r>
    </w:p>
    <w:p>
      <w:pPr>
        <w:spacing w:after="0" w:line="154" w:lineRule="exact"/>
        <w:rPr>
          <w:rFonts w:ascii="Arial" w:cs="Arial" w:eastAsia="Arial" w:hAnsi="Arial"/>
          <w:sz w:val="12"/>
          <w:szCs w:val="12"/>
          <w:color w:val="auto"/>
        </w:rPr>
      </w:pPr>
    </w:p>
    <w:p>
      <w:pPr>
        <w:ind w:right="320" w:firstLine="1493"/>
        <w:spacing w:after="0" w:line="267" w:lineRule="auto"/>
        <w:tabs>
          <w:tab w:leader="none" w:pos="1675" w:val="left"/>
        </w:tabs>
        <w:numPr>
          <w:ilvl w:val="0"/>
          <w:numId w:val="388"/>
        </w:numPr>
        <w:rPr>
          <w:rFonts w:ascii="Arial" w:cs="Arial" w:eastAsia="Arial" w:hAnsi="Arial"/>
          <w:sz w:val="14"/>
          <w:szCs w:val="14"/>
          <w:color w:val="auto"/>
        </w:rPr>
      </w:pPr>
      <w:r>
        <w:rPr>
          <w:rFonts w:ascii="Arial" w:cs="Arial" w:eastAsia="Arial" w:hAnsi="Arial"/>
          <w:sz w:val="14"/>
          <w:szCs w:val="14"/>
          <w:color w:val="auto"/>
        </w:rPr>
        <w:t>has been independently developed by the receiving Party without the aid, application or use of the disclosing Party’s Confidential Information (the competent written proof of which must be contemporaneous with such independent development).</w:t>
      </w:r>
    </w:p>
    <w:p>
      <w:pPr>
        <w:spacing w:after="0" w:line="101" w:lineRule="exact"/>
        <w:rPr>
          <w:sz w:val="20"/>
          <w:szCs w:val="20"/>
          <w:color w:val="auto"/>
        </w:rPr>
      </w:pPr>
    </w:p>
    <w:p>
      <w:pPr>
        <w:ind w:firstLine="917"/>
        <w:spacing w:after="0" w:line="321" w:lineRule="auto"/>
        <w:rPr>
          <w:sz w:val="20"/>
          <w:szCs w:val="20"/>
          <w:color w:val="auto"/>
        </w:rPr>
      </w:pPr>
      <w:r>
        <w:rPr>
          <w:rFonts w:ascii="Arial" w:cs="Arial" w:eastAsia="Arial" w:hAnsi="Arial"/>
          <w:sz w:val="12"/>
          <w:szCs w:val="12"/>
          <w:color w:val="auto"/>
        </w:rPr>
        <w:t>1.26 “</w:t>
      </w:r>
      <w:r>
        <w:rPr>
          <w:rFonts w:ascii="Arial" w:cs="Arial" w:eastAsia="Arial" w:hAnsi="Arial"/>
          <w:sz w:val="12"/>
          <w:szCs w:val="12"/>
          <w:u w:val="single" w:color="auto"/>
          <w:color w:val="auto"/>
        </w:rPr>
        <w:t>Control</w:t>
      </w:r>
      <w:r>
        <w:rPr>
          <w:rFonts w:ascii="Arial" w:cs="Arial" w:eastAsia="Arial" w:hAnsi="Arial"/>
          <w:sz w:val="12"/>
          <w:szCs w:val="12"/>
          <w:color w:val="auto"/>
        </w:rPr>
        <w:t>”. Control means, with respect to any item of or right under Patent Rights or Know-How, subject to Section 3.7, the possession of (whether by ownership or license, other than pursuant to this Agreement) the ability of a Party to grant access to, or a license or sublicense of, such items or right as provided for herein without violating the terms of any agreement or other arrangement with any Third Party existing prior to the time such Party would be required hereunder to grant the other Party such access or license or sublicense.</w:t>
      </w:r>
    </w:p>
    <w:p>
      <w:pPr>
        <w:spacing w:after="0" w:line="73"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1.27 “</w:t>
      </w:r>
      <w:r>
        <w:rPr>
          <w:rFonts w:ascii="Arial" w:cs="Arial" w:eastAsia="Arial" w:hAnsi="Arial"/>
          <w:sz w:val="14"/>
          <w:szCs w:val="14"/>
          <w:u w:val="single" w:color="auto"/>
          <w:color w:val="auto"/>
        </w:rPr>
        <w:t>Cover</w:t>
      </w:r>
      <w:r>
        <w:rPr>
          <w:rFonts w:ascii="Arial" w:cs="Arial" w:eastAsia="Arial" w:hAnsi="Arial"/>
          <w:sz w:val="14"/>
          <w:szCs w:val="14"/>
          <w:color w:val="auto"/>
        </w:rPr>
        <w:t>”, “</w:t>
      </w:r>
      <w:r>
        <w:rPr>
          <w:rFonts w:ascii="Arial" w:cs="Arial" w:eastAsia="Arial" w:hAnsi="Arial"/>
          <w:sz w:val="14"/>
          <w:szCs w:val="14"/>
          <w:u w:val="single" w:color="auto"/>
          <w:color w:val="auto"/>
        </w:rPr>
        <w:t>Covering</w:t>
      </w:r>
      <w:r>
        <w:rPr>
          <w:rFonts w:ascii="Arial" w:cs="Arial" w:eastAsia="Arial" w:hAnsi="Arial"/>
          <w:sz w:val="14"/>
          <w:szCs w:val="14"/>
          <w:color w:val="auto"/>
        </w:rPr>
        <w:t>” or “</w:t>
      </w:r>
      <w:r>
        <w:rPr>
          <w:rFonts w:ascii="Arial" w:cs="Arial" w:eastAsia="Arial" w:hAnsi="Arial"/>
          <w:sz w:val="14"/>
          <w:szCs w:val="14"/>
          <w:u w:val="single" w:color="auto"/>
          <w:color w:val="auto"/>
        </w:rPr>
        <w:t>Covered</w:t>
      </w:r>
      <w:r>
        <w:rPr>
          <w:rFonts w:ascii="Arial" w:cs="Arial" w:eastAsia="Arial" w:hAnsi="Arial"/>
          <w:sz w:val="14"/>
          <w:szCs w:val="14"/>
          <w:color w:val="auto"/>
        </w:rPr>
        <w:t>”. Cover, Covering or Covered means, with respect to a product, technology, process or method that, in the absence of ownership of or a license granted under a Valid Claim, the manufacture, use, offer for sale, sale or importation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38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461" w:name="page462"/>
    <w:bookmarkEnd w:id="461"/>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such product or the practice of such technology, process or method would infringe such Valid Claim (or, in the case of a Valid Claim that has not yet issued, would infringe such Valid Claim if it were to issue).</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u w:val="single" w:color="auto"/>
          <w:color w:val="auto"/>
        </w:rPr>
        <w:t>DART Platform</w:t>
      </w:r>
      <w:r>
        <w:rPr>
          <w:rFonts w:ascii="Arial" w:cs="Arial" w:eastAsia="Arial" w:hAnsi="Arial"/>
          <w:sz w:val="14"/>
          <w:szCs w:val="14"/>
          <w:color w:val="auto"/>
        </w:rPr>
        <w:t>”. DART Platform means the Dual Affinity Re-Targeting platform described in Schedule 1.28.</w:t>
      </w:r>
    </w:p>
    <w:p>
      <w:pPr>
        <w:spacing w:after="0" w:line="132" w:lineRule="exact"/>
        <w:rPr>
          <w:sz w:val="20"/>
          <w:szCs w:val="20"/>
          <w:color w:val="auto"/>
        </w:rPr>
      </w:pPr>
    </w:p>
    <w:p>
      <w:pPr>
        <w:ind w:right="260" w:firstLine="917"/>
        <w:spacing w:after="0" w:line="267"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u w:val="single" w:color="auto"/>
          <w:color w:val="auto"/>
        </w:rPr>
        <w:t>Detail</w:t>
      </w:r>
      <w:r>
        <w:rPr>
          <w:rFonts w:ascii="Arial" w:cs="Arial" w:eastAsia="Arial" w:hAnsi="Arial"/>
          <w:sz w:val="14"/>
          <w:szCs w:val="14"/>
          <w:color w:val="auto"/>
        </w:rPr>
        <w:t>”. Detail means a sales presentation by a professional sales representative to a target physician involved in prescribing the Product in which the primary purpose is to discuss the benefits and features of the Product.</w:t>
      </w:r>
    </w:p>
    <w:p>
      <w:pPr>
        <w:spacing w:after="0" w:line="101" w:lineRule="exact"/>
        <w:rPr>
          <w:sz w:val="20"/>
          <w:szCs w:val="20"/>
          <w:color w:val="auto"/>
        </w:rPr>
      </w:pPr>
    </w:p>
    <w:p>
      <w:pPr>
        <w:ind w:right="260" w:firstLine="917"/>
        <w:spacing w:after="0" w:line="267"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u w:val="single" w:color="auto"/>
          <w:color w:val="auto"/>
        </w:rPr>
        <w:t>Default</w:t>
      </w:r>
      <w:r>
        <w:rPr>
          <w:rFonts w:ascii="Arial" w:cs="Arial" w:eastAsia="Arial" w:hAnsi="Arial"/>
          <w:sz w:val="14"/>
          <w:szCs w:val="14"/>
          <w:color w:val="auto"/>
        </w:rPr>
        <w:t>” means with respect to a Party that (i) any representation or warranty of such Party set forth herein shall have been untrue in any material respect when made or (ii) such Party shall have failed to perform any material obligation set forth in this Agreement.</w:t>
      </w:r>
    </w:p>
    <w:p>
      <w:pPr>
        <w:spacing w:after="0" w:line="101" w:lineRule="exact"/>
        <w:rPr>
          <w:sz w:val="20"/>
          <w:szCs w:val="20"/>
          <w:color w:val="auto"/>
        </w:rPr>
      </w:pPr>
    </w:p>
    <w:p>
      <w:pPr>
        <w:ind w:firstLine="917"/>
        <w:spacing w:after="0" w:line="311" w:lineRule="auto"/>
        <w:rPr>
          <w:sz w:val="20"/>
          <w:szCs w:val="20"/>
          <w:color w:val="auto"/>
        </w:rPr>
      </w:pPr>
      <w:r>
        <w:rPr>
          <w:rFonts w:ascii="Arial" w:cs="Arial" w:eastAsia="Arial" w:hAnsi="Arial"/>
          <w:sz w:val="12"/>
          <w:szCs w:val="12"/>
          <w:color w:val="auto"/>
        </w:rPr>
        <w:t>1.31 “</w:t>
      </w:r>
      <w:r>
        <w:rPr>
          <w:rFonts w:ascii="Arial" w:cs="Arial" w:eastAsia="Arial" w:hAnsi="Arial"/>
          <w:sz w:val="12"/>
          <w:szCs w:val="12"/>
          <w:u w:val="single" w:color="auto"/>
          <w:color w:val="auto"/>
        </w:rPr>
        <w:t>Development</w:t>
      </w:r>
      <w:r>
        <w:rPr>
          <w:rFonts w:ascii="Arial" w:cs="Arial" w:eastAsia="Arial" w:hAnsi="Arial"/>
          <w:sz w:val="12"/>
          <w:szCs w:val="12"/>
          <w:color w:val="auto"/>
        </w:rPr>
        <w:t>” or “</w:t>
      </w:r>
      <w:r>
        <w:rPr>
          <w:rFonts w:ascii="Arial" w:cs="Arial" w:eastAsia="Arial" w:hAnsi="Arial"/>
          <w:sz w:val="12"/>
          <w:szCs w:val="12"/>
          <w:u w:val="single" w:color="auto"/>
          <w:color w:val="auto"/>
        </w:rPr>
        <w:t>Develop</w:t>
      </w:r>
      <w:r>
        <w:rPr>
          <w:rFonts w:ascii="Arial" w:cs="Arial" w:eastAsia="Arial" w:hAnsi="Arial"/>
          <w:sz w:val="12"/>
          <w:szCs w:val="12"/>
          <w:color w:val="auto"/>
        </w:rPr>
        <w:t>” means, with respect to a compound, preclinical and clinical drug development activities, including, among other things: test method development and stability testing, toxicology, formulation, process development, manufacturing scale-up, development-stage manufacturing, quality assurance/quality control procedure development and performance with respect to clinical materials, statistical analysis and report writing and clinical studies, regulatory affairs, and all other pre-Regulatory Approval activities. When used as a verb, “Develop” means to engage in Development. Development shall include any Phase IV Clinical Trials or other post-approval studies required by a Regulatory Authority.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1.32 “</w:t>
      </w:r>
      <w:r>
        <w:rPr>
          <w:rFonts w:ascii="Arial" w:cs="Arial" w:eastAsia="Arial" w:hAnsi="Arial"/>
          <w:sz w:val="14"/>
          <w:szCs w:val="14"/>
          <w:u w:val="single" w:color="auto"/>
          <w:color w:val="auto"/>
        </w:rPr>
        <w:t>Directed</w:t>
      </w:r>
      <w:r>
        <w:rPr>
          <w:rFonts w:ascii="Arial" w:cs="Arial" w:eastAsia="Arial" w:hAnsi="Arial"/>
          <w:sz w:val="14"/>
          <w:szCs w:val="14"/>
          <w:color w:val="auto"/>
        </w:rPr>
        <w:t>”. Directed means binding specifically to a Target, as measured by a cellular or biochemical assay.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1.33 “</w:t>
      </w:r>
      <w:r>
        <w:rPr>
          <w:rFonts w:ascii="Arial" w:cs="Arial" w:eastAsia="Arial" w:hAnsi="Arial"/>
          <w:sz w:val="12"/>
          <w:szCs w:val="12"/>
          <w:u w:val="single" w:color="auto"/>
          <w:color w:val="auto"/>
        </w:rPr>
        <w:t>Dual Target Combination</w:t>
      </w:r>
      <w:r>
        <w:rPr>
          <w:rFonts w:ascii="Arial" w:cs="Arial" w:eastAsia="Arial" w:hAnsi="Arial"/>
          <w:sz w:val="12"/>
          <w:szCs w:val="12"/>
          <w:color w:val="auto"/>
        </w:rPr>
        <w:t>”. Dual Target Combination means (i) a combination of two (2) different Targets or (ii) a combination of two (2) different epitopes on the same Target.</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1.34 “</w:t>
      </w:r>
      <w:r>
        <w:rPr>
          <w:rFonts w:ascii="Arial" w:cs="Arial" w:eastAsia="Arial" w:hAnsi="Arial"/>
          <w:sz w:val="14"/>
          <w:szCs w:val="14"/>
          <w:u w:val="single" w:color="auto"/>
          <w:color w:val="auto"/>
        </w:rPr>
        <w:t>EMA</w:t>
      </w:r>
      <w:r>
        <w:rPr>
          <w:rFonts w:ascii="Arial" w:cs="Arial" w:eastAsia="Arial" w:hAnsi="Arial"/>
          <w:sz w:val="14"/>
          <w:szCs w:val="14"/>
          <w:color w:val="auto"/>
        </w:rPr>
        <w:t>”. EMA means The European Medicines Agency, or any successor agency.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1.35 “</w:t>
      </w:r>
      <w:r>
        <w:rPr>
          <w:rFonts w:ascii="Arial" w:cs="Arial" w:eastAsia="Arial" w:hAnsi="Arial"/>
          <w:sz w:val="14"/>
          <w:szCs w:val="14"/>
          <w:u w:val="single" w:color="auto"/>
          <w:color w:val="auto"/>
        </w:rPr>
        <w:t>European Union</w:t>
      </w:r>
      <w:r>
        <w:rPr>
          <w:rFonts w:ascii="Arial" w:cs="Arial" w:eastAsia="Arial" w:hAnsi="Arial"/>
          <w:sz w:val="14"/>
          <w:szCs w:val="14"/>
          <w:color w:val="auto"/>
        </w:rPr>
        <w:t>”. European Union means the countries that are members of the European Union, as redefined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1.36 “</w:t>
      </w:r>
      <w:r>
        <w:rPr>
          <w:rFonts w:ascii="Arial" w:cs="Arial" w:eastAsia="Arial" w:hAnsi="Arial"/>
          <w:sz w:val="14"/>
          <w:szCs w:val="14"/>
          <w:u w:val="single" w:color="auto"/>
          <w:color w:val="auto"/>
        </w:rPr>
        <w:t>FDA</w:t>
      </w:r>
      <w:r>
        <w:rPr>
          <w:rFonts w:ascii="Arial" w:cs="Arial" w:eastAsia="Arial" w:hAnsi="Arial"/>
          <w:sz w:val="14"/>
          <w:szCs w:val="14"/>
          <w:color w:val="auto"/>
        </w:rPr>
        <w:t>” or “</w:t>
      </w:r>
      <w:r>
        <w:rPr>
          <w:rFonts w:ascii="Arial" w:cs="Arial" w:eastAsia="Arial" w:hAnsi="Arial"/>
          <w:sz w:val="14"/>
          <w:szCs w:val="14"/>
          <w:u w:val="single" w:color="auto"/>
          <w:color w:val="auto"/>
        </w:rPr>
        <w:t>Food and Drug Administration</w:t>
      </w:r>
      <w:r>
        <w:rPr>
          <w:rFonts w:ascii="Arial" w:cs="Arial" w:eastAsia="Arial" w:hAnsi="Arial"/>
          <w:sz w:val="14"/>
          <w:szCs w:val="14"/>
          <w:color w:val="auto"/>
        </w:rPr>
        <w:t>”. FDA or Food and Drug Administration means the United States Food and Drug Administration, or any successor agency.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1.37 “</w:t>
      </w:r>
      <w:r>
        <w:rPr>
          <w:rFonts w:ascii="Arial" w:cs="Arial" w:eastAsia="Arial" w:hAnsi="Arial"/>
          <w:sz w:val="12"/>
          <w:szCs w:val="12"/>
          <w:u w:val="single" w:color="auto"/>
          <w:color w:val="auto"/>
        </w:rPr>
        <w:t>Field</w:t>
      </w:r>
      <w:r>
        <w:rPr>
          <w:rFonts w:ascii="Arial" w:cs="Arial" w:eastAsia="Arial" w:hAnsi="Arial"/>
          <w:sz w:val="12"/>
          <w:szCs w:val="12"/>
          <w:color w:val="auto"/>
        </w:rPr>
        <w:t>”. Field means any and all uses, including the use of a Product for the diagnosis, treatment, palliation and/or prevention of a disease or medical condition in humans and/or animals.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1.38 “</w:t>
      </w:r>
      <w:r>
        <w:rPr>
          <w:rFonts w:ascii="Arial" w:cs="Arial" w:eastAsia="Arial" w:hAnsi="Arial"/>
          <w:sz w:val="14"/>
          <w:szCs w:val="14"/>
          <w:u w:val="single" w:color="auto"/>
          <w:color w:val="auto"/>
        </w:rPr>
        <w:t>Filing</w:t>
      </w:r>
      <w:r>
        <w:rPr>
          <w:rFonts w:ascii="Arial" w:cs="Arial" w:eastAsia="Arial" w:hAnsi="Arial"/>
          <w:sz w:val="14"/>
          <w:szCs w:val="14"/>
          <w:color w:val="auto"/>
        </w:rPr>
        <w:t>”. Filing means the acceptance by the applicable Regulatory Authority of a NDA for filing.</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6</w:t>
      </w:r>
    </w:p>
    <w:p>
      <w:pPr>
        <w:spacing w:after="0" w:line="12" w:lineRule="exact"/>
        <w:rPr>
          <w:sz w:val="20"/>
          <w:szCs w:val="20"/>
          <w:color w:val="auto"/>
        </w:rPr>
      </w:pPr>
    </w:p>
    <w:p>
      <w:pPr>
        <w:ind w:left="3840" w:right="2680" w:hanging="1135"/>
        <w:spacing w:after="0" w:line="341" w:lineRule="auto"/>
        <w:tabs>
          <w:tab w:leader="none" w:pos="2944" w:val="left"/>
        </w:tabs>
        <w:numPr>
          <w:ilvl w:val="0"/>
          <w:numId w:val="39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462" w:name="page463"/>
    <w:bookmarkEnd w:id="462"/>
    <w:p>
      <w:pPr>
        <w:jc w:val="both"/>
        <w:ind w:right="320" w:firstLine="917"/>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1.39 “</w:t>
      </w:r>
      <w:r>
        <w:rPr>
          <w:rFonts w:ascii="Arial" w:cs="Arial" w:eastAsia="Arial" w:hAnsi="Arial"/>
          <w:sz w:val="14"/>
          <w:szCs w:val="14"/>
          <w:u w:val="single" w:color="auto"/>
          <w:color w:val="auto"/>
        </w:rPr>
        <w:t>First Commercial Sale</w:t>
      </w:r>
      <w:r>
        <w:rPr>
          <w:rFonts w:ascii="Arial" w:cs="Arial" w:eastAsia="Arial" w:hAnsi="Arial"/>
          <w:sz w:val="14"/>
          <w:szCs w:val="14"/>
          <w:color w:val="auto"/>
        </w:rPr>
        <w:t>”. First Commercial Sale means, with respect to any Product, the first sale for end use or consumption of such Product in a country after all required approvals, including Regulatory Approval, have been granted by the Regulatory Authority of such country. For avoidance of doubt, sales for test marketing, sampling and promotional uses, clinical trials purposes or compassionate use shall not constitute a First Commercial Sale.</w:t>
      </w:r>
    </w:p>
    <w:p>
      <w:pPr>
        <w:spacing w:after="0" w:line="108" w:lineRule="exact"/>
        <w:rPr>
          <w:sz w:val="20"/>
          <w:szCs w:val="20"/>
          <w:color w:val="auto"/>
        </w:rPr>
      </w:pPr>
    </w:p>
    <w:p>
      <w:pPr>
        <w:ind w:right="20" w:firstLine="917"/>
        <w:spacing w:after="0" w:line="253" w:lineRule="auto"/>
        <w:rPr>
          <w:sz w:val="20"/>
          <w:szCs w:val="20"/>
          <w:color w:val="auto"/>
        </w:rPr>
      </w:pPr>
      <w:r>
        <w:rPr>
          <w:rFonts w:ascii="Arial" w:cs="Arial" w:eastAsia="Arial" w:hAnsi="Arial"/>
          <w:sz w:val="14"/>
          <w:szCs w:val="14"/>
          <w:color w:val="auto"/>
        </w:rPr>
        <w:t>1.40 “</w:t>
      </w:r>
      <w:r>
        <w:rPr>
          <w:rFonts w:ascii="Arial" w:cs="Arial" w:eastAsia="Arial" w:hAnsi="Arial"/>
          <w:sz w:val="14"/>
          <w:szCs w:val="14"/>
          <w:u w:val="single" w:color="auto"/>
          <w:color w:val="auto"/>
        </w:rPr>
        <w:t>FTE</w:t>
      </w:r>
      <w:r>
        <w:rPr>
          <w:rFonts w:ascii="Arial" w:cs="Arial" w:eastAsia="Arial" w:hAnsi="Arial"/>
          <w:sz w:val="14"/>
          <w:szCs w:val="14"/>
          <w:color w:val="auto"/>
        </w:rPr>
        <w:t>”. FTE means *** hours of work devoted to or in support directly of (a) a Program in accordance with a Research Plan that is carried out by one or more qualified scientific or technical employees or full-time contract personnel of MacroGenics or its Affiliates, measured in accordance with MacroGenics’ normal time allocation practices from time to time. Overtime, and work on weekends, holidays and the like shall not be counted with any multiplier (e.g. time-and-a-half or double time) toward the number of hours that are used to calculate the FTE contribution. The portion of an FTE billable by a Party for one (1) individual during a Calendar Quarter shall be determined by dividing the number of hours worked directly by said individual on the Program, during such accounting period by *** hours per Calendar Quarter.</w:t>
      </w:r>
    </w:p>
    <w:p>
      <w:pPr>
        <w:spacing w:after="0" w:line="113" w:lineRule="exact"/>
        <w:rPr>
          <w:sz w:val="20"/>
          <w:szCs w:val="20"/>
          <w:color w:val="auto"/>
        </w:rPr>
      </w:pPr>
    </w:p>
    <w:p>
      <w:pPr>
        <w:ind w:firstLine="917"/>
        <w:spacing w:after="0" w:line="305" w:lineRule="auto"/>
        <w:rPr>
          <w:sz w:val="20"/>
          <w:szCs w:val="20"/>
          <w:color w:val="auto"/>
        </w:rPr>
      </w:pPr>
      <w:r>
        <w:rPr>
          <w:rFonts w:ascii="Arial" w:cs="Arial" w:eastAsia="Arial" w:hAnsi="Arial"/>
          <w:sz w:val="12"/>
          <w:szCs w:val="12"/>
          <w:color w:val="auto"/>
        </w:rPr>
        <w:t>1.41 “</w:t>
      </w:r>
      <w:r>
        <w:rPr>
          <w:rFonts w:ascii="Arial" w:cs="Arial" w:eastAsia="Arial" w:hAnsi="Arial"/>
          <w:sz w:val="12"/>
          <w:szCs w:val="12"/>
          <w:u w:val="single" w:color="auto"/>
          <w:color w:val="auto"/>
        </w:rPr>
        <w:t>FTE Rate</w:t>
      </w:r>
      <w:r>
        <w:rPr>
          <w:rFonts w:ascii="Arial" w:cs="Arial" w:eastAsia="Arial" w:hAnsi="Arial"/>
          <w:sz w:val="12"/>
          <w:szCs w:val="12"/>
          <w:color w:val="auto"/>
        </w:rPr>
        <w:t>”. FTE Rate means *** per FTE, increased or decreased annually by the percentage increase or decrease in the Consumer Price Index–Urban Wage Earners and Clerical Workers, U.S. City Average, All Items, 1982-84 = 100, published by the United States Department of Labor, Bureau of Labor Statistics (or its successor equivalent index) in the United States (“</w:t>
      </w:r>
      <w:r>
        <w:rPr>
          <w:rFonts w:ascii="Arial" w:cs="Arial" w:eastAsia="Arial" w:hAnsi="Arial"/>
          <w:sz w:val="12"/>
          <w:szCs w:val="12"/>
          <w:u w:val="single" w:color="auto"/>
          <w:color w:val="auto"/>
        </w:rPr>
        <w:t>CPI</w:t>
      </w:r>
      <w:r>
        <w:rPr>
          <w:rFonts w:ascii="Arial" w:cs="Arial" w:eastAsia="Arial" w:hAnsi="Arial"/>
          <w:sz w:val="12"/>
          <w:szCs w:val="12"/>
          <w:color w:val="auto"/>
        </w:rPr>
        <w:t>”) as of December 31 of the then most recently ended calendar year over the level of the CPI on December 31, 2010 (</w:t>
      </w:r>
      <w:r>
        <w:rPr>
          <w:rFonts w:ascii="Arial" w:cs="Arial" w:eastAsia="Arial" w:hAnsi="Arial"/>
          <w:sz w:val="12"/>
          <w:szCs w:val="12"/>
          <w:i w:val="1"/>
          <w:iCs w:val="1"/>
          <w:color w:val="auto"/>
        </w:rPr>
        <w:t>i.e.</w:t>
      </w:r>
      <w:r>
        <w:rPr>
          <w:rFonts w:ascii="Arial" w:cs="Arial" w:eastAsia="Arial" w:hAnsi="Arial"/>
          <w:sz w:val="12"/>
          <w:szCs w:val="12"/>
          <w:color w:val="auto"/>
        </w:rPr>
        <w:t>, the first such increase or decrease would occur on January 1, 2012). The FTE Rate for each FTE includes compensation for all laboratory supplies and equipment, equipment maintenance costs, utilities, waste removal and a pro rata allocation of general and administrative expenses plus facilities expenses, including allocated building operating costs, allocated depreciation, and repairs and maintenance.</w:t>
      </w:r>
    </w:p>
    <w:p>
      <w:pPr>
        <w:spacing w:after="0" w:line="84" w:lineRule="exact"/>
        <w:rPr>
          <w:sz w:val="20"/>
          <w:szCs w:val="20"/>
          <w:color w:val="auto"/>
        </w:rPr>
      </w:pPr>
    </w:p>
    <w:p>
      <w:pPr>
        <w:jc w:val="both"/>
        <w:ind w:right="80" w:firstLine="917"/>
        <w:spacing w:after="0" w:line="311" w:lineRule="auto"/>
        <w:rPr>
          <w:sz w:val="20"/>
          <w:szCs w:val="20"/>
          <w:color w:val="auto"/>
        </w:rPr>
      </w:pPr>
      <w:r>
        <w:rPr>
          <w:rFonts w:ascii="Arial" w:cs="Arial" w:eastAsia="Arial" w:hAnsi="Arial"/>
          <w:sz w:val="12"/>
          <w:szCs w:val="12"/>
          <w:color w:val="auto"/>
        </w:rPr>
        <w:t>1.42 “</w:t>
      </w:r>
      <w:r>
        <w:rPr>
          <w:rFonts w:ascii="Arial" w:cs="Arial" w:eastAsia="Arial" w:hAnsi="Arial"/>
          <w:sz w:val="12"/>
          <w:szCs w:val="12"/>
          <w:u w:val="single" w:color="auto"/>
          <w:color w:val="auto"/>
        </w:rPr>
        <w:t>Generic Competition</w:t>
      </w:r>
      <w:r>
        <w:rPr>
          <w:rFonts w:ascii="Arial" w:cs="Arial" w:eastAsia="Arial" w:hAnsi="Arial"/>
          <w:sz w:val="12"/>
          <w:szCs w:val="12"/>
          <w:color w:val="auto"/>
        </w:rPr>
        <w:t xml:space="preserve">”. Generic Competition means, with respect to a given Calendar Quarter with respect to a Product in any country, that during such Calendar Quarter, one (1) or more Third Parties sell in such country a Generic Product, such Generic Product shall be commercially available in such country and such Generic Product shall have, in the aggregate, a </w:t>
      </w:r>
      <w:r>
        <w:rPr>
          <w:rFonts w:ascii="Arial" w:cs="Arial" w:eastAsia="Arial" w:hAnsi="Arial"/>
          <w:sz w:val="12"/>
          <w:szCs w:val="12"/>
          <w:b w:val="1"/>
          <w:bCs w:val="1"/>
          <w:color w:val="auto"/>
        </w:rPr>
        <w:t>***</w:t>
      </w:r>
      <w:r>
        <w:rPr>
          <w:rFonts w:ascii="Arial" w:cs="Arial" w:eastAsia="Arial" w:hAnsi="Arial"/>
          <w:sz w:val="12"/>
          <w:szCs w:val="12"/>
          <w:color w:val="auto"/>
        </w:rPr>
        <w:t xml:space="preserve"> or more market share of the aggregate of Products and Generic Products (based on data provided by IMS Health Incorporated, Fairfield, Connecticut (together with its affiliates, “</w:t>
      </w:r>
      <w:r>
        <w:rPr>
          <w:rFonts w:ascii="Arial" w:cs="Arial" w:eastAsia="Arial" w:hAnsi="Arial"/>
          <w:sz w:val="12"/>
          <w:szCs w:val="12"/>
          <w:u w:val="single" w:color="auto"/>
          <w:color w:val="auto"/>
        </w:rPr>
        <w:t>IMS</w:t>
      </w:r>
      <w:r>
        <w:rPr>
          <w:rFonts w:ascii="Arial" w:cs="Arial" w:eastAsia="Arial" w:hAnsi="Arial"/>
          <w:sz w:val="12"/>
          <w:szCs w:val="12"/>
          <w:color w:val="auto"/>
        </w:rPr>
        <w:t>”) as measured ***, or if such data is not available, the Parties shall agree upon a methodology for estimating the percentage of *** of Generic Products in such country.</w:t>
      </w:r>
    </w:p>
    <w:p>
      <w:pPr>
        <w:spacing w:after="0" w:line="79" w:lineRule="exact"/>
        <w:rPr>
          <w:sz w:val="20"/>
          <w:szCs w:val="20"/>
          <w:color w:val="auto"/>
        </w:rPr>
      </w:pPr>
    </w:p>
    <w:p>
      <w:pPr>
        <w:ind w:right="20" w:firstLine="917"/>
        <w:spacing w:after="0" w:line="311" w:lineRule="auto"/>
        <w:rPr>
          <w:sz w:val="20"/>
          <w:szCs w:val="20"/>
          <w:color w:val="auto"/>
        </w:rPr>
      </w:pPr>
      <w:r>
        <w:rPr>
          <w:rFonts w:ascii="Arial" w:cs="Arial" w:eastAsia="Arial" w:hAnsi="Arial"/>
          <w:sz w:val="12"/>
          <w:szCs w:val="12"/>
          <w:color w:val="auto"/>
        </w:rPr>
        <w:t>1.43 “</w:t>
      </w:r>
      <w:r>
        <w:rPr>
          <w:rFonts w:ascii="Arial" w:cs="Arial" w:eastAsia="Arial" w:hAnsi="Arial"/>
          <w:sz w:val="12"/>
          <w:szCs w:val="12"/>
          <w:u w:val="single" w:color="auto"/>
          <w:color w:val="auto"/>
        </w:rPr>
        <w:t>Generic Products</w:t>
      </w:r>
      <w:r>
        <w:rPr>
          <w:rFonts w:ascii="Arial" w:cs="Arial" w:eastAsia="Arial" w:hAnsi="Arial"/>
          <w:sz w:val="12"/>
          <w:szCs w:val="12"/>
          <w:color w:val="auto"/>
        </w:rPr>
        <w:t>”. Generic Products means, with respect to a particular Product commercialized by BI in a particular country, any product (other than Products commercialized by BI, its Affiliates or Sublicensees pursuant to this Agreement) that either (a) is a “follow-on biologic” (FOB) or biosimilar or equivalent version to a Product, as defined by the competent Regulatory Authority, and administered in an equivalent dosage form as such Product or (b) for which a Third Party has received Regulatory Approval (based upon then-current applicable Laws governing approval of biological products) whose application for approval relies to a large extent (but not exclusively) on data generated by BI, including Regulatory Approval under section 505(b)(2) of the Federal Food Drug, and Cosmetic Act.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12" w:lineRule="exact"/>
        <w:rPr>
          <w:sz w:val="20"/>
          <w:szCs w:val="20"/>
          <w:color w:val="auto"/>
        </w:rPr>
      </w:pPr>
    </w:p>
    <w:p>
      <w:pPr>
        <w:ind w:left="3840" w:right="2680" w:hanging="1135"/>
        <w:spacing w:after="0" w:line="341" w:lineRule="auto"/>
        <w:tabs>
          <w:tab w:leader="none" w:pos="2944" w:val="left"/>
        </w:tabs>
        <w:numPr>
          <w:ilvl w:val="0"/>
          <w:numId w:val="39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463" w:name="page464"/>
    <w:bookmarkEnd w:id="463"/>
    <w:p>
      <w:pPr>
        <w:ind w:firstLine="917"/>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1.44 “</w:t>
      </w:r>
      <w:r>
        <w:rPr>
          <w:rFonts w:ascii="Arial" w:cs="Arial" w:eastAsia="Arial" w:hAnsi="Arial"/>
          <w:sz w:val="14"/>
          <w:szCs w:val="14"/>
          <w:u w:val="single" w:color="auto"/>
          <w:color w:val="auto"/>
        </w:rPr>
        <w:t>GLP Toxicology Study</w:t>
      </w:r>
      <w:r>
        <w:rPr>
          <w:rFonts w:ascii="Arial" w:cs="Arial" w:eastAsia="Arial" w:hAnsi="Arial"/>
          <w:sz w:val="14"/>
          <w:szCs w:val="14"/>
          <w:color w:val="auto"/>
        </w:rPr>
        <w:t>”. GLP Toxicology Study means a toxicology study that is conducted in compliance with the then-current good laboratory practice standards promulgated or endorsed by the FDA, as defined in U.S. 21 C.F.R. Part 58 (or such other comparable regulatory standards in jurisdictions outside the U.S. to the extent applicable to the relevant toxicology study, as they may be updated from time to time) and is required to meet the requirements for filing an IND.</w:t>
      </w:r>
    </w:p>
    <w:p>
      <w:pPr>
        <w:spacing w:after="0" w:line="108" w:lineRule="exact"/>
        <w:rPr>
          <w:sz w:val="20"/>
          <w:szCs w:val="20"/>
          <w:color w:val="auto"/>
        </w:rPr>
      </w:pPr>
    </w:p>
    <w:p>
      <w:pPr>
        <w:ind w:right="160" w:firstLine="917"/>
        <w:spacing w:after="0" w:line="258" w:lineRule="auto"/>
        <w:rPr>
          <w:sz w:val="20"/>
          <w:szCs w:val="20"/>
          <w:color w:val="auto"/>
        </w:rPr>
      </w:pPr>
      <w:r>
        <w:rPr>
          <w:rFonts w:ascii="Arial" w:cs="Arial" w:eastAsia="Arial" w:hAnsi="Arial"/>
          <w:sz w:val="14"/>
          <w:szCs w:val="14"/>
          <w:color w:val="auto"/>
        </w:rPr>
        <w:t>1.45 “</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Governmental Authority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08" w:lineRule="exact"/>
        <w:rPr>
          <w:sz w:val="20"/>
          <w:szCs w:val="20"/>
          <w:color w:val="auto"/>
        </w:rPr>
      </w:pPr>
    </w:p>
    <w:p>
      <w:pPr>
        <w:ind w:right="520" w:firstLine="917"/>
        <w:spacing w:after="0" w:line="267" w:lineRule="auto"/>
        <w:rPr>
          <w:sz w:val="20"/>
          <w:szCs w:val="20"/>
          <w:color w:val="auto"/>
        </w:rPr>
      </w:pPr>
      <w:r>
        <w:rPr>
          <w:rFonts w:ascii="Arial" w:cs="Arial" w:eastAsia="Arial" w:hAnsi="Arial"/>
          <w:sz w:val="14"/>
          <w:szCs w:val="14"/>
          <w:color w:val="auto"/>
        </w:rPr>
        <w:t>1.46 “</w:t>
      </w:r>
      <w:r>
        <w:rPr>
          <w:rFonts w:ascii="Arial" w:cs="Arial" w:eastAsia="Arial" w:hAnsi="Arial"/>
          <w:sz w:val="14"/>
          <w:szCs w:val="14"/>
          <w:u w:val="single" w:color="auto"/>
          <w:color w:val="auto"/>
        </w:rPr>
        <w:t>IND</w:t>
      </w:r>
      <w:r>
        <w:rPr>
          <w:rFonts w:ascii="Arial" w:cs="Arial" w:eastAsia="Arial" w:hAnsi="Arial"/>
          <w:sz w:val="14"/>
          <w:szCs w:val="14"/>
          <w:color w:val="auto"/>
        </w:rPr>
        <w:t>”. IND means an Investigational New Drug application or similar application or submission for approval to conduct human clinical investigations filed with or submitted to a Regulatory Authority in conformance with the requirements of such Regulatory Authority.</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1.47 “</w:t>
      </w:r>
      <w:r>
        <w:rPr>
          <w:rFonts w:ascii="Arial" w:cs="Arial" w:eastAsia="Arial" w:hAnsi="Arial"/>
          <w:sz w:val="14"/>
          <w:szCs w:val="14"/>
          <w:u w:val="single" w:color="auto"/>
          <w:color w:val="auto"/>
        </w:rPr>
        <w:t>Initial Collaboration Targets</w:t>
      </w:r>
      <w:r>
        <w:rPr>
          <w:rFonts w:ascii="Arial" w:cs="Arial" w:eastAsia="Arial" w:hAnsi="Arial"/>
          <w:sz w:val="14"/>
          <w:szCs w:val="14"/>
          <w:color w:val="auto"/>
        </w:rPr>
        <w:t>”. Initial Collaboration Targets means the Collaboration Targets set forth on Schedule 1.47.</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1.48 “</w:t>
      </w:r>
      <w:r>
        <w:rPr>
          <w:rFonts w:ascii="Arial" w:cs="Arial" w:eastAsia="Arial" w:hAnsi="Arial"/>
          <w:sz w:val="14"/>
          <w:szCs w:val="14"/>
          <w:u w:val="single" w:color="auto"/>
          <w:color w:val="auto"/>
        </w:rPr>
        <w:t>Initial Research Term</w:t>
      </w:r>
      <w:r>
        <w:rPr>
          <w:rFonts w:ascii="Arial" w:cs="Arial" w:eastAsia="Arial" w:hAnsi="Arial"/>
          <w:sz w:val="14"/>
          <w:szCs w:val="14"/>
          <w:color w:val="auto"/>
        </w:rPr>
        <w:t xml:space="preserve">”. Initial Research Term means the period commencing on the Effective Date and ending on the </w:t>
      </w:r>
      <w:r>
        <w:rPr>
          <w:rFonts w:ascii="Arial" w:cs="Arial" w:eastAsia="Arial" w:hAnsi="Arial"/>
          <w:sz w:val="14"/>
          <w:szCs w:val="14"/>
          <w:b w:val="1"/>
          <w:bCs w:val="1"/>
          <w:color w:val="auto"/>
        </w:rPr>
        <w:t>***</w:t>
      </w:r>
      <w:r>
        <w:rPr>
          <w:rFonts w:ascii="Arial" w:cs="Arial" w:eastAsia="Arial" w:hAnsi="Arial"/>
          <w:sz w:val="14"/>
          <w:szCs w:val="14"/>
          <w:color w:val="auto"/>
        </w:rPr>
        <w:t>of the Effective Date.</w:t>
      </w:r>
    </w:p>
    <w:p>
      <w:pPr>
        <w:spacing w:after="0" w:line="134"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1.49 “</w:t>
      </w:r>
      <w:r>
        <w:rPr>
          <w:rFonts w:ascii="Arial" w:cs="Arial" w:eastAsia="Arial" w:hAnsi="Arial"/>
          <w:sz w:val="14"/>
          <w:szCs w:val="14"/>
          <w:u w:val="single" w:color="auto"/>
          <w:color w:val="auto"/>
        </w:rPr>
        <w:t>Invention</w:t>
      </w:r>
      <w:r>
        <w:rPr>
          <w:rFonts w:ascii="Arial" w:cs="Arial" w:eastAsia="Arial" w:hAnsi="Arial"/>
          <w:sz w:val="14"/>
          <w:szCs w:val="14"/>
          <w:color w:val="auto"/>
        </w:rPr>
        <w:t>”. Invention means any new and useful process, article of manufacture, compound, composition of matter, formulation or apparatus, or any improvement thereof, patentable or unpatentable, discovery or finding.</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1.50 “</w:t>
      </w:r>
      <w:r>
        <w:rPr>
          <w:rFonts w:ascii="Arial" w:cs="Arial" w:eastAsia="Arial" w:hAnsi="Arial"/>
          <w:sz w:val="12"/>
          <w:szCs w:val="12"/>
          <w:u w:val="single" w:color="auto"/>
          <w:color w:val="auto"/>
        </w:rPr>
        <w:t>Invoice</w:t>
      </w:r>
      <w:r>
        <w:rPr>
          <w:rFonts w:ascii="Arial" w:cs="Arial" w:eastAsia="Arial" w:hAnsi="Arial"/>
          <w:sz w:val="12"/>
          <w:szCs w:val="12"/>
          <w:color w:val="auto"/>
        </w:rPr>
        <w:t>”. Invoice means an original invoice sent by MacroGenics to BI with respect to payment due hereunder substantially in the form attached hereto as Schedule 1.50.</w:t>
      </w:r>
    </w:p>
    <w:p>
      <w:pPr>
        <w:spacing w:after="0" w:line="155" w:lineRule="exact"/>
        <w:rPr>
          <w:sz w:val="20"/>
          <w:szCs w:val="20"/>
          <w:color w:val="auto"/>
        </w:rPr>
      </w:pPr>
    </w:p>
    <w:p>
      <w:pPr>
        <w:ind w:right="20" w:firstLine="917"/>
        <w:spacing w:after="0" w:line="267" w:lineRule="auto"/>
        <w:rPr>
          <w:sz w:val="20"/>
          <w:szCs w:val="20"/>
          <w:color w:val="auto"/>
        </w:rPr>
      </w:pPr>
      <w:r>
        <w:rPr>
          <w:rFonts w:ascii="Arial" w:cs="Arial" w:eastAsia="Arial" w:hAnsi="Arial"/>
          <w:sz w:val="14"/>
          <w:szCs w:val="14"/>
          <w:color w:val="auto"/>
        </w:rPr>
        <w:t>1.51 “</w:t>
      </w:r>
      <w:r>
        <w:rPr>
          <w:rFonts w:ascii="Arial" w:cs="Arial" w:eastAsia="Arial" w:hAnsi="Arial"/>
          <w:sz w:val="14"/>
          <w:szCs w:val="14"/>
          <w:u w:val="single" w:color="auto"/>
          <w:color w:val="auto"/>
        </w:rPr>
        <w:t>Joint Ownership</w:t>
      </w:r>
      <w:r>
        <w:rPr>
          <w:rFonts w:ascii="Arial" w:cs="Arial" w:eastAsia="Arial" w:hAnsi="Arial"/>
          <w:sz w:val="14"/>
          <w:szCs w:val="14"/>
          <w:color w:val="auto"/>
        </w:rPr>
        <w:t>” or “</w:t>
      </w:r>
      <w:r>
        <w:rPr>
          <w:rFonts w:ascii="Arial" w:cs="Arial" w:eastAsia="Arial" w:hAnsi="Arial"/>
          <w:sz w:val="14"/>
          <w:szCs w:val="14"/>
          <w:u w:val="single" w:color="auto"/>
          <w:color w:val="auto"/>
        </w:rPr>
        <w:t>Jointly Owned</w:t>
      </w:r>
      <w:r>
        <w:rPr>
          <w:rFonts w:ascii="Arial" w:cs="Arial" w:eastAsia="Arial" w:hAnsi="Arial"/>
          <w:sz w:val="14"/>
          <w:szCs w:val="14"/>
          <w:color w:val="auto"/>
        </w:rPr>
        <w:t>” or “</w:t>
      </w:r>
      <w:r>
        <w:rPr>
          <w:rFonts w:ascii="Arial" w:cs="Arial" w:eastAsia="Arial" w:hAnsi="Arial"/>
          <w:sz w:val="14"/>
          <w:szCs w:val="14"/>
          <w:u w:val="single" w:color="auto"/>
          <w:color w:val="auto"/>
        </w:rPr>
        <w:t>Jointly Own</w:t>
      </w:r>
      <w:r>
        <w:rPr>
          <w:rFonts w:ascii="Arial" w:cs="Arial" w:eastAsia="Arial" w:hAnsi="Arial"/>
          <w:sz w:val="14"/>
          <w:szCs w:val="14"/>
          <w:color w:val="auto"/>
        </w:rPr>
        <w:t>”. Joint Ownership or Jointly Owned or Jointly Owns means that each Party shall own a fifty percent (50%) undivided interest in the relevant Invention, Know-How or Patent Right.</w:t>
      </w:r>
    </w:p>
    <w:p>
      <w:pPr>
        <w:spacing w:after="0" w:line="101" w:lineRule="exact"/>
        <w:rPr>
          <w:sz w:val="20"/>
          <w:szCs w:val="20"/>
          <w:color w:val="auto"/>
        </w:rPr>
      </w:pPr>
    </w:p>
    <w:p>
      <w:pPr>
        <w:ind w:right="40" w:firstLine="917"/>
        <w:spacing w:after="0" w:line="253" w:lineRule="auto"/>
        <w:rPr>
          <w:sz w:val="20"/>
          <w:szCs w:val="20"/>
          <w:color w:val="auto"/>
        </w:rPr>
      </w:pPr>
      <w:r>
        <w:rPr>
          <w:rFonts w:ascii="Arial" w:cs="Arial" w:eastAsia="Arial" w:hAnsi="Arial"/>
          <w:sz w:val="14"/>
          <w:szCs w:val="14"/>
          <w:color w:val="auto"/>
        </w:rPr>
        <w:t>1.52 “</w:t>
      </w:r>
      <w:r>
        <w:rPr>
          <w:rFonts w:ascii="Arial" w:cs="Arial" w:eastAsia="Arial" w:hAnsi="Arial"/>
          <w:sz w:val="14"/>
          <w:szCs w:val="14"/>
          <w:u w:val="single" w:color="auto"/>
          <w:color w:val="auto"/>
        </w:rPr>
        <w:t>Know-How</w:t>
      </w:r>
      <w:r>
        <w:rPr>
          <w:rFonts w:ascii="Arial" w:cs="Arial" w:eastAsia="Arial" w:hAnsi="Arial"/>
          <w:sz w:val="14"/>
          <w:szCs w:val="14"/>
          <w:color w:val="auto"/>
        </w:rPr>
        <w:t>”. Know-How means (a) any scientific or technical information, results and data of any type whatsoever, in any tangible or intangible form whatsoever, that is not in the public domain or otherwise publicly known, including databases, practices, methods, techniques, specifications, formulations, formulae, protein sequences, DNA sequences, knowledge, know-how,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 and (b) any biological, chemical, or physical materials that are not in the public domain or otherwise available to the public; all to the extent not claimed or disclosed in a published Patent Right.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39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464" w:name="page465"/>
    <w:bookmarkEnd w:id="464"/>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1.53 “</w:t>
      </w:r>
      <w:r>
        <w:rPr>
          <w:rFonts w:ascii="Arial" w:cs="Arial" w:eastAsia="Arial" w:hAnsi="Arial"/>
          <w:sz w:val="12"/>
          <w:szCs w:val="12"/>
          <w:u w:val="single" w:color="auto"/>
          <w:color w:val="auto"/>
        </w:rPr>
        <w:t>Law</w:t>
      </w:r>
      <w:r>
        <w:rPr>
          <w:rFonts w:ascii="Arial" w:cs="Arial" w:eastAsia="Arial" w:hAnsi="Arial"/>
          <w:sz w:val="12"/>
          <w:szCs w:val="12"/>
          <w:color w:val="auto"/>
        </w:rPr>
        <w:t>”. Law means all laws, statutes, rules, codes, regulations, orders, judgments or ordinances applicable to the Parties, this Agreement or the activities contemplated hereunder.</w:t>
      </w:r>
    </w:p>
    <w:p>
      <w:pPr>
        <w:spacing w:after="0" w:line="155" w:lineRule="exact"/>
        <w:rPr>
          <w:sz w:val="20"/>
          <w:szCs w:val="20"/>
          <w:color w:val="auto"/>
        </w:rPr>
      </w:pPr>
    </w:p>
    <w:p>
      <w:pPr>
        <w:ind w:right="460" w:firstLine="917"/>
        <w:spacing w:after="0" w:line="267" w:lineRule="auto"/>
        <w:rPr>
          <w:sz w:val="20"/>
          <w:szCs w:val="20"/>
          <w:color w:val="auto"/>
        </w:rPr>
      </w:pPr>
      <w:r>
        <w:rPr>
          <w:rFonts w:ascii="Arial" w:cs="Arial" w:eastAsia="Arial" w:hAnsi="Arial"/>
          <w:sz w:val="14"/>
          <w:szCs w:val="14"/>
          <w:color w:val="auto"/>
        </w:rPr>
        <w:t>1.54 “</w:t>
      </w:r>
      <w:r>
        <w:rPr>
          <w:rFonts w:ascii="Arial" w:cs="Arial" w:eastAsia="Arial" w:hAnsi="Arial"/>
          <w:sz w:val="14"/>
          <w:szCs w:val="14"/>
          <w:u w:val="single" w:color="auto"/>
          <w:color w:val="auto"/>
        </w:rPr>
        <w:t>Lead Candidate</w:t>
      </w:r>
      <w:r>
        <w:rPr>
          <w:rFonts w:ascii="Arial" w:cs="Arial" w:eastAsia="Arial" w:hAnsi="Arial"/>
          <w:sz w:val="14"/>
          <w:szCs w:val="14"/>
          <w:color w:val="auto"/>
        </w:rPr>
        <w:t>”. Lead Candidate means a Collaboration DART which meets the Research Target Profile and has been accepted by BI, or is otherwise deemed a Lead Candidate in accordance with Section 3.4(d).</w:t>
      </w:r>
    </w:p>
    <w:p>
      <w:pPr>
        <w:spacing w:after="0" w:line="101" w:lineRule="exact"/>
        <w:rPr>
          <w:sz w:val="20"/>
          <w:szCs w:val="20"/>
          <w:color w:val="auto"/>
        </w:rPr>
      </w:pPr>
    </w:p>
    <w:p>
      <w:pPr>
        <w:jc w:val="both"/>
        <w:ind w:firstLine="917"/>
        <w:spacing w:after="0" w:line="258" w:lineRule="auto"/>
        <w:rPr>
          <w:sz w:val="20"/>
          <w:szCs w:val="20"/>
          <w:color w:val="auto"/>
        </w:rPr>
      </w:pPr>
      <w:r>
        <w:rPr>
          <w:rFonts w:ascii="Arial" w:cs="Arial" w:eastAsia="Arial" w:hAnsi="Arial"/>
          <w:sz w:val="14"/>
          <w:szCs w:val="14"/>
          <w:color w:val="auto"/>
        </w:rPr>
        <w:t>1.55 “</w:t>
      </w:r>
      <w:r>
        <w:rPr>
          <w:rFonts w:ascii="Arial" w:cs="Arial" w:eastAsia="Arial" w:hAnsi="Arial"/>
          <w:sz w:val="14"/>
          <w:szCs w:val="14"/>
          <w:u w:val="single" w:color="auto"/>
          <w:color w:val="auto"/>
        </w:rPr>
        <w:t>MacroGenics Collaboration Antibodies</w:t>
      </w:r>
      <w:r>
        <w:rPr>
          <w:rFonts w:ascii="Arial" w:cs="Arial" w:eastAsia="Arial" w:hAnsi="Arial"/>
          <w:sz w:val="14"/>
          <w:szCs w:val="14"/>
          <w:color w:val="auto"/>
        </w:rPr>
        <w:t>”. MacroGenics Collaboration Antibodies means Antibodies either (a) created by MacroGenics for the purposes of any Program, or (b) provided by MacroGenics in its sole discretion if such Antibodies were either existing and Controlled by MacroGenics prior to the Effective Date or created or acquired by MacroGenics after the Effective Date outside of the conduct of any Program.</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1.56 “</w:t>
      </w:r>
      <w:r>
        <w:rPr>
          <w:rFonts w:ascii="Arial" w:cs="Arial" w:eastAsia="Arial" w:hAnsi="Arial"/>
          <w:sz w:val="14"/>
          <w:szCs w:val="14"/>
          <w:u w:val="single" w:color="auto"/>
          <w:color w:val="auto"/>
        </w:rPr>
        <w:t>MacroGenics Intellectual Property</w:t>
      </w:r>
      <w:r>
        <w:rPr>
          <w:rFonts w:ascii="Arial" w:cs="Arial" w:eastAsia="Arial" w:hAnsi="Arial"/>
          <w:sz w:val="14"/>
          <w:szCs w:val="14"/>
          <w:color w:val="auto"/>
        </w:rPr>
        <w:t>”. MacroGenics Intellectual Property means the MacroGenics Know-How and the MacroGenics Patent Rights.</w:t>
      </w:r>
    </w:p>
    <w:p>
      <w:pPr>
        <w:spacing w:after="0" w:line="132" w:lineRule="exact"/>
        <w:rPr>
          <w:sz w:val="20"/>
          <w:szCs w:val="20"/>
          <w:color w:val="auto"/>
        </w:rPr>
      </w:pPr>
    </w:p>
    <w:p>
      <w:pPr>
        <w:ind w:right="80" w:firstLine="917"/>
        <w:spacing w:after="0" w:line="258" w:lineRule="auto"/>
        <w:rPr>
          <w:sz w:val="20"/>
          <w:szCs w:val="20"/>
          <w:color w:val="auto"/>
        </w:rPr>
      </w:pPr>
      <w:r>
        <w:rPr>
          <w:rFonts w:ascii="Arial" w:cs="Arial" w:eastAsia="Arial" w:hAnsi="Arial"/>
          <w:sz w:val="14"/>
          <w:szCs w:val="14"/>
          <w:color w:val="auto"/>
        </w:rPr>
        <w:t>1.57 “</w:t>
      </w:r>
      <w:r>
        <w:rPr>
          <w:rFonts w:ascii="Arial" w:cs="Arial" w:eastAsia="Arial" w:hAnsi="Arial"/>
          <w:sz w:val="14"/>
          <w:szCs w:val="14"/>
          <w:u w:val="single" w:color="auto"/>
          <w:color w:val="auto"/>
        </w:rPr>
        <w:t>MacroGenics Know-How</w:t>
      </w:r>
      <w:r>
        <w:rPr>
          <w:rFonts w:ascii="Arial" w:cs="Arial" w:eastAsia="Arial" w:hAnsi="Arial"/>
          <w:sz w:val="14"/>
          <w:szCs w:val="14"/>
          <w:color w:val="auto"/>
        </w:rPr>
        <w:t>”. MacroGenics Know-How means Know-How that is (a) Controlled by MacroGenics as of the Effective Date or during the Term, and (b) necessary or useful to conduct any Program or for BI to research, Develop, make and have made, use, offer for sale, sell or import a Collaboration DART or a Product. MacroGenics Know-How does not include *** created by MacroGenics for the purposes of any Program, ***.</w:t>
      </w:r>
    </w:p>
    <w:p>
      <w:pPr>
        <w:spacing w:after="0" w:line="108" w:lineRule="exact"/>
        <w:rPr>
          <w:sz w:val="20"/>
          <w:szCs w:val="20"/>
          <w:color w:val="auto"/>
        </w:rPr>
      </w:pPr>
    </w:p>
    <w:p>
      <w:pPr>
        <w:ind w:right="500" w:firstLine="917"/>
        <w:spacing w:after="0" w:line="321" w:lineRule="auto"/>
        <w:rPr>
          <w:sz w:val="20"/>
          <w:szCs w:val="20"/>
          <w:color w:val="auto"/>
        </w:rPr>
      </w:pPr>
      <w:r>
        <w:rPr>
          <w:rFonts w:ascii="Arial" w:cs="Arial" w:eastAsia="Arial" w:hAnsi="Arial"/>
          <w:sz w:val="12"/>
          <w:szCs w:val="12"/>
          <w:color w:val="auto"/>
        </w:rPr>
        <w:t>1.58 “</w:t>
      </w:r>
      <w:r>
        <w:rPr>
          <w:rFonts w:ascii="Arial" w:cs="Arial" w:eastAsia="Arial" w:hAnsi="Arial"/>
          <w:sz w:val="12"/>
          <w:szCs w:val="12"/>
          <w:u w:val="single" w:color="auto"/>
          <w:color w:val="auto"/>
        </w:rPr>
        <w:t>MacroGenics Patent Rights</w:t>
      </w:r>
      <w:r>
        <w:rPr>
          <w:rFonts w:ascii="Arial" w:cs="Arial" w:eastAsia="Arial" w:hAnsi="Arial"/>
          <w:sz w:val="12"/>
          <w:szCs w:val="12"/>
          <w:color w:val="auto"/>
        </w:rPr>
        <w:t xml:space="preserve">”. MacroGenics Patent Rights means any Patent Rights Controlled by MacroGenics as of the Effective Date or during the Term that describe or claim MacroGenics Know-How, and are necessary or useful to conduct any Program or for BI to research, Develop, make and have made, use, offer for sale, sell or import a Collaboration DART or a Product. MacroGenics Patent Rights include the Patent Rights listed on </w:t>
      </w:r>
      <w:r>
        <w:rPr>
          <w:rFonts w:ascii="Arial" w:cs="Arial" w:eastAsia="Arial" w:hAnsi="Arial"/>
          <w:sz w:val="12"/>
          <w:szCs w:val="12"/>
          <w:u w:val="single" w:color="auto"/>
          <w:color w:val="auto"/>
        </w:rPr>
        <w:t>Schedule 1.58</w:t>
      </w:r>
      <w:r>
        <w:rPr>
          <w:rFonts w:ascii="Arial" w:cs="Arial" w:eastAsia="Arial" w:hAnsi="Arial"/>
          <w:sz w:val="12"/>
          <w:szCs w:val="12"/>
          <w:color w:val="auto"/>
        </w:rPr>
        <w:t>. MacroGenics Patent Rights do not include Collaboration DART Patent Rights or Joint Patent Rights.</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1.59 “</w:t>
      </w:r>
      <w:r>
        <w:rPr>
          <w:rFonts w:ascii="Arial" w:cs="Arial" w:eastAsia="Arial" w:hAnsi="Arial"/>
          <w:sz w:val="14"/>
          <w:szCs w:val="14"/>
          <w:u w:val="single" w:color="auto"/>
          <w:color w:val="auto"/>
        </w:rPr>
        <w:t>Major EU Country</w:t>
      </w:r>
      <w:r>
        <w:rPr>
          <w:rFonts w:ascii="Arial" w:cs="Arial" w:eastAsia="Arial" w:hAnsi="Arial"/>
          <w:sz w:val="14"/>
          <w:szCs w:val="14"/>
          <w:color w:val="auto"/>
        </w:rPr>
        <w:t xml:space="preserve">”. Major EU Country means any of the following countries: </w:t>
      </w:r>
      <w:r>
        <w:rPr>
          <w:rFonts w:ascii="Arial" w:cs="Arial" w:eastAsia="Arial" w:hAnsi="Arial"/>
          <w:sz w:val="14"/>
          <w:szCs w:val="14"/>
          <w:b w:val="1"/>
          <w:bCs w:val="1"/>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1.60 “</w:t>
      </w:r>
      <w:r>
        <w:rPr>
          <w:rFonts w:ascii="Arial" w:cs="Arial" w:eastAsia="Arial" w:hAnsi="Arial"/>
          <w:sz w:val="14"/>
          <w:szCs w:val="14"/>
          <w:u w:val="single" w:color="auto"/>
          <w:color w:val="auto"/>
        </w:rPr>
        <w:t>Major Country</w:t>
      </w:r>
      <w:r>
        <w:rPr>
          <w:rFonts w:ascii="Arial" w:cs="Arial" w:eastAsia="Arial" w:hAnsi="Arial"/>
          <w:sz w:val="14"/>
          <w:szCs w:val="14"/>
          <w:color w:val="auto"/>
        </w:rPr>
        <w:t xml:space="preserve">”. Major Country means any of the following: </w:t>
      </w:r>
      <w:r>
        <w:rPr>
          <w:rFonts w:ascii="Arial" w:cs="Arial" w:eastAsia="Arial" w:hAnsi="Arial"/>
          <w:sz w:val="14"/>
          <w:szCs w:val="14"/>
          <w:b w:val="1"/>
          <w:bCs w:val="1"/>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1.61 “</w:t>
      </w:r>
      <w:r>
        <w:rPr>
          <w:rFonts w:ascii="Arial" w:cs="Arial" w:eastAsia="Arial" w:hAnsi="Arial"/>
          <w:sz w:val="14"/>
          <w:szCs w:val="14"/>
          <w:u w:val="single" w:color="auto"/>
          <w:color w:val="auto"/>
        </w:rPr>
        <w:t>MHW</w:t>
      </w:r>
      <w:r>
        <w:rPr>
          <w:rFonts w:ascii="Arial" w:cs="Arial" w:eastAsia="Arial" w:hAnsi="Arial"/>
          <w:sz w:val="14"/>
          <w:szCs w:val="14"/>
          <w:color w:val="auto"/>
        </w:rPr>
        <w:t>”. MHW means the Japanese Ministry of Health and Welfare, or any successor agency.</w:t>
      </w:r>
    </w:p>
    <w:p>
      <w:pPr>
        <w:spacing w:after="0" w:line="132" w:lineRule="exact"/>
        <w:rPr>
          <w:sz w:val="20"/>
          <w:szCs w:val="20"/>
          <w:color w:val="auto"/>
        </w:rPr>
      </w:pPr>
    </w:p>
    <w:p>
      <w:pPr>
        <w:ind w:right="60" w:firstLine="917"/>
        <w:spacing w:after="0" w:line="258" w:lineRule="auto"/>
        <w:rPr>
          <w:sz w:val="20"/>
          <w:szCs w:val="20"/>
          <w:color w:val="auto"/>
        </w:rPr>
      </w:pPr>
      <w:r>
        <w:rPr>
          <w:rFonts w:ascii="Arial" w:cs="Arial" w:eastAsia="Arial" w:hAnsi="Arial"/>
          <w:sz w:val="14"/>
          <w:szCs w:val="14"/>
          <w:color w:val="auto"/>
        </w:rPr>
        <w:t>1.62 “</w:t>
      </w:r>
      <w:r>
        <w:rPr>
          <w:rFonts w:ascii="Arial" w:cs="Arial" w:eastAsia="Arial" w:hAnsi="Arial"/>
          <w:sz w:val="14"/>
          <w:szCs w:val="14"/>
          <w:u w:val="single" w:color="auto"/>
          <w:color w:val="auto"/>
        </w:rPr>
        <w:t>NDA</w:t>
      </w:r>
      <w:r>
        <w:rPr>
          <w:rFonts w:ascii="Arial" w:cs="Arial" w:eastAsia="Arial" w:hAnsi="Arial"/>
          <w:sz w:val="14"/>
          <w:szCs w:val="14"/>
          <w:color w:val="auto"/>
        </w:rPr>
        <w:t>”. NDA means a New Drug Application or Biologics License Application, filed with the FDA and/or any other application required for the purpose of marketing or selling or using a therapeutic or prophylactic product to be filed with a governmental agency in a non-U.S. country or group of countries, including a Product License Application or Marketing Authorization in the European Union.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39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65" w:name="page466"/>
    <w:bookmarkEnd w:id="465"/>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1.63 “</w:t>
      </w:r>
      <w:r>
        <w:rPr>
          <w:rFonts w:ascii="Arial" w:cs="Arial" w:eastAsia="Arial" w:hAnsi="Arial"/>
          <w:sz w:val="14"/>
          <w:szCs w:val="14"/>
          <w:u w:val="single" w:color="auto"/>
          <w:color w:val="auto"/>
        </w:rPr>
        <w:t>Net Sales</w:t>
      </w:r>
      <w:r>
        <w:rPr>
          <w:rFonts w:ascii="Arial" w:cs="Arial" w:eastAsia="Arial" w:hAnsi="Arial"/>
          <w:sz w:val="14"/>
          <w:szCs w:val="14"/>
          <w:color w:val="auto"/>
        </w:rPr>
        <w:t>”. Net Sales means the gross amount of sales of Products invoiced by BI, its Affiliates and Sublicensees to unaffiliated Third Parties, less:</w:t>
      </w:r>
    </w:p>
    <w:p>
      <w:pPr>
        <w:spacing w:after="0" w:line="132" w:lineRule="exact"/>
        <w:rPr>
          <w:sz w:val="20"/>
          <w:szCs w:val="20"/>
          <w:color w:val="auto"/>
        </w:rPr>
      </w:pPr>
    </w:p>
    <w:p>
      <w:pPr>
        <w:ind w:left="1680" w:hanging="187"/>
        <w:spacing w:after="0"/>
        <w:tabs>
          <w:tab w:leader="none" w:pos="1680" w:val="left"/>
        </w:tabs>
        <w:numPr>
          <w:ilvl w:val="0"/>
          <w:numId w:val="394"/>
        </w:numPr>
        <w:rPr>
          <w:rFonts w:ascii="Arial" w:cs="Arial" w:eastAsia="Arial" w:hAnsi="Arial"/>
          <w:sz w:val="12"/>
          <w:szCs w:val="12"/>
          <w:color w:val="auto"/>
        </w:rPr>
      </w:pPr>
      <w:r>
        <w:rPr>
          <w:rFonts w:ascii="Arial" w:cs="Arial" w:eastAsia="Arial" w:hAnsi="Arial"/>
          <w:sz w:val="12"/>
          <w:szCs w:val="12"/>
          <w:color w:val="auto"/>
        </w:rPr>
        <w:t>sales returns and allowances actually paid, granted or accrued, including trade, quantity and cash discounts and any other adjustments, including those granted on account of price</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adjustments or billing errors;</w:t>
      </w:r>
    </w:p>
    <w:p>
      <w:pPr>
        <w:spacing w:after="0" w:line="125" w:lineRule="exact"/>
        <w:rPr>
          <w:rFonts w:ascii="Arial" w:cs="Arial" w:eastAsia="Arial" w:hAnsi="Arial"/>
          <w:sz w:val="12"/>
          <w:szCs w:val="12"/>
          <w:color w:val="auto"/>
        </w:rPr>
      </w:pPr>
    </w:p>
    <w:p>
      <w:pPr>
        <w:ind w:left="1680" w:hanging="187"/>
        <w:spacing w:after="0"/>
        <w:tabs>
          <w:tab w:leader="none" w:pos="168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rejected goods, damaged or defective goods, recalls, returns;</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394"/>
        </w:numPr>
        <w:rPr>
          <w:rFonts w:ascii="Arial" w:cs="Arial" w:eastAsia="Arial" w:hAnsi="Arial"/>
          <w:sz w:val="12"/>
          <w:szCs w:val="12"/>
          <w:color w:val="auto"/>
        </w:rPr>
      </w:pPr>
      <w:r>
        <w:rPr>
          <w:rFonts w:ascii="Arial" w:cs="Arial" w:eastAsia="Arial" w:hAnsi="Arial"/>
          <w:sz w:val="12"/>
          <w:szCs w:val="12"/>
          <w:color w:val="auto"/>
        </w:rPr>
        <w:t>rebates, chargeback rebates, compulsory rebates, reimbursements or similar payments granted or given to wholesalers or other distributors, buying groups, health care insurance</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carriers or other institutions;</w:t>
      </w:r>
    </w:p>
    <w:p>
      <w:pPr>
        <w:spacing w:after="0" w:line="125" w:lineRule="exact"/>
        <w:rPr>
          <w:rFonts w:ascii="Arial" w:cs="Arial" w:eastAsia="Arial" w:hAnsi="Arial"/>
          <w:sz w:val="12"/>
          <w:szCs w:val="12"/>
          <w:color w:val="auto"/>
        </w:rPr>
      </w:pPr>
    </w:p>
    <w:p>
      <w:pPr>
        <w:ind w:left="1680" w:hanging="187"/>
        <w:spacing w:after="0"/>
        <w:tabs>
          <w:tab w:leader="none" w:pos="168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adjustments arising from consumer discount programs or other similar programs;</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non collectable receivables related to Product;</w:t>
      </w:r>
    </w:p>
    <w:p>
      <w:pPr>
        <w:spacing w:after="0" w:line="131" w:lineRule="exact"/>
        <w:rPr>
          <w:rFonts w:ascii="Arial" w:cs="Arial" w:eastAsia="Arial" w:hAnsi="Arial"/>
          <w:sz w:val="14"/>
          <w:szCs w:val="14"/>
          <w:color w:val="auto"/>
        </w:rPr>
      </w:pPr>
    </w:p>
    <w:p>
      <w:pPr>
        <w:ind w:left="1660" w:hanging="167"/>
        <w:spacing w:after="0"/>
        <w:tabs>
          <w:tab w:leader="none" w:pos="166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customs or excise duties, sales tax, consumption tax, value added tax, and other taxes (except income taxes); or</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394"/>
        </w:numPr>
        <w:rPr>
          <w:rFonts w:ascii="Arial" w:cs="Arial" w:eastAsia="Arial" w:hAnsi="Arial"/>
          <w:sz w:val="14"/>
          <w:szCs w:val="14"/>
          <w:color w:val="auto"/>
        </w:rPr>
      </w:pPr>
      <w:r>
        <w:rPr>
          <w:rFonts w:ascii="Arial" w:cs="Arial" w:eastAsia="Arial" w:hAnsi="Arial"/>
          <w:sz w:val="14"/>
          <w:szCs w:val="14"/>
          <w:color w:val="auto"/>
        </w:rPr>
        <w:t>charges for packing, freight, shipping and insurance (to the extent that BI, its Affiliates and Sublicensees bear such costs).</w:t>
      </w:r>
    </w:p>
    <w:p>
      <w:pPr>
        <w:spacing w:after="0" w:line="132"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Each of the foregoing deductions shall be determined as incurred in the ordinary course of business in type and amount consistent with good industry practice and in accordance with the applicable Accounting Standards of the selling party on a basis consistent with the applicable selling party’s audited consolidated financial statements. For sake of clarity and avoidance of doubt, sales by BI, its Affiliates or Sublicensees of a Product to a permitted Recognized Agent or Third Party Distributor of such Product in a given country shall be considered a sale to a Third Party customer. All such discounts, allowances, credits, rebates, and other deductions shall be fairly and equitably allocated to the Products and other products of BI and its Affiliates and Sublicensees such that the Product does not bear a disproportionate portion of such deductions.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Supply of Products other than for cash shall be substituted to price on bona fide arms length sales; whereas the price shall be the average price of sold product for cash during the period based on quantity of drug substance sold.</w:t>
      </w:r>
    </w:p>
    <w:p>
      <w:pPr>
        <w:spacing w:after="0" w:line="101"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Any Products used for promotional or advertising purposes (in reasonable and customary amounts) or used for clinical trials or other research purposes shall not be included in Net Sales. Donations for charity reasons shall also not be Net Sales.</w:t>
      </w:r>
    </w:p>
    <w:p>
      <w:pPr>
        <w:spacing w:after="0" w:line="10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Recognized Agent</w:t>
      </w:r>
      <w:r>
        <w:rPr>
          <w:rFonts w:ascii="Arial" w:cs="Arial" w:eastAsia="Arial" w:hAnsi="Arial"/>
          <w:sz w:val="14"/>
          <w:szCs w:val="14"/>
          <w:color w:val="auto"/>
        </w:rPr>
        <w:t>” or “</w:t>
      </w:r>
      <w:r>
        <w:rPr>
          <w:rFonts w:ascii="Arial" w:cs="Arial" w:eastAsia="Arial" w:hAnsi="Arial"/>
          <w:sz w:val="14"/>
          <w:szCs w:val="14"/>
          <w:u w:val="single" w:color="auto"/>
          <w:color w:val="auto"/>
        </w:rPr>
        <w:t>Third Party Distributor</w:t>
      </w:r>
      <w:r>
        <w:rPr>
          <w:rFonts w:ascii="Arial" w:cs="Arial" w:eastAsia="Arial" w:hAnsi="Arial"/>
          <w:sz w:val="14"/>
          <w:szCs w:val="14"/>
          <w:color w:val="auto"/>
        </w:rPr>
        <w:t>” for the purpose of this definition shall mean any Third Party which distributes (but does not Develop) Products directly to customers in countries where BI has no Affiliate or Sublicensee.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39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466" w:name="page467"/>
    <w:bookmarkEnd w:id="466"/>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the event a Product is sold as a Combination Product, Net Sales of the Combination Product will be calculated as follows:</w:t>
      </w:r>
    </w:p>
    <w:p>
      <w:pPr>
        <w:spacing w:after="0" w:line="132" w:lineRule="exact"/>
        <w:rPr>
          <w:sz w:val="20"/>
          <w:szCs w:val="20"/>
          <w:color w:val="auto"/>
        </w:rPr>
      </w:pPr>
    </w:p>
    <w:p>
      <w:pPr>
        <w:ind w:firstLine="4"/>
        <w:spacing w:after="0" w:line="321" w:lineRule="auto"/>
        <w:tabs>
          <w:tab w:leader="none" w:pos="192" w:val="left"/>
        </w:tabs>
        <w:numPr>
          <w:ilvl w:val="0"/>
          <w:numId w:val="396"/>
        </w:numPr>
        <w:rPr>
          <w:rFonts w:ascii="Arial" w:cs="Arial" w:eastAsia="Arial" w:hAnsi="Arial"/>
          <w:sz w:val="12"/>
          <w:szCs w:val="12"/>
          <w:color w:val="auto"/>
        </w:rPr>
      </w:pPr>
      <w:r>
        <w:rPr>
          <w:rFonts w:ascii="Arial" w:cs="Arial" w:eastAsia="Arial" w:hAnsi="Arial"/>
          <w:sz w:val="12"/>
          <w:szCs w:val="12"/>
          <w:color w:val="auto"/>
        </w:rPr>
        <w:t>If Product and other active component(s) within such Combination Product are sold separately, Net Sales will be calculated by multiplying the total Net Sales (as described above) of the Combination Product by the fraction A/(A+B), where A is the average gross selling price in the applicable country in the Territory of the Product sold separately in the same formulation and dosage, and B is the sum of the average gross selling prices in the applicable country in the Territory of such other active component(s) sold separately in the same formulation and dosage, during the applicable Calendar Year.</w:t>
      </w:r>
    </w:p>
    <w:p>
      <w:pPr>
        <w:spacing w:after="0" w:line="73" w:lineRule="exact"/>
        <w:rPr>
          <w:rFonts w:ascii="Arial" w:cs="Arial" w:eastAsia="Arial" w:hAnsi="Arial"/>
          <w:sz w:val="12"/>
          <w:szCs w:val="12"/>
          <w:color w:val="auto"/>
        </w:rPr>
      </w:pPr>
    </w:p>
    <w:p>
      <w:pPr>
        <w:ind w:right="180" w:firstLine="4"/>
        <w:spacing w:after="0" w:line="258" w:lineRule="auto"/>
        <w:tabs>
          <w:tab w:leader="none" w:pos="192" w:val="left"/>
        </w:tabs>
        <w:numPr>
          <w:ilvl w:val="0"/>
          <w:numId w:val="396"/>
        </w:numPr>
        <w:rPr>
          <w:rFonts w:ascii="Arial" w:cs="Arial" w:eastAsia="Arial" w:hAnsi="Arial"/>
          <w:sz w:val="14"/>
          <w:szCs w:val="14"/>
          <w:color w:val="auto"/>
        </w:rPr>
      </w:pPr>
      <w:r>
        <w:rPr>
          <w:rFonts w:ascii="Arial" w:cs="Arial" w:eastAsia="Arial" w:hAnsi="Arial"/>
          <w:sz w:val="14"/>
          <w:szCs w:val="14"/>
          <w:color w:val="auto"/>
        </w:rPr>
        <w:t>If the Product within the particular Combination Product is sold independently of the other active component(s) therein, but the average gross selling price of such other active component(s) cannot be determined, Net Sales will be calculated by multiplying the total Net Sales (as described above) of the Combination Product by the fraction A/C where A is the average gross selling price of such Product sold independently and C is the average gross selling price of the entire Combination Product.</w:t>
      </w:r>
    </w:p>
    <w:p>
      <w:pPr>
        <w:spacing w:after="0" w:line="107" w:lineRule="exact"/>
        <w:rPr>
          <w:rFonts w:ascii="Arial" w:cs="Arial" w:eastAsia="Arial" w:hAnsi="Arial"/>
          <w:sz w:val="14"/>
          <w:szCs w:val="14"/>
          <w:color w:val="auto"/>
        </w:rPr>
      </w:pPr>
    </w:p>
    <w:p>
      <w:pPr>
        <w:ind w:right="180" w:firstLine="4"/>
        <w:spacing w:after="0" w:line="258" w:lineRule="auto"/>
        <w:tabs>
          <w:tab w:leader="none" w:pos="192" w:val="left"/>
        </w:tabs>
        <w:numPr>
          <w:ilvl w:val="0"/>
          <w:numId w:val="396"/>
        </w:numPr>
        <w:rPr>
          <w:rFonts w:ascii="Arial" w:cs="Arial" w:eastAsia="Arial" w:hAnsi="Arial"/>
          <w:sz w:val="14"/>
          <w:szCs w:val="14"/>
          <w:color w:val="auto"/>
        </w:rPr>
      </w:pPr>
      <w:r>
        <w:rPr>
          <w:rFonts w:ascii="Arial" w:cs="Arial" w:eastAsia="Arial" w:hAnsi="Arial"/>
          <w:sz w:val="14"/>
          <w:szCs w:val="14"/>
          <w:color w:val="auto"/>
        </w:rPr>
        <w:t>If the other active component(s) within the Combination Product are sold independently of the Product therein, but the average gross selling price of such Product cannot be determined, Net Sales will be calculated by multiplying the total Net Sales (as described above) of the Combination Product by the fraction [1-B/C], where B is the average gross selling price of such other active component(s) and C is the average gross selling price of the entire Combination Product.</w:t>
      </w:r>
    </w:p>
    <w:p>
      <w:pPr>
        <w:spacing w:after="0" w:line="107" w:lineRule="exact"/>
        <w:rPr>
          <w:rFonts w:ascii="Arial" w:cs="Arial" w:eastAsia="Arial" w:hAnsi="Arial"/>
          <w:sz w:val="14"/>
          <w:szCs w:val="14"/>
          <w:color w:val="auto"/>
        </w:rPr>
      </w:pPr>
    </w:p>
    <w:p>
      <w:pPr>
        <w:ind w:right="120" w:firstLine="4"/>
        <w:spacing w:after="0" w:line="351" w:lineRule="auto"/>
        <w:tabs>
          <w:tab w:leader="none" w:pos="192" w:val="left"/>
        </w:tabs>
        <w:numPr>
          <w:ilvl w:val="0"/>
          <w:numId w:val="396"/>
        </w:numPr>
        <w:rPr>
          <w:rFonts w:ascii="Arial" w:cs="Arial" w:eastAsia="Arial" w:hAnsi="Arial"/>
          <w:sz w:val="12"/>
          <w:szCs w:val="12"/>
          <w:color w:val="auto"/>
        </w:rPr>
      </w:pPr>
      <w:r>
        <w:rPr>
          <w:rFonts w:ascii="Arial" w:cs="Arial" w:eastAsia="Arial" w:hAnsi="Arial"/>
          <w:sz w:val="12"/>
          <w:szCs w:val="12"/>
          <w:color w:val="auto"/>
        </w:rPr>
        <w:t>If the Product and other active component(s) within the Combination Product are not sold separately, or if they are sold separately but the average gross selling price of neither such Product and other active component(s) within can be determined, Net Sales of the Combination Product shall be equal to Net Sales of the Combination Product multiplied by a mutually agreed percentage.</w:t>
      </w:r>
    </w:p>
    <w:p>
      <w:pPr>
        <w:spacing w:after="0" w:line="56"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With respect to such other active component(s), the average gross selling price for a particular product shall be calculated for each Calendar Year by dividing the sales amount by the units of such product, as published by IMS or another mutually agreed independent source.</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For purposes of the foregoing, in the initial Calendar Year during which a Combination Product is sold, a forecasted average gross selling price shall be used for the Product and other active component(s) therein, to be determined in good faith mutually by the Parties. Any over or under payment due to a difference between forecasted and actual average gross selling prices shall be paid or credited in the first royalty payment of the following Calendar Year. In the following Calendar Year the average gross selling price of both the Product and the other active component(s) included in the Combination Product in the previous year shall apply.</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1.64 “</w:t>
      </w:r>
      <w:r>
        <w:rPr>
          <w:rFonts w:ascii="Arial" w:cs="Arial" w:eastAsia="Arial" w:hAnsi="Arial"/>
          <w:sz w:val="14"/>
          <w:szCs w:val="14"/>
          <w:u w:val="single" w:color="auto"/>
          <w:color w:val="auto"/>
        </w:rPr>
        <w:t>Party</w:t>
      </w:r>
      <w:r>
        <w:rPr>
          <w:rFonts w:ascii="Arial" w:cs="Arial" w:eastAsia="Arial" w:hAnsi="Arial"/>
          <w:sz w:val="14"/>
          <w:szCs w:val="14"/>
          <w:color w:val="auto"/>
        </w:rPr>
        <w:t>” and “</w:t>
      </w:r>
      <w:r>
        <w:rPr>
          <w:rFonts w:ascii="Arial" w:cs="Arial" w:eastAsia="Arial" w:hAnsi="Arial"/>
          <w:sz w:val="14"/>
          <w:szCs w:val="14"/>
          <w:u w:val="single" w:color="auto"/>
          <w:color w:val="auto"/>
        </w:rPr>
        <w:t>Parties</w:t>
      </w:r>
      <w:r>
        <w:rPr>
          <w:rFonts w:ascii="Arial" w:cs="Arial" w:eastAsia="Arial" w:hAnsi="Arial"/>
          <w:sz w:val="14"/>
          <w:szCs w:val="14"/>
          <w:color w:val="auto"/>
        </w:rPr>
        <w:t>”. Party means BI or MacroGenics individually, and Parties means BI and MacroGenics collectively.</w:t>
      </w:r>
    </w:p>
    <w:p>
      <w:pPr>
        <w:spacing w:after="0" w:line="132" w:lineRule="exact"/>
        <w:rPr>
          <w:sz w:val="20"/>
          <w:szCs w:val="20"/>
          <w:color w:val="auto"/>
        </w:rPr>
      </w:pPr>
    </w:p>
    <w:p>
      <w:pPr>
        <w:ind w:right="40" w:firstLine="917"/>
        <w:spacing w:after="0" w:line="311" w:lineRule="auto"/>
        <w:rPr>
          <w:sz w:val="20"/>
          <w:szCs w:val="20"/>
          <w:color w:val="auto"/>
        </w:rPr>
      </w:pPr>
      <w:r>
        <w:rPr>
          <w:rFonts w:ascii="Arial" w:cs="Arial" w:eastAsia="Arial" w:hAnsi="Arial"/>
          <w:sz w:val="12"/>
          <w:szCs w:val="12"/>
          <w:color w:val="auto"/>
        </w:rPr>
        <w:t>1.65 “</w:t>
      </w:r>
      <w:r>
        <w:rPr>
          <w:rFonts w:ascii="Arial" w:cs="Arial" w:eastAsia="Arial" w:hAnsi="Arial"/>
          <w:sz w:val="12"/>
          <w:szCs w:val="12"/>
          <w:u w:val="single" w:color="auto"/>
          <w:color w:val="auto"/>
        </w:rPr>
        <w:t>Patent Rights</w:t>
      </w:r>
      <w:r>
        <w:rPr>
          <w:rFonts w:ascii="Arial" w:cs="Arial" w:eastAsia="Arial" w:hAnsi="Arial"/>
          <w:sz w:val="12"/>
          <w:szCs w:val="12"/>
          <w:color w:val="auto"/>
        </w:rPr>
        <w:t>”. Patent Rights means patents, patent applications and/or provisional patent applications, utility models and utility model applications, design patents or registered industrial designs and design applications or applications for registration of industrial designs, petty patents, innovation patents, patents of addition, inventor’s certificates and all substitutions, divisionals, continuations, continuation-in-part applications, continued prosecution applications, requests for continued examinations, reissues, renewals, reexaminations and extensions and supplementary protection certificates granted in relation thereto, in any country of the world. For clarity, Patent Rights shall include any Patent Rights that claim priority to or common priority with such Patent Rights.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39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67" w:name="page468"/>
    <w:bookmarkEnd w:id="467"/>
    <w:p>
      <w:pPr>
        <w:ind w:right="18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1.66 “</w:t>
      </w:r>
      <w:r>
        <w:rPr>
          <w:rFonts w:ascii="Arial" w:cs="Arial" w:eastAsia="Arial" w:hAnsi="Arial"/>
          <w:sz w:val="14"/>
          <w:szCs w:val="14"/>
          <w:u w:val="single" w:color="auto"/>
          <w:color w:val="auto"/>
        </w:rPr>
        <w:t>Phase I Clinical Trial</w:t>
      </w:r>
      <w:r>
        <w:rPr>
          <w:rFonts w:ascii="Arial" w:cs="Arial" w:eastAsia="Arial" w:hAnsi="Arial"/>
          <w:sz w:val="14"/>
          <w:szCs w:val="14"/>
          <w:color w:val="auto"/>
        </w:rPr>
        <w:t>”. Phase I Clinical Trial means a human clinical trial in any country that meets the requirements of 21 CFR §312.21(a) or a similar clinical study in a country other than the United States. Each Phase I Clinical Trial shall be deemed commenced upon dosing of the first participant in such trial.</w:t>
      </w:r>
    </w:p>
    <w:p>
      <w:pPr>
        <w:spacing w:after="0" w:line="101" w:lineRule="exact"/>
        <w:rPr>
          <w:sz w:val="20"/>
          <w:szCs w:val="20"/>
          <w:color w:val="auto"/>
        </w:rPr>
      </w:pPr>
    </w:p>
    <w:p>
      <w:pPr>
        <w:ind w:right="80" w:firstLine="917"/>
        <w:spacing w:after="0" w:line="267" w:lineRule="auto"/>
        <w:rPr>
          <w:sz w:val="20"/>
          <w:szCs w:val="20"/>
          <w:color w:val="auto"/>
        </w:rPr>
      </w:pPr>
      <w:r>
        <w:rPr>
          <w:rFonts w:ascii="Arial" w:cs="Arial" w:eastAsia="Arial" w:hAnsi="Arial"/>
          <w:sz w:val="14"/>
          <w:szCs w:val="14"/>
          <w:color w:val="auto"/>
        </w:rPr>
        <w:t>1.67 “</w:t>
      </w:r>
      <w:r>
        <w:rPr>
          <w:rFonts w:ascii="Arial" w:cs="Arial" w:eastAsia="Arial" w:hAnsi="Arial"/>
          <w:sz w:val="14"/>
          <w:szCs w:val="14"/>
          <w:u w:val="single" w:color="auto"/>
          <w:color w:val="auto"/>
        </w:rPr>
        <w:t>Phase II Clinical Trial</w:t>
      </w:r>
      <w:r>
        <w:rPr>
          <w:rFonts w:ascii="Arial" w:cs="Arial" w:eastAsia="Arial" w:hAnsi="Arial"/>
          <w:sz w:val="14"/>
          <w:szCs w:val="14"/>
          <w:color w:val="auto"/>
        </w:rPr>
        <w:t>”. Phase II Clinical Trial means a human clinical trial in any country that meets the requirements of 21 CFR §312.21(b) or a similar clinical study in a country other than the United States. Each Phase II Clinical Trial shall be deemed commenced upon dosing of the first participant in such trial.</w:t>
      </w:r>
    </w:p>
    <w:p>
      <w:pPr>
        <w:spacing w:after="0" w:line="101"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1.68 “</w:t>
      </w:r>
      <w:r>
        <w:rPr>
          <w:rFonts w:ascii="Arial" w:cs="Arial" w:eastAsia="Arial" w:hAnsi="Arial"/>
          <w:sz w:val="14"/>
          <w:szCs w:val="14"/>
          <w:u w:val="single" w:color="auto"/>
          <w:color w:val="auto"/>
        </w:rPr>
        <w:t>Phase III Clinical Trial</w:t>
      </w:r>
      <w:r>
        <w:rPr>
          <w:rFonts w:ascii="Arial" w:cs="Arial" w:eastAsia="Arial" w:hAnsi="Arial"/>
          <w:sz w:val="14"/>
          <w:szCs w:val="14"/>
          <w:color w:val="auto"/>
        </w:rPr>
        <w:t>”. Phase III Clinical Trial means a human clinical trial in any country in the Territory that meets the requirements of 21 CFR §312.21(c) or a similar clinical study in a country other than the United States. Each Phase III Clinical Trial shall be deemed commenced upon dosing of the first participant in such trial.</w:t>
      </w:r>
    </w:p>
    <w:p>
      <w:pPr>
        <w:spacing w:after="0" w:line="101" w:lineRule="exact"/>
        <w:rPr>
          <w:sz w:val="20"/>
          <w:szCs w:val="20"/>
          <w:color w:val="auto"/>
        </w:rPr>
      </w:pPr>
    </w:p>
    <w:p>
      <w:pPr>
        <w:ind w:right="80" w:firstLine="917"/>
        <w:spacing w:after="0" w:line="267" w:lineRule="auto"/>
        <w:rPr>
          <w:sz w:val="20"/>
          <w:szCs w:val="20"/>
          <w:color w:val="auto"/>
        </w:rPr>
      </w:pPr>
      <w:r>
        <w:rPr>
          <w:rFonts w:ascii="Arial" w:cs="Arial" w:eastAsia="Arial" w:hAnsi="Arial"/>
          <w:sz w:val="14"/>
          <w:szCs w:val="14"/>
          <w:color w:val="auto"/>
        </w:rPr>
        <w:t>1.69 “</w:t>
      </w:r>
      <w:r>
        <w:rPr>
          <w:rFonts w:ascii="Arial" w:cs="Arial" w:eastAsia="Arial" w:hAnsi="Arial"/>
          <w:sz w:val="14"/>
          <w:szCs w:val="14"/>
          <w:u w:val="single" w:color="auto"/>
          <w:color w:val="auto"/>
        </w:rPr>
        <w:t>Phase IV Clinical Trial</w:t>
      </w:r>
      <w:r>
        <w:rPr>
          <w:rFonts w:ascii="Arial" w:cs="Arial" w:eastAsia="Arial" w:hAnsi="Arial"/>
          <w:sz w:val="14"/>
          <w:szCs w:val="14"/>
          <w:color w:val="auto"/>
        </w:rPr>
        <w:t>”. Phase IV Clinical Trial means a post-registrational Clinical Trial conducted in any country or countries and required as a condition to, or for the maintenance of, any Regulatory Approval for a Product.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1.70 “</w:t>
      </w:r>
      <w:r>
        <w:rPr>
          <w:rFonts w:ascii="Arial" w:cs="Arial" w:eastAsia="Arial" w:hAnsi="Arial"/>
          <w:sz w:val="12"/>
          <w:szCs w:val="12"/>
          <w:u w:val="single" w:color="auto"/>
          <w:color w:val="auto"/>
        </w:rPr>
        <w:t>Prior Confidentiality Agreement</w:t>
      </w:r>
      <w:r>
        <w:rPr>
          <w:rFonts w:ascii="Arial" w:cs="Arial" w:eastAsia="Arial" w:hAnsi="Arial"/>
          <w:sz w:val="12"/>
          <w:szCs w:val="12"/>
          <w:color w:val="auto"/>
        </w:rPr>
        <w:t>”. Prior Confidentiality Agreement means the Confidentiality Agreements between MacroGenics and Boehringer Ingelheim Pharmaceuticals, Inc, dated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6" w:lineRule="exact"/>
        <w:rPr>
          <w:sz w:val="20"/>
          <w:szCs w:val="20"/>
          <w:color w:val="auto"/>
        </w:rPr>
      </w:pPr>
    </w:p>
    <w:p>
      <w:pPr>
        <w:ind w:right="360" w:firstLine="917"/>
        <w:spacing w:after="0" w:line="351" w:lineRule="auto"/>
        <w:rPr>
          <w:sz w:val="20"/>
          <w:szCs w:val="20"/>
          <w:color w:val="auto"/>
        </w:rPr>
      </w:pPr>
      <w:r>
        <w:rPr>
          <w:rFonts w:ascii="Arial" w:cs="Arial" w:eastAsia="Arial" w:hAnsi="Arial"/>
          <w:sz w:val="12"/>
          <w:szCs w:val="12"/>
          <w:color w:val="auto"/>
        </w:rPr>
        <w:t>1.71 “</w:t>
      </w:r>
      <w:r>
        <w:rPr>
          <w:rFonts w:ascii="Arial" w:cs="Arial" w:eastAsia="Arial" w:hAnsi="Arial"/>
          <w:sz w:val="12"/>
          <w:szCs w:val="12"/>
          <w:u w:val="single" w:color="auto"/>
          <w:color w:val="auto"/>
        </w:rPr>
        <w:t>Product</w:t>
      </w:r>
      <w:r>
        <w:rPr>
          <w:rFonts w:ascii="Arial" w:cs="Arial" w:eastAsia="Arial" w:hAnsi="Arial"/>
          <w:sz w:val="12"/>
          <w:szCs w:val="12"/>
          <w:color w:val="auto"/>
        </w:rPr>
        <w:t>”. Product means any preparation in final form, either for sale by prescription, over-the-counter or any other method, or for administration to human patients or to animals in Clinical Trials, for any and all uses, which preparation contains a Collaboration DART. All references to Products in this Agreement shall be deemed to include Combination Products.</w:t>
      </w:r>
    </w:p>
    <w:p>
      <w:pPr>
        <w:spacing w:after="0" w:line="56"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1.72 “</w:t>
      </w:r>
      <w:r>
        <w:rPr>
          <w:rFonts w:ascii="Arial" w:cs="Arial" w:eastAsia="Arial" w:hAnsi="Arial"/>
          <w:sz w:val="14"/>
          <w:szCs w:val="14"/>
          <w:u w:val="single" w:color="auto"/>
          <w:color w:val="auto"/>
        </w:rPr>
        <w:t>Program</w:t>
      </w:r>
      <w:r>
        <w:rPr>
          <w:rFonts w:ascii="Arial" w:cs="Arial" w:eastAsia="Arial" w:hAnsi="Arial"/>
          <w:sz w:val="14"/>
          <w:szCs w:val="14"/>
          <w:color w:val="auto"/>
        </w:rPr>
        <w:t>”. Program means a program conducted pursuant to this Agreement and directed to the research, Development, manufacturing and Commercialization of Collaboration DARTs and Products which bind to the same specific Collaboration Target.</w:t>
      </w:r>
    </w:p>
    <w:p>
      <w:pPr>
        <w:spacing w:after="0" w:line="101" w:lineRule="exact"/>
        <w:rPr>
          <w:sz w:val="20"/>
          <w:szCs w:val="20"/>
          <w:color w:val="auto"/>
        </w:rPr>
      </w:pPr>
    </w:p>
    <w:p>
      <w:pPr>
        <w:ind w:right="100" w:firstLine="917"/>
        <w:spacing w:after="0" w:line="258" w:lineRule="auto"/>
        <w:rPr>
          <w:sz w:val="20"/>
          <w:szCs w:val="20"/>
          <w:color w:val="auto"/>
        </w:rPr>
      </w:pPr>
      <w:r>
        <w:rPr>
          <w:rFonts w:ascii="Arial" w:cs="Arial" w:eastAsia="Arial" w:hAnsi="Arial"/>
          <w:sz w:val="14"/>
          <w:szCs w:val="14"/>
          <w:color w:val="auto"/>
        </w:rPr>
        <w:t>1.73 “</w:t>
      </w:r>
      <w:r>
        <w:rPr>
          <w:rFonts w:ascii="Arial" w:cs="Arial" w:eastAsia="Arial" w:hAnsi="Arial"/>
          <w:sz w:val="14"/>
          <w:szCs w:val="14"/>
          <w:u w:val="single" w:color="auto"/>
          <w:color w:val="auto"/>
        </w:rPr>
        <w:t>Prosecution and Maintenance</w:t>
      </w:r>
      <w:r>
        <w:rPr>
          <w:rFonts w:ascii="Arial" w:cs="Arial" w:eastAsia="Arial" w:hAnsi="Arial"/>
          <w:sz w:val="14"/>
          <w:szCs w:val="14"/>
          <w:color w:val="auto"/>
        </w:rPr>
        <w:t>”. Prosecution and Maintenance means, with respect to a Patent Right, the preparing, filing, prosecuting and maintenance of such Patent Right, as well as re examinations, reissues and the like with respect to such Patent Right, together with the conduct of interferences, the defense of oppositions and other similar proceedings with respect to the particular Patent Right; and “</w:t>
      </w:r>
      <w:r>
        <w:rPr>
          <w:rFonts w:ascii="Arial" w:cs="Arial" w:eastAsia="Arial" w:hAnsi="Arial"/>
          <w:sz w:val="14"/>
          <w:szCs w:val="14"/>
          <w:u w:val="single" w:color="auto"/>
          <w:color w:val="auto"/>
        </w:rPr>
        <w:t>Prosecute and Maintain</w:t>
      </w:r>
      <w:r>
        <w:rPr>
          <w:rFonts w:ascii="Arial" w:cs="Arial" w:eastAsia="Arial" w:hAnsi="Arial"/>
          <w:sz w:val="14"/>
          <w:szCs w:val="14"/>
          <w:color w:val="auto"/>
        </w:rPr>
        <w:t>” shall have the correlative meaning.</w:t>
      </w:r>
    </w:p>
    <w:p>
      <w:pPr>
        <w:spacing w:after="0" w:line="108" w:lineRule="exact"/>
        <w:rPr>
          <w:sz w:val="20"/>
          <w:szCs w:val="20"/>
          <w:color w:val="auto"/>
        </w:rPr>
      </w:pPr>
    </w:p>
    <w:p>
      <w:pPr>
        <w:ind w:right="60" w:firstLine="917"/>
        <w:spacing w:after="0" w:line="258" w:lineRule="auto"/>
        <w:rPr>
          <w:sz w:val="20"/>
          <w:szCs w:val="20"/>
          <w:color w:val="auto"/>
        </w:rPr>
      </w:pPr>
      <w:r>
        <w:rPr>
          <w:rFonts w:ascii="Arial" w:cs="Arial" w:eastAsia="Arial" w:hAnsi="Arial"/>
          <w:sz w:val="14"/>
          <w:szCs w:val="14"/>
          <w:color w:val="auto"/>
        </w:rPr>
        <w:t>1.74 “</w:t>
      </w:r>
      <w:r>
        <w:rPr>
          <w:rFonts w:ascii="Arial" w:cs="Arial" w:eastAsia="Arial" w:hAnsi="Arial"/>
          <w:sz w:val="14"/>
          <w:szCs w:val="14"/>
          <w:u w:val="single" w:color="auto"/>
          <w:color w:val="auto"/>
        </w:rPr>
        <w:t>Regulatory Approval</w:t>
      </w:r>
      <w:r>
        <w:rPr>
          <w:rFonts w:ascii="Arial" w:cs="Arial" w:eastAsia="Arial" w:hAnsi="Arial"/>
          <w:sz w:val="14"/>
          <w:szCs w:val="14"/>
          <w:color w:val="auto"/>
        </w:rPr>
        <w:t>”. Regulatory Approval means the technical, medical and scientific licenses, registrations, authorizations and approvals (including approvals of NDAs and labeling approvals) of any national, supra-national, regional, state or local regulatory agency, department, bureau, commission, council or other governmental entity, necessary for the distribution, marketing, promotion, offer for sale, use, import, export or sale of Product(s) in a regulatory jurisdiction.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12" w:lineRule="exact"/>
        <w:rPr>
          <w:sz w:val="20"/>
          <w:szCs w:val="20"/>
          <w:color w:val="auto"/>
        </w:rPr>
      </w:pPr>
    </w:p>
    <w:p>
      <w:pPr>
        <w:ind w:left="3840" w:right="2660" w:hanging="1135"/>
        <w:spacing w:after="0" w:line="341" w:lineRule="auto"/>
        <w:tabs>
          <w:tab w:leader="none" w:pos="2944" w:val="left"/>
        </w:tabs>
        <w:numPr>
          <w:ilvl w:val="0"/>
          <w:numId w:val="39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468" w:name="page469"/>
    <w:bookmarkEnd w:id="468"/>
    <w:p>
      <w:pPr>
        <w:ind w:right="320" w:firstLine="917"/>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1.75 “</w:t>
      </w:r>
      <w:r>
        <w:rPr>
          <w:rFonts w:ascii="Arial" w:cs="Arial" w:eastAsia="Arial" w:hAnsi="Arial"/>
          <w:sz w:val="12"/>
          <w:szCs w:val="12"/>
          <w:u w:val="single" w:color="auto"/>
          <w:color w:val="auto"/>
        </w:rPr>
        <w:t>Regulatory Authority</w:t>
      </w:r>
      <w:r>
        <w:rPr>
          <w:rFonts w:ascii="Arial" w:cs="Arial" w:eastAsia="Arial" w:hAnsi="Arial"/>
          <w:sz w:val="12"/>
          <w:szCs w:val="12"/>
          <w:color w:val="auto"/>
        </w:rPr>
        <w:t>”. Regulatory Authority means any applicable government regulatory authority involved in granting approvals for the manufacturing, marketing, reimbursement and/or pricing of a Product in the Territory, including the FDA, EMA and MHW (in each case as applicable), and any successor governmental authority having substantially the same function.</w:t>
      </w:r>
    </w:p>
    <w:p>
      <w:pPr>
        <w:spacing w:after="0" w:line="56" w:lineRule="exact"/>
        <w:rPr>
          <w:sz w:val="20"/>
          <w:szCs w:val="20"/>
          <w:color w:val="auto"/>
        </w:rPr>
      </w:pPr>
    </w:p>
    <w:p>
      <w:pPr>
        <w:ind w:firstLine="917"/>
        <w:spacing w:after="0" w:line="311" w:lineRule="auto"/>
        <w:rPr>
          <w:sz w:val="20"/>
          <w:szCs w:val="20"/>
          <w:color w:val="auto"/>
        </w:rPr>
      </w:pPr>
      <w:r>
        <w:rPr>
          <w:rFonts w:ascii="Arial" w:cs="Arial" w:eastAsia="Arial" w:hAnsi="Arial"/>
          <w:sz w:val="12"/>
          <w:szCs w:val="12"/>
          <w:color w:val="auto"/>
        </w:rPr>
        <w:t>1.76 “</w:t>
      </w:r>
      <w:r>
        <w:rPr>
          <w:rFonts w:ascii="Arial" w:cs="Arial" w:eastAsia="Arial" w:hAnsi="Arial"/>
          <w:sz w:val="12"/>
          <w:szCs w:val="12"/>
          <w:u w:val="single" w:color="auto"/>
          <w:color w:val="auto"/>
        </w:rPr>
        <w:t>Research Plan</w:t>
      </w:r>
      <w:r>
        <w:rPr>
          <w:rFonts w:ascii="Arial" w:cs="Arial" w:eastAsia="Arial" w:hAnsi="Arial"/>
          <w:sz w:val="12"/>
          <w:szCs w:val="12"/>
          <w:color w:val="auto"/>
        </w:rPr>
        <w:t>”. Research Plan means, with respect to each Program, a research plan developed by the Parties that sets forth the activities to be undertaken during the Research Term with respect to such Program, including the assignment of each Party’s responsibilities and the allocated number of MacroGenics FTEs in the course of such Program with respect to each Collaboration DART in such Program through ***, applicable RTP criteria, criteria for selecting Antibodies for the Collaboration DART, Materials to be provided by each Party and the number of Lead Candidates to be developed under each Program, which research plan which may be amended from time to time upon the agreement of the JSC.</w:t>
      </w:r>
    </w:p>
    <w:p>
      <w:pPr>
        <w:spacing w:after="0" w:line="79" w:lineRule="exact"/>
        <w:rPr>
          <w:sz w:val="20"/>
          <w:szCs w:val="20"/>
          <w:color w:val="auto"/>
        </w:rPr>
      </w:pPr>
    </w:p>
    <w:p>
      <w:pPr>
        <w:ind w:right="280" w:firstLine="917"/>
        <w:spacing w:after="0" w:line="258" w:lineRule="auto"/>
        <w:rPr>
          <w:sz w:val="20"/>
          <w:szCs w:val="20"/>
          <w:color w:val="auto"/>
        </w:rPr>
      </w:pPr>
      <w:r>
        <w:rPr>
          <w:rFonts w:ascii="Arial" w:cs="Arial" w:eastAsia="Arial" w:hAnsi="Arial"/>
          <w:sz w:val="14"/>
          <w:szCs w:val="14"/>
          <w:color w:val="auto"/>
        </w:rPr>
        <w:t>1.77 “</w:t>
      </w:r>
      <w:r>
        <w:rPr>
          <w:rFonts w:ascii="Arial" w:cs="Arial" w:eastAsia="Arial" w:hAnsi="Arial"/>
          <w:sz w:val="14"/>
          <w:szCs w:val="14"/>
          <w:u w:val="single" w:color="auto"/>
          <w:color w:val="auto"/>
        </w:rPr>
        <w:t>Research Target Profile</w:t>
      </w:r>
      <w:r>
        <w:rPr>
          <w:rFonts w:ascii="Arial" w:cs="Arial" w:eastAsia="Arial" w:hAnsi="Arial"/>
          <w:sz w:val="14"/>
          <w:szCs w:val="14"/>
          <w:color w:val="auto"/>
        </w:rPr>
        <w:t>” or “</w:t>
      </w:r>
      <w:r>
        <w:rPr>
          <w:rFonts w:ascii="Arial" w:cs="Arial" w:eastAsia="Arial" w:hAnsi="Arial"/>
          <w:sz w:val="14"/>
          <w:szCs w:val="14"/>
          <w:u w:val="single" w:color="auto"/>
          <w:color w:val="auto"/>
        </w:rPr>
        <w:t>RTP</w:t>
      </w:r>
      <w:r>
        <w:rPr>
          <w:rFonts w:ascii="Arial" w:cs="Arial" w:eastAsia="Arial" w:hAnsi="Arial"/>
          <w:sz w:val="14"/>
          <w:szCs w:val="14"/>
          <w:color w:val="auto"/>
        </w:rPr>
        <w:t>”. Research Target Profile or RTP means for any Collaboration DART in a Program the written, quantifiable criteria agreed to by the Parties upon the commencement of such Program using the format as set forth in Schedule 1.77 (which may be amended from time to time upon mutual agreement of the Parties) and included in the Research Plan for such Program.</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1.78 “</w:t>
      </w:r>
      <w:r>
        <w:rPr>
          <w:rFonts w:ascii="Arial" w:cs="Arial" w:eastAsia="Arial" w:hAnsi="Arial"/>
          <w:sz w:val="14"/>
          <w:szCs w:val="14"/>
          <w:u w:val="single" w:color="auto"/>
          <w:color w:val="auto"/>
        </w:rPr>
        <w:t>Research Term</w:t>
      </w:r>
      <w:r>
        <w:rPr>
          <w:rFonts w:ascii="Arial" w:cs="Arial" w:eastAsia="Arial" w:hAnsi="Arial"/>
          <w:sz w:val="14"/>
          <w:szCs w:val="14"/>
          <w:color w:val="auto"/>
        </w:rPr>
        <w:t>”. Research Term means the Initial Research Term and, if applicable, the Extended Research Term.</w:t>
      </w:r>
    </w:p>
    <w:p>
      <w:pPr>
        <w:spacing w:after="0" w:line="132" w:lineRule="exact"/>
        <w:rPr>
          <w:sz w:val="20"/>
          <w:szCs w:val="20"/>
          <w:color w:val="auto"/>
        </w:rPr>
      </w:pPr>
    </w:p>
    <w:p>
      <w:pPr>
        <w:ind w:right="200" w:firstLine="917"/>
        <w:spacing w:after="0" w:line="321" w:lineRule="auto"/>
        <w:rPr>
          <w:sz w:val="20"/>
          <w:szCs w:val="20"/>
          <w:color w:val="auto"/>
        </w:rPr>
      </w:pPr>
      <w:r>
        <w:rPr>
          <w:rFonts w:ascii="Arial" w:cs="Arial" w:eastAsia="Arial" w:hAnsi="Arial"/>
          <w:sz w:val="12"/>
          <w:szCs w:val="12"/>
          <w:color w:val="auto"/>
        </w:rPr>
        <w:t>1.79 “</w:t>
      </w:r>
      <w:r>
        <w:rPr>
          <w:rFonts w:ascii="Arial" w:cs="Arial" w:eastAsia="Arial" w:hAnsi="Arial"/>
          <w:sz w:val="12"/>
          <w:szCs w:val="12"/>
          <w:u w:val="single" w:color="auto"/>
          <w:color w:val="auto"/>
        </w:rPr>
        <w:t>Senior Executives</w:t>
      </w:r>
      <w:r>
        <w:rPr>
          <w:rFonts w:ascii="Arial" w:cs="Arial" w:eastAsia="Arial" w:hAnsi="Arial"/>
          <w:sz w:val="12"/>
          <w:szCs w:val="12"/>
          <w:color w:val="auto"/>
        </w:rPr>
        <w:t>”. Senior Executives means, in the case of MacroGenics, the Chief Executive Officer of MacroGenics (or a senior executive officer designated by the Chief Executive Officer of MacroGenics) and in the case of BI, depending on the actual status of the Product, the board member responsible for research, development and medicine or the board member responsible for marketing and sales; or in each case such individual’s nominated designee, who is a member of BI’s senior management with appropriate decision making authority.</w:t>
      </w:r>
    </w:p>
    <w:p>
      <w:pPr>
        <w:spacing w:after="0" w:line="73" w:lineRule="exact"/>
        <w:rPr>
          <w:sz w:val="20"/>
          <w:szCs w:val="20"/>
          <w:color w:val="auto"/>
        </w:rPr>
      </w:pPr>
    </w:p>
    <w:p>
      <w:pPr>
        <w:ind w:right="260" w:firstLine="917"/>
        <w:spacing w:after="0" w:line="267" w:lineRule="auto"/>
        <w:rPr>
          <w:sz w:val="20"/>
          <w:szCs w:val="20"/>
          <w:color w:val="auto"/>
        </w:rPr>
      </w:pPr>
      <w:r>
        <w:rPr>
          <w:rFonts w:ascii="Arial" w:cs="Arial" w:eastAsia="Arial" w:hAnsi="Arial"/>
          <w:sz w:val="14"/>
          <w:szCs w:val="14"/>
          <w:color w:val="auto"/>
        </w:rPr>
        <w:t>1.80 “</w:t>
      </w:r>
      <w:r>
        <w:rPr>
          <w:rFonts w:ascii="Arial" w:cs="Arial" w:eastAsia="Arial" w:hAnsi="Arial"/>
          <w:sz w:val="14"/>
          <w:szCs w:val="14"/>
          <w:u w:val="single" w:color="auto"/>
          <w:color w:val="auto"/>
        </w:rPr>
        <w:t>Start of Pre-Clinical Development Candidate</w:t>
      </w:r>
      <w:r>
        <w:rPr>
          <w:rFonts w:ascii="Arial" w:cs="Arial" w:eastAsia="Arial" w:hAnsi="Arial"/>
          <w:sz w:val="14"/>
          <w:szCs w:val="14"/>
          <w:color w:val="auto"/>
        </w:rPr>
        <w:t>” or “</w:t>
      </w:r>
      <w:r>
        <w:rPr>
          <w:rFonts w:ascii="Arial" w:cs="Arial" w:eastAsia="Arial" w:hAnsi="Arial"/>
          <w:sz w:val="14"/>
          <w:szCs w:val="14"/>
          <w:u w:val="single" w:color="auto"/>
          <w:color w:val="auto"/>
        </w:rPr>
        <w:t>SOPD Candidate</w:t>
      </w:r>
      <w:r>
        <w:rPr>
          <w:rFonts w:ascii="Arial" w:cs="Arial" w:eastAsia="Arial" w:hAnsi="Arial"/>
          <w:sz w:val="14"/>
          <w:szCs w:val="14"/>
          <w:color w:val="auto"/>
        </w:rPr>
        <w:t>”. Start of Pre-Clinical Development Candidate or SOPD Candidate means each Collaboration DART that has been accepted by BI in accordance with Section 3.5.</w:t>
      </w:r>
    </w:p>
    <w:p>
      <w:pPr>
        <w:spacing w:after="0" w:line="101" w:lineRule="exact"/>
        <w:rPr>
          <w:sz w:val="20"/>
          <w:szCs w:val="20"/>
          <w:color w:val="auto"/>
        </w:rPr>
      </w:pPr>
    </w:p>
    <w:p>
      <w:pPr>
        <w:jc w:val="both"/>
        <w:ind w:right="240" w:firstLine="917"/>
        <w:spacing w:after="0" w:line="258" w:lineRule="auto"/>
        <w:rPr>
          <w:sz w:val="20"/>
          <w:szCs w:val="20"/>
          <w:color w:val="auto"/>
        </w:rPr>
      </w:pPr>
      <w:r>
        <w:rPr>
          <w:rFonts w:ascii="Arial" w:cs="Arial" w:eastAsia="Arial" w:hAnsi="Arial"/>
          <w:sz w:val="14"/>
          <w:szCs w:val="14"/>
          <w:color w:val="auto"/>
        </w:rPr>
        <w:t>1.81 “</w:t>
      </w:r>
      <w:r>
        <w:rPr>
          <w:rFonts w:ascii="Arial" w:cs="Arial" w:eastAsia="Arial" w:hAnsi="Arial"/>
          <w:sz w:val="14"/>
          <w:szCs w:val="14"/>
          <w:u w:val="single" w:color="auto"/>
          <w:color w:val="auto"/>
        </w:rPr>
        <w:t>Start of Pre-Clinical Development Candidate Criteria</w:t>
      </w:r>
      <w:r>
        <w:rPr>
          <w:rFonts w:ascii="Arial" w:cs="Arial" w:eastAsia="Arial" w:hAnsi="Arial"/>
          <w:sz w:val="14"/>
          <w:szCs w:val="14"/>
          <w:color w:val="auto"/>
        </w:rPr>
        <w:t>” or “</w:t>
      </w:r>
      <w:r>
        <w:rPr>
          <w:rFonts w:ascii="Arial" w:cs="Arial" w:eastAsia="Arial" w:hAnsi="Arial"/>
          <w:sz w:val="14"/>
          <w:szCs w:val="14"/>
          <w:u w:val="single" w:color="auto"/>
          <w:color w:val="auto"/>
        </w:rPr>
        <w:t>SOPD Candidate Criteria</w:t>
      </w:r>
      <w:r>
        <w:rPr>
          <w:rFonts w:ascii="Arial" w:cs="Arial" w:eastAsia="Arial" w:hAnsi="Arial"/>
          <w:sz w:val="14"/>
          <w:szCs w:val="14"/>
          <w:color w:val="auto"/>
        </w:rPr>
        <w:t>”. Start of Pre-Clinical Development Candidate Criteria or SOPD Candidate Criteria means the *** (using the format as set forth in Schedule 1.81 (which may be amended from time to time upon mutual agreement of the Parties)) after the first Collaboration DART in such Program has been deemed a Lead Candidate and included in the Research Plan for such Program.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39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69" w:name="page470"/>
    <w:bookmarkEnd w:id="469"/>
    <w:p>
      <w:pPr>
        <w:ind w:firstLine="917"/>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1.82 “</w:t>
      </w:r>
      <w:r>
        <w:rPr>
          <w:rFonts w:ascii="Arial" w:cs="Arial" w:eastAsia="Arial" w:hAnsi="Arial"/>
          <w:sz w:val="14"/>
          <w:szCs w:val="14"/>
          <w:u w:val="single" w:color="auto"/>
          <w:color w:val="auto"/>
        </w:rPr>
        <w:t>Sublicensee</w:t>
      </w:r>
      <w:r>
        <w:rPr>
          <w:rFonts w:ascii="Arial" w:cs="Arial" w:eastAsia="Arial" w:hAnsi="Arial"/>
          <w:sz w:val="14"/>
          <w:szCs w:val="14"/>
          <w:color w:val="auto"/>
        </w:rPr>
        <w:t xml:space="preserve">”. Sublicensee means a Third Party to whom BI (or its Affiliate) has granted a license or sublicense under the MacroGenics Intellectual Property, Collaboration DART Intellectual Property and/or Joint Intellectual Property to research, Develop, make and have made, offer for sale, sell or import a Product;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Sublicensee shall not include any distributor, dealer or reseller.</w:t>
      </w:r>
    </w:p>
    <w:p>
      <w:pPr>
        <w:spacing w:after="0" w:line="108" w:lineRule="exact"/>
        <w:rPr>
          <w:sz w:val="20"/>
          <w:szCs w:val="20"/>
          <w:color w:val="auto"/>
        </w:rPr>
      </w:pPr>
    </w:p>
    <w:p>
      <w:pPr>
        <w:ind w:right="100" w:firstLine="917"/>
        <w:spacing w:after="0" w:line="258" w:lineRule="auto"/>
        <w:rPr>
          <w:sz w:val="20"/>
          <w:szCs w:val="20"/>
          <w:color w:val="auto"/>
        </w:rPr>
      </w:pPr>
      <w:r>
        <w:rPr>
          <w:rFonts w:ascii="Arial" w:cs="Arial" w:eastAsia="Arial" w:hAnsi="Arial"/>
          <w:sz w:val="14"/>
          <w:szCs w:val="14"/>
          <w:color w:val="auto"/>
        </w:rPr>
        <w:t>1.83 “</w:t>
      </w:r>
      <w:r>
        <w:rPr>
          <w:rFonts w:ascii="Arial" w:cs="Arial" w:eastAsia="Arial" w:hAnsi="Arial"/>
          <w:sz w:val="14"/>
          <w:szCs w:val="14"/>
          <w:u w:val="single" w:color="auto"/>
          <w:color w:val="auto"/>
        </w:rPr>
        <w:t>Target</w:t>
      </w:r>
      <w:r>
        <w:rPr>
          <w:rFonts w:ascii="Arial" w:cs="Arial" w:eastAsia="Arial" w:hAnsi="Arial"/>
          <w:sz w:val="14"/>
          <w:szCs w:val="14"/>
          <w:color w:val="auto"/>
        </w:rPr>
        <w:t>”. Target means (a) an antigen composed of a polypeptide, a complex or more than one polypeptide or a post-translational modification of a polypeptide (e.g., glycosylation, phosphorylation, etc.) that is recognized by an Antibody through direct binding to such antigen; or (b) a gene encoding an antigen and the products encoded by such gene, including any homologues, variants, alternatively spliced variants, mutants, deletions or fragments or partial sequences of such antigen.</w:t>
      </w:r>
    </w:p>
    <w:p>
      <w:pPr>
        <w:spacing w:after="0" w:line="108" w:lineRule="exact"/>
        <w:rPr>
          <w:sz w:val="20"/>
          <w:szCs w:val="20"/>
          <w:color w:val="auto"/>
        </w:rPr>
      </w:pPr>
    </w:p>
    <w:p>
      <w:pPr>
        <w:ind w:right="220" w:firstLine="917"/>
        <w:spacing w:after="0" w:line="267" w:lineRule="auto"/>
        <w:rPr>
          <w:sz w:val="20"/>
          <w:szCs w:val="20"/>
          <w:color w:val="auto"/>
        </w:rPr>
      </w:pPr>
      <w:r>
        <w:rPr>
          <w:rFonts w:ascii="Arial" w:cs="Arial" w:eastAsia="Arial" w:hAnsi="Arial"/>
          <w:sz w:val="14"/>
          <w:szCs w:val="14"/>
          <w:color w:val="auto"/>
        </w:rPr>
        <w:t>1.84 “</w:t>
      </w:r>
      <w:r>
        <w:rPr>
          <w:rFonts w:ascii="Arial" w:cs="Arial" w:eastAsia="Arial" w:hAnsi="Arial"/>
          <w:sz w:val="14"/>
          <w:szCs w:val="14"/>
          <w:u w:val="single" w:color="auto"/>
          <w:color w:val="auto"/>
        </w:rPr>
        <w:t>Terminated Product</w:t>
      </w:r>
      <w:r>
        <w:rPr>
          <w:rFonts w:ascii="Arial" w:cs="Arial" w:eastAsia="Arial" w:hAnsi="Arial"/>
          <w:sz w:val="14"/>
          <w:szCs w:val="14"/>
          <w:color w:val="auto"/>
        </w:rPr>
        <w:t>”. Terminated Product means (a) with respect to the termination of a Program pursuant to Section 10.2(b), each Collaboration DART and Product included in such Program; and (b) with respect to termination of this Agreement in its entirety, all Collaboration DARTs and Products.</w:t>
      </w:r>
    </w:p>
    <w:p>
      <w:pPr>
        <w:spacing w:after="0" w:line="101" w:lineRule="exact"/>
        <w:rPr>
          <w:sz w:val="20"/>
          <w:szCs w:val="20"/>
          <w:color w:val="auto"/>
        </w:rPr>
      </w:pPr>
    </w:p>
    <w:p>
      <w:pPr>
        <w:ind w:right="600" w:firstLine="917"/>
        <w:spacing w:after="0" w:line="267" w:lineRule="auto"/>
        <w:rPr>
          <w:sz w:val="20"/>
          <w:szCs w:val="20"/>
          <w:color w:val="auto"/>
        </w:rPr>
      </w:pPr>
      <w:r>
        <w:rPr>
          <w:rFonts w:ascii="Arial" w:cs="Arial" w:eastAsia="Arial" w:hAnsi="Arial"/>
          <w:sz w:val="14"/>
          <w:szCs w:val="14"/>
          <w:color w:val="auto"/>
        </w:rPr>
        <w:t>1.85 “</w:t>
      </w:r>
      <w:r>
        <w:rPr>
          <w:rFonts w:ascii="Arial" w:cs="Arial" w:eastAsia="Arial" w:hAnsi="Arial"/>
          <w:sz w:val="14"/>
          <w:szCs w:val="14"/>
          <w:u w:val="single" w:color="auto"/>
          <w:color w:val="auto"/>
        </w:rPr>
        <w:t>Terminated Target</w:t>
      </w:r>
      <w:r>
        <w:rPr>
          <w:rFonts w:ascii="Arial" w:cs="Arial" w:eastAsia="Arial" w:hAnsi="Arial"/>
          <w:sz w:val="14"/>
          <w:szCs w:val="14"/>
          <w:color w:val="auto"/>
        </w:rPr>
        <w:t>”. Terminated Target means (a) the Collaboration Target to which a Terminated Product is Directed; or (b) any Collaboration Target that is removed from the Collaboration Target List pursuant to Section 3.2(d).</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1.86 “</w:t>
      </w:r>
      <w:r>
        <w:rPr>
          <w:rFonts w:ascii="Arial" w:cs="Arial" w:eastAsia="Arial" w:hAnsi="Arial"/>
          <w:sz w:val="14"/>
          <w:szCs w:val="14"/>
          <w:u w:val="single" w:color="auto"/>
          <w:color w:val="auto"/>
        </w:rPr>
        <w:t>Territory</w:t>
      </w:r>
      <w:r>
        <w:rPr>
          <w:rFonts w:ascii="Arial" w:cs="Arial" w:eastAsia="Arial" w:hAnsi="Arial"/>
          <w:sz w:val="14"/>
          <w:szCs w:val="14"/>
          <w:color w:val="auto"/>
        </w:rPr>
        <w:t>”. Territory means all countries in the world.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1.87 “</w:t>
      </w:r>
      <w:r>
        <w:rPr>
          <w:rFonts w:ascii="Arial" w:cs="Arial" w:eastAsia="Arial" w:hAnsi="Arial"/>
          <w:sz w:val="14"/>
          <w:szCs w:val="14"/>
          <w:u w:val="single" w:color="auto"/>
          <w:color w:val="auto"/>
        </w:rPr>
        <w:t>Third Party</w:t>
      </w:r>
      <w:r>
        <w:rPr>
          <w:rFonts w:ascii="Arial" w:cs="Arial" w:eastAsia="Arial" w:hAnsi="Arial"/>
          <w:sz w:val="14"/>
          <w:szCs w:val="14"/>
          <w:color w:val="auto"/>
        </w:rPr>
        <w:t>”. Third Party means an entity other than BI and its Affiliates, and MacroGenics and its Affiliates.</w:t>
      </w:r>
    </w:p>
    <w:p>
      <w:pPr>
        <w:spacing w:after="0" w:line="132" w:lineRule="exact"/>
        <w:rPr>
          <w:sz w:val="20"/>
          <w:szCs w:val="20"/>
          <w:color w:val="auto"/>
        </w:rPr>
      </w:pPr>
    </w:p>
    <w:p>
      <w:pPr>
        <w:ind w:firstLine="917"/>
        <w:spacing w:after="0" w:line="255" w:lineRule="auto"/>
        <w:rPr>
          <w:sz w:val="20"/>
          <w:szCs w:val="20"/>
          <w:color w:val="auto"/>
        </w:rPr>
      </w:pPr>
      <w:r>
        <w:rPr>
          <w:rFonts w:ascii="Arial" w:cs="Arial" w:eastAsia="Arial" w:hAnsi="Arial"/>
          <w:sz w:val="14"/>
          <w:szCs w:val="14"/>
          <w:color w:val="auto"/>
        </w:rPr>
        <w:t>1.88 “</w:t>
      </w:r>
      <w:r>
        <w:rPr>
          <w:rFonts w:ascii="Arial" w:cs="Arial" w:eastAsia="Arial" w:hAnsi="Arial"/>
          <w:sz w:val="14"/>
          <w:szCs w:val="14"/>
          <w:u w:val="single" w:color="auto"/>
          <w:color w:val="auto"/>
        </w:rPr>
        <w:t>Valid Claim</w:t>
      </w:r>
      <w:r>
        <w:rPr>
          <w:rFonts w:ascii="Arial" w:cs="Arial" w:eastAsia="Arial" w:hAnsi="Arial"/>
          <w:sz w:val="14"/>
          <w:szCs w:val="14"/>
          <w:color w:val="auto"/>
        </w:rPr>
        <w:t>”. Valid Claim means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or (b) a claim within a patent application which application has not been pending for *** from the date of its priority filing date and which claim has not been revoked, cancelled, withdrawn, held invalid or abandoned or finally determined to be unallowable in a decision from which an appeal cannot or can no longer be taken.</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1.89 Each of the following definitions is set forth in the section of this Agreement indicated below:</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46"/>
        </w:trPr>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6"/>
              </w:rPr>
              <w:t>Definition:</w:t>
            </w:r>
          </w:p>
        </w:tc>
        <w:tc>
          <w:tcPr>
            <w:tcW w:w="38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Section:</w:t>
            </w:r>
          </w:p>
        </w:tc>
      </w:tr>
      <w:tr>
        <w:trPr>
          <w:trHeight w:val="140"/>
        </w:trPr>
        <w:tc>
          <w:tcPr>
            <w:tcW w:w="4340" w:type="dxa"/>
            <w:vAlign w:val="bottom"/>
            <w:gridSpan w:val="2"/>
          </w:tcPr>
          <w:p>
            <w:pPr>
              <w:spacing w:after="0" w:line="141" w:lineRule="exact"/>
              <w:rPr>
                <w:sz w:val="20"/>
                <w:szCs w:val="20"/>
                <w:color w:val="auto"/>
              </w:rPr>
            </w:pPr>
            <w:r>
              <w:rPr>
                <w:rFonts w:ascii="Arial" w:cs="Arial" w:eastAsia="Arial" w:hAnsi="Arial"/>
                <w:sz w:val="14"/>
                <w:szCs w:val="14"/>
                <w:color w:val="auto"/>
              </w:rPr>
              <w:t>Acquiring/Acquired Party</w:t>
            </w:r>
          </w:p>
        </w:tc>
        <w:tc>
          <w:tcPr>
            <w:tcW w:w="292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4"/>
                <w:szCs w:val="14"/>
                <w:color w:val="auto"/>
                <w:w w:val="95"/>
              </w:rPr>
              <w:t>5.8(c)(iii)</w:t>
            </w: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color w:val="auto"/>
              </w:rPr>
              <w:t>Additional Cure Period</w:t>
            </w:r>
          </w:p>
        </w:tc>
        <w:tc>
          <w:tcPr>
            <w:tcW w:w="3440" w:type="dxa"/>
            <w:vAlign w:val="bottom"/>
            <w:gridSpan w:val="2"/>
          </w:tcPr>
          <w:p>
            <w:pPr>
              <w:ind w:left="2920"/>
              <w:spacing w:after="0"/>
              <w:rPr>
                <w:sz w:val="20"/>
                <w:szCs w:val="20"/>
                <w:color w:val="auto"/>
              </w:rPr>
            </w:pPr>
            <w:r>
              <w:rPr>
                <w:rFonts w:ascii="Arial" w:cs="Arial" w:eastAsia="Arial" w:hAnsi="Arial"/>
                <w:sz w:val="14"/>
                <w:szCs w:val="14"/>
                <w:color w:val="auto"/>
              </w:rPr>
              <w:t>10.2(a)</w:t>
            </w: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color w:val="auto"/>
              </w:rPr>
              <w:t>Agreement</w:t>
            </w:r>
          </w:p>
        </w:tc>
        <w:tc>
          <w:tcPr>
            <w:tcW w:w="3440" w:type="dxa"/>
            <w:vAlign w:val="bottom"/>
            <w:gridSpan w:val="2"/>
          </w:tcPr>
          <w:p>
            <w:pPr>
              <w:jc w:val="center"/>
              <w:ind w:left="2832"/>
              <w:spacing w:after="0"/>
              <w:rPr>
                <w:sz w:val="20"/>
                <w:szCs w:val="20"/>
                <w:color w:val="auto"/>
              </w:rPr>
            </w:pPr>
            <w:r>
              <w:rPr>
                <w:rFonts w:ascii="Arial" w:cs="Arial" w:eastAsia="Arial" w:hAnsi="Arial"/>
                <w:sz w:val="14"/>
                <w:szCs w:val="14"/>
                <w:color w:val="auto"/>
                <w:w w:val="83"/>
              </w:rPr>
              <w:t>Preamble</w:t>
            </w: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color w:val="auto"/>
              </w:rPr>
              <w:t>Audited Party</w:t>
            </w:r>
          </w:p>
        </w:tc>
        <w:tc>
          <w:tcPr>
            <w:tcW w:w="3440" w:type="dxa"/>
            <w:vAlign w:val="bottom"/>
            <w:gridSpan w:val="2"/>
          </w:tcPr>
          <w:p>
            <w:pPr>
              <w:ind w:left="2920"/>
              <w:spacing w:after="0"/>
              <w:rPr>
                <w:sz w:val="20"/>
                <w:szCs w:val="20"/>
                <w:color w:val="auto"/>
              </w:rPr>
            </w:pPr>
            <w:r>
              <w:rPr>
                <w:rFonts w:ascii="Arial" w:cs="Arial" w:eastAsia="Arial" w:hAnsi="Arial"/>
                <w:sz w:val="14"/>
                <w:szCs w:val="14"/>
                <w:color w:val="auto"/>
              </w:rPr>
              <w:t>6.8</w:t>
            </w: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color w:val="auto"/>
              </w:rPr>
              <w:t>Auditing Party</w:t>
            </w:r>
          </w:p>
        </w:tc>
        <w:tc>
          <w:tcPr>
            <w:tcW w:w="3440" w:type="dxa"/>
            <w:vAlign w:val="bottom"/>
            <w:gridSpan w:val="2"/>
          </w:tcPr>
          <w:p>
            <w:pPr>
              <w:ind w:left="2920"/>
              <w:spacing w:after="0"/>
              <w:rPr>
                <w:sz w:val="20"/>
                <w:szCs w:val="20"/>
                <w:color w:val="auto"/>
              </w:rPr>
            </w:pPr>
            <w:r>
              <w:rPr>
                <w:rFonts w:ascii="Arial" w:cs="Arial" w:eastAsia="Arial" w:hAnsi="Arial"/>
                <w:sz w:val="14"/>
                <w:szCs w:val="14"/>
                <w:color w:val="auto"/>
              </w:rPr>
              <w:t>6.8</w:t>
            </w: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color w:val="auto"/>
              </w:rPr>
              <w:t>Bankruptcy Code</w:t>
            </w:r>
          </w:p>
        </w:tc>
        <w:tc>
          <w:tcPr>
            <w:tcW w:w="3440" w:type="dxa"/>
            <w:vAlign w:val="bottom"/>
            <w:gridSpan w:val="2"/>
          </w:tcPr>
          <w:p>
            <w:pPr>
              <w:ind w:left="2920"/>
              <w:spacing w:after="0"/>
              <w:rPr>
                <w:sz w:val="20"/>
                <w:szCs w:val="20"/>
                <w:color w:val="auto"/>
              </w:rPr>
            </w:pPr>
            <w:r>
              <w:rPr>
                <w:rFonts w:ascii="Arial" w:cs="Arial" w:eastAsia="Arial" w:hAnsi="Arial"/>
                <w:sz w:val="14"/>
                <w:szCs w:val="14"/>
                <w:color w:val="auto"/>
              </w:rPr>
              <w:t>5.7</w:t>
            </w:r>
          </w:p>
        </w:tc>
      </w:tr>
      <w:tr>
        <w:trPr>
          <w:trHeight w:val="173"/>
        </w:trPr>
        <w:tc>
          <w:tcPr>
            <w:tcW w:w="4340" w:type="dxa"/>
            <w:vAlign w:val="bottom"/>
            <w:gridSpan w:val="2"/>
          </w:tcPr>
          <w:p>
            <w:pPr>
              <w:spacing w:after="0"/>
              <w:rPr>
                <w:sz w:val="20"/>
                <w:szCs w:val="20"/>
                <w:color w:val="auto"/>
              </w:rPr>
            </w:pPr>
            <w:r>
              <w:rPr>
                <w:rFonts w:ascii="Arial" w:cs="Arial" w:eastAsia="Arial" w:hAnsi="Arial"/>
                <w:sz w:val="14"/>
                <w:szCs w:val="14"/>
                <w:color w:val="auto"/>
              </w:rPr>
              <w:t>BI</w:t>
            </w:r>
          </w:p>
        </w:tc>
        <w:tc>
          <w:tcPr>
            <w:tcW w:w="3440" w:type="dxa"/>
            <w:vAlign w:val="bottom"/>
            <w:gridSpan w:val="2"/>
          </w:tcPr>
          <w:p>
            <w:pPr>
              <w:jc w:val="center"/>
              <w:ind w:left="2832"/>
              <w:spacing w:after="0"/>
              <w:rPr>
                <w:sz w:val="20"/>
                <w:szCs w:val="20"/>
                <w:color w:val="auto"/>
              </w:rPr>
            </w:pPr>
            <w:r>
              <w:rPr>
                <w:rFonts w:ascii="Arial" w:cs="Arial" w:eastAsia="Arial" w:hAnsi="Arial"/>
                <w:sz w:val="14"/>
                <w:szCs w:val="14"/>
                <w:color w:val="auto"/>
                <w:w w:val="83"/>
              </w:rPr>
              <w:t>Preamble</w:t>
            </w:r>
          </w:p>
        </w:tc>
      </w:tr>
    </w:tbl>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w:t>
      </w:r>
    </w:p>
    <w:p>
      <w:pPr>
        <w:spacing w:after="0" w:line="12" w:lineRule="exact"/>
        <w:rPr>
          <w:sz w:val="20"/>
          <w:szCs w:val="20"/>
          <w:color w:val="auto"/>
        </w:rPr>
      </w:pPr>
    </w:p>
    <w:p>
      <w:pPr>
        <w:ind w:left="3840" w:right="2600" w:hanging="1135"/>
        <w:spacing w:after="0" w:line="341" w:lineRule="auto"/>
        <w:tabs>
          <w:tab w:leader="none" w:pos="2944" w:val="left"/>
        </w:tabs>
        <w:numPr>
          <w:ilvl w:val="0"/>
          <w:numId w:val="40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60"/>
          </w:cols>
          <w:pgMar w:left="220" w:top="247" w:right="319" w:bottom="1440" w:gutter="0" w:footer="0" w:header="0"/>
        </w:sectPr>
      </w:pPr>
    </w:p>
    <w:bookmarkStart w:id="470" w:name="page471"/>
    <w:bookmarkEnd w:id="470"/>
    <w:tbl>
      <w:tblPr>
        <w:tblLayout w:type="fixed"/>
        <w:tblInd w:w="620" w:type="dxa"/>
        <w:tblCellMar>
          <w:top w:w="0" w:type="dxa"/>
          <w:left w:w="0" w:type="dxa"/>
          <w:bottom w:w="0" w:type="dxa"/>
          <w:right w:w="0" w:type="dxa"/>
        </w:tblCellMar>
      </w:tblPr>
      <w:tr>
        <w:trPr>
          <w:trHeight w:val="146"/>
        </w:trPr>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6"/>
              </w:rPr>
              <w:t>Definition:</w:t>
            </w:r>
          </w:p>
        </w:tc>
        <w:tc>
          <w:tcPr>
            <w:tcW w:w="4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Section:</w:t>
            </w:r>
          </w:p>
        </w:tc>
      </w:tr>
      <w:tr>
        <w:trPr>
          <w:trHeight w:val="140"/>
        </w:trPr>
        <w:tc>
          <w:tcPr>
            <w:tcW w:w="4520" w:type="dxa"/>
            <w:vAlign w:val="bottom"/>
            <w:gridSpan w:val="2"/>
          </w:tcPr>
          <w:p>
            <w:pPr>
              <w:spacing w:after="0" w:line="141" w:lineRule="exact"/>
              <w:rPr>
                <w:sz w:val="20"/>
                <w:szCs w:val="20"/>
                <w:color w:val="auto"/>
              </w:rPr>
            </w:pPr>
            <w:r>
              <w:rPr>
                <w:rFonts w:ascii="Arial" w:cs="Arial" w:eastAsia="Arial" w:hAnsi="Arial"/>
                <w:sz w:val="14"/>
                <w:szCs w:val="14"/>
                <w:color w:val="auto"/>
              </w:rPr>
              <w:t>BI Indemnitees</w:t>
            </w:r>
          </w:p>
        </w:tc>
        <w:tc>
          <w:tcPr>
            <w:tcW w:w="2740" w:type="dxa"/>
            <w:vAlign w:val="bottom"/>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4"/>
                <w:szCs w:val="14"/>
                <w:color w:val="auto"/>
              </w:rPr>
              <w:t>9.5</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Clinical Development Plan</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4.2(a)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Co-Development Budget</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Co-Development Obligations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4.4(b)(i)</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Co-Development Product</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Commercialization Plan</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4.5(a)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Co-Promotion Option</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4.5(a)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CPI</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1.41</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Defaulting Party</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10.2(a)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Development Data Package</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Dispute</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11.1</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Effective Date</w:t>
            </w:r>
          </w:p>
        </w:tc>
        <w:tc>
          <w:tcPr>
            <w:tcW w:w="3260" w:type="dxa"/>
            <w:vAlign w:val="bottom"/>
            <w:gridSpan w:val="2"/>
          </w:tcPr>
          <w:p>
            <w:pPr>
              <w:jc w:val="center"/>
              <w:ind w:left="2672"/>
              <w:spacing w:after="0"/>
              <w:rPr>
                <w:sz w:val="20"/>
                <w:szCs w:val="20"/>
                <w:color w:val="auto"/>
              </w:rPr>
            </w:pPr>
            <w:r>
              <w:rPr>
                <w:rFonts w:ascii="Arial" w:cs="Arial" w:eastAsia="Arial" w:hAnsi="Arial"/>
                <w:sz w:val="14"/>
                <w:szCs w:val="14"/>
                <w:color w:val="auto"/>
                <w:w w:val="86"/>
              </w:rPr>
              <w:t>Preamble</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Excluded Claim</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11.2</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Extended Research Term</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3.1(c)</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IMS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1.42</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Initial Research Plans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3.1(b)</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Initiating Party</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7.5(d)</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Joint Counsel</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7.4(a)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Joint Counsel Patent Rights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7.4(a)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Joint Intellectual Property</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7.1(a)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Joint Know-How</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7.1(a)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Joint Patent Rights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7.1(a)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JDC</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2.3(b)(i)</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JRC</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2.3</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JSC</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2.2(a)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Lead Candidate Review Period</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3.4(c)</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M&amp;A Event</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12.7</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MacroGenics</w:t>
            </w:r>
          </w:p>
        </w:tc>
        <w:tc>
          <w:tcPr>
            <w:tcW w:w="3260" w:type="dxa"/>
            <w:vAlign w:val="bottom"/>
            <w:gridSpan w:val="2"/>
          </w:tcPr>
          <w:p>
            <w:pPr>
              <w:jc w:val="center"/>
              <w:ind w:left="2672"/>
              <w:spacing w:after="0"/>
              <w:rPr>
                <w:sz w:val="20"/>
                <w:szCs w:val="20"/>
                <w:color w:val="auto"/>
              </w:rPr>
            </w:pPr>
            <w:r>
              <w:rPr>
                <w:rFonts w:ascii="Arial" w:cs="Arial" w:eastAsia="Arial" w:hAnsi="Arial"/>
                <w:sz w:val="14"/>
                <w:szCs w:val="14"/>
                <w:color w:val="auto"/>
                <w:w w:val="86"/>
              </w:rPr>
              <w:t>Preamble</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MacroGenics Indemnitees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9.4</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MacroGenics Shared Percentage</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4.4(a)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Maintenance Payment</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6.3(a)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Materials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3.6</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Non-Defaulting Party</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10.2(a)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Project Leader</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2.1</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Records</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3.9(a)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Replacement Product</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6.4(a)</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Royalty Term</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6.6(b)</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SEC Filing</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8.4(c)</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SOPD Candidate Review Period</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3.5(b)</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Term</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10.1</w:t>
            </w:r>
          </w:p>
        </w:tc>
      </w:tr>
      <w:tr>
        <w:trPr>
          <w:trHeight w:val="173"/>
        </w:trPr>
        <w:tc>
          <w:tcPr>
            <w:tcW w:w="4520" w:type="dxa"/>
            <w:vAlign w:val="bottom"/>
            <w:gridSpan w:val="2"/>
          </w:tcPr>
          <w:p>
            <w:pPr>
              <w:spacing w:after="0"/>
              <w:rPr>
                <w:sz w:val="20"/>
                <w:szCs w:val="20"/>
                <w:color w:val="auto"/>
              </w:rPr>
            </w:pPr>
            <w:r>
              <w:rPr>
                <w:rFonts w:ascii="Arial" w:cs="Arial" w:eastAsia="Arial" w:hAnsi="Arial"/>
                <w:sz w:val="14"/>
                <w:szCs w:val="14"/>
                <w:color w:val="auto"/>
              </w:rPr>
              <w:t>Third Party Claim</w:t>
            </w:r>
          </w:p>
        </w:tc>
        <w:tc>
          <w:tcPr>
            <w:tcW w:w="3260" w:type="dxa"/>
            <w:vAlign w:val="bottom"/>
            <w:gridSpan w:val="2"/>
          </w:tcPr>
          <w:p>
            <w:pPr>
              <w:ind w:left="2740"/>
              <w:spacing w:after="0"/>
              <w:rPr>
                <w:sz w:val="20"/>
                <w:szCs w:val="20"/>
                <w:color w:val="auto"/>
              </w:rPr>
            </w:pPr>
            <w:r>
              <w:rPr>
                <w:rFonts w:ascii="Arial" w:cs="Arial" w:eastAsia="Arial" w:hAnsi="Arial"/>
                <w:sz w:val="14"/>
                <w:szCs w:val="14"/>
                <w:color w:val="auto"/>
              </w:rPr>
              <w:t>9.4</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15</w:t>
      </w:r>
    </w:p>
    <w:p>
      <w:pPr>
        <w:spacing w:after="0" w:line="12" w:lineRule="exact"/>
        <w:rPr>
          <w:sz w:val="20"/>
          <w:szCs w:val="20"/>
          <w:color w:val="auto"/>
        </w:rPr>
      </w:pPr>
    </w:p>
    <w:p>
      <w:pPr>
        <w:ind w:left="2620" w:right="1479" w:hanging="1135"/>
        <w:spacing w:after="0" w:line="341" w:lineRule="auto"/>
        <w:tabs>
          <w:tab w:leader="none" w:pos="1724" w:val="left"/>
        </w:tabs>
        <w:numPr>
          <w:ilvl w:val="0"/>
          <w:numId w:val="40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3" w:right="1440" w:bottom="1440" w:gutter="0" w:footer="0" w:header="0"/>
        </w:sectPr>
      </w:pPr>
    </w:p>
    <w:bookmarkStart w:id="471" w:name="page472"/>
    <w:bookmarkEnd w:id="47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GOVERNANCE</w:t>
      </w:r>
    </w:p>
    <w:p>
      <w:pPr>
        <w:spacing w:after="0" w:line="134" w:lineRule="exact"/>
        <w:rPr>
          <w:sz w:val="20"/>
          <w:szCs w:val="20"/>
          <w:color w:val="auto"/>
        </w:rPr>
      </w:pPr>
    </w:p>
    <w:p>
      <w:pPr>
        <w:ind w:firstLine="917"/>
        <w:spacing w:after="0" w:line="300"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Project Leaders</w:t>
      </w:r>
      <w:r>
        <w:rPr>
          <w:rFonts w:ascii="Arial" w:cs="Arial" w:eastAsia="Arial" w:hAnsi="Arial"/>
          <w:sz w:val="12"/>
          <w:szCs w:val="12"/>
          <w:color w:val="auto"/>
        </w:rPr>
        <w:t>. Within fifteen (15) Business Days after the Effective Date, each Party will appoint for each Program (and provide written notice to the other Party of the identity of) a senior representative having a general understanding of pharmaceutical discovery and development issues to act as its project leader under this Agreement (the “</w:t>
      </w:r>
      <w:r>
        <w:rPr>
          <w:rFonts w:ascii="Arial" w:cs="Arial" w:eastAsia="Arial" w:hAnsi="Arial"/>
          <w:sz w:val="12"/>
          <w:szCs w:val="12"/>
          <w:u w:val="single" w:color="auto"/>
          <w:color w:val="auto"/>
        </w:rPr>
        <w:t>Project Leader</w:t>
      </w:r>
      <w:r>
        <w:rPr>
          <w:rFonts w:ascii="Arial" w:cs="Arial" w:eastAsia="Arial" w:hAnsi="Arial"/>
          <w:sz w:val="12"/>
          <w:szCs w:val="12"/>
          <w:color w:val="auto"/>
        </w:rPr>
        <w:t>”). A Project Leader may support multiple ongoing Programs. The Project Leaders will serve as the contact point between the Parties, and will be primarily responsible for: (a) facilitating the flow of information and otherwise promoting communication, coordination of the day-to-day work and collaboration between the Parties with respect to a particular Research Plan; (b) providing single point communication for seeking consensus both internally within the respective Party’s organization; and (c) raising cross-Party and/or cross-functional disputes in a timely manner. The Project Leaders shall ensure regular biweekly telephone conferences or more frequently as deemed necessary or appropriate, to exchange informal information regarding the progress of the relevant Program. Each Party may change its designated Project Leader from time to time upon prior written notice to the other Party. Any Project Leader may designate a substitute to temporarily perform the functions of that Project Leader by prior written notice to the other Party.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Joint Steering Committee</w:t>
      </w:r>
      <w:r>
        <w:rPr>
          <w:rFonts w:ascii="Arial" w:cs="Arial" w:eastAsia="Arial" w:hAnsi="Arial"/>
          <w:sz w:val="14"/>
          <w:szCs w:val="14"/>
          <w:color w:val="auto"/>
        </w:rPr>
        <w:t>.</w:t>
      </w:r>
    </w:p>
    <w:p>
      <w:pPr>
        <w:spacing w:after="0" w:line="132" w:lineRule="exact"/>
        <w:rPr>
          <w:sz w:val="20"/>
          <w:szCs w:val="20"/>
          <w:color w:val="auto"/>
        </w:rPr>
      </w:pPr>
    </w:p>
    <w:p>
      <w:pPr>
        <w:ind w:right="40" w:firstLine="1493"/>
        <w:spacing w:after="0" w:line="299" w:lineRule="auto"/>
        <w:tabs>
          <w:tab w:leader="none" w:pos="1675" w:val="left"/>
        </w:tabs>
        <w:numPr>
          <w:ilvl w:val="1"/>
          <w:numId w:val="402"/>
        </w:numPr>
        <w:rPr>
          <w:rFonts w:ascii="Arial" w:cs="Arial" w:eastAsia="Arial" w:hAnsi="Arial"/>
          <w:sz w:val="12"/>
          <w:szCs w:val="12"/>
          <w:color w:val="auto"/>
        </w:rPr>
      </w:pP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steering committee (the “</w:t>
      </w:r>
      <w:r>
        <w:rPr>
          <w:rFonts w:ascii="Arial" w:cs="Arial" w:eastAsia="Arial" w:hAnsi="Arial"/>
          <w:sz w:val="12"/>
          <w:szCs w:val="12"/>
          <w:u w:val="single" w:color="auto"/>
          <w:color w:val="auto"/>
        </w:rPr>
        <w:t>JSC</w:t>
      </w:r>
      <w:r>
        <w:rPr>
          <w:rFonts w:ascii="Arial" w:cs="Arial" w:eastAsia="Arial" w:hAnsi="Arial"/>
          <w:sz w:val="12"/>
          <w:szCs w:val="12"/>
          <w:color w:val="auto"/>
        </w:rPr>
        <w:t xml:space="preserve">”). The JSC shall be comprised of three (3) named representatives of BI and three (3) named representatives of MacroGenics (or such other number as the Parties may agree). As soon as practicable after the Effective Date (but in no event more than fifteen (15) Business Days after the Effective Date), each Party shall designate by written notice to the other Party its initial representatives on the JSC. Each Party may replace one or more of its representatives, in its sole discretion, effective upon written notice to the other Party of such change. These representatives shall have appropriate technical credentials, experience and knowledge, and ongoing familiarity with the Programs. Either Party may, from time to time, invite additional representatives or consultants to attend JSC meetings;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at least ten (10) Business Days prior written notice is given of a Party’s intention to invite such other representatives or consultants and providing full details about the name, employer and professional background of such other representatives or consultants, and subject to such representative’s and consultant’s written agreement to comply with confidentiality obligations substantially the same as those set forth in ARTICLE VIII. Each Party shall bear its own expenses related to the attendance at JSC meetings by its representatives. The JSC shall be co-chaired by a representative from each Party. The chairpersons shall set the agendas for the JSC meeting in advance. The JSC shall be disbanded upon expiration of the Research Term.</w:t>
      </w:r>
    </w:p>
    <w:p>
      <w:pPr>
        <w:spacing w:after="0" w:line="254" w:lineRule="exact"/>
        <w:rPr>
          <w:rFonts w:ascii="Arial" w:cs="Arial" w:eastAsia="Arial" w:hAnsi="Arial"/>
          <w:sz w:val="12"/>
          <w:szCs w:val="12"/>
          <w:color w:val="auto"/>
        </w:rPr>
      </w:pPr>
    </w:p>
    <w:p>
      <w:pPr>
        <w:ind w:left="1680" w:hanging="187"/>
        <w:spacing w:after="0"/>
        <w:tabs>
          <w:tab w:leader="none" w:pos="1680" w:val="left"/>
        </w:tabs>
        <w:numPr>
          <w:ilvl w:val="1"/>
          <w:numId w:val="402"/>
        </w:numPr>
        <w:rPr>
          <w:rFonts w:ascii="Arial" w:cs="Arial" w:eastAsia="Arial" w:hAnsi="Arial"/>
          <w:sz w:val="12"/>
          <w:szCs w:val="12"/>
          <w:color w:val="auto"/>
        </w:rPr>
      </w:pPr>
      <w:r>
        <w:rPr>
          <w:rFonts w:ascii="Arial" w:cs="Arial" w:eastAsia="Arial" w:hAnsi="Arial"/>
          <w:sz w:val="12"/>
          <w:szCs w:val="12"/>
          <w:u w:val="single" w:color="auto"/>
          <w:color w:val="auto"/>
        </w:rPr>
        <w:t>Function and Powers of the JSC</w:t>
      </w:r>
      <w:r>
        <w:rPr>
          <w:rFonts w:ascii="Arial" w:cs="Arial" w:eastAsia="Arial" w:hAnsi="Arial"/>
          <w:sz w:val="12"/>
          <w:szCs w:val="12"/>
          <w:color w:val="auto"/>
        </w:rPr>
        <w:t>. During the Research Term, the JSC’s responsibilities shall include: (i) approving each Research Plan, RTP and any amendments thereto;</w:t>
      </w:r>
    </w:p>
    <w:p>
      <w:pPr>
        <w:spacing w:after="0" w:line="35" w:lineRule="exact"/>
        <w:rPr>
          <w:rFonts w:ascii="Arial" w:cs="Arial" w:eastAsia="Arial" w:hAnsi="Arial"/>
          <w:sz w:val="12"/>
          <w:szCs w:val="12"/>
          <w:color w:val="auto"/>
        </w:rPr>
      </w:pPr>
    </w:p>
    <w:p>
      <w:pPr>
        <w:ind w:right="360" w:firstLine="4"/>
        <w:spacing w:after="0" w:line="258" w:lineRule="auto"/>
        <w:tabs>
          <w:tab w:leader="none" w:pos="200" w:val="left"/>
        </w:tabs>
        <w:numPr>
          <w:ilvl w:val="0"/>
          <w:numId w:val="403"/>
        </w:numPr>
        <w:rPr>
          <w:rFonts w:ascii="Arial" w:cs="Arial" w:eastAsia="Arial" w:hAnsi="Arial"/>
          <w:sz w:val="14"/>
          <w:szCs w:val="14"/>
          <w:color w:val="auto"/>
        </w:rPr>
      </w:pPr>
      <w:r>
        <w:rPr>
          <w:rFonts w:ascii="Arial" w:cs="Arial" w:eastAsia="Arial" w:hAnsi="Arial"/>
          <w:sz w:val="14"/>
          <w:szCs w:val="14"/>
          <w:color w:val="auto"/>
        </w:rPr>
        <w:t>approving the *** Candidate Criteria; (iii) providing a forum for discussion of the Research Plan, RTP, the status of the Programs, and relevant data; (iv) reallocating resources within and/or among the Programs and the prioritization of Programs; (v) serving as a forum for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0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472" w:name="page473"/>
    <w:bookmarkEnd w:id="472"/>
    <w:p>
      <w:pPr>
        <w:ind w:right="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informal resolution of disagreements that may arise in the relation to the Parties activities under the Programs; (vi) determining and approving the overall strategy for publications and presentations pursuant to Sections 8.3 and 8.4; and (vii) considering and acting upon such other matters as specified in this Agreement.</w:t>
      </w:r>
    </w:p>
    <w:p>
      <w:pPr>
        <w:spacing w:after="0" w:line="101" w:lineRule="exact"/>
        <w:rPr>
          <w:sz w:val="20"/>
          <w:szCs w:val="20"/>
          <w:color w:val="auto"/>
        </w:rPr>
      </w:pPr>
    </w:p>
    <w:p>
      <w:pPr>
        <w:ind w:right="20" w:firstLine="917"/>
        <w:spacing w:after="0" w:line="305"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Subcommittees</w:t>
      </w:r>
      <w:r>
        <w:rPr>
          <w:rFonts w:ascii="Arial" w:cs="Arial" w:eastAsia="Arial" w:hAnsi="Arial"/>
          <w:sz w:val="12"/>
          <w:szCs w:val="12"/>
          <w:color w:val="auto"/>
        </w:rPr>
        <w:t>. The JSC may establish and disband such subcommittees as deemed necessary by the JSC. Each such subcommittee shall consist of the same number of representatives designated by each Party, which number shall be mutually agreed by the Parties. Each Party shall be free to change its representatives on written notice to the other Party or to send a substitute representative to any subcommittee meeting. Each Party’s representatives and any substitute for a representative shall be bound by the obligations of confidentiality set forth in ARTICLE VIII. Except as expressly provided in this Agreement, no subcommittee shall have the authority to bind the Parties hereunder and each subcommittee shall report to the JSC. The initial subcommittee of the JSC will be the Joint Research Committee (“</w:t>
      </w:r>
      <w:r>
        <w:rPr>
          <w:rFonts w:ascii="Arial" w:cs="Arial" w:eastAsia="Arial" w:hAnsi="Arial"/>
          <w:sz w:val="12"/>
          <w:szCs w:val="12"/>
          <w:u w:val="single" w:color="auto"/>
          <w:color w:val="auto"/>
        </w:rPr>
        <w:t>JRC</w:t>
      </w:r>
      <w:r>
        <w:rPr>
          <w:rFonts w:ascii="Arial" w:cs="Arial" w:eastAsia="Arial" w:hAnsi="Arial"/>
          <w:sz w:val="12"/>
          <w:szCs w:val="12"/>
          <w:color w:val="auto"/>
        </w:rPr>
        <w:t>”). The Parties may elect to establish a single JRC or may elect to establish a separate JRC for each Program.</w:t>
      </w:r>
    </w:p>
    <w:p>
      <w:pPr>
        <w:spacing w:after="0" w:line="84" w:lineRule="exact"/>
        <w:rPr>
          <w:sz w:val="20"/>
          <w:szCs w:val="20"/>
          <w:color w:val="auto"/>
        </w:rPr>
      </w:pPr>
    </w:p>
    <w:p>
      <w:pPr>
        <w:ind w:left="1680" w:hanging="187"/>
        <w:spacing w:after="0"/>
        <w:tabs>
          <w:tab w:leader="none" w:pos="1680" w:val="left"/>
        </w:tabs>
        <w:numPr>
          <w:ilvl w:val="0"/>
          <w:numId w:val="405"/>
        </w:numPr>
        <w:rPr>
          <w:rFonts w:ascii="Arial" w:cs="Arial" w:eastAsia="Arial" w:hAnsi="Arial"/>
          <w:sz w:val="14"/>
          <w:szCs w:val="14"/>
          <w:color w:val="auto"/>
        </w:rPr>
      </w:pPr>
      <w:r>
        <w:rPr>
          <w:rFonts w:ascii="Arial" w:cs="Arial" w:eastAsia="Arial" w:hAnsi="Arial"/>
          <w:sz w:val="14"/>
          <w:szCs w:val="14"/>
          <w:u w:val="single" w:color="auto"/>
          <w:color w:val="auto"/>
        </w:rPr>
        <w:t>Joint Research Committee</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1500" w:firstLine="392"/>
        <w:spacing w:after="0" w:line="298" w:lineRule="auto"/>
        <w:tabs>
          <w:tab w:leader="none" w:pos="2061" w:val="left"/>
        </w:tabs>
        <w:numPr>
          <w:ilvl w:val="1"/>
          <w:numId w:val="405"/>
        </w:numPr>
        <w:rPr>
          <w:rFonts w:ascii="Arial" w:cs="Arial" w:eastAsia="Arial" w:hAnsi="Arial"/>
          <w:sz w:val="12"/>
          <w:szCs w:val="12"/>
          <w:color w:val="auto"/>
        </w:rPr>
      </w:pPr>
      <w:r>
        <w:rPr>
          <w:rFonts w:ascii="Arial" w:cs="Arial" w:eastAsia="Arial" w:hAnsi="Arial"/>
          <w:sz w:val="12"/>
          <w:szCs w:val="12"/>
          <w:color w:val="auto"/>
        </w:rPr>
        <w:t xml:space="preserve">Promptly after the Effective Date, the Parties shall establish the JRC (or, if multiple JRCs are to be established, promptly after each Program commences). The JRC shall be comprised of three (3) named representatives of BI and three (3) named representatives of MacroGenics (or such other number as the Parties may agree). As soon as practicable after the establishment of the JRC, each Party shall designate by written notice to the other Party its initial representatives on the JRC. Each Party may replace one or more of its representatives, in its sole discretion, effective upon notice to the other Party of such change. These representatives shall have appropriate technical credentials, experience and knowledge, and ongoing familiarity with the relevant Program(s). Either party may, from time to time, invite additional representatives or consultants to attend JRC meetings;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at least ten (10) Business Days prior written notice is given of a Party’s intention to invite such other representatives or consultants and providing full details about the name, employer and professional background of such other representatives or consultants, and subject to such representative’s and consultant’s written agreement to comply with confidentiality obligations substantially the same as those set forth in ARTICLE VIII. Each Party shall bear its own expenses related to the attendance at JRC meetings by its representatives. The JRC shall be co-chaired by a representative of each Party. The chairpersons shall set the agendas for the JRC meeting in advance. The JRC shall be disbanded upon expiration of the Research Term.</w:t>
      </w:r>
    </w:p>
    <w:p>
      <w:pPr>
        <w:spacing w:after="0" w:line="192" w:lineRule="exact"/>
        <w:rPr>
          <w:rFonts w:ascii="Arial" w:cs="Arial" w:eastAsia="Arial" w:hAnsi="Arial"/>
          <w:sz w:val="12"/>
          <w:szCs w:val="12"/>
          <w:color w:val="auto"/>
        </w:rPr>
      </w:pPr>
    </w:p>
    <w:p>
      <w:pPr>
        <w:ind w:left="1500" w:firstLine="392"/>
        <w:spacing w:after="0" w:line="255" w:lineRule="auto"/>
        <w:tabs>
          <w:tab w:leader="none" w:pos="2099" w:val="left"/>
        </w:tabs>
        <w:numPr>
          <w:ilvl w:val="1"/>
          <w:numId w:val="405"/>
        </w:numPr>
        <w:rPr>
          <w:rFonts w:ascii="Arial" w:cs="Arial" w:eastAsia="Arial" w:hAnsi="Arial"/>
          <w:sz w:val="14"/>
          <w:szCs w:val="14"/>
          <w:color w:val="auto"/>
        </w:rPr>
      </w:pPr>
      <w:r>
        <w:rPr>
          <w:rFonts w:ascii="Arial" w:cs="Arial" w:eastAsia="Arial" w:hAnsi="Arial"/>
          <w:sz w:val="14"/>
          <w:szCs w:val="14"/>
          <w:color w:val="auto"/>
        </w:rPr>
        <w:t>During the Research Term, the JRC’s responsibilities shall include: (A) prioritizing research on Collaboration Targets; (B) developing the Research Plan, RTP and any amendments thereto for approval by the JSC; (C) establishing the *** Candidate Criteria for each Program; (D) reviewing and tracking the exchange and use of Materials pursuant to Section 3.6; (E) considering and advising on technical issues and issues of priority that arise in the conduct of the relevant Program(s); and (F) considering and acting upon such other matters as specified in this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12" w:lineRule="exact"/>
        <w:rPr>
          <w:sz w:val="20"/>
          <w:szCs w:val="20"/>
          <w:color w:val="auto"/>
        </w:rPr>
      </w:pPr>
    </w:p>
    <w:p>
      <w:pPr>
        <w:ind w:left="3840" w:right="2640" w:hanging="1135"/>
        <w:spacing w:after="0" w:line="341" w:lineRule="auto"/>
        <w:tabs>
          <w:tab w:leader="none" w:pos="2944" w:val="left"/>
        </w:tabs>
        <w:numPr>
          <w:ilvl w:val="0"/>
          <w:numId w:val="40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473" w:name="page474"/>
    <w:bookmarkEnd w:id="473"/>
    <w:p>
      <w:pPr>
        <w:ind w:left="1680" w:hanging="187"/>
        <w:spacing w:after="0"/>
        <w:tabs>
          <w:tab w:leader="none" w:pos="1680" w:val="left"/>
        </w:tabs>
        <w:numPr>
          <w:ilvl w:val="0"/>
          <w:numId w:val="40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Joint Development Committee.</w:t>
      </w:r>
    </w:p>
    <w:p>
      <w:pPr>
        <w:spacing w:after="0" w:line="69" w:lineRule="exact"/>
        <w:rPr>
          <w:sz w:val="20"/>
          <w:szCs w:val="20"/>
          <w:color w:val="auto"/>
        </w:rPr>
      </w:pPr>
    </w:p>
    <w:p>
      <w:pPr>
        <w:ind w:left="1500" w:firstLine="399"/>
        <w:spacing w:after="0" w:line="298" w:lineRule="auto"/>
        <w:rPr>
          <w:sz w:val="20"/>
          <w:szCs w:val="20"/>
          <w:color w:val="auto"/>
        </w:rPr>
      </w:pPr>
      <w:r>
        <w:rPr>
          <w:rFonts w:ascii="Arial" w:cs="Arial" w:eastAsia="Arial" w:hAnsi="Arial"/>
          <w:sz w:val="12"/>
          <w:szCs w:val="12"/>
          <w:color w:val="auto"/>
        </w:rPr>
        <w:t>(i)***, the Parties will establish the Joint Development Committee (“</w:t>
      </w:r>
      <w:r>
        <w:rPr>
          <w:rFonts w:ascii="Arial" w:cs="Arial" w:eastAsia="Arial" w:hAnsi="Arial"/>
          <w:sz w:val="12"/>
          <w:szCs w:val="12"/>
          <w:u w:val="single" w:color="auto"/>
          <w:color w:val="auto"/>
        </w:rPr>
        <w:t>JDC</w:t>
      </w:r>
      <w:r>
        <w:rPr>
          <w:rFonts w:ascii="Arial" w:cs="Arial" w:eastAsia="Arial" w:hAnsi="Arial"/>
          <w:sz w:val="12"/>
          <w:szCs w:val="12"/>
          <w:color w:val="auto"/>
        </w:rPr>
        <w:t xml:space="preserve">”) and each Party shall designate by written notice to the other Party its initial representatives on the JDC. The JDC shall be comprised of two (2) named representatives of BI and two (2) named representatives of MacroGenics (or such other number as the Parties may agree). Each Party may replace one or more of its representatives, in its sole discretion, effective upon written notice to the other Party of such change. These representatives shall have appropriate technical credentials, experience and knowledge, and ongoing familiarity with the relevant Program(s). Either Party may, from time to time, invite additional representatives or consultants to attend JDC meetings;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at least ten (10) Business Days prior written notice is given of a Party’s intention to invite such other representatives or consultants and providing full details about the name, employer and professional background of such other representatives or consultants, and subject to such representative’s and consultant’s written agreement to comply with confidentiality obligations substantially the same as those set forth in ARTICLE VIII. Each Party shall bear its own expenses related to the attendance at JDC meetings by its representatives. The JDC shall be co-chaired by a representative of each Party. The chairpersons shall set the agendas for the JDC meeting in advance. The JDC shall be disbanded upon completion of the relevant ***.</w:t>
      </w:r>
    </w:p>
    <w:p>
      <w:pPr>
        <w:spacing w:after="0" w:line="25" w:lineRule="exact"/>
        <w:rPr>
          <w:sz w:val="20"/>
          <w:szCs w:val="20"/>
          <w:color w:val="auto"/>
        </w:rPr>
      </w:pPr>
    </w:p>
    <w:p>
      <w:pPr>
        <w:ind w:left="1500" w:right="240" w:firstLine="392"/>
        <w:spacing w:after="0" w:line="267" w:lineRule="auto"/>
        <w:tabs>
          <w:tab w:leader="none" w:pos="2099" w:val="left"/>
        </w:tabs>
        <w:numPr>
          <w:ilvl w:val="0"/>
          <w:numId w:val="408"/>
        </w:numPr>
        <w:rPr>
          <w:rFonts w:ascii="Arial" w:cs="Arial" w:eastAsia="Arial" w:hAnsi="Arial"/>
          <w:sz w:val="14"/>
          <w:szCs w:val="14"/>
          <w:color w:val="auto"/>
        </w:rPr>
      </w:pPr>
      <w:r>
        <w:rPr>
          <w:rFonts w:ascii="Arial" w:cs="Arial" w:eastAsia="Arial" w:hAnsi="Arial"/>
          <w:sz w:val="14"/>
          <w:szCs w:val="14"/>
          <w:color w:val="auto"/>
        </w:rPr>
        <w:t>The JDC’s responsibilities shall include coordinating activities related to the *** in accordance with Section 4.3 and considering and acting upon such other matters as specified in this Agreement.</w:t>
      </w:r>
    </w:p>
    <w:p>
      <w:pPr>
        <w:spacing w:after="0" w:line="101" w:lineRule="exact"/>
        <w:rPr>
          <w:sz w:val="20"/>
          <w:szCs w:val="20"/>
          <w:color w:val="auto"/>
        </w:rPr>
      </w:pPr>
    </w:p>
    <w:p>
      <w:pPr>
        <w:ind w:right="20" w:firstLine="917"/>
        <w:spacing w:after="0" w:line="300"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Meetings</w:t>
      </w:r>
      <w:r>
        <w:rPr>
          <w:rFonts w:ascii="Arial" w:cs="Arial" w:eastAsia="Arial" w:hAnsi="Arial"/>
          <w:sz w:val="12"/>
          <w:szCs w:val="12"/>
          <w:color w:val="auto"/>
        </w:rPr>
        <w:t xml:space="preserve">. Commencing in the fourth Calendar Quarter of 2010, the JSC shall hold at least *** per Calendar Year and each of the subcommittees shall each hold at least one (1) meeting per Calendar Quarter. Either Party shall be entitled to request any additional meetings of the JSC. Meetings of the JSC and the subcommittees, respectively, shall be effective only if at least two (2) representative of each Party are present or participating. The location of meetings shall be as agreed by the Parties, and may be held in person, alternating locations between the Parties, or by telephone conference call or by videoconference;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at least *** of the JSC and each subcommittee per Calendar Year are held in person. Each Party shall be responsible for all of its own expenses incurred in connection with preparing for and participating in all such meetings. Within ten (10) Business Days prior to each scheduled meeting, the Parties shall, in accordance with Section 3.9(b), provide a report to the JSC or JRC (in each case as applicable) detailing its progress with respect to the respective Programs. The Parties will rotate the responsibility for recording, preparing and issuing minutes for each JSC, and any subcommittee within fifteen (15) Business Days thereafter.</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Decision-making</w:t>
      </w:r>
      <w:r>
        <w:rPr>
          <w:rFonts w:ascii="Arial" w:cs="Arial" w:eastAsia="Arial" w:hAnsi="Arial"/>
          <w:sz w:val="14"/>
          <w:szCs w:val="14"/>
          <w:color w:val="auto"/>
        </w:rPr>
        <w:t>.</w:t>
      </w:r>
    </w:p>
    <w:p>
      <w:pPr>
        <w:spacing w:after="0" w:line="132" w:lineRule="exact"/>
        <w:rPr>
          <w:sz w:val="20"/>
          <w:szCs w:val="20"/>
          <w:color w:val="auto"/>
        </w:rPr>
      </w:pPr>
    </w:p>
    <w:p>
      <w:pPr>
        <w:jc w:val="both"/>
        <w:ind w:right="120" w:firstLine="1493"/>
        <w:spacing w:after="0" w:line="321" w:lineRule="auto"/>
        <w:tabs>
          <w:tab w:leader="none" w:pos="1675" w:val="left"/>
        </w:tabs>
        <w:numPr>
          <w:ilvl w:val="0"/>
          <w:numId w:val="409"/>
        </w:numPr>
        <w:rPr>
          <w:rFonts w:ascii="Arial" w:cs="Arial" w:eastAsia="Arial" w:hAnsi="Arial"/>
          <w:sz w:val="12"/>
          <w:szCs w:val="12"/>
          <w:color w:val="auto"/>
        </w:rPr>
      </w:pPr>
      <w:r>
        <w:rPr>
          <w:rFonts w:ascii="Arial" w:cs="Arial" w:eastAsia="Arial" w:hAnsi="Arial"/>
          <w:sz w:val="12"/>
          <w:szCs w:val="12"/>
          <w:u w:val="single" w:color="auto"/>
          <w:color w:val="auto"/>
        </w:rPr>
        <w:t>Initial Dispute Resolution Procedures</w:t>
      </w:r>
      <w:r>
        <w:rPr>
          <w:rFonts w:ascii="Arial" w:cs="Arial" w:eastAsia="Arial" w:hAnsi="Arial"/>
          <w:sz w:val="12"/>
          <w:szCs w:val="12"/>
          <w:color w:val="auto"/>
        </w:rPr>
        <w:t xml:space="preserve">. Subject to the provisions of this Section 2.5, actions to be taken by the JSC and each of the subcommittees shall be taken only following a unanimous vote, with each Party, through its representatives, having one (1) vote. If any subcommittee fails to reach unanimous agreement on a matter before it for decision </w:t>
      </w:r>
      <w:r>
        <w:rPr>
          <w:rFonts w:ascii="Arial" w:cs="Arial" w:eastAsia="Arial" w:hAnsi="Arial"/>
          <w:sz w:val="12"/>
          <w:szCs w:val="12"/>
          <w:b w:val="1"/>
          <w:bCs w:val="1"/>
          <w:color w:val="auto"/>
        </w:rPr>
        <w:t>***</w:t>
      </w:r>
      <w:r>
        <w:rPr>
          <w:rFonts w:ascii="Arial" w:cs="Arial" w:eastAsia="Arial" w:hAnsi="Arial"/>
          <w:sz w:val="12"/>
          <w:szCs w:val="12"/>
          <w:color w:val="auto"/>
        </w:rPr>
        <w:t xml:space="preserve">, the matter shall be referred to the JSC unless the JSC has been disbanded, in which case such matter shall be referred to </w:t>
      </w:r>
      <w:r>
        <w:rPr>
          <w:rFonts w:ascii="Arial" w:cs="Arial" w:eastAsia="Arial" w:hAnsi="Arial"/>
          <w:sz w:val="12"/>
          <w:szCs w:val="12"/>
          <w:b w:val="1"/>
          <w:bCs w:val="1"/>
          <w:color w:val="auto"/>
        </w:rPr>
        <w:t>***</w:t>
      </w:r>
      <w:r>
        <w:rPr>
          <w:rFonts w:ascii="Arial" w:cs="Arial" w:eastAsia="Arial" w:hAnsi="Arial"/>
          <w:sz w:val="12"/>
          <w:szCs w:val="12"/>
          <w:color w:val="auto"/>
        </w:rPr>
        <w:t xml:space="preserve"> MacroGenics and </w:t>
      </w:r>
      <w:r>
        <w:rPr>
          <w:rFonts w:ascii="Arial" w:cs="Arial" w:eastAsia="Arial" w:hAnsi="Arial"/>
          <w:sz w:val="12"/>
          <w:szCs w:val="12"/>
          <w:b w:val="1"/>
          <w:bCs w:val="1"/>
          <w:color w:val="auto"/>
        </w:rPr>
        <w:t>***</w:t>
      </w:r>
      <w:r>
        <w:rPr>
          <w:rFonts w:ascii="Arial" w:cs="Arial" w:eastAsia="Arial" w:hAnsi="Arial"/>
          <w:sz w:val="12"/>
          <w:szCs w:val="12"/>
          <w:color w:val="auto"/>
        </w:rPr>
        <w:t xml:space="preserve"> of BI for resolution in accordance with Section 2.5(b).</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12" w:lineRule="exact"/>
        <w:rPr>
          <w:sz w:val="20"/>
          <w:szCs w:val="20"/>
          <w:color w:val="auto"/>
        </w:rPr>
      </w:pPr>
    </w:p>
    <w:p>
      <w:pPr>
        <w:ind w:left="3840" w:right="2640" w:hanging="1135"/>
        <w:spacing w:after="0" w:line="341" w:lineRule="auto"/>
        <w:tabs>
          <w:tab w:leader="none" w:pos="2944" w:val="left"/>
        </w:tabs>
        <w:numPr>
          <w:ilvl w:val="0"/>
          <w:numId w:val="41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474" w:name="page475"/>
    <w:bookmarkEnd w:id="474"/>
    <w:p>
      <w:pPr>
        <w:ind w:right="280" w:firstLine="1493"/>
        <w:spacing w:after="0" w:line="259" w:lineRule="auto"/>
        <w:tabs>
          <w:tab w:leader="none" w:pos="1682" w:val="left"/>
        </w:tabs>
        <w:numPr>
          <w:ilvl w:val="0"/>
          <w:numId w:val="41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Referral of Unresolved Matters to Executives</w:t>
      </w:r>
      <w:r>
        <w:rPr>
          <w:rFonts w:ascii="Arial" w:cs="Arial" w:eastAsia="Arial" w:hAnsi="Arial"/>
          <w:sz w:val="14"/>
          <w:szCs w:val="14"/>
          <w:color w:val="auto"/>
        </w:rPr>
        <w:t xml:space="preserve">. If, in accordance with Section 2.5(a), the JSC does not resolve any matter considered by it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matter is first considered by it, the matter may be referred by either Party to the *** of MacroGenics and *** of BI to be resolved by negotiation in good faith as soon as practicable but in no event </w:t>
      </w:r>
      <w:r>
        <w:rPr>
          <w:rFonts w:ascii="Arial" w:cs="Arial" w:eastAsia="Arial" w:hAnsi="Arial"/>
          <w:sz w:val="14"/>
          <w:szCs w:val="14"/>
          <w:b w:val="1"/>
          <w:bCs w:val="1"/>
          <w:color w:val="auto"/>
        </w:rPr>
        <w:t>***</w:t>
      </w:r>
      <w:r>
        <w:rPr>
          <w:rFonts w:ascii="Arial" w:cs="Arial" w:eastAsia="Arial" w:hAnsi="Arial"/>
          <w:sz w:val="14"/>
          <w:szCs w:val="14"/>
          <w:color w:val="auto"/>
        </w:rPr>
        <w:t xml:space="preserve"> after referral. Such resolution, if any, of a referred issue by the </w:t>
      </w:r>
      <w:r>
        <w:rPr>
          <w:rFonts w:ascii="Arial" w:cs="Arial" w:eastAsia="Arial" w:hAnsi="Arial"/>
          <w:sz w:val="14"/>
          <w:szCs w:val="14"/>
          <w:b w:val="1"/>
          <w:bCs w:val="1"/>
          <w:color w:val="auto"/>
        </w:rPr>
        <w:t>***</w:t>
      </w:r>
      <w:r>
        <w:rPr>
          <w:rFonts w:ascii="Arial" w:cs="Arial" w:eastAsia="Arial" w:hAnsi="Arial"/>
          <w:sz w:val="14"/>
          <w:szCs w:val="14"/>
          <w:color w:val="auto"/>
        </w:rPr>
        <w:t xml:space="preserve"> and </w:t>
      </w:r>
      <w:r>
        <w:rPr>
          <w:rFonts w:ascii="Arial" w:cs="Arial" w:eastAsia="Arial" w:hAnsi="Arial"/>
          <w:sz w:val="14"/>
          <w:szCs w:val="14"/>
          <w:b w:val="1"/>
          <w:bCs w:val="1"/>
          <w:color w:val="auto"/>
        </w:rPr>
        <w:t>***</w:t>
      </w:r>
      <w:r>
        <w:rPr>
          <w:rFonts w:ascii="Arial" w:cs="Arial" w:eastAsia="Arial" w:hAnsi="Arial"/>
          <w:sz w:val="14"/>
          <w:szCs w:val="14"/>
          <w:color w:val="auto"/>
        </w:rPr>
        <w:t xml:space="preserve"> shall be final and binding on the Parties.</w:t>
      </w:r>
    </w:p>
    <w:p>
      <w:pPr>
        <w:spacing w:after="0" w:line="105" w:lineRule="exact"/>
        <w:rPr>
          <w:rFonts w:ascii="Arial" w:cs="Arial" w:eastAsia="Arial" w:hAnsi="Arial"/>
          <w:sz w:val="14"/>
          <w:szCs w:val="14"/>
          <w:color w:val="auto"/>
        </w:rPr>
      </w:pPr>
    </w:p>
    <w:p>
      <w:pPr>
        <w:ind w:right="180" w:firstLine="1493"/>
        <w:spacing w:after="0" w:line="270" w:lineRule="auto"/>
        <w:tabs>
          <w:tab w:leader="none" w:pos="1675" w:val="left"/>
        </w:tabs>
        <w:numPr>
          <w:ilvl w:val="0"/>
          <w:numId w:val="411"/>
        </w:numPr>
        <w:rPr>
          <w:rFonts w:ascii="Arial" w:cs="Arial" w:eastAsia="Arial" w:hAnsi="Arial"/>
          <w:sz w:val="14"/>
          <w:szCs w:val="14"/>
          <w:color w:val="auto"/>
        </w:rPr>
      </w:pPr>
      <w:r>
        <w:rPr>
          <w:rFonts w:ascii="Arial" w:cs="Arial" w:eastAsia="Arial" w:hAnsi="Arial"/>
          <w:sz w:val="14"/>
          <w:szCs w:val="14"/>
          <w:u w:val="single" w:color="auto"/>
          <w:color w:val="auto"/>
        </w:rPr>
        <w:t>Final Decision-Making</w:t>
      </w:r>
      <w:r>
        <w:rPr>
          <w:rFonts w:ascii="Arial" w:cs="Arial" w:eastAsia="Arial" w:hAnsi="Arial"/>
          <w:sz w:val="14"/>
          <w:szCs w:val="14"/>
          <w:color w:val="auto"/>
        </w:rPr>
        <w:t xml:space="preserve">. If a dispute referred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and </w:t>
      </w:r>
      <w:r>
        <w:rPr>
          <w:rFonts w:ascii="Arial" w:cs="Arial" w:eastAsia="Arial" w:hAnsi="Arial"/>
          <w:sz w:val="14"/>
          <w:szCs w:val="14"/>
          <w:b w:val="1"/>
          <w:bCs w:val="1"/>
          <w:color w:val="auto"/>
        </w:rPr>
        <w:t>***</w:t>
      </w:r>
      <w:r>
        <w:rPr>
          <w:rFonts w:ascii="Arial" w:cs="Arial" w:eastAsia="Arial" w:hAnsi="Arial"/>
          <w:sz w:val="14"/>
          <w:szCs w:val="14"/>
          <w:color w:val="auto"/>
        </w:rPr>
        <w:t xml:space="preserve"> has not been resolved in accordance with Section 2.5(b), then, subject to Section 2.5(d), </w:t>
      </w:r>
      <w:r>
        <w:rPr>
          <w:rFonts w:ascii="Arial" w:cs="Arial" w:eastAsia="Arial" w:hAnsi="Arial"/>
          <w:sz w:val="14"/>
          <w:szCs w:val="14"/>
          <w:b w:val="1"/>
          <w:bCs w:val="1"/>
          <w:color w:val="auto"/>
        </w:rPr>
        <w:t>***</w:t>
      </w:r>
      <w:r>
        <w:rPr>
          <w:rFonts w:ascii="Arial" w:cs="Arial" w:eastAsia="Arial" w:hAnsi="Arial"/>
          <w:sz w:val="14"/>
          <w:szCs w:val="14"/>
          <w:color w:val="auto"/>
        </w:rPr>
        <w:t xml:space="preserve"> ***. Any *** under this Section 2.5(c) shall be deemed a decision of the JSC for purposes of this Agreement.</w:t>
      </w:r>
    </w:p>
    <w:p>
      <w:pPr>
        <w:spacing w:after="0" w:line="97" w:lineRule="exact"/>
        <w:rPr>
          <w:rFonts w:ascii="Arial" w:cs="Arial" w:eastAsia="Arial" w:hAnsi="Arial"/>
          <w:sz w:val="14"/>
          <w:szCs w:val="14"/>
          <w:color w:val="auto"/>
        </w:rPr>
      </w:pPr>
    </w:p>
    <w:p>
      <w:pPr>
        <w:ind w:firstLine="1493"/>
        <w:spacing w:after="0" w:line="303" w:lineRule="auto"/>
        <w:tabs>
          <w:tab w:leader="none" w:pos="1682" w:val="left"/>
        </w:tabs>
        <w:numPr>
          <w:ilvl w:val="0"/>
          <w:numId w:val="411"/>
        </w:numPr>
        <w:rPr>
          <w:rFonts w:ascii="Arial" w:cs="Arial" w:eastAsia="Arial" w:hAnsi="Arial"/>
          <w:sz w:val="12"/>
          <w:szCs w:val="12"/>
          <w:color w:val="auto"/>
        </w:rPr>
      </w:pPr>
      <w:r>
        <w:rPr>
          <w:rFonts w:ascii="Arial" w:cs="Arial" w:eastAsia="Arial" w:hAnsi="Arial"/>
          <w:sz w:val="12"/>
          <w:szCs w:val="12"/>
          <w:u w:val="single" w:color="auto"/>
          <w:color w:val="auto"/>
        </w:rPr>
        <w:t>Exceptions</w:t>
      </w:r>
      <w:r>
        <w:rPr>
          <w:rFonts w:ascii="Arial" w:cs="Arial" w:eastAsia="Arial" w:hAnsi="Arial"/>
          <w:sz w:val="12"/>
          <w:szCs w:val="12"/>
          <w:color w:val="auto"/>
        </w:rPr>
        <w:t xml:space="preserve">. Notwithstanding Section 2.5(c), </w:t>
      </w:r>
      <w:r>
        <w:rPr>
          <w:rFonts w:ascii="Arial" w:cs="Arial" w:eastAsia="Arial" w:hAnsi="Arial"/>
          <w:sz w:val="12"/>
          <w:szCs w:val="12"/>
          <w:b w:val="1"/>
          <w:bCs w:val="1"/>
          <w:color w:val="auto"/>
        </w:rPr>
        <w:t>***</w:t>
      </w:r>
      <w:r>
        <w:rPr>
          <w:rFonts w:ascii="Arial" w:cs="Arial" w:eastAsia="Arial" w:hAnsi="Arial"/>
          <w:sz w:val="12"/>
          <w:szCs w:val="12"/>
          <w:color w:val="auto"/>
        </w:rPr>
        <w:t xml:space="preserve"> to exercise such decision-making authority (i) ***; (ii) in a manner that excuses BI from any of its obligations specifically enumerated under this Agreement, (iii) in a manner that negates any consent rights or other rights specifically allocated to MacroGenics under this Agreement; (iv) to resolve any dispute regarding whether a milestone event set forth in Section 6.4 has been achieved; (v) in a manner that would require MacroGenics to perform activities (A) for which BI *** (except as expressly set forth in this Agreement); (B) which MacroGenics has not agreed to perform as set forth in this Agreement or an Initial Research Plan, or as otherwise agreed in writing by MacroGenics; or (C) which require MacroGenics to use any Know-How or other technology not contemplated in an Initial Research Plan and that are not developed internally by MacroGenics; (vi) *** or (vii) in a manner that would require MacroGenics to perform any act that it reasonably believes to be inconsistent with any Law or any approval, order, policy, guidelines of a Regulatory Authority or ethical requirements or ethical guidelines.</w:t>
      </w:r>
    </w:p>
    <w:p>
      <w:pPr>
        <w:spacing w:after="0" w:line="85" w:lineRule="exact"/>
        <w:rPr>
          <w:sz w:val="20"/>
          <w:szCs w:val="20"/>
          <w:color w:val="auto"/>
        </w:rPr>
      </w:pPr>
    </w:p>
    <w:p>
      <w:pPr>
        <w:ind w:right="200" w:firstLine="917"/>
        <w:spacing w:after="0" w:line="255"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Limitations on JSC Authority</w:t>
      </w:r>
      <w:r>
        <w:rPr>
          <w:rFonts w:ascii="Arial" w:cs="Arial" w:eastAsia="Arial" w:hAnsi="Arial"/>
          <w:sz w:val="14"/>
          <w:szCs w:val="14"/>
          <w:color w:val="auto"/>
        </w:rPr>
        <w:t>. The JSC and any subcommittee shall have only the powers assigned expressly to it in this ARTICLE II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any subcommittee unless such delegation or vesting of rights is expressly provided for in this Agreement or the Parties expressly so agree in writing.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RESEARCH PROGRAM</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132" w:lineRule="exact"/>
        <w:rPr>
          <w:sz w:val="20"/>
          <w:szCs w:val="20"/>
          <w:color w:val="auto"/>
        </w:rPr>
      </w:pPr>
    </w:p>
    <w:p>
      <w:pPr>
        <w:ind w:right="20" w:firstLine="1493"/>
        <w:spacing w:after="0" w:line="267" w:lineRule="auto"/>
        <w:tabs>
          <w:tab w:leader="none" w:pos="1675" w:val="left"/>
        </w:tabs>
        <w:numPr>
          <w:ilvl w:val="0"/>
          <w:numId w:val="412"/>
        </w:numPr>
        <w:rPr>
          <w:rFonts w:ascii="Arial" w:cs="Arial" w:eastAsia="Arial" w:hAnsi="Arial"/>
          <w:sz w:val="14"/>
          <w:szCs w:val="14"/>
          <w:color w:val="auto"/>
        </w:rPr>
      </w:pPr>
      <w:r>
        <w:rPr>
          <w:rFonts w:ascii="Arial" w:cs="Arial" w:eastAsia="Arial" w:hAnsi="Arial"/>
          <w:sz w:val="14"/>
          <w:szCs w:val="14"/>
          <w:u w:val="single" w:color="auto"/>
          <w:color w:val="auto"/>
        </w:rPr>
        <w:t>Objectives</w:t>
      </w:r>
      <w:r>
        <w:rPr>
          <w:rFonts w:ascii="Arial" w:cs="Arial" w:eastAsia="Arial" w:hAnsi="Arial"/>
          <w:sz w:val="14"/>
          <w:szCs w:val="14"/>
          <w:color w:val="auto"/>
        </w:rPr>
        <w:t>. The initial objective of each Program is to develop Collaboration DARTs Directed to a specific Collaboration Target and to Develop such Collaborative DARTs to meet the SOPD Candidate Criteria and being declared SOPD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1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475" w:name="page476"/>
    <w:bookmarkEnd w:id="475"/>
    <w:p>
      <w:pPr>
        <w:jc w:val="both"/>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Candidates. The Parties may also agree to collaborate on additional exploratory projects related to the Programs. Up to ten (10) Programs shall be undertaken through the generation of Lead Candidates meeting RTP criteria and eventually SOPD Candidate Criteria under this Agreement. For each Collaboration DART that is deemed an SOPD Candidate, BI shall, in accordance with ARTICLE IV, have full responsibility for further Development, manufacture and Commercialization activities.</w:t>
      </w:r>
    </w:p>
    <w:p>
      <w:pPr>
        <w:spacing w:after="0" w:line="108" w:lineRule="exact"/>
        <w:rPr>
          <w:sz w:val="20"/>
          <w:szCs w:val="20"/>
          <w:color w:val="auto"/>
        </w:rPr>
      </w:pPr>
    </w:p>
    <w:p>
      <w:pPr>
        <w:ind w:right="160" w:firstLine="1493"/>
        <w:spacing w:after="0" w:line="258" w:lineRule="auto"/>
        <w:tabs>
          <w:tab w:leader="none" w:pos="1682" w:val="left"/>
        </w:tabs>
        <w:numPr>
          <w:ilvl w:val="1"/>
          <w:numId w:val="414"/>
        </w:numPr>
        <w:rPr>
          <w:rFonts w:ascii="Arial" w:cs="Arial" w:eastAsia="Arial" w:hAnsi="Arial"/>
          <w:sz w:val="14"/>
          <w:szCs w:val="14"/>
          <w:color w:val="auto"/>
        </w:rPr>
      </w:pPr>
      <w:r>
        <w:rPr>
          <w:rFonts w:ascii="Arial" w:cs="Arial" w:eastAsia="Arial" w:hAnsi="Arial"/>
          <w:sz w:val="14"/>
          <w:szCs w:val="14"/>
          <w:u w:val="single" w:color="auto"/>
          <w:color w:val="auto"/>
        </w:rPr>
        <w:t>Research Plans</w:t>
      </w:r>
      <w:r>
        <w:rPr>
          <w:rFonts w:ascii="Arial" w:cs="Arial" w:eastAsia="Arial" w:hAnsi="Arial"/>
          <w:sz w:val="14"/>
          <w:szCs w:val="14"/>
          <w:color w:val="auto"/>
        </w:rPr>
        <w:t xml:space="preserve">. The Parties shall agree to a Research Plan for each Program and shall conduct each Program in accordance with the applicable Research Plan. The Parties shall agree to </w:t>
      </w:r>
      <w:r>
        <w:rPr>
          <w:rFonts w:ascii="Arial" w:cs="Arial" w:eastAsia="Arial" w:hAnsi="Arial"/>
          <w:sz w:val="14"/>
          <w:szCs w:val="14"/>
          <w:b w:val="1"/>
          <w:bCs w:val="1"/>
          <w:color w:val="auto"/>
        </w:rPr>
        <w:t>***</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Initial Research Plans</w:t>
      </w:r>
      <w:r>
        <w:rPr>
          <w:rFonts w:ascii="Arial" w:cs="Arial" w:eastAsia="Arial" w:hAnsi="Arial"/>
          <w:sz w:val="14"/>
          <w:szCs w:val="14"/>
          <w:color w:val="auto"/>
        </w:rPr>
        <w:t xml:space="preserve">”), which Initial Research Plans shall include </w:t>
      </w:r>
      <w:r>
        <w:rPr>
          <w:rFonts w:ascii="Arial" w:cs="Arial" w:eastAsia="Arial" w:hAnsi="Arial"/>
          <w:sz w:val="14"/>
          <w:szCs w:val="14"/>
          <w:b w:val="1"/>
          <w:bCs w:val="1"/>
          <w:color w:val="auto"/>
        </w:rPr>
        <w:t>***</w:t>
      </w:r>
      <w:r>
        <w:rPr>
          <w:rFonts w:ascii="Arial" w:cs="Arial" w:eastAsia="Arial" w:hAnsi="Arial"/>
          <w:sz w:val="14"/>
          <w:szCs w:val="14"/>
          <w:color w:val="auto"/>
        </w:rPr>
        <w:t>Collaboration Targets and shall set forth the tasks to be undertaken by the Parties (including relevant technology to be used and Materials (as defined below) to be provided) under each Program.</w:t>
      </w:r>
    </w:p>
    <w:p>
      <w:pPr>
        <w:spacing w:after="0" w:line="107" w:lineRule="exact"/>
        <w:rPr>
          <w:rFonts w:ascii="Arial" w:cs="Arial" w:eastAsia="Arial" w:hAnsi="Arial"/>
          <w:sz w:val="14"/>
          <w:szCs w:val="14"/>
          <w:color w:val="auto"/>
        </w:rPr>
      </w:pPr>
    </w:p>
    <w:p>
      <w:pPr>
        <w:ind w:left="1680" w:hanging="187"/>
        <w:spacing w:after="0"/>
        <w:tabs>
          <w:tab w:leader="none" w:pos="1680" w:val="left"/>
        </w:tabs>
        <w:numPr>
          <w:ilvl w:val="1"/>
          <w:numId w:val="414"/>
        </w:numPr>
        <w:rPr>
          <w:rFonts w:ascii="Arial" w:cs="Arial" w:eastAsia="Arial" w:hAnsi="Arial"/>
          <w:sz w:val="12"/>
          <w:szCs w:val="12"/>
          <w:color w:val="auto"/>
        </w:rPr>
      </w:pPr>
      <w:r>
        <w:rPr>
          <w:rFonts w:ascii="Arial" w:cs="Arial" w:eastAsia="Arial" w:hAnsi="Arial"/>
          <w:sz w:val="12"/>
          <w:szCs w:val="12"/>
          <w:u w:val="single" w:color="auto"/>
          <w:color w:val="auto"/>
        </w:rPr>
        <w:t>Extended Research Term</w:t>
      </w:r>
      <w:r>
        <w:rPr>
          <w:rFonts w:ascii="Arial" w:cs="Arial" w:eastAsia="Arial" w:hAnsi="Arial"/>
          <w:sz w:val="12"/>
          <w:szCs w:val="12"/>
          <w:color w:val="auto"/>
        </w:rPr>
        <w:t>. In the event that BI reasonably believes that the Parties will not complete the activities under the Research Plan for any Program initiated during the first</w:t>
      </w:r>
    </w:p>
    <w:p>
      <w:pPr>
        <w:spacing w:after="0" w:line="35" w:lineRule="exact"/>
        <w:rPr>
          <w:rFonts w:ascii="Arial" w:cs="Arial" w:eastAsia="Arial" w:hAnsi="Arial"/>
          <w:sz w:val="12"/>
          <w:szCs w:val="12"/>
          <w:color w:val="auto"/>
        </w:rPr>
      </w:pPr>
    </w:p>
    <w:p>
      <w:pPr>
        <w:jc w:val="both"/>
        <w:ind w:right="140" w:firstLine="4"/>
        <w:spacing w:after="0" w:line="307" w:lineRule="auto"/>
        <w:tabs>
          <w:tab w:leader="none" w:pos="238" w:val="left"/>
        </w:tabs>
        <w:numPr>
          <w:ilvl w:val="0"/>
          <w:numId w:val="414"/>
        </w:numPr>
        <w:rPr>
          <w:rFonts w:ascii="Arial" w:cs="Arial" w:eastAsia="Arial" w:hAnsi="Arial"/>
          <w:sz w:val="12"/>
          <w:szCs w:val="12"/>
          <w:b w:val="1"/>
          <w:bCs w:val="1"/>
          <w:color w:val="auto"/>
        </w:rPr>
      </w:pPr>
      <w:r>
        <w:rPr>
          <w:rFonts w:ascii="Arial" w:cs="Arial" w:eastAsia="Arial" w:hAnsi="Arial"/>
          <w:sz w:val="12"/>
          <w:szCs w:val="12"/>
          <w:color w:val="auto"/>
        </w:rPr>
        <w:t xml:space="preserve">of the Initial Research Term, then BI, at its sole discretion, may extend the Research Term to complete the goals of such Research Plan as then in effect for a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(the “</w:t>
      </w:r>
      <w:r>
        <w:rPr>
          <w:rFonts w:ascii="Arial" w:cs="Arial" w:eastAsia="Arial" w:hAnsi="Arial"/>
          <w:sz w:val="12"/>
          <w:szCs w:val="12"/>
          <w:u w:val="single" w:color="auto"/>
          <w:color w:val="auto"/>
        </w:rPr>
        <w:t>Extended Research Term</w:t>
      </w:r>
      <w:r>
        <w:rPr>
          <w:rFonts w:ascii="Arial" w:cs="Arial" w:eastAsia="Arial" w:hAnsi="Arial"/>
          <w:sz w:val="12"/>
          <w:szCs w:val="12"/>
          <w:color w:val="auto"/>
        </w:rPr>
        <w:t xml:space="preserve">”) from the expiration of the Initial Research Term. BI may extend the Research Term by giving written notice to MacroGenics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the expiration of the Initial Research Term. The Parties shall mutually agree upon the number of FTEs at MacroGenics needed to perform the research during the Extended Research Term and BI shall provide funding for such FTEs in accordance with Section 6.3(b)(ii). The Parties may further prolong the Extended Research Term by mutual written agreement of the Parties.</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Selection of Collaboration Targets</w:t>
      </w:r>
      <w:r>
        <w:rPr>
          <w:rFonts w:ascii="Arial" w:cs="Arial" w:eastAsia="Arial" w:hAnsi="Arial"/>
          <w:sz w:val="14"/>
          <w:szCs w:val="14"/>
          <w:color w:val="auto"/>
        </w:rPr>
        <w: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Initial Collaboration Targets</w:t>
      </w:r>
      <w:r>
        <w:rPr>
          <w:rFonts w:ascii="Arial" w:cs="Arial" w:eastAsia="Arial" w:hAnsi="Arial"/>
          <w:sz w:val="12"/>
          <w:szCs w:val="12"/>
          <w:color w:val="auto"/>
        </w:rPr>
        <w:t>. As of the Effective Date the Parties have agreed to include the Initial Collaboration Targets set forth on Schedule 1.47 as Collaboration Targets under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this Agreement.</w:t>
      </w:r>
    </w:p>
    <w:p>
      <w:pPr>
        <w:spacing w:after="0" w:line="126" w:lineRule="exact"/>
        <w:rPr>
          <w:sz w:val="20"/>
          <w:szCs w:val="20"/>
          <w:color w:val="auto"/>
        </w:rPr>
      </w:pPr>
    </w:p>
    <w:p>
      <w:pPr>
        <w:ind w:right="100" w:firstLine="1493"/>
        <w:spacing w:after="0" w:line="253" w:lineRule="auto"/>
        <w:tabs>
          <w:tab w:leader="none" w:pos="1682" w:val="left"/>
        </w:tabs>
        <w:numPr>
          <w:ilvl w:val="1"/>
          <w:numId w:val="415"/>
        </w:numPr>
        <w:rPr>
          <w:rFonts w:ascii="Arial" w:cs="Arial" w:eastAsia="Arial" w:hAnsi="Arial"/>
          <w:sz w:val="14"/>
          <w:szCs w:val="14"/>
          <w:color w:val="auto"/>
        </w:rPr>
      </w:pPr>
      <w:r>
        <w:rPr>
          <w:rFonts w:ascii="Arial" w:cs="Arial" w:eastAsia="Arial" w:hAnsi="Arial"/>
          <w:sz w:val="14"/>
          <w:szCs w:val="14"/>
          <w:u w:val="single" w:color="auto"/>
          <w:color w:val="auto"/>
        </w:rPr>
        <w:t>Additional Collaboration Targets</w:t>
      </w:r>
      <w:r>
        <w:rPr>
          <w:rFonts w:ascii="Arial" w:cs="Arial" w:eastAsia="Arial" w:hAnsi="Arial"/>
          <w:sz w:val="14"/>
          <w:szCs w:val="14"/>
          <w:color w:val="auto"/>
        </w:rPr>
        <w:t xml:space="preserve">. Within *** from the Effective Date, BI may submit in writing to MacroGenics additional Dual Target Combinations (which must be accompanied by the Entrez Gene ID, HUGO or official symbol and any common synonyms, if available, for each Target included in such Dual Target Combination) which BI in good faith wishes to include as Collaboration Targets;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there be more than *** Collaboration Targets at any time during the Research Term. For purposes of clarity, BI shall have the right to substitute Collaboration Targets in accordance with Section 3.2(d). MacroGenics shall, subject to Section 3.2(c), provide BI written notice of whether any such additional Dual Target Combinations shall be included as Collaboration Targets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Business Days after receipt of notice of such additional Dual Target Combinations.</w:t>
      </w:r>
    </w:p>
    <w:p>
      <w:pPr>
        <w:spacing w:after="0" w:line="112" w:lineRule="exact"/>
        <w:rPr>
          <w:rFonts w:ascii="Arial" w:cs="Arial" w:eastAsia="Arial" w:hAnsi="Arial"/>
          <w:sz w:val="14"/>
          <w:szCs w:val="14"/>
          <w:color w:val="auto"/>
        </w:rPr>
      </w:pPr>
    </w:p>
    <w:p>
      <w:pPr>
        <w:ind w:right="60" w:firstLine="1493"/>
        <w:spacing w:after="0" w:line="295" w:lineRule="auto"/>
        <w:tabs>
          <w:tab w:leader="none" w:pos="1675" w:val="left"/>
        </w:tabs>
        <w:numPr>
          <w:ilvl w:val="1"/>
          <w:numId w:val="415"/>
        </w:numPr>
        <w:rPr>
          <w:rFonts w:ascii="Arial" w:cs="Arial" w:eastAsia="Arial" w:hAnsi="Arial"/>
          <w:sz w:val="12"/>
          <w:szCs w:val="12"/>
          <w:color w:val="auto"/>
        </w:rPr>
      </w:pPr>
      <w:r>
        <w:rPr>
          <w:rFonts w:ascii="Arial" w:cs="Arial" w:eastAsia="Arial" w:hAnsi="Arial"/>
          <w:sz w:val="12"/>
          <w:szCs w:val="12"/>
          <w:u w:val="single" w:color="auto"/>
          <w:color w:val="auto"/>
        </w:rPr>
        <w:t>Limitation on MacroGenics Rejection of Proposed Collaboration Targets</w:t>
      </w:r>
      <w:r>
        <w:rPr>
          <w:rFonts w:ascii="Arial" w:cs="Arial" w:eastAsia="Arial" w:hAnsi="Arial"/>
          <w:sz w:val="12"/>
          <w:szCs w:val="12"/>
          <w:color w:val="auto"/>
        </w:rPr>
        <w:t>. MacroGenics may reject a proposed Dual Target Combination submitted by BI in accordance with Section 3.2(b) only if prior to BI’s submission of such proposed Dual Target Combination: (i) *** in such proposed Dual Target Combination (but only if such Target is included in a written list of no more than</w:t>
      </w:r>
    </w:p>
    <w:p>
      <w:pPr>
        <w:ind w:left="240" w:hanging="236"/>
        <w:spacing w:after="0"/>
        <w:tabs>
          <w:tab w:leader="none" w:pos="240" w:val="left"/>
        </w:tabs>
        <w:numPr>
          <w:ilvl w:val="0"/>
          <w:numId w:val="415"/>
        </w:numPr>
        <w:rPr>
          <w:rFonts w:ascii="Arial" w:cs="Arial" w:eastAsia="Arial" w:hAnsi="Arial"/>
          <w:sz w:val="14"/>
          <w:szCs w:val="14"/>
          <w:b w:val="1"/>
          <w:bCs w:val="1"/>
          <w:color w:val="auto"/>
        </w:rPr>
      </w:pPr>
      <w:r>
        <w:rPr>
          <w:rFonts w:ascii="Arial" w:cs="Arial" w:eastAsia="Arial" w:hAnsi="Arial"/>
          <w:sz w:val="14"/>
          <w:szCs w:val="14"/>
          <w:color w:val="auto"/>
        </w:rPr>
        <w:t>Targets (which must be accompanied by the Entrez</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1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476" w:name="page477"/>
    <w:bookmarkEnd w:id="476"/>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Gene ID, HUGO or official symbol and any common synonyms, if available, for each Target) provided by MacroGenics to a Third Party gatekeeper that is mutually acceptable to MacroGenics and BI prior to the Effective Date and which is subject to *** of such list for each </w:t>
      </w:r>
      <w:r>
        <w:rPr>
          <w:rFonts w:ascii="Arial" w:cs="Arial" w:eastAsia="Arial" w:hAnsi="Arial"/>
          <w:sz w:val="12"/>
          <w:szCs w:val="12"/>
          <w:b w:val="1"/>
          <w:bCs w:val="1"/>
          <w:color w:val="auto"/>
        </w:rPr>
        <w:t>***</w:t>
      </w:r>
      <w:r>
        <w:rPr>
          <w:rFonts w:ascii="Arial" w:cs="Arial" w:eastAsia="Arial" w:hAnsi="Arial"/>
          <w:sz w:val="12"/>
          <w:szCs w:val="12"/>
          <w:color w:val="auto"/>
        </w:rPr>
        <w:t xml:space="preserve"> not to exceed </w:t>
      </w:r>
      <w:r>
        <w:rPr>
          <w:rFonts w:ascii="Arial" w:cs="Arial" w:eastAsia="Arial" w:hAnsi="Arial"/>
          <w:sz w:val="12"/>
          <w:szCs w:val="12"/>
          <w:b w:val="1"/>
          <w:bCs w:val="1"/>
          <w:color w:val="auto"/>
        </w:rPr>
        <w:t>***</w:t>
      </w:r>
      <w:r>
        <w:rPr>
          <w:rFonts w:ascii="Arial" w:cs="Arial" w:eastAsia="Arial" w:hAnsi="Arial"/>
          <w:sz w:val="12"/>
          <w:szCs w:val="12"/>
          <w:color w:val="auto"/>
        </w:rPr>
        <w:t xml:space="preserve">Targets in total at any given time, by MacroGenics and which is shared prior to the end of each </w:t>
      </w:r>
      <w:r>
        <w:rPr>
          <w:rFonts w:ascii="Arial" w:cs="Arial" w:eastAsia="Arial" w:hAnsi="Arial"/>
          <w:sz w:val="12"/>
          <w:szCs w:val="12"/>
          <w:b w:val="1"/>
          <w:bCs w:val="1"/>
          <w:color w:val="auto"/>
        </w:rPr>
        <w:t>***</w:t>
      </w:r>
      <w:r>
        <w:rPr>
          <w:rFonts w:ascii="Arial" w:cs="Arial" w:eastAsia="Arial" w:hAnsi="Arial"/>
          <w:sz w:val="12"/>
          <w:szCs w:val="12"/>
          <w:color w:val="auto"/>
        </w:rPr>
        <w:t xml:space="preserve"> with such Third Party gatekeeper),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under this clause (i) MacroGenics will not reject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Dual Target Combinations in the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after the Effective Date and each consecutive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thereafter;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BI shall *** under this Section 3.2(c) unless mutually agreed to by the Parties; (ii) MacroGenics or its Affiliates have entered into an agreement with a Third Party pursuant to which MacroGenics or its Affiliates have committed any *** included in such *** to such Third Party; or (iii) MacroGenics is in good faith active partnering discussions with a Third Party *** included in such *** (as supported by written evidence *** BI’s submission of any Dual Target Combination according to Section 3.2(b))), and in each case (i), (ii) and (iii), MacroGenics shall provide BI with written documentation on the reason for its rejection of any proposed *** included in MacroGenics’ Target list and BI shall be entitled to confirm any such rejection under clause (i) directly with a Third Party gatekeeper to the then current MacroGenics Target list;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MacroGenics shall not be required to provide any written documentation or other disclosure that would violate its confidentiality obligations to a Third Party.</w:t>
      </w:r>
    </w:p>
    <w:p>
      <w:pPr>
        <w:spacing w:after="0" w:line="87" w:lineRule="exact"/>
        <w:rPr>
          <w:sz w:val="20"/>
          <w:szCs w:val="20"/>
          <w:color w:val="auto"/>
        </w:rPr>
      </w:pPr>
    </w:p>
    <w:p>
      <w:pPr>
        <w:ind w:right="60" w:firstLine="1493"/>
        <w:spacing w:after="0" w:line="302" w:lineRule="auto"/>
        <w:tabs>
          <w:tab w:leader="none" w:pos="1682" w:val="left"/>
        </w:tabs>
        <w:numPr>
          <w:ilvl w:val="0"/>
          <w:numId w:val="417"/>
        </w:numPr>
        <w:rPr>
          <w:rFonts w:ascii="Arial" w:cs="Arial" w:eastAsia="Arial" w:hAnsi="Arial"/>
          <w:sz w:val="12"/>
          <w:szCs w:val="12"/>
          <w:color w:val="auto"/>
        </w:rPr>
      </w:pPr>
      <w:r>
        <w:rPr>
          <w:rFonts w:ascii="Arial" w:cs="Arial" w:eastAsia="Arial" w:hAnsi="Arial"/>
          <w:sz w:val="12"/>
          <w:szCs w:val="12"/>
          <w:u w:val="single" w:color="auto"/>
          <w:color w:val="auto"/>
        </w:rPr>
        <w:t>Removal of Collaboration Targets from Collaboration Targets List</w:t>
      </w:r>
      <w:r>
        <w:rPr>
          <w:rFonts w:ascii="Arial" w:cs="Arial" w:eastAsia="Arial" w:hAnsi="Arial"/>
          <w:sz w:val="12"/>
          <w:szCs w:val="12"/>
          <w:color w:val="auto"/>
        </w:rPr>
        <w:t xml:space="preserve">. At any time during the Initial Research Term, BI may remove a Collaboration Target from the Collaboration Targets List (i) prior to the Parties commencing activities under a Research Plan with respect to such Collaboration Target or (ii) at any time after commencing research under the Research Plan with respect to a Collaboration Target in the event that BI reasonably and in good faith concludes that a Collaboration DART can not meet the applicable RTP. In the event of the removal of a Dual Target Combination from the Collaboration Targets List in accordance with this Section 3.2(d)(ii), (A) such removal shall be treated as a *** with respect to the Program for such Collaboration Target; and (B) BI may submit an additional replacement Dual Target Combination to MacroGenics in accordance with Section 3.2(b). Notwithstanding the foregoing, in no event shall the cumulative number of Collaboration Targets pursued under this Agreement by the Parties (including any Collaboration Targets that are removed from the Collaboration Targets List pursuant to this Section 3.2(d)(i) or (ii)) exceed </w:t>
      </w:r>
      <w:r>
        <w:rPr>
          <w:rFonts w:ascii="Arial" w:cs="Arial" w:eastAsia="Arial" w:hAnsi="Arial"/>
          <w:sz w:val="12"/>
          <w:szCs w:val="12"/>
          <w:b w:val="1"/>
          <w:bCs w:val="1"/>
          <w:color w:val="auto"/>
        </w:rPr>
        <w:t>***</w:t>
      </w:r>
      <w:r>
        <w:rPr>
          <w:rFonts w:ascii="Arial" w:cs="Arial" w:eastAsia="Arial" w:hAnsi="Arial"/>
          <w:sz w:val="12"/>
          <w:szCs w:val="12"/>
          <w:color w:val="auto"/>
        </w:rPr>
        <w:t xml:space="preserve"> unless mutually agreed by the Parties.</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Conduct of the Programs</w:t>
      </w:r>
      <w:r>
        <w:rPr>
          <w:rFonts w:ascii="Arial" w:cs="Arial" w:eastAsia="Arial" w:hAnsi="Arial"/>
          <w:sz w:val="14"/>
          <w:szCs w:val="14"/>
          <w:color w:val="auto"/>
        </w:rPr>
        <w:t>.</w:t>
      </w:r>
    </w:p>
    <w:p>
      <w:pPr>
        <w:spacing w:after="0" w:line="132" w:lineRule="exact"/>
        <w:rPr>
          <w:sz w:val="20"/>
          <w:szCs w:val="20"/>
          <w:color w:val="auto"/>
        </w:rPr>
      </w:pPr>
    </w:p>
    <w:p>
      <w:pPr>
        <w:ind w:left="1680" w:hanging="187"/>
        <w:spacing w:after="0"/>
        <w:tabs>
          <w:tab w:leader="none" w:pos="1680" w:val="left"/>
        </w:tabs>
        <w:numPr>
          <w:ilvl w:val="0"/>
          <w:numId w:val="418"/>
        </w:numPr>
        <w:rPr>
          <w:rFonts w:ascii="Arial" w:cs="Arial" w:eastAsia="Arial" w:hAnsi="Arial"/>
          <w:sz w:val="12"/>
          <w:szCs w:val="12"/>
          <w:color w:val="auto"/>
        </w:rPr>
      </w:pPr>
      <w:r>
        <w:rPr>
          <w:rFonts w:ascii="Arial" w:cs="Arial" w:eastAsia="Arial" w:hAnsi="Arial"/>
          <w:sz w:val="12"/>
          <w:szCs w:val="12"/>
          <w:color w:val="auto"/>
        </w:rPr>
        <w:t>MacroGenics and BI shall each use Commercially Reasonable Efforts to conduct each Program in good scientific manner and in accordance with the applicable Research Plan.</w:t>
      </w:r>
    </w:p>
    <w:p>
      <w:pPr>
        <w:spacing w:after="0" w:line="154" w:lineRule="exact"/>
        <w:rPr>
          <w:rFonts w:ascii="Arial" w:cs="Arial" w:eastAsia="Arial" w:hAnsi="Arial"/>
          <w:sz w:val="12"/>
          <w:szCs w:val="12"/>
          <w:color w:val="auto"/>
        </w:rPr>
      </w:pPr>
    </w:p>
    <w:p>
      <w:pPr>
        <w:ind w:right="80" w:firstLine="1493"/>
        <w:spacing w:after="0" w:line="267" w:lineRule="auto"/>
        <w:tabs>
          <w:tab w:leader="none" w:pos="1682" w:val="left"/>
        </w:tabs>
        <w:numPr>
          <w:ilvl w:val="0"/>
          <w:numId w:val="418"/>
        </w:numPr>
        <w:rPr>
          <w:rFonts w:ascii="Arial" w:cs="Arial" w:eastAsia="Arial" w:hAnsi="Arial"/>
          <w:sz w:val="14"/>
          <w:szCs w:val="14"/>
          <w:color w:val="auto"/>
        </w:rPr>
      </w:pPr>
      <w:r>
        <w:rPr>
          <w:rFonts w:ascii="Arial" w:cs="Arial" w:eastAsia="Arial" w:hAnsi="Arial"/>
          <w:sz w:val="14"/>
          <w:szCs w:val="14"/>
          <w:color w:val="auto"/>
        </w:rPr>
        <w:t>Either Party shall have the right to utilize the services of a Third Party to perform its Program obligations under the Research Plan. Each Party shall remain at all times fully liable for its responsibilities under each Program and this Agreement.</w:t>
      </w:r>
    </w:p>
    <w:p>
      <w:pPr>
        <w:spacing w:after="0" w:line="101" w:lineRule="exact"/>
        <w:rPr>
          <w:rFonts w:ascii="Arial" w:cs="Arial" w:eastAsia="Arial" w:hAnsi="Arial"/>
          <w:sz w:val="14"/>
          <w:szCs w:val="14"/>
          <w:color w:val="auto"/>
        </w:rPr>
      </w:pPr>
    </w:p>
    <w:p>
      <w:pPr>
        <w:ind w:right="40" w:firstLine="1493"/>
        <w:spacing w:after="0" w:line="258" w:lineRule="auto"/>
        <w:tabs>
          <w:tab w:leader="none" w:pos="1675" w:val="left"/>
        </w:tabs>
        <w:numPr>
          <w:ilvl w:val="0"/>
          <w:numId w:val="418"/>
        </w:numPr>
        <w:rPr>
          <w:rFonts w:ascii="Arial" w:cs="Arial" w:eastAsia="Arial" w:hAnsi="Arial"/>
          <w:sz w:val="14"/>
          <w:szCs w:val="14"/>
          <w:color w:val="auto"/>
        </w:rPr>
      </w:pPr>
      <w:r>
        <w:rPr>
          <w:rFonts w:ascii="Arial" w:cs="Arial" w:eastAsia="Arial" w:hAnsi="Arial"/>
          <w:sz w:val="14"/>
          <w:szCs w:val="14"/>
          <w:color w:val="auto"/>
        </w:rPr>
        <w:t>MacroGenics and BI shall conduct each Program in accordance with all applicable Laws, including, all current governmental regulatory requirements concerning Good Laboratory Practices. To the best of its knowledge, each Party hereby certifies that it will not employ or otherwise use in any capacity the services of any person debarred under 21 USC §335a in performing any activities hereunder.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1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77" w:name="page478"/>
    <w:bookmarkEnd w:id="477"/>
    <w:p>
      <w:pPr>
        <w:ind w:left="91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3.4 </w:t>
      </w:r>
      <w:r>
        <w:rPr>
          <w:rFonts w:ascii="Arial" w:cs="Arial" w:eastAsia="Arial" w:hAnsi="Arial"/>
          <w:sz w:val="14"/>
          <w:szCs w:val="14"/>
          <w:u w:val="single" w:color="auto"/>
          <w:color w:val="auto"/>
        </w:rPr>
        <w:t>Research Target Profile; Lead Candidate Identification</w:t>
      </w:r>
      <w:r>
        <w:rPr>
          <w:rFonts w:ascii="Arial" w:cs="Arial" w:eastAsia="Arial" w:hAnsi="Arial"/>
          <w:sz w:val="14"/>
          <w:szCs w:val="14"/>
          <w:color w:val="auto"/>
        </w:rPr>
        <w:t>.</w:t>
      </w:r>
    </w:p>
    <w:p>
      <w:pPr>
        <w:spacing w:after="0" w:line="132" w:lineRule="exact"/>
        <w:rPr>
          <w:sz w:val="20"/>
          <w:szCs w:val="20"/>
          <w:color w:val="auto"/>
        </w:rPr>
      </w:pPr>
    </w:p>
    <w:p>
      <w:pPr>
        <w:ind w:left="-4" w:right="40" w:firstLine="1493"/>
        <w:spacing w:after="0" w:line="267" w:lineRule="auto"/>
        <w:tabs>
          <w:tab w:leader="none" w:pos="1671" w:val="left"/>
        </w:tabs>
        <w:numPr>
          <w:ilvl w:val="1"/>
          <w:numId w:val="420"/>
        </w:numPr>
        <w:rPr>
          <w:rFonts w:ascii="Arial" w:cs="Arial" w:eastAsia="Arial" w:hAnsi="Arial"/>
          <w:sz w:val="14"/>
          <w:szCs w:val="14"/>
          <w:color w:val="auto"/>
        </w:rPr>
      </w:pPr>
      <w:r>
        <w:rPr>
          <w:rFonts w:ascii="Arial" w:cs="Arial" w:eastAsia="Arial" w:hAnsi="Arial"/>
          <w:sz w:val="14"/>
          <w:szCs w:val="14"/>
          <w:color w:val="auto"/>
        </w:rPr>
        <w:t xml:space="preserve">The Research Plan for a Program shall set forth the applicable RTP for Collaboration DARTs in such Program. The JRC shall develop, and the JSC shall approve, such RTP based on the template provided in </w:t>
      </w:r>
      <w:r>
        <w:rPr>
          <w:rFonts w:ascii="Arial" w:cs="Arial" w:eastAsia="Arial" w:hAnsi="Arial"/>
          <w:sz w:val="14"/>
          <w:szCs w:val="14"/>
          <w:u w:val="single" w:color="auto"/>
          <w:color w:val="auto"/>
        </w:rPr>
        <w:t>Schedule 1.77</w:t>
      </w:r>
      <w:r>
        <w:rPr>
          <w:rFonts w:ascii="Arial" w:cs="Arial" w:eastAsia="Arial" w:hAnsi="Arial"/>
          <w:sz w:val="14"/>
          <w:szCs w:val="14"/>
          <w:color w:val="auto"/>
        </w:rPr>
        <w:t xml:space="preserve"> *** (as agreed by JSC)” in </w:t>
      </w:r>
      <w:r>
        <w:rPr>
          <w:rFonts w:ascii="Arial" w:cs="Arial" w:eastAsia="Arial" w:hAnsi="Arial"/>
          <w:sz w:val="14"/>
          <w:szCs w:val="14"/>
          <w:u w:val="single" w:color="auto"/>
          <w:color w:val="auto"/>
        </w:rPr>
        <w:t>Schedule 1.77</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left="-4" w:right="40" w:firstLine="1493"/>
        <w:spacing w:after="0" w:line="293" w:lineRule="auto"/>
        <w:tabs>
          <w:tab w:leader="none" w:pos="1679" w:val="left"/>
        </w:tabs>
        <w:numPr>
          <w:ilvl w:val="1"/>
          <w:numId w:val="420"/>
        </w:numPr>
        <w:rPr>
          <w:rFonts w:ascii="Arial" w:cs="Arial" w:eastAsia="Arial" w:hAnsi="Arial"/>
          <w:sz w:val="12"/>
          <w:szCs w:val="12"/>
          <w:color w:val="auto"/>
        </w:rPr>
      </w:pPr>
      <w:r>
        <w:rPr>
          <w:rFonts w:ascii="Arial" w:cs="Arial" w:eastAsia="Arial" w:hAnsi="Arial"/>
          <w:sz w:val="12"/>
          <w:szCs w:val="12"/>
          <w:color w:val="auto"/>
        </w:rPr>
        <w:t xml:space="preserve">Following approval of the RTP for a Program, the JRC may, from time to time during the Research Term, nominate a Collaboration DART from such Program that meets the RTP for consideration as a Lead Candidate. For each such nominated Collaboration DART the JRC shall prepare and deliver to BI a data package for BI to evaluate. Such data package shall include the results from all tests and other measures included in the RTP.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delivery to BI of such data package, BI shall provide MacroGenics written notice whether BI (i) accepts such Collaboration DART as a Lead Candidate and intends to continue the relevant Program for such Lead Candidate in accordance with the terms of this Agreement, in which case such Collaboration DART shall be deemed a Lead Candidate;</w:t>
      </w:r>
    </w:p>
    <w:p>
      <w:pPr>
        <w:ind w:left="-4" w:firstLine="4"/>
        <w:spacing w:after="0" w:line="253" w:lineRule="auto"/>
        <w:tabs>
          <w:tab w:leader="none" w:pos="196" w:val="left"/>
        </w:tabs>
        <w:numPr>
          <w:ilvl w:val="0"/>
          <w:numId w:val="421"/>
        </w:numPr>
        <w:rPr>
          <w:rFonts w:ascii="Arial" w:cs="Arial" w:eastAsia="Arial" w:hAnsi="Arial"/>
          <w:sz w:val="14"/>
          <w:szCs w:val="14"/>
          <w:color w:val="auto"/>
        </w:rPr>
      </w:pPr>
      <w:r>
        <w:rPr>
          <w:rFonts w:ascii="Arial" w:cs="Arial" w:eastAsia="Arial" w:hAnsi="Arial"/>
          <w:sz w:val="14"/>
          <w:szCs w:val="14"/>
          <w:color w:val="auto"/>
        </w:rPr>
        <w:t>does not accept such Collaboration DART as a Lead Candidate, but either desires to continue evaluation of such Collaboration DART in accordance with subsection (c) or continue the relevant Program with respect to other Collaboration DARTs; or (iii) does not accept such Collaboration DART as a Lead Candidate and does not desire to continue the relevant Program, in which case this Agreement shall terminate with respect to such Program and such termination shall be treated as a termination under Section 10.2(b).</w:t>
      </w:r>
    </w:p>
    <w:p>
      <w:pPr>
        <w:spacing w:after="0" w:line="109" w:lineRule="exact"/>
        <w:rPr>
          <w:rFonts w:ascii="Arial" w:cs="Arial" w:eastAsia="Arial" w:hAnsi="Arial"/>
          <w:sz w:val="14"/>
          <w:szCs w:val="14"/>
          <w:color w:val="auto"/>
        </w:rPr>
      </w:pPr>
    </w:p>
    <w:p>
      <w:pPr>
        <w:ind w:left="-4" w:right="40" w:firstLine="1493"/>
        <w:spacing w:after="0" w:line="303" w:lineRule="auto"/>
        <w:tabs>
          <w:tab w:leader="none" w:pos="1671" w:val="left"/>
        </w:tabs>
        <w:numPr>
          <w:ilvl w:val="1"/>
          <w:numId w:val="421"/>
        </w:numPr>
        <w:rPr>
          <w:rFonts w:ascii="Arial" w:cs="Arial" w:eastAsia="Arial" w:hAnsi="Arial"/>
          <w:sz w:val="12"/>
          <w:szCs w:val="12"/>
          <w:color w:val="auto"/>
        </w:rPr>
      </w:pPr>
      <w:r>
        <w:rPr>
          <w:rFonts w:ascii="Arial" w:cs="Arial" w:eastAsia="Arial" w:hAnsi="Arial"/>
          <w:sz w:val="12"/>
          <w:szCs w:val="12"/>
          <w:color w:val="auto"/>
        </w:rPr>
        <w:t xml:space="preserve">If a Collaboration DART that has achieved the Lead Candidate Criteria is not accepted by BI as a Lead Candidate in accordance with Section 3.4(b), then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Lead</w:t>
      </w:r>
      <w:r>
        <w:rPr>
          <w:rFonts w:ascii="Arial" w:cs="Arial" w:eastAsia="Arial" w:hAnsi="Arial"/>
          <w:sz w:val="12"/>
          <w:szCs w:val="12"/>
          <w:color w:val="auto"/>
        </w:rPr>
        <w:t xml:space="preserve"> </w:t>
      </w:r>
      <w:r>
        <w:rPr>
          <w:rFonts w:ascii="Arial" w:cs="Arial" w:eastAsia="Arial" w:hAnsi="Arial"/>
          <w:sz w:val="12"/>
          <w:szCs w:val="12"/>
          <w:u w:val="single" w:color="auto"/>
          <w:color w:val="auto"/>
        </w:rPr>
        <w:t>Candidate Review Period</w:t>
      </w:r>
      <w:r>
        <w:rPr>
          <w:rFonts w:ascii="Arial" w:cs="Arial" w:eastAsia="Arial" w:hAnsi="Arial"/>
          <w:sz w:val="12"/>
          <w:szCs w:val="12"/>
          <w:color w:val="auto"/>
        </w:rPr>
        <w:t>”) BI shall have the right, by providing written notice to MacroGenics to accept any such Collaboration DART as a Lead Candidate, and the Parties shall continue the relevant Program for such Lead Candidate in accordance with the terms of this Agreement. If upon expiration of the applicable Lead Candidate Review Period the relevant Collaboration DART has not been accepted by BI as a Lead Candidate, then (i) the licenses granted to BI under ARTICLE V with respect to such Collaboration DART shall terminate and (ii) if no Collaboration DART has been accepted as a Lead Candidate for the relevant Program, BI shall provide MacroGenics written notice of whether BI (A) desires to continue the relevant Program with respect to other Collaboration DARTs; or (B) does not desire to continue the relevant Program, in which case this Agreement shall terminate with respect to such Program and such termination shall be treated as a termination under Section 10.2(b).</w:t>
      </w:r>
    </w:p>
    <w:p>
      <w:pPr>
        <w:spacing w:after="0" w:line="83" w:lineRule="exact"/>
        <w:rPr>
          <w:rFonts w:ascii="Arial" w:cs="Arial" w:eastAsia="Arial" w:hAnsi="Arial"/>
          <w:sz w:val="12"/>
          <w:szCs w:val="12"/>
          <w:color w:val="auto"/>
        </w:rPr>
      </w:pPr>
    </w:p>
    <w:p>
      <w:pPr>
        <w:ind w:left="-4" w:right="240" w:firstLine="1493"/>
        <w:spacing w:after="0" w:line="270" w:lineRule="auto"/>
        <w:tabs>
          <w:tab w:leader="none" w:pos="1679" w:val="left"/>
        </w:tabs>
        <w:numPr>
          <w:ilvl w:val="1"/>
          <w:numId w:val="421"/>
        </w:numPr>
        <w:rPr>
          <w:rFonts w:ascii="Arial" w:cs="Arial" w:eastAsia="Arial" w:hAnsi="Arial"/>
          <w:sz w:val="14"/>
          <w:szCs w:val="14"/>
          <w:color w:val="auto"/>
        </w:rPr>
      </w:pPr>
      <w:r>
        <w:rPr>
          <w:rFonts w:ascii="Arial" w:cs="Arial" w:eastAsia="Arial" w:hAnsi="Arial"/>
          <w:sz w:val="14"/>
          <w:szCs w:val="14"/>
          <w:color w:val="auto"/>
        </w:rPr>
        <w:t xml:space="preserve">Upon the initiation by BI of any </w:t>
      </w:r>
      <w:r>
        <w:rPr>
          <w:rFonts w:ascii="Arial" w:cs="Arial" w:eastAsia="Arial" w:hAnsi="Arial"/>
          <w:sz w:val="14"/>
          <w:szCs w:val="14"/>
          <w:b w:val="1"/>
          <w:bCs w:val="1"/>
          <w:color w:val="auto"/>
        </w:rPr>
        <w:t>***</w:t>
      </w:r>
      <w:r>
        <w:rPr>
          <w:rFonts w:ascii="Arial" w:cs="Arial" w:eastAsia="Arial" w:hAnsi="Arial"/>
          <w:sz w:val="14"/>
          <w:szCs w:val="14"/>
          <w:color w:val="auto"/>
        </w:rPr>
        <w:t>, BI shall provide MacroGenics written notice of such initiation, BI shall be deemed to have accepted such Collaboration DART as a Lead Candidate and such Collaboration DART shall be deemed a Lead Candidate.</w:t>
      </w:r>
    </w:p>
    <w:p>
      <w:pPr>
        <w:spacing w:after="0" w:line="99" w:lineRule="exact"/>
        <w:rPr>
          <w:rFonts w:ascii="Arial" w:cs="Arial" w:eastAsia="Arial" w:hAnsi="Arial"/>
          <w:sz w:val="14"/>
          <w:szCs w:val="14"/>
          <w:color w:val="auto"/>
        </w:rPr>
      </w:pPr>
    </w:p>
    <w:p>
      <w:pPr>
        <w:ind w:left="-4" w:right="240" w:firstLine="1493"/>
        <w:spacing w:after="0" w:line="267" w:lineRule="auto"/>
        <w:tabs>
          <w:tab w:leader="none" w:pos="1671" w:val="left"/>
        </w:tabs>
        <w:numPr>
          <w:ilvl w:val="1"/>
          <w:numId w:val="421"/>
        </w:numPr>
        <w:rPr>
          <w:rFonts w:ascii="Arial" w:cs="Arial" w:eastAsia="Arial" w:hAnsi="Arial"/>
          <w:sz w:val="14"/>
          <w:szCs w:val="14"/>
          <w:color w:val="auto"/>
        </w:rPr>
      </w:pPr>
      <w:r>
        <w:rPr>
          <w:rFonts w:ascii="Arial" w:cs="Arial" w:eastAsia="Arial" w:hAnsi="Arial"/>
          <w:sz w:val="14"/>
          <w:szCs w:val="14"/>
          <w:color w:val="auto"/>
        </w:rPr>
        <w:t>BI shall *** for the first Collaboration DART from each Program that BI accepts as a Lead Candidate pursuant to subsections (b), (c) or (d) of this Section 3.4. For the sake of clarity, BI has the right to select additional Collaboration DARTs from the same Program as Lead Candidates.</w:t>
      </w:r>
    </w:p>
    <w:p>
      <w:pPr>
        <w:spacing w:after="0" w:line="91"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22</w:t>
      </w:r>
    </w:p>
    <w:p>
      <w:pPr>
        <w:spacing w:after="0" w:line="12" w:lineRule="exact"/>
        <w:rPr>
          <w:sz w:val="20"/>
          <w:szCs w:val="20"/>
          <w:color w:val="auto"/>
        </w:rPr>
      </w:pPr>
    </w:p>
    <w:p>
      <w:pPr>
        <w:ind w:left="3836" w:right="2660" w:hanging="1135"/>
        <w:spacing w:after="0" w:line="341" w:lineRule="auto"/>
        <w:tabs>
          <w:tab w:leader="none" w:pos="2940" w:val="left"/>
        </w:tabs>
        <w:numPr>
          <w:ilvl w:val="0"/>
          <w:numId w:val="42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16"/>
          </w:cols>
          <w:pgMar w:left="224" w:top="247" w:right="259" w:bottom="1440" w:gutter="0" w:footer="0" w:header="0"/>
        </w:sectPr>
      </w:pPr>
    </w:p>
    <w:bookmarkStart w:id="478" w:name="page479"/>
    <w:bookmarkEnd w:id="478"/>
    <w:p>
      <w:pPr>
        <w:ind w:left="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3.5 </w:t>
      </w:r>
      <w:r>
        <w:rPr>
          <w:rFonts w:ascii="Arial" w:cs="Arial" w:eastAsia="Arial" w:hAnsi="Arial"/>
          <w:sz w:val="14"/>
          <w:szCs w:val="14"/>
          <w:u w:val="single" w:color="auto"/>
          <w:color w:val="auto"/>
        </w:rPr>
        <w:t>Start of Pre-Clinical Development Candidate Criteria; SOPD Candidate Identification</w:t>
      </w:r>
      <w:r>
        <w:rPr>
          <w:rFonts w:ascii="Arial" w:cs="Arial" w:eastAsia="Arial" w:hAnsi="Arial"/>
          <w:sz w:val="14"/>
          <w:szCs w:val="14"/>
          <w:color w:val="auto"/>
        </w:rPr>
        <w:t>.</w:t>
      </w:r>
    </w:p>
    <w:p>
      <w:pPr>
        <w:spacing w:after="0" w:line="130" w:lineRule="exact"/>
        <w:rPr>
          <w:sz w:val="20"/>
          <w:szCs w:val="20"/>
          <w:color w:val="auto"/>
        </w:rPr>
      </w:pPr>
    </w:p>
    <w:p>
      <w:pPr>
        <w:ind w:left="-20" w:right="80" w:firstLine="1493"/>
        <w:spacing w:after="0" w:line="297" w:lineRule="auto"/>
        <w:tabs>
          <w:tab w:leader="none" w:pos="1655" w:val="left"/>
        </w:tabs>
        <w:numPr>
          <w:ilvl w:val="0"/>
          <w:numId w:val="423"/>
        </w:numPr>
        <w:rPr>
          <w:rFonts w:ascii="Arial" w:cs="Arial" w:eastAsia="Arial" w:hAnsi="Arial"/>
          <w:sz w:val="12"/>
          <w:szCs w:val="12"/>
          <w:color w:val="auto"/>
        </w:rPr>
      </w:pPr>
      <w:r>
        <w:rPr>
          <w:rFonts w:ascii="Arial" w:cs="Arial" w:eastAsia="Arial" w:hAnsi="Arial"/>
          <w:sz w:val="12"/>
          <w:szCs w:val="12"/>
          <w:color w:val="auto"/>
        </w:rPr>
        <w:t xml:space="preserve">Within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date on which a Collaboration DART in a Program is deemed a Lead Candidate, the JRC shall determine and the JSC shall approve, the Start of Pre-Clinical Development Candidate Criteria applicable to such Program. The JRC shall develop, and the JSC shall approve, such Start of Pre-Clinical Development Candidate Criteria based on the template provided in </w:t>
      </w:r>
      <w:r>
        <w:rPr>
          <w:rFonts w:ascii="Arial" w:cs="Arial" w:eastAsia="Arial" w:hAnsi="Arial"/>
          <w:sz w:val="12"/>
          <w:szCs w:val="12"/>
          <w:u w:val="single" w:color="auto"/>
          <w:color w:val="auto"/>
        </w:rPr>
        <w:t>Schedule 1.81</w:t>
      </w:r>
      <w:r>
        <w:rPr>
          <w:rFonts w:ascii="Arial" w:cs="Arial" w:eastAsia="Arial" w:hAnsi="Arial"/>
          <w:sz w:val="12"/>
          <w:szCs w:val="12"/>
          <w:color w:val="auto"/>
        </w:rPr>
        <w:t xml:space="preserve"> and shall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approval of the Start of Pre-Clinical Development Candidate Criteria for a Program and subject to the approval of the JSC, the JRC may, from time to time during the Research Term, nominate a Collaboration DART from such Program that has achieved the Start of Pre-Clinical Development Candidate Criteria for consideration as an SOPD Candidate. The JSC shall have the right to approve any such nomination. For each such nominated Collaboration DART the JRC shall prepare and deliver to BI a data package for BI to evaluate such Collaboration DART for designation as an SOPD Candidate. Such data package shall include the results from all tests and other measures included in the SOPD Criteria. Within </w:t>
      </w:r>
      <w:r>
        <w:rPr>
          <w:rFonts w:ascii="Arial" w:cs="Arial" w:eastAsia="Arial" w:hAnsi="Arial"/>
          <w:sz w:val="12"/>
          <w:szCs w:val="12"/>
          <w:b w:val="1"/>
          <w:bCs w:val="1"/>
          <w:color w:val="auto"/>
        </w:rPr>
        <w:t>***</w:t>
      </w:r>
      <w:r>
        <w:rPr>
          <w:rFonts w:ascii="Arial" w:cs="Arial" w:eastAsia="Arial" w:hAnsi="Arial"/>
          <w:sz w:val="12"/>
          <w:szCs w:val="12"/>
          <w:color w:val="auto"/>
        </w:rPr>
        <w:t>after delivery to BI of the data package, BI shall provide MacroGenics written notice whether BI (i) accepts such Collaboration DART as an SOPD Candidate and intends to Develop and/or Commercialize such SOPD Candidate in accordance with the terms of this Agreement, in which case such Collaboration DART shall be deemed an SOPD Candidate; (ii) does not accept such Collaboration DART as an SOPD Candidate, but either desires to continue evaluation of such Collaboration Dart in accordance with subsection (b) or to continue the relevant Program with respect to other Collaboration DARTs; or (iii) does not accept such Collaboration DART as an SOPD Candidate and does not desire to continue the relevant Program, in which case this Agreement shall terminate with respect to such Program and such termination shall be treated as a termination under Section 10.2(b).</w:t>
      </w:r>
    </w:p>
    <w:p>
      <w:pPr>
        <w:spacing w:after="0" w:line="258" w:lineRule="exact"/>
        <w:rPr>
          <w:rFonts w:ascii="Arial" w:cs="Arial" w:eastAsia="Arial" w:hAnsi="Arial"/>
          <w:sz w:val="12"/>
          <w:szCs w:val="12"/>
          <w:color w:val="auto"/>
        </w:rPr>
      </w:pPr>
    </w:p>
    <w:p>
      <w:pPr>
        <w:ind w:left="-20" w:firstLine="1493"/>
        <w:spacing w:after="0" w:line="300" w:lineRule="auto"/>
        <w:tabs>
          <w:tab w:leader="none" w:pos="1662" w:val="left"/>
        </w:tabs>
        <w:numPr>
          <w:ilvl w:val="0"/>
          <w:numId w:val="423"/>
        </w:numPr>
        <w:rPr>
          <w:rFonts w:ascii="Arial" w:cs="Arial" w:eastAsia="Arial" w:hAnsi="Arial"/>
          <w:sz w:val="12"/>
          <w:szCs w:val="12"/>
          <w:color w:val="auto"/>
        </w:rPr>
      </w:pPr>
      <w:r>
        <w:rPr>
          <w:rFonts w:ascii="Arial" w:cs="Arial" w:eastAsia="Arial" w:hAnsi="Arial"/>
          <w:sz w:val="12"/>
          <w:szCs w:val="12"/>
          <w:color w:val="auto"/>
        </w:rPr>
        <w:t>If a Collaboration DART that has achieved the SOPD Candidate Criteria is not accepted by BI as an SOPD Candidate in accordance with Section 3.5(a), then within *** after such Collaboration DART was first submitted to BI as an SOPD Candidate (the “</w:t>
      </w:r>
      <w:r>
        <w:rPr>
          <w:rFonts w:ascii="Arial" w:cs="Arial" w:eastAsia="Arial" w:hAnsi="Arial"/>
          <w:sz w:val="12"/>
          <w:szCs w:val="12"/>
          <w:u w:val="single" w:color="auto"/>
          <w:color w:val="auto"/>
        </w:rPr>
        <w:t>SOPD Candidate Review Period</w:t>
      </w:r>
      <w:r>
        <w:rPr>
          <w:rFonts w:ascii="Arial" w:cs="Arial" w:eastAsia="Arial" w:hAnsi="Arial"/>
          <w:sz w:val="12"/>
          <w:szCs w:val="12"/>
          <w:color w:val="auto"/>
        </w:rPr>
        <w:t>”) BI shall have the right, by providing written notice to MacroGenics to accept any such Collaboration DART as an SOPD Candidate, and BI shall research, Develop, manufacture and Commercialize such SOPD Candidate in accordance with the terms of this Agreement. If upon expiration of the applicable SOPD Candidate Review Period the relevant Collaboration DART has not been accepted by BI as an SOPD Candidate, then (i) the licenses granted to BI under ARTICLE V with respect to such Collaboration DART shall terminate and (ii) if no Collaboration DART has been accepted as an SOPD Candidate for the relevant Program, BI shall provide MacroGenics written notice of whether BI (A) desires to continue the relevant Program with respect to other Collaboration DARTs; or (B) does not desire to continue the relevant Program, in which case this Agreement shall terminate with respect to such Program and such termination shall be treated as a termination under Section 10.2(b).</w:t>
      </w:r>
    </w:p>
    <w:p>
      <w:pPr>
        <w:spacing w:after="0" w:line="86" w:lineRule="exact"/>
        <w:rPr>
          <w:rFonts w:ascii="Arial" w:cs="Arial" w:eastAsia="Arial" w:hAnsi="Arial"/>
          <w:sz w:val="12"/>
          <w:szCs w:val="12"/>
          <w:color w:val="auto"/>
        </w:rPr>
      </w:pPr>
    </w:p>
    <w:p>
      <w:pPr>
        <w:ind w:left="-20" w:right="560" w:firstLine="1493"/>
        <w:spacing w:after="0" w:line="270" w:lineRule="auto"/>
        <w:tabs>
          <w:tab w:leader="none" w:pos="1655" w:val="left"/>
        </w:tabs>
        <w:numPr>
          <w:ilvl w:val="0"/>
          <w:numId w:val="423"/>
        </w:numPr>
        <w:rPr>
          <w:rFonts w:ascii="Arial" w:cs="Arial" w:eastAsia="Arial" w:hAnsi="Arial"/>
          <w:sz w:val="14"/>
          <w:szCs w:val="14"/>
          <w:color w:val="auto"/>
        </w:rPr>
      </w:pPr>
      <w:r>
        <w:rPr>
          <w:rFonts w:ascii="Arial" w:cs="Arial" w:eastAsia="Arial" w:hAnsi="Arial"/>
          <w:sz w:val="14"/>
          <w:szCs w:val="14"/>
          <w:color w:val="auto"/>
        </w:rPr>
        <w:t xml:space="preserve">In the event that BI initiates </w:t>
      </w:r>
      <w:r>
        <w:rPr>
          <w:rFonts w:ascii="Arial" w:cs="Arial" w:eastAsia="Arial" w:hAnsi="Arial"/>
          <w:sz w:val="14"/>
          <w:szCs w:val="14"/>
          <w:b w:val="1"/>
          <w:bCs w:val="1"/>
          <w:color w:val="auto"/>
        </w:rPr>
        <w:t>***</w:t>
      </w:r>
      <w:r>
        <w:rPr>
          <w:rFonts w:ascii="Arial" w:cs="Arial" w:eastAsia="Arial" w:hAnsi="Arial"/>
          <w:sz w:val="14"/>
          <w:szCs w:val="14"/>
          <w:color w:val="auto"/>
        </w:rPr>
        <w:t xml:space="preserve"> with respect to any Collaboration DART that has not previously been accepted by BI in accordance with Section 3.5(b), BI shall provide MacroGenics written notice of such initiation, BI shall ***.</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12" w:lineRule="exact"/>
        <w:rPr>
          <w:sz w:val="20"/>
          <w:szCs w:val="20"/>
          <w:color w:val="auto"/>
        </w:rPr>
      </w:pPr>
    </w:p>
    <w:p>
      <w:pPr>
        <w:ind w:left="3820" w:right="2680" w:hanging="1135"/>
        <w:spacing w:after="0" w:line="341" w:lineRule="auto"/>
        <w:tabs>
          <w:tab w:leader="none" w:pos="2924" w:val="left"/>
        </w:tabs>
        <w:numPr>
          <w:ilvl w:val="0"/>
          <w:numId w:val="42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40" w:top="247" w:right="239" w:bottom="1440" w:gutter="0" w:footer="0" w:header="0"/>
        </w:sectPr>
      </w:pPr>
    </w:p>
    <w:bookmarkStart w:id="479" w:name="page480"/>
    <w:bookmarkEnd w:id="479"/>
    <w:p>
      <w:pPr>
        <w:ind w:left="1680" w:hanging="187"/>
        <w:spacing w:after="0"/>
        <w:tabs>
          <w:tab w:leader="none" w:pos="1680" w:val="left"/>
        </w:tabs>
        <w:numPr>
          <w:ilvl w:val="1"/>
          <w:numId w:val="42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BI shall pay any applicable milestone payment as set forth in Section 6.4(a)(ii)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from each Program that BI accepts as an SOPD Candidate pursuant to subsections (a),</w:t>
      </w:r>
    </w:p>
    <w:p>
      <w:pPr>
        <w:spacing w:after="0" w:line="37" w:lineRule="exact"/>
        <w:rPr>
          <w:rFonts w:ascii="Arial" w:cs="Arial" w:eastAsia="Arial" w:hAnsi="Arial"/>
          <w:sz w:val="12"/>
          <w:szCs w:val="12"/>
          <w:color w:val="auto"/>
        </w:rPr>
      </w:pPr>
    </w:p>
    <w:p>
      <w:pPr>
        <w:ind w:left="200" w:hanging="196"/>
        <w:spacing w:after="0"/>
        <w:tabs>
          <w:tab w:leader="none" w:pos="20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or (c) of this Section 3.5. For the sake of clarity, BI has the right to select additional Collaboration DARTs from the same Program.</w:t>
      </w:r>
    </w:p>
    <w:p>
      <w:pPr>
        <w:spacing w:after="0" w:line="125" w:lineRule="exact"/>
        <w:rPr>
          <w:rFonts w:ascii="Arial" w:cs="Arial" w:eastAsia="Arial" w:hAnsi="Arial"/>
          <w:sz w:val="14"/>
          <w:szCs w:val="14"/>
          <w:color w:val="auto"/>
        </w:rPr>
      </w:pPr>
    </w:p>
    <w:p>
      <w:pPr>
        <w:ind w:right="40" w:firstLine="1493"/>
        <w:spacing w:after="0" w:line="258" w:lineRule="auto"/>
        <w:tabs>
          <w:tab w:leader="none" w:pos="1675" w:val="left"/>
        </w:tabs>
        <w:numPr>
          <w:ilvl w:val="1"/>
          <w:numId w:val="426"/>
        </w:numPr>
        <w:rPr>
          <w:rFonts w:ascii="Arial" w:cs="Arial" w:eastAsia="Arial" w:hAnsi="Arial"/>
          <w:sz w:val="14"/>
          <w:szCs w:val="14"/>
          <w:color w:val="auto"/>
        </w:rPr>
      </w:pPr>
      <w:r>
        <w:rPr>
          <w:rFonts w:ascii="Arial" w:cs="Arial" w:eastAsia="Arial" w:hAnsi="Arial"/>
          <w:sz w:val="14"/>
          <w:szCs w:val="14"/>
          <w:color w:val="auto"/>
        </w:rPr>
        <w:t>If following end of the Research Term and any SOPD Candidate Review Period ongoing at the end of the Research Term there is any Program for which no Collaboration DART has been accepted by BI as an SOPD Candidate, whether pursuant to subsections (a), (b) or (c) of this Section 3.5, then this Agreement shall terminate with respect to such Program and such termination shall be treated as a termination under Section 10.2(b).</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Materials and Know-How Transfer</w:t>
      </w:r>
      <w:r>
        <w:rPr>
          <w:rFonts w:ascii="Arial" w:cs="Arial" w:eastAsia="Arial" w:hAnsi="Arial"/>
          <w:sz w:val="14"/>
          <w:szCs w:val="14"/>
          <w:color w:val="auto"/>
        </w:rPr>
        <w:t>.</w:t>
      </w:r>
    </w:p>
    <w:p>
      <w:pPr>
        <w:spacing w:after="0" w:line="130" w:lineRule="exact"/>
        <w:rPr>
          <w:sz w:val="20"/>
          <w:szCs w:val="20"/>
          <w:color w:val="auto"/>
        </w:rPr>
      </w:pPr>
    </w:p>
    <w:p>
      <w:pPr>
        <w:ind w:left="1680" w:hanging="187"/>
        <w:spacing w:after="0"/>
        <w:tabs>
          <w:tab w:leader="none" w:pos="1680" w:val="left"/>
        </w:tabs>
        <w:numPr>
          <w:ilvl w:val="0"/>
          <w:numId w:val="427"/>
        </w:numPr>
        <w:rPr>
          <w:rFonts w:ascii="Arial" w:cs="Arial" w:eastAsia="Arial" w:hAnsi="Arial"/>
          <w:sz w:val="12"/>
          <w:szCs w:val="12"/>
          <w:color w:val="auto"/>
        </w:rPr>
      </w:pPr>
      <w:r>
        <w:rPr>
          <w:rFonts w:ascii="Arial" w:cs="Arial" w:eastAsia="Arial" w:hAnsi="Arial"/>
          <w:sz w:val="12"/>
          <w:szCs w:val="12"/>
          <w:color w:val="auto"/>
        </w:rPr>
        <w:t xml:space="preserve">In order to facilitate any Program, each Party shall, as set forth in the applicable Research Plan, provide to the other Party certain tangible biological materials including </w:t>
      </w:r>
      <w:r>
        <w:rPr>
          <w:rFonts w:ascii="Arial" w:cs="Arial" w:eastAsia="Arial" w:hAnsi="Arial"/>
          <w:sz w:val="12"/>
          <w:szCs w:val="12"/>
          <w:b w:val="1"/>
          <w:bCs w:val="1"/>
          <w:color w:val="auto"/>
        </w:rPr>
        <w:t>***</w:t>
      </w:r>
    </w:p>
    <w:p>
      <w:pPr>
        <w:spacing w:after="0" w:line="37" w:lineRule="exact"/>
        <w:rPr>
          <w:rFonts w:ascii="Arial" w:cs="Arial" w:eastAsia="Arial" w:hAnsi="Arial"/>
          <w:sz w:val="12"/>
          <w:szCs w:val="12"/>
          <w:color w:val="auto"/>
        </w:rPr>
      </w:pPr>
    </w:p>
    <w:p>
      <w:pPr>
        <w:ind w:right="580"/>
        <w:spacing w:after="0" w:line="341"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Materials</w:t>
      </w:r>
      <w:r>
        <w:rPr>
          <w:rFonts w:ascii="Arial" w:cs="Arial" w:eastAsia="Arial" w:hAnsi="Arial"/>
          <w:sz w:val="12"/>
          <w:szCs w:val="12"/>
          <w:color w:val="auto"/>
        </w:rPr>
        <w:t xml:space="preserve">”) and, subject to Section 3.7, Know-How Controlled by the supplying Party (other than under this Agreement) for use by the other Party in furtherance of such Program. MacroGenics shall furthermore transfer to BI the </w:t>
      </w:r>
      <w:r>
        <w:rPr>
          <w:rFonts w:ascii="Arial" w:cs="Arial" w:eastAsia="Arial" w:hAnsi="Arial"/>
          <w:sz w:val="12"/>
          <w:szCs w:val="12"/>
          <w:b w:val="1"/>
          <w:bCs w:val="1"/>
          <w:color w:val="auto"/>
        </w:rPr>
        <w:t>***</w:t>
      </w:r>
      <w:r>
        <w:rPr>
          <w:rFonts w:ascii="Arial" w:cs="Arial" w:eastAsia="Arial" w:hAnsi="Arial"/>
          <w:sz w:val="12"/>
          <w:szCs w:val="12"/>
          <w:color w:val="auto"/>
        </w:rPr>
        <w:t>. The transfer of any such Materials shall be conducted pursuant to the terms of this Agreement, including the following:</w:t>
      </w:r>
    </w:p>
    <w:p>
      <w:pPr>
        <w:spacing w:after="0" w:line="61" w:lineRule="exact"/>
        <w:rPr>
          <w:rFonts w:ascii="Arial" w:cs="Arial" w:eastAsia="Arial" w:hAnsi="Arial"/>
          <w:sz w:val="12"/>
          <w:szCs w:val="12"/>
          <w:color w:val="auto"/>
        </w:rPr>
      </w:pPr>
    </w:p>
    <w:p>
      <w:pPr>
        <w:ind w:firstLine="1493"/>
        <w:spacing w:after="0" w:line="299" w:lineRule="auto"/>
        <w:tabs>
          <w:tab w:leader="none" w:pos="1682" w:val="left"/>
        </w:tabs>
        <w:numPr>
          <w:ilvl w:val="0"/>
          <w:numId w:val="427"/>
        </w:numPr>
        <w:rPr>
          <w:rFonts w:ascii="Arial" w:cs="Arial" w:eastAsia="Arial" w:hAnsi="Arial"/>
          <w:sz w:val="12"/>
          <w:szCs w:val="12"/>
          <w:color w:val="auto"/>
        </w:rPr>
      </w:pPr>
      <w:r>
        <w:rPr>
          <w:rFonts w:ascii="Arial" w:cs="Arial" w:eastAsia="Arial" w:hAnsi="Arial"/>
          <w:sz w:val="12"/>
          <w:szCs w:val="12"/>
          <w:color w:val="auto"/>
        </w:rPr>
        <w:t>All Materials and Know-How supplied by one Party to the other Party shall remain the sole property of the supplying Party, except those MacroGenics Collaboration Antibodies as further outlined in Section 3.6(c) below, and shall be used (i) only for the specific purpose provided for in the applicable Research Plan, and (ii) solely under the control of the receiving Party. In the event a receiving Party uses Materials provided by the supplying Party for purposes other than for the specific purpose provided in the applicable Research Plan, the supplying Party shall solely own any results, discoveries or inventions arising out of such use and the receiving Party hereby assigns to the supply Party all right, title and interest in such results, discoveries or inventions. The Materials may not be used or delivered to or for the benefit of any Third Party without the prior written consent of the supplying Party, and shall not be used in research or testing involving human subjects, except as expressly contemplated in the applicable Research Plan or in accordance with this Agreement. Any Materials supplied by one Party to the other Party must be used with prudence and appropriate caution in any experimental work, since not all of their characteristics may be known. All Materials shall be returned to the supplying Party or destroyed (at the election of the supplying Party) promptly after completion of the permitted use. The use of the Materials shall comply with restrictions and conditions on use (if any) imposed by Third Parties.</w:t>
      </w:r>
    </w:p>
    <w:p>
      <w:pPr>
        <w:spacing w:after="0" w:line="87" w:lineRule="exact"/>
        <w:rPr>
          <w:rFonts w:ascii="Arial" w:cs="Arial" w:eastAsia="Arial" w:hAnsi="Arial"/>
          <w:sz w:val="12"/>
          <w:szCs w:val="12"/>
          <w:color w:val="auto"/>
        </w:rPr>
      </w:pPr>
    </w:p>
    <w:p>
      <w:pPr>
        <w:ind w:right="40" w:firstLine="1493"/>
        <w:spacing w:after="0" w:line="258" w:lineRule="auto"/>
        <w:tabs>
          <w:tab w:leader="none" w:pos="1675" w:val="left"/>
        </w:tabs>
        <w:numPr>
          <w:ilvl w:val="0"/>
          <w:numId w:val="427"/>
        </w:numPr>
        <w:rPr>
          <w:rFonts w:ascii="Arial" w:cs="Arial" w:eastAsia="Arial" w:hAnsi="Arial"/>
          <w:sz w:val="14"/>
          <w:szCs w:val="14"/>
          <w:color w:val="auto"/>
        </w:rPr>
      </w:pPr>
      <w:r>
        <w:rPr>
          <w:rFonts w:ascii="Arial" w:cs="Arial" w:eastAsia="Arial" w:hAnsi="Arial"/>
          <w:sz w:val="14"/>
          <w:szCs w:val="14"/>
          <w:color w:val="auto"/>
        </w:rPr>
        <w:t>MacroGenics Collaboration Antibodies created in accordance with Section 1.55(a), including Know-How that is solely and specifically related to such MacroGenics Collaboration Antibodies, shall be solely owned by BI, and MacroGenics shall not use such MacroGenics Collaboration Antibodies and/or such Know-How for any other purpose, either alone or in collaboration with any Third Party.</w:t>
      </w:r>
    </w:p>
    <w:p>
      <w:pPr>
        <w:spacing w:after="0" w:line="107" w:lineRule="exact"/>
        <w:rPr>
          <w:rFonts w:ascii="Arial" w:cs="Arial" w:eastAsia="Arial" w:hAnsi="Arial"/>
          <w:sz w:val="14"/>
          <w:szCs w:val="14"/>
          <w:color w:val="auto"/>
        </w:rPr>
      </w:pPr>
    </w:p>
    <w:p>
      <w:pPr>
        <w:ind w:right="480" w:firstLine="1493"/>
        <w:spacing w:after="0" w:line="267" w:lineRule="auto"/>
        <w:tabs>
          <w:tab w:leader="none" w:pos="1682" w:val="left"/>
        </w:tabs>
        <w:numPr>
          <w:ilvl w:val="0"/>
          <w:numId w:val="427"/>
        </w:numPr>
        <w:rPr>
          <w:rFonts w:ascii="Arial" w:cs="Arial" w:eastAsia="Arial" w:hAnsi="Arial"/>
          <w:sz w:val="14"/>
          <w:szCs w:val="14"/>
          <w:color w:val="auto"/>
        </w:rPr>
      </w:pPr>
      <w:r>
        <w:rPr>
          <w:rFonts w:ascii="Arial" w:cs="Arial" w:eastAsia="Arial" w:hAnsi="Arial"/>
          <w:sz w:val="14"/>
          <w:szCs w:val="14"/>
          <w:color w:val="auto"/>
        </w:rPr>
        <w:t>THE MATERIALS ARE PROVIDED “AS IS” AND WITHOUT ANY REPRESENTATION OR WARRANTY, EXPRESS OR IMPLIED, INCLUDING ANY IMPLIED WARRANTY OF MERCHANTABILITY OR OF FITNESS FOR ANY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2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480" w:name="page481"/>
    <w:bookmarkEnd w:id="480"/>
    <w:p>
      <w:pPr>
        <w:ind w:right="1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PARTICULAR PURPOSE OR ANY WARRANTY THAT THE USE OF THE MATERIALS WILL NOT INFRINGE OR VIOLATE ANY PATENT OR OTHER PROPRIETARY RIGHTS OF ANY THIRD PARTY.</w:t>
      </w:r>
    </w:p>
    <w:p>
      <w:pPr>
        <w:spacing w:after="0" w:line="101"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Third Party Intellectual Property</w:t>
      </w:r>
      <w:r>
        <w:rPr>
          <w:rFonts w:ascii="Arial" w:cs="Arial" w:eastAsia="Arial" w:hAnsi="Arial"/>
          <w:sz w:val="14"/>
          <w:szCs w:val="14"/>
          <w:color w:val="auto"/>
        </w:rPr>
        <w:t>. In developing each Research Plan, the Parties shall discuss whether any Third Party Patent Rights or Know-How will be utilized in the conduct of activities under the applicable Research Plan. MacroGenics shall disclose to BI the details of the payment obligations of which it is aware that would be triggered by such use of Third Party Patent Rights or Know-How in the respective Program. To the extent that the Parties mutually agree to utilize any Patent Right or Know-How that is licensed to or has been acquired by MacroGenics and such utilization would require the payment of additional consideration to the Third Party from which the Patent Rights or Know-How was licensed or acquired, such Patent Rights or Know-How shall not be deemed under the Control of MacroGenics unless the Parties agree ***. For purposes of clarity, nothing in this Section 3.7 shall limit BI’s rights to, independent of MacroGenics, obtain from a Third Party a license or other right with respect to such Third Party’s Patent Rights or Know-How.</w:t>
      </w:r>
    </w:p>
    <w:p>
      <w:pPr>
        <w:spacing w:after="0" w:line="114" w:lineRule="exact"/>
        <w:rPr>
          <w:sz w:val="20"/>
          <w:szCs w:val="20"/>
          <w:color w:val="auto"/>
        </w:rPr>
      </w:pPr>
    </w:p>
    <w:p>
      <w:pPr>
        <w:ind w:right="300" w:firstLine="917"/>
        <w:spacing w:after="0" w:line="267" w:lineRule="auto"/>
        <w:rPr>
          <w:sz w:val="20"/>
          <w:szCs w:val="20"/>
          <w:color w:val="auto"/>
        </w:rPr>
      </w:pPr>
      <w:r>
        <w:rPr>
          <w:rFonts w:ascii="Arial" w:cs="Arial" w:eastAsia="Arial" w:hAnsi="Arial"/>
          <w:sz w:val="14"/>
          <w:szCs w:val="14"/>
          <w:color w:val="auto"/>
        </w:rPr>
        <w:t xml:space="preserve">3.8 </w:t>
      </w:r>
      <w:r>
        <w:rPr>
          <w:rFonts w:ascii="Arial" w:cs="Arial" w:eastAsia="Arial" w:hAnsi="Arial"/>
          <w:sz w:val="14"/>
          <w:szCs w:val="14"/>
          <w:u w:val="single" w:color="auto"/>
          <w:color w:val="auto"/>
        </w:rPr>
        <w:t>Manufacturing of Research Material</w:t>
      </w:r>
      <w:r>
        <w:rPr>
          <w:rFonts w:ascii="Arial" w:cs="Arial" w:eastAsia="Arial" w:hAnsi="Arial"/>
          <w:sz w:val="14"/>
          <w:szCs w:val="14"/>
          <w:color w:val="auto"/>
        </w:rPr>
        <w:t>. MacroGenics shall be responsible for the production of all Collaboration DARTs and Products for research testing purposes in accordance with the Research Plans. For clarity, BI shall be entitled to manufacture Collaboration DARTs and Products during the Research Term.</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3.9 </w:t>
      </w:r>
      <w:r>
        <w:rPr>
          <w:rFonts w:ascii="Arial" w:cs="Arial" w:eastAsia="Arial" w:hAnsi="Arial"/>
          <w:sz w:val="14"/>
          <w:szCs w:val="14"/>
          <w:u w:val="single" w:color="auto"/>
          <w:color w:val="auto"/>
        </w:rPr>
        <w:t>Records and Reports</w:t>
      </w:r>
      <w:r>
        <w:rPr>
          <w:rFonts w:ascii="Arial" w:cs="Arial" w:eastAsia="Arial" w:hAnsi="Arial"/>
          <w:sz w:val="14"/>
          <w:szCs w:val="14"/>
          <w:color w:val="auto"/>
        </w:rPr>
        <w:t>.</w:t>
      </w:r>
    </w:p>
    <w:p>
      <w:pPr>
        <w:spacing w:after="0" w:line="132" w:lineRule="exact"/>
        <w:rPr>
          <w:sz w:val="20"/>
          <w:szCs w:val="20"/>
          <w:color w:val="auto"/>
        </w:rPr>
      </w:pPr>
    </w:p>
    <w:p>
      <w:pPr>
        <w:ind w:right="100" w:firstLine="1493"/>
        <w:spacing w:after="0" w:line="298" w:lineRule="auto"/>
        <w:tabs>
          <w:tab w:leader="none" w:pos="1675" w:val="left"/>
        </w:tabs>
        <w:numPr>
          <w:ilvl w:val="0"/>
          <w:numId w:val="429"/>
        </w:numPr>
        <w:rPr>
          <w:rFonts w:ascii="Arial" w:cs="Arial" w:eastAsia="Arial" w:hAnsi="Arial"/>
          <w:sz w:val="12"/>
          <w:szCs w:val="12"/>
          <w:color w:val="auto"/>
        </w:rPr>
      </w:pPr>
      <w:r>
        <w:rPr>
          <w:rFonts w:ascii="Arial" w:cs="Arial" w:eastAsia="Arial" w:hAnsi="Arial"/>
          <w:sz w:val="12"/>
          <w:szCs w:val="12"/>
          <w:u w:val="single" w:color="auto"/>
          <w:color w:val="auto"/>
        </w:rPr>
        <w:t>Records</w:t>
      </w:r>
      <w:r>
        <w:rPr>
          <w:rFonts w:ascii="Arial" w:cs="Arial" w:eastAsia="Arial" w:hAnsi="Arial"/>
          <w:sz w:val="12"/>
          <w:szCs w:val="12"/>
          <w:color w:val="auto"/>
        </w:rPr>
        <w:t>. Each Party shall maintain records, in sufficient detail and in good scientific manner appropriate for patent and regulatory purposes, which shall fully and properly reflect all work done and results achieved in the performance of each Program by or on behalf of such Party (the “</w:t>
      </w:r>
      <w:r>
        <w:rPr>
          <w:rFonts w:ascii="Arial" w:cs="Arial" w:eastAsia="Arial" w:hAnsi="Arial"/>
          <w:sz w:val="12"/>
          <w:szCs w:val="12"/>
          <w:u w:val="single" w:color="auto"/>
          <w:color w:val="auto"/>
        </w:rPr>
        <w:t>Records</w:t>
      </w:r>
      <w:r>
        <w:rPr>
          <w:rFonts w:ascii="Arial" w:cs="Arial" w:eastAsia="Arial" w:hAnsi="Arial"/>
          <w:sz w:val="12"/>
          <w:szCs w:val="12"/>
          <w:color w:val="auto"/>
        </w:rPr>
        <w:t>”), including the procedures, techniques and methodologies used, the progress made, and any inventions conceived and/or reduced to practice or otherwise made within the scope of or in connection with each Program. As part of keeping the Records, each Party shall ensure that all of its personnel, and all of its agents that are involved in each Program will keep accurate laboratory notebooks, which laboratory notebooks: (i) shall be duly signed, dated and witnessed; and (ii) shall be created and maintained in accordance with its standard operating procedures that would be sufficient to allow for said laboratory notebooks to be used in any proceedings before the United States Patent and Trademark Office or United States courts, in order to establish the date of invention for any inventions in accordance with the United States patent laws. During the Term of this Agreement, MacroGenics shall upon written request by BI, which shall not be unreasonably made: (A) make all Records available for inspection and review by BI during normal business hours in a timely manner; and (B) provide copies of the Records or any part(s) thereof to BI, as reasonably requested by BI. After each Collaboration DART has been accepted by BI as SOPD Candidate, BI shall have the right to request a copy of the relevant portions of the laboratory notebooks relating to the generation of such SOPD Candidate be provided by MacroGenics to BI. After such request by BI, MacroGenics shall provide such copies of the laboratory notebooks promptly to BI.</w:t>
      </w:r>
    </w:p>
    <w:p>
      <w:pPr>
        <w:spacing w:after="0" w:line="87" w:lineRule="exact"/>
        <w:rPr>
          <w:rFonts w:ascii="Arial" w:cs="Arial" w:eastAsia="Arial" w:hAnsi="Arial"/>
          <w:sz w:val="12"/>
          <w:szCs w:val="12"/>
          <w:color w:val="auto"/>
        </w:rPr>
      </w:pPr>
    </w:p>
    <w:p>
      <w:pPr>
        <w:ind w:left="1680" w:hanging="187"/>
        <w:spacing w:after="0"/>
        <w:tabs>
          <w:tab w:leader="none" w:pos="1680" w:val="left"/>
        </w:tabs>
        <w:numPr>
          <w:ilvl w:val="0"/>
          <w:numId w:val="429"/>
        </w:numPr>
        <w:rPr>
          <w:rFonts w:ascii="Arial" w:cs="Arial" w:eastAsia="Arial" w:hAnsi="Arial"/>
          <w:sz w:val="12"/>
          <w:szCs w:val="12"/>
          <w:color w:val="auto"/>
        </w:rPr>
      </w:pPr>
      <w:r>
        <w:rPr>
          <w:rFonts w:ascii="Arial" w:cs="Arial" w:eastAsia="Arial" w:hAnsi="Arial"/>
          <w:sz w:val="12"/>
          <w:szCs w:val="12"/>
          <w:u w:val="single" w:color="auto"/>
          <w:color w:val="auto"/>
        </w:rPr>
        <w:t>Reports to the JSC and JRC</w:t>
      </w:r>
      <w:r>
        <w:rPr>
          <w:rFonts w:ascii="Arial" w:cs="Arial" w:eastAsia="Arial" w:hAnsi="Arial"/>
          <w:sz w:val="12"/>
          <w:szCs w:val="12"/>
          <w:color w:val="auto"/>
        </w:rPr>
        <w:t>. Within ten (10) Business Days prior to each scheduled JSC and JRC meeting, the Parties shall provide to the JSC and JRC a written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3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81" w:name="page482"/>
    <w:bookmarkEnd w:id="481"/>
    <w:p>
      <w:pPr>
        <w:ind w:right="28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report on the progress of each Program, summarizing the work performed under the Program and evaluating the work performed in relation to the goals of each Program. Each Party shall provide such other information required by each Program or reasonably requested by the other Party and reasonably available, relating to the progress of the goals or performance of each Program.</w:t>
      </w:r>
    </w:p>
    <w:p>
      <w:pPr>
        <w:spacing w:after="0" w:line="179"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ARTICLE IV</w:t>
      </w:r>
    </w:p>
    <w:p>
      <w:pPr>
        <w:spacing w:after="0" w:line="132" w:lineRule="exact"/>
        <w:rPr>
          <w:sz w:val="20"/>
          <w:szCs w:val="20"/>
          <w:color w:val="auto"/>
        </w:rPr>
      </w:pPr>
    </w:p>
    <w:p>
      <w:pPr>
        <w:ind w:left="3300"/>
        <w:spacing w:after="0"/>
        <w:rPr>
          <w:sz w:val="20"/>
          <w:szCs w:val="20"/>
          <w:color w:val="auto"/>
        </w:rPr>
      </w:pPr>
      <w:r>
        <w:rPr>
          <w:rFonts w:ascii="Arial" w:cs="Arial" w:eastAsia="Arial" w:hAnsi="Arial"/>
          <w:sz w:val="14"/>
          <w:szCs w:val="14"/>
          <w:b w:val="1"/>
          <w:bCs w:val="1"/>
          <w:u w:val="single" w:color="auto"/>
          <w:color w:val="auto"/>
        </w:rPr>
        <w:t>DEVELOPMENT AND COMMERCIALIZATION OF PRODUCTS; DILIGENCE</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Responsibility for Development, Manufacturing and Commercialization</w:t>
      </w:r>
      <w:r>
        <w:rPr>
          <w:rFonts w:ascii="Arial" w:cs="Arial" w:eastAsia="Arial" w:hAnsi="Arial"/>
          <w:sz w:val="14"/>
          <w:szCs w:val="14"/>
          <w:color w:val="auto"/>
        </w:rPr>
        <w:t>.</w:t>
      </w:r>
    </w:p>
    <w:p>
      <w:pPr>
        <w:spacing w:after="0" w:line="132" w:lineRule="exact"/>
        <w:rPr>
          <w:sz w:val="20"/>
          <w:szCs w:val="20"/>
          <w:color w:val="auto"/>
        </w:rPr>
      </w:pPr>
    </w:p>
    <w:p>
      <w:pPr>
        <w:jc w:val="both"/>
        <w:ind w:firstLine="1493"/>
        <w:spacing w:after="0" w:line="321" w:lineRule="auto"/>
        <w:tabs>
          <w:tab w:leader="none" w:pos="1675" w:val="left"/>
        </w:tabs>
        <w:numPr>
          <w:ilvl w:val="0"/>
          <w:numId w:val="431"/>
        </w:numPr>
        <w:rPr>
          <w:rFonts w:ascii="Arial" w:cs="Arial" w:eastAsia="Arial" w:hAnsi="Arial"/>
          <w:sz w:val="12"/>
          <w:szCs w:val="12"/>
          <w:color w:val="auto"/>
        </w:rPr>
      </w:pPr>
      <w:r>
        <w:rPr>
          <w:rFonts w:ascii="Arial" w:cs="Arial" w:eastAsia="Arial" w:hAnsi="Arial"/>
          <w:sz w:val="12"/>
          <w:szCs w:val="12"/>
          <w:color w:val="auto"/>
        </w:rPr>
        <w:t xml:space="preserve">Following acceptance of an SOPD Candidate, BI shall have full responsibility, at its sole expense, for the worldwide research, Development, manufacturing and Commercialization of such SOPD Candidate and any Products that include such SOPD Candidate. BI shall use Commercially Reasonable Efforts (itself or through an Affiliate or Sublicensee) to Develop and, following Regulatory Approval, Commercialize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Product with respect to each Collaboration Target in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following *** (i) ***, (ii) *** and (iii) ***.</w:t>
      </w:r>
    </w:p>
    <w:p>
      <w:pPr>
        <w:spacing w:after="0" w:line="73" w:lineRule="exact"/>
        <w:rPr>
          <w:rFonts w:ascii="Arial" w:cs="Arial" w:eastAsia="Arial" w:hAnsi="Arial"/>
          <w:sz w:val="12"/>
          <w:szCs w:val="12"/>
          <w:color w:val="auto"/>
        </w:rPr>
      </w:pPr>
    </w:p>
    <w:p>
      <w:pPr>
        <w:ind w:right="120" w:firstLine="1493"/>
        <w:spacing w:after="0" w:line="258" w:lineRule="auto"/>
        <w:tabs>
          <w:tab w:leader="none" w:pos="1682" w:val="left"/>
        </w:tabs>
        <w:numPr>
          <w:ilvl w:val="0"/>
          <w:numId w:val="431"/>
        </w:numPr>
        <w:rPr>
          <w:rFonts w:ascii="Arial" w:cs="Arial" w:eastAsia="Arial" w:hAnsi="Arial"/>
          <w:sz w:val="14"/>
          <w:szCs w:val="14"/>
          <w:color w:val="auto"/>
        </w:rPr>
      </w:pPr>
      <w:r>
        <w:rPr>
          <w:rFonts w:ascii="Arial" w:cs="Arial" w:eastAsia="Arial" w:hAnsi="Arial"/>
          <w:sz w:val="14"/>
          <w:szCs w:val="14"/>
          <w:color w:val="auto"/>
        </w:rPr>
        <w:t>MacroGenics shall, following BI’s reasonable request therefor and at BI’s expense, provide to BI, or its designated Affiliate or Third Party manufacturer selected by BI to manufacture the Products, reasonable technical assistance, manufacturing Know-How, including Materials, and material specifications Controlled by MacroGenics that are necessary for BI, its Affiliate or such Third Party manufacturer to manufacture the Products.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Development and Commercialization Activities</w:t>
      </w:r>
      <w:r>
        <w:rPr>
          <w:rFonts w:ascii="Arial" w:cs="Arial" w:eastAsia="Arial" w:hAnsi="Arial"/>
          <w:sz w:val="14"/>
          <w:szCs w:val="14"/>
          <w:color w:val="auto"/>
        </w:rPr>
        <w:t>.</w:t>
      </w:r>
    </w:p>
    <w:p>
      <w:pPr>
        <w:spacing w:after="0" w:line="132" w:lineRule="exact"/>
        <w:rPr>
          <w:sz w:val="20"/>
          <w:szCs w:val="20"/>
          <w:color w:val="auto"/>
        </w:rPr>
      </w:pPr>
    </w:p>
    <w:p>
      <w:pPr>
        <w:ind w:right="60" w:firstLine="1493"/>
        <w:spacing w:after="0" w:line="302" w:lineRule="auto"/>
        <w:tabs>
          <w:tab w:leader="none" w:pos="1675" w:val="left"/>
        </w:tabs>
        <w:numPr>
          <w:ilvl w:val="0"/>
          <w:numId w:val="432"/>
        </w:numPr>
        <w:rPr>
          <w:rFonts w:ascii="Arial" w:cs="Arial" w:eastAsia="Arial" w:hAnsi="Arial"/>
          <w:sz w:val="12"/>
          <w:szCs w:val="12"/>
          <w:color w:val="auto"/>
        </w:rPr>
      </w:pPr>
      <w:r>
        <w:rPr>
          <w:rFonts w:ascii="Arial" w:cs="Arial" w:eastAsia="Arial" w:hAnsi="Arial"/>
          <w:sz w:val="12"/>
          <w:szCs w:val="12"/>
          <w:u w:val="single" w:color="auto"/>
          <w:color w:val="auto"/>
        </w:rPr>
        <w:t>Clinical Development Plans</w:t>
      </w:r>
      <w:r>
        <w:rPr>
          <w:rFonts w:ascii="Arial" w:cs="Arial" w:eastAsia="Arial" w:hAnsi="Arial"/>
          <w:sz w:val="12"/>
          <w:szCs w:val="12"/>
          <w:color w:val="auto"/>
        </w:rPr>
        <w:t>. For each Product for which BI initiates a ***, BI shall prepare a clinical development plan outlining the major clinical Development activities that BI expects to undertake, including anticipated timescales, relating to the Product up to the submission of the initial NDA for the applicable Product (each, a “</w:t>
      </w:r>
      <w:r>
        <w:rPr>
          <w:rFonts w:ascii="Arial" w:cs="Arial" w:eastAsia="Arial" w:hAnsi="Arial"/>
          <w:sz w:val="12"/>
          <w:szCs w:val="12"/>
          <w:u w:val="single" w:color="auto"/>
          <w:color w:val="auto"/>
        </w:rPr>
        <w:t>Clinical Development Plan</w:t>
      </w:r>
      <w:r>
        <w:rPr>
          <w:rFonts w:ascii="Arial" w:cs="Arial" w:eastAsia="Arial" w:hAnsi="Arial"/>
          <w:sz w:val="12"/>
          <w:szCs w:val="12"/>
          <w:color w:val="auto"/>
        </w:rPr>
        <w:t xml:space="preserve">”). It is understood that each Clinical Development Plan is intended to be a fluid document and is subject to change by BI based on, among other things, changes in the market, discussions with investigators and Regulatory Authorities and the results of studies undertaken. Subject to the provisions of ARTICLE VIII, during the Term, BI shall provide MacroGenics a copy of </w:t>
      </w:r>
      <w:r>
        <w:rPr>
          <w:rFonts w:ascii="Arial" w:cs="Arial" w:eastAsia="Arial" w:hAnsi="Arial"/>
          <w:sz w:val="12"/>
          <w:szCs w:val="12"/>
          <w:b w:val="1"/>
          <w:bCs w:val="1"/>
          <w:color w:val="auto"/>
        </w:rPr>
        <w:t>***</w:t>
      </w:r>
      <w:r>
        <w:rPr>
          <w:rFonts w:ascii="Arial" w:cs="Arial" w:eastAsia="Arial" w:hAnsi="Arial"/>
          <w:sz w:val="12"/>
          <w:szCs w:val="12"/>
          <w:color w:val="auto"/>
        </w:rPr>
        <w:t>. The Clinical Development Plans will be created, approved, and amended according to BI’s then-current internal standards and processes for such Clinical Development Plans. The responsibility to provide a Clinical Development Plan for a particular Product shall terminate if BI ceases further Clinical Development of such Product.</w:t>
      </w:r>
    </w:p>
    <w:p>
      <w:pPr>
        <w:spacing w:after="0" w:line="84" w:lineRule="exact"/>
        <w:rPr>
          <w:rFonts w:ascii="Arial" w:cs="Arial" w:eastAsia="Arial" w:hAnsi="Arial"/>
          <w:sz w:val="12"/>
          <w:szCs w:val="12"/>
          <w:color w:val="auto"/>
        </w:rPr>
      </w:pPr>
    </w:p>
    <w:p>
      <w:pPr>
        <w:ind w:left="1680" w:hanging="187"/>
        <w:spacing w:after="0"/>
        <w:tabs>
          <w:tab w:leader="none" w:pos="1680" w:val="left"/>
        </w:tabs>
        <w:numPr>
          <w:ilvl w:val="0"/>
          <w:numId w:val="432"/>
        </w:numPr>
        <w:rPr>
          <w:rFonts w:ascii="Arial" w:cs="Arial" w:eastAsia="Arial" w:hAnsi="Arial"/>
          <w:sz w:val="12"/>
          <w:szCs w:val="12"/>
          <w:color w:val="auto"/>
        </w:rPr>
      </w:pPr>
      <w:r>
        <w:rPr>
          <w:rFonts w:ascii="Arial" w:cs="Arial" w:eastAsia="Arial" w:hAnsi="Arial"/>
          <w:sz w:val="12"/>
          <w:szCs w:val="12"/>
          <w:u w:val="single" w:color="auto"/>
          <w:color w:val="auto"/>
        </w:rPr>
        <w:t>Progress Reports</w:t>
      </w:r>
      <w:r>
        <w:rPr>
          <w:rFonts w:ascii="Arial" w:cs="Arial" w:eastAsia="Arial" w:hAnsi="Arial"/>
          <w:sz w:val="12"/>
          <w:szCs w:val="12"/>
          <w:color w:val="auto"/>
        </w:rPr>
        <w:t xml:space="preserve">. After the end of the Research Term and continuing until the First Commercial Sale of the respective SOPD Candidate or Product, BI shall provide within </w:t>
      </w:r>
      <w:r>
        <w:rPr>
          <w:rFonts w:ascii="Arial" w:cs="Arial" w:eastAsia="Arial" w:hAnsi="Arial"/>
          <w:sz w:val="12"/>
          <w:szCs w:val="12"/>
          <w:b w:val="1"/>
          <w:bCs w:val="1"/>
          <w:color w:val="auto"/>
        </w:rPr>
        <w:t>***</w:t>
      </w:r>
    </w:p>
    <w:p>
      <w:pPr>
        <w:spacing w:after="0" w:line="37" w:lineRule="exact"/>
        <w:rPr>
          <w:rFonts w:ascii="Arial" w:cs="Arial" w:eastAsia="Arial" w:hAnsi="Arial"/>
          <w:sz w:val="12"/>
          <w:szCs w:val="12"/>
          <w:color w:val="auto"/>
        </w:rPr>
      </w:pPr>
    </w:p>
    <w:p>
      <w:pPr>
        <w:ind w:right="20"/>
        <w:spacing w:after="0" w:line="258" w:lineRule="auto"/>
        <w:rPr>
          <w:rFonts w:ascii="Arial" w:cs="Arial" w:eastAsia="Arial" w:hAnsi="Arial"/>
          <w:sz w:val="12"/>
          <w:szCs w:val="12"/>
          <w:color w:val="auto"/>
        </w:rPr>
      </w:pPr>
      <w:r>
        <w:rPr>
          <w:rFonts w:ascii="Arial" w:cs="Arial" w:eastAsia="Arial" w:hAnsi="Arial"/>
          <w:sz w:val="14"/>
          <w:szCs w:val="14"/>
          <w:color w:val="auto"/>
        </w:rPr>
        <w:t xml:space="preserve">days after *** of each Calendar Year a written progress report to MacroGenics which summarizes the activities undertaken and the data obtained in the prior </w:t>
      </w:r>
      <w:r>
        <w:rPr>
          <w:rFonts w:ascii="Arial" w:cs="Arial" w:eastAsia="Arial" w:hAnsi="Arial"/>
          <w:sz w:val="14"/>
          <w:szCs w:val="14"/>
          <w:b w:val="1"/>
          <w:bCs w:val="1"/>
          <w:color w:val="auto"/>
        </w:rPr>
        <w:t>***</w:t>
      </w:r>
      <w:r>
        <w:rPr>
          <w:rFonts w:ascii="Arial" w:cs="Arial" w:eastAsia="Arial" w:hAnsi="Arial"/>
          <w:sz w:val="14"/>
          <w:szCs w:val="14"/>
          <w:color w:val="auto"/>
        </w:rPr>
        <w:t xml:space="preserve"> to Develop each SOPD Candidate or Product for which BI has paid a milestone according to Section 6.4(a)(i).</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3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82" w:name="page483"/>
    <w:bookmarkEnd w:id="482"/>
    <w:p>
      <w:pPr>
        <w:ind w:right="100" w:firstLine="917"/>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4.3 </w:t>
      </w:r>
      <w:r>
        <w:rPr>
          <w:rFonts w:ascii="Arial" w:cs="Arial" w:eastAsia="Arial" w:hAnsi="Arial"/>
          <w:sz w:val="14"/>
          <w:szCs w:val="14"/>
          <w:u w:val="single" w:color="auto"/>
          <w:color w:val="auto"/>
        </w:rPr>
        <w:t>Conduct of Phase I Clinical Trial</w:t>
      </w:r>
      <w:r>
        <w:rPr>
          <w:rFonts w:ascii="Arial" w:cs="Arial" w:eastAsia="Arial" w:hAnsi="Arial"/>
          <w:sz w:val="14"/>
          <w:szCs w:val="14"/>
          <w:color w:val="auto"/>
        </w:rPr>
        <w:t xml:space="preserve">. In the event that either Party reasonably desires for ***, such Party shall submit a written request to the other Party, together with a draft protocol, clinical plan and a proposed budget prepared in good faith by such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t>
      </w:r>
      <w:r>
        <w:rPr>
          <w:rFonts w:ascii="Arial" w:cs="Arial" w:eastAsia="Arial" w:hAnsi="Arial"/>
          <w:sz w:val="14"/>
          <w:szCs w:val="14"/>
          <w:b w:val="1"/>
          <w:bCs w:val="1"/>
          <w:color w:val="auto"/>
        </w:rPr>
        <w:t>***</w:t>
      </w:r>
      <w:r>
        <w:rPr>
          <w:rFonts w:ascii="Arial" w:cs="Arial" w:eastAsia="Arial" w:hAnsi="Arial"/>
          <w:sz w:val="14"/>
          <w:szCs w:val="14"/>
          <w:color w:val="auto"/>
        </w:rPr>
        <w:t>. In the event that the Parties agree to the conduct of such ***, the Parties shall establish the JDC in accordance with Section 2.3(b). *** its out-of-pocket expenses, specifically identifiable and documented and FTE costs incurred in connection with any such ***. Together with each Invoice, ***. For avoidance of doubt, ***. All results and data of such ***.</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Co-Development</w:t>
      </w:r>
      <w:r>
        <w:rPr>
          <w:rFonts w:ascii="Arial" w:cs="Arial" w:eastAsia="Arial" w:hAnsi="Arial"/>
          <w:sz w:val="14"/>
          <w:szCs w:val="14"/>
          <w:color w:val="auto"/>
        </w:rPr>
        <w:t>.</w:t>
      </w:r>
    </w:p>
    <w:p>
      <w:pPr>
        <w:spacing w:after="0" w:line="130" w:lineRule="exact"/>
        <w:rPr>
          <w:sz w:val="20"/>
          <w:szCs w:val="20"/>
          <w:color w:val="auto"/>
        </w:rPr>
      </w:pPr>
    </w:p>
    <w:p>
      <w:pPr>
        <w:ind w:left="1680" w:hanging="187"/>
        <w:spacing w:after="0"/>
        <w:tabs>
          <w:tab w:leader="none" w:pos="1680" w:val="left"/>
        </w:tabs>
        <w:numPr>
          <w:ilvl w:val="1"/>
          <w:numId w:val="434"/>
        </w:numPr>
        <w:rPr>
          <w:rFonts w:ascii="Arial" w:cs="Arial" w:eastAsia="Arial" w:hAnsi="Arial"/>
          <w:sz w:val="12"/>
          <w:szCs w:val="12"/>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xml:space="preserv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months prior to the initiation of a </w:t>
      </w:r>
      <w:r>
        <w:rPr>
          <w:rFonts w:ascii="Arial" w:cs="Arial" w:eastAsia="Arial" w:hAnsi="Arial"/>
          <w:sz w:val="12"/>
          <w:szCs w:val="12"/>
          <w:b w:val="1"/>
          <w:bCs w:val="1"/>
          <w:color w:val="auto"/>
        </w:rPr>
        <w:t>***</w:t>
      </w:r>
      <w:r>
        <w:rPr>
          <w:rFonts w:ascii="Arial" w:cs="Arial" w:eastAsia="Arial" w:hAnsi="Arial"/>
          <w:sz w:val="12"/>
          <w:szCs w:val="12"/>
          <w:color w:val="auto"/>
        </w:rPr>
        <w:t xml:space="preserve"> for any Product, BI shall provide MacroGenics with (i) an updated progress report (in accordance with Section 4.2(b));</w:t>
      </w:r>
    </w:p>
    <w:p>
      <w:pPr>
        <w:spacing w:after="0" w:line="37" w:lineRule="exact"/>
        <w:rPr>
          <w:rFonts w:ascii="Arial" w:cs="Arial" w:eastAsia="Arial" w:hAnsi="Arial"/>
          <w:sz w:val="12"/>
          <w:szCs w:val="12"/>
          <w:color w:val="auto"/>
        </w:rPr>
      </w:pPr>
    </w:p>
    <w:p>
      <w:pPr>
        <w:ind w:right="80" w:firstLine="4"/>
        <w:spacing w:after="0" w:line="290" w:lineRule="auto"/>
        <w:tabs>
          <w:tab w:leader="none" w:pos="200" w:val="left"/>
        </w:tabs>
        <w:numPr>
          <w:ilvl w:val="0"/>
          <w:numId w:val="435"/>
        </w:numPr>
        <w:rPr>
          <w:rFonts w:ascii="Arial" w:cs="Arial" w:eastAsia="Arial" w:hAnsi="Arial"/>
          <w:sz w:val="12"/>
          <w:szCs w:val="12"/>
          <w:color w:val="auto"/>
        </w:rPr>
      </w:pPr>
      <w:r>
        <w:rPr>
          <w:rFonts w:ascii="Arial" w:cs="Arial" w:eastAsia="Arial" w:hAnsi="Arial"/>
          <w:sz w:val="12"/>
          <w:szCs w:val="12"/>
          <w:color w:val="auto"/>
        </w:rPr>
        <w:t>BI’s then current Development Plan and budget for the Clinical Development Costs (the “</w:t>
      </w:r>
      <w:r>
        <w:rPr>
          <w:rFonts w:ascii="Arial" w:cs="Arial" w:eastAsia="Arial" w:hAnsi="Arial"/>
          <w:sz w:val="12"/>
          <w:szCs w:val="12"/>
          <w:u w:val="single" w:color="auto"/>
          <w:color w:val="auto"/>
        </w:rPr>
        <w:t>Co-Development Budget</w:t>
      </w:r>
      <w:r>
        <w:rPr>
          <w:rFonts w:ascii="Arial" w:cs="Arial" w:eastAsia="Arial" w:hAnsi="Arial"/>
          <w:sz w:val="12"/>
          <w:szCs w:val="12"/>
          <w:color w:val="auto"/>
        </w:rPr>
        <w:t>”) with respect to such Product; (iii) then available documentation for IND update for such Product, and MacroGenics may reasonably request that BI provides additional information to such Product and BI shall provide MacroGenics with such information as reasonably available for such Product unless such information is proprietary and confidential information of BI related to BI Biopharmaceutical Technology; (iv) clinical study summaries from prior Clinical Trials conducted with such Product; and</w:t>
      </w:r>
    </w:p>
    <w:p>
      <w:pPr>
        <w:spacing w:after="0" w:line="1" w:lineRule="exact"/>
        <w:rPr>
          <w:rFonts w:ascii="Arial" w:cs="Arial" w:eastAsia="Arial" w:hAnsi="Arial"/>
          <w:sz w:val="12"/>
          <w:szCs w:val="12"/>
          <w:color w:val="auto"/>
        </w:rPr>
      </w:pPr>
    </w:p>
    <w:p>
      <w:pPr>
        <w:ind w:right="80" w:firstLine="4"/>
        <w:spacing w:after="0" w:line="300" w:lineRule="auto"/>
        <w:tabs>
          <w:tab w:leader="none" w:pos="192" w:val="left"/>
        </w:tabs>
        <w:numPr>
          <w:ilvl w:val="0"/>
          <w:numId w:val="436"/>
        </w:numPr>
        <w:rPr>
          <w:rFonts w:ascii="Arial" w:cs="Arial" w:eastAsia="Arial" w:hAnsi="Arial"/>
          <w:sz w:val="12"/>
          <w:szCs w:val="12"/>
          <w:color w:val="auto"/>
        </w:rPr>
      </w:pPr>
      <w:r>
        <w:rPr>
          <w:rFonts w:ascii="Arial" w:cs="Arial" w:eastAsia="Arial" w:hAnsi="Arial"/>
          <w:sz w:val="12"/>
          <w:szCs w:val="12"/>
          <w:color w:val="auto"/>
        </w:rPr>
        <w:t>copies of material correspondence with Regulatory Authorities with respect to such Product relevant for *** (collectively, the “</w:t>
      </w:r>
      <w:r>
        <w:rPr>
          <w:rFonts w:ascii="Arial" w:cs="Arial" w:eastAsia="Arial" w:hAnsi="Arial"/>
          <w:sz w:val="12"/>
          <w:szCs w:val="12"/>
          <w:u w:val="single" w:color="auto"/>
          <w:color w:val="auto"/>
        </w:rPr>
        <w:t>Development Data Package</w:t>
      </w:r>
      <w:r>
        <w:rPr>
          <w:rFonts w:ascii="Arial" w:cs="Arial" w:eastAsia="Arial" w:hAnsi="Arial"/>
          <w:sz w:val="12"/>
          <w:szCs w:val="12"/>
          <w:color w:val="auto"/>
        </w:rPr>
        <w:t xml:space="preserve">”). MacroGenics shall have the option, exercisable with respect to </w:t>
      </w:r>
      <w:r>
        <w:rPr>
          <w:rFonts w:ascii="Arial" w:cs="Arial" w:eastAsia="Arial" w:hAnsi="Arial"/>
          <w:sz w:val="12"/>
          <w:szCs w:val="12"/>
          <w:b w:val="1"/>
          <w:bCs w:val="1"/>
          <w:color w:val="auto"/>
        </w:rPr>
        <w:t>***</w:t>
      </w:r>
      <w:r>
        <w:rPr>
          <w:rFonts w:ascii="Arial" w:cs="Arial" w:eastAsia="Arial" w:hAnsi="Arial"/>
          <w:sz w:val="12"/>
          <w:szCs w:val="12"/>
          <w:color w:val="auto"/>
        </w:rPr>
        <w:t xml:space="preserve"> Products, to co-fund up to </w:t>
      </w:r>
      <w:r>
        <w:rPr>
          <w:rFonts w:ascii="Arial" w:cs="Arial" w:eastAsia="Arial" w:hAnsi="Arial"/>
          <w:sz w:val="12"/>
          <w:szCs w:val="12"/>
          <w:b w:val="1"/>
          <w:bCs w:val="1"/>
          <w:color w:val="auto"/>
        </w:rPr>
        <w:t>***</w:t>
      </w:r>
      <w:r>
        <w:rPr>
          <w:rFonts w:ascii="Arial" w:cs="Arial" w:eastAsia="Arial" w:hAnsi="Arial"/>
          <w:sz w:val="12"/>
          <w:szCs w:val="12"/>
          <w:color w:val="auto"/>
        </w:rPr>
        <w:t xml:space="preserve"> of BI’s Clinical Development Costs which are incurred after the date of such written notice and *** for such Product. MacroGenics may exercise such option by providing BI written notice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after receipt of the Development Data Package, and such Product shall be deemed to be a “</w:t>
      </w:r>
      <w:r>
        <w:rPr>
          <w:rFonts w:ascii="Arial" w:cs="Arial" w:eastAsia="Arial" w:hAnsi="Arial"/>
          <w:sz w:val="12"/>
          <w:szCs w:val="12"/>
          <w:u w:val="single" w:color="auto"/>
          <w:color w:val="auto"/>
        </w:rPr>
        <w:t>Co-Development Product</w:t>
      </w:r>
      <w:r>
        <w:rPr>
          <w:rFonts w:ascii="Arial" w:cs="Arial" w:eastAsia="Arial" w:hAnsi="Arial"/>
          <w:sz w:val="12"/>
          <w:szCs w:val="12"/>
          <w:color w:val="auto"/>
        </w:rPr>
        <w:t>”. MacroGenics shall specify in such notice the percentage of BI’s Clinical Development Costs for the Co-Development Product that MacroGenics intends to co-fund (the “</w:t>
      </w:r>
      <w:r>
        <w:rPr>
          <w:rFonts w:ascii="Arial" w:cs="Arial" w:eastAsia="Arial" w:hAnsi="Arial"/>
          <w:sz w:val="12"/>
          <w:szCs w:val="12"/>
          <w:u w:val="single" w:color="auto"/>
          <w:color w:val="auto"/>
        </w:rPr>
        <w:t>MacroGenics Shared Percentage</w:t>
      </w:r>
      <w:r>
        <w:rPr>
          <w:rFonts w:ascii="Arial" w:cs="Arial" w:eastAsia="Arial" w:hAnsi="Arial"/>
          <w:sz w:val="12"/>
          <w:szCs w:val="12"/>
          <w:color w:val="auto"/>
        </w:rPr>
        <w:t xml:space="preserve">”). In the event, MacroGenics does not provide a written notification to BI within such </w:t>
      </w:r>
      <w:r>
        <w:rPr>
          <w:rFonts w:ascii="Arial" w:cs="Arial" w:eastAsia="Arial" w:hAnsi="Arial"/>
          <w:sz w:val="12"/>
          <w:szCs w:val="12"/>
          <w:b w:val="1"/>
          <w:bCs w:val="1"/>
          <w:color w:val="auto"/>
        </w:rPr>
        <w:t>***</w:t>
      </w:r>
      <w:r>
        <w:rPr>
          <w:rFonts w:ascii="Arial" w:cs="Arial" w:eastAsia="Arial" w:hAnsi="Arial"/>
          <w:sz w:val="12"/>
          <w:szCs w:val="12"/>
          <w:color w:val="auto"/>
        </w:rPr>
        <w:t>day period, such Product will automatically be excluded from such co-development option under this Section 4.4 and MacroGenics shall automatically be deemed to have waived its co-development option right with regard to such Product.</w:t>
      </w:r>
    </w:p>
    <w:p>
      <w:pPr>
        <w:spacing w:after="0" w:line="87" w:lineRule="exact"/>
        <w:rPr>
          <w:rFonts w:ascii="Arial" w:cs="Arial" w:eastAsia="Arial" w:hAnsi="Arial"/>
          <w:sz w:val="12"/>
          <w:szCs w:val="12"/>
          <w:color w:val="auto"/>
        </w:rPr>
      </w:pPr>
    </w:p>
    <w:p>
      <w:pPr>
        <w:ind w:left="1680" w:hanging="187"/>
        <w:spacing w:after="0"/>
        <w:tabs>
          <w:tab w:leader="none" w:pos="1680" w:val="left"/>
        </w:tabs>
        <w:numPr>
          <w:ilvl w:val="1"/>
          <w:numId w:val="436"/>
        </w:numPr>
        <w:rPr>
          <w:rFonts w:ascii="Arial" w:cs="Arial" w:eastAsia="Arial" w:hAnsi="Arial"/>
          <w:sz w:val="14"/>
          <w:szCs w:val="14"/>
          <w:color w:val="auto"/>
        </w:rPr>
      </w:pPr>
      <w:r>
        <w:rPr>
          <w:rFonts w:ascii="Arial" w:cs="Arial" w:eastAsia="Arial" w:hAnsi="Arial"/>
          <w:sz w:val="14"/>
          <w:szCs w:val="14"/>
          <w:u w:val="single" w:color="auto"/>
          <w:color w:val="auto"/>
        </w:rPr>
        <w:t>Effects of Co-Development Opt-In</w:t>
      </w:r>
      <w:r>
        <w:rPr>
          <w:rFonts w:ascii="Arial" w:cs="Arial" w:eastAsia="Arial" w:hAnsi="Arial"/>
          <w:sz w:val="14"/>
          <w:szCs w:val="14"/>
          <w:color w:val="auto"/>
        </w:rPr>
        <w:t>. If MacroGenics delivers such written notice as described above for a Co-Development Product, the following shall apply:</w:t>
      </w:r>
    </w:p>
    <w:p>
      <w:pPr>
        <w:spacing w:after="0" w:line="68" w:lineRule="exact"/>
        <w:rPr>
          <w:rFonts w:ascii="Arial" w:cs="Arial" w:eastAsia="Arial" w:hAnsi="Arial"/>
          <w:sz w:val="14"/>
          <w:szCs w:val="14"/>
          <w:color w:val="auto"/>
        </w:rPr>
      </w:pPr>
    </w:p>
    <w:p>
      <w:pPr>
        <w:ind w:left="1500" w:right="300" w:firstLine="392"/>
        <w:spacing w:after="0" w:line="305" w:lineRule="auto"/>
        <w:tabs>
          <w:tab w:leader="none" w:pos="2061" w:val="left"/>
        </w:tabs>
        <w:numPr>
          <w:ilvl w:val="2"/>
          <w:numId w:val="436"/>
        </w:numPr>
        <w:rPr>
          <w:rFonts w:ascii="Arial" w:cs="Arial" w:eastAsia="Arial" w:hAnsi="Arial"/>
          <w:sz w:val="12"/>
          <w:szCs w:val="12"/>
          <w:color w:val="auto"/>
        </w:rPr>
      </w:pPr>
      <w:r>
        <w:rPr>
          <w:rFonts w:ascii="Arial" w:cs="Arial" w:eastAsia="Arial" w:hAnsi="Arial"/>
          <w:sz w:val="12"/>
          <w:szCs w:val="12"/>
          <w:color w:val="auto"/>
        </w:rPr>
        <w:t>MacroGenics shall be responsible for the applicable MacroGenics Shared Percentage of BI’s Clinical Development Costs which are incurred for such Co-Development Product after the date of such written notice and until the Filing of the first NDA in a Major Country (including Filing of an NDA with the EMA) for such Product (the “</w:t>
      </w:r>
      <w:r>
        <w:rPr>
          <w:rFonts w:ascii="Arial" w:cs="Arial" w:eastAsia="Arial" w:hAnsi="Arial"/>
          <w:sz w:val="12"/>
          <w:szCs w:val="12"/>
          <w:u w:val="single" w:color="auto"/>
          <w:color w:val="auto"/>
        </w:rPr>
        <w:t>Co-Development Obligations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in no event shall MacroGenics be obligated to fund any portion of such Clinical Development Costs that exceeds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Clinical Development Costs provided for in the Co-Development Budget (with a corresponding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reduction in the royalty increase MacroGenics would receive as set forth in more detail in Section 4.4(b)(iii)). BI shall remain solely responsible for Development and manufacturing activities for such Co-Development Product.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3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83" w:name="page484"/>
    <w:bookmarkEnd w:id="483"/>
    <w:p>
      <w:pPr>
        <w:ind w:left="1460" w:right="80" w:firstLine="392"/>
        <w:spacing w:after="0" w:line="292" w:lineRule="auto"/>
        <w:tabs>
          <w:tab w:leader="none" w:pos="2059" w:val="left"/>
        </w:tabs>
        <w:numPr>
          <w:ilvl w:val="1"/>
          <w:numId w:val="43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After MacroGenics has delivered such written notice and within *** following each of the Calendar Quarters I (January to March), II (April to June), and III (July to September), BI shall issue an invoice to MacroGenics for the MacroGenics Shared Percentage of the Clinical Development Costs based on budgeted cost for the respective Calendar Quarter. Within *** following the end of the Calendar Quarter IV (October to December), BI shall provide to MacroGenics *** with respect to such Co-Development Product, as certified by BI’s senior controlling staff. Simultaneously, BI shall issue an invoice in the amount of the MacroGenics Shared Percentage of the Clinical Development Costs actually incurred by BI for such Calendar Year deducting the payments received for Calendar Quarters I, II and III. In the event the actual Clinical Development Costs for the Calendar Year surpass the budgeted amount by more than </w:t>
      </w:r>
      <w:r>
        <w:rPr>
          <w:rFonts w:ascii="Arial" w:cs="Arial" w:eastAsia="Arial" w:hAnsi="Arial"/>
          <w:sz w:val="12"/>
          <w:szCs w:val="12"/>
          <w:b w:val="1"/>
          <w:bCs w:val="1"/>
          <w:color w:val="auto"/>
        </w:rPr>
        <w:t>***</w:t>
      </w:r>
      <w:r>
        <w:rPr>
          <w:rFonts w:ascii="Arial" w:cs="Arial" w:eastAsia="Arial" w:hAnsi="Arial"/>
          <w:sz w:val="12"/>
          <w:szCs w:val="12"/>
          <w:color w:val="auto"/>
        </w:rPr>
        <w:t>, the stipulations of Section 4.4(b)(i) will apply. MacroGenics shall pay all amounts payable under any such invoice within thirty</w:t>
      </w:r>
    </w:p>
    <w:p>
      <w:pPr>
        <w:spacing w:after="0" w:line="1" w:lineRule="exact"/>
        <w:rPr>
          <w:rFonts w:ascii="Arial" w:cs="Arial" w:eastAsia="Arial" w:hAnsi="Arial"/>
          <w:sz w:val="12"/>
          <w:szCs w:val="12"/>
          <w:color w:val="auto"/>
        </w:rPr>
      </w:pPr>
    </w:p>
    <w:p>
      <w:pPr>
        <w:ind w:left="1720" w:hanging="267"/>
        <w:spacing w:after="0"/>
        <w:tabs>
          <w:tab w:leader="none" w:pos="1720" w:val="left"/>
        </w:tabs>
        <w:numPr>
          <w:ilvl w:val="0"/>
          <w:numId w:val="439"/>
        </w:numPr>
        <w:rPr>
          <w:rFonts w:ascii="Arial" w:cs="Arial" w:eastAsia="Arial" w:hAnsi="Arial"/>
          <w:sz w:val="14"/>
          <w:szCs w:val="14"/>
          <w:color w:val="auto"/>
        </w:rPr>
      </w:pPr>
      <w:r>
        <w:rPr>
          <w:rFonts w:ascii="Arial" w:cs="Arial" w:eastAsia="Arial" w:hAnsi="Arial"/>
          <w:sz w:val="14"/>
          <w:szCs w:val="14"/>
          <w:color w:val="auto"/>
        </w:rPr>
        <w:t>days after its receipt of such invoice. ***.</w:t>
      </w:r>
    </w:p>
    <w:p>
      <w:pPr>
        <w:spacing w:after="0" w:line="60" w:lineRule="exact"/>
        <w:rPr>
          <w:rFonts w:ascii="Arial" w:cs="Arial" w:eastAsia="Arial" w:hAnsi="Arial"/>
          <w:sz w:val="14"/>
          <w:szCs w:val="14"/>
          <w:color w:val="auto"/>
        </w:rPr>
      </w:pPr>
    </w:p>
    <w:p>
      <w:pPr>
        <w:ind w:left="1460" w:right="60" w:firstLine="392"/>
        <w:spacing w:after="0" w:line="295" w:lineRule="auto"/>
        <w:tabs>
          <w:tab w:leader="none" w:pos="2097" w:val="left"/>
        </w:tabs>
        <w:numPr>
          <w:ilvl w:val="1"/>
          <w:numId w:val="439"/>
        </w:numPr>
        <w:rPr>
          <w:rFonts w:ascii="Arial" w:cs="Arial" w:eastAsia="Arial" w:hAnsi="Arial"/>
          <w:sz w:val="12"/>
          <w:szCs w:val="12"/>
          <w:color w:val="auto"/>
        </w:rPr>
      </w:pPr>
      <w:r>
        <w:rPr>
          <w:rFonts w:ascii="Arial" w:cs="Arial" w:eastAsia="Arial" w:hAnsi="Arial"/>
          <w:sz w:val="12"/>
          <w:szCs w:val="12"/>
          <w:color w:val="auto"/>
        </w:rPr>
        <w:t xml:space="preserve">The applicable royalty rates set forth in Section 6.6 payable on each Co-Development Product shall be increased by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Clinical Development Cost co-funded by MacroGenics. For example, if MacroGenics co-funds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Clinical Development Costs for such Co-Development Product, the applicable *** by </w:t>
      </w:r>
      <w:r>
        <w:rPr>
          <w:rFonts w:ascii="Arial" w:cs="Arial" w:eastAsia="Arial" w:hAnsi="Arial"/>
          <w:sz w:val="12"/>
          <w:szCs w:val="12"/>
          <w:b w:val="1"/>
          <w:bCs w:val="1"/>
          <w:color w:val="auto"/>
        </w:rPr>
        <w:t>***</w:t>
      </w:r>
      <w:r>
        <w:rPr>
          <w:rFonts w:ascii="Arial" w:cs="Arial" w:eastAsia="Arial" w:hAnsi="Arial"/>
          <w:sz w:val="12"/>
          <w:szCs w:val="12"/>
          <w:color w:val="auto"/>
        </w:rPr>
        <w:t>. If MacroGenics co-funds less than the MacroGenics Shared Percentage of the Clinical Development Costs for a Co-Development Product because actual expenses exceeded BI’s budget forecast by more than</w:t>
      </w:r>
    </w:p>
    <w:p>
      <w:pPr>
        <w:ind w:left="1460" w:right="40"/>
        <w:spacing w:after="0" w:line="258" w:lineRule="auto"/>
        <w:rPr>
          <w:rFonts w:ascii="Arial" w:cs="Arial" w:eastAsia="Arial" w:hAnsi="Arial"/>
          <w:sz w:val="12"/>
          <w:szCs w:val="12"/>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of the Clinical Development Costs for such Co-Development Product, then MacroGenics shall receive *** on such Co-Development Product based on its percentage share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actual Clinical Development Costs in accordance with the formula set forth in this Section 4.4(b)(iii).</w:t>
      </w:r>
    </w:p>
    <w:p>
      <w:pPr>
        <w:spacing w:after="0" w:line="106" w:lineRule="exact"/>
        <w:rPr>
          <w:sz w:val="20"/>
          <w:szCs w:val="20"/>
          <w:color w:val="auto"/>
        </w:rPr>
      </w:pPr>
    </w:p>
    <w:p>
      <w:pPr>
        <w:ind w:left="-40" w:right="120" w:firstLine="1493"/>
        <w:spacing w:after="0" w:line="270" w:lineRule="auto"/>
        <w:tabs>
          <w:tab w:leader="none" w:pos="1635" w:val="left"/>
        </w:tabs>
        <w:numPr>
          <w:ilvl w:val="0"/>
          <w:numId w:val="440"/>
        </w:numPr>
        <w:rPr>
          <w:rFonts w:ascii="Arial" w:cs="Arial" w:eastAsia="Arial" w:hAnsi="Arial"/>
          <w:sz w:val="14"/>
          <w:szCs w:val="14"/>
          <w:color w:val="auto"/>
        </w:rPr>
      </w:pPr>
      <w:r>
        <w:rPr>
          <w:rFonts w:ascii="Arial" w:cs="Arial" w:eastAsia="Arial" w:hAnsi="Arial"/>
          <w:sz w:val="14"/>
          <w:szCs w:val="14"/>
          <w:u w:val="single" w:color="auto"/>
          <w:color w:val="auto"/>
        </w:rPr>
        <w:t>Termination of Co-Development</w:t>
      </w:r>
      <w:r>
        <w:rPr>
          <w:rFonts w:ascii="Arial" w:cs="Arial" w:eastAsia="Arial" w:hAnsi="Arial"/>
          <w:sz w:val="14"/>
          <w:szCs w:val="14"/>
          <w:color w:val="auto"/>
        </w:rPr>
        <w:t xml:space="preserve">. Upon not less than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written notice to BI, MacroGenics may elect to discontinue its Co-Development Obligations with respect to a Co-Development Product in which case the following shall apply:</w:t>
      </w:r>
    </w:p>
    <w:p>
      <w:pPr>
        <w:spacing w:after="0" w:line="36" w:lineRule="exact"/>
        <w:rPr>
          <w:rFonts w:ascii="Arial" w:cs="Arial" w:eastAsia="Arial" w:hAnsi="Arial"/>
          <w:sz w:val="14"/>
          <w:szCs w:val="14"/>
          <w:color w:val="auto"/>
        </w:rPr>
      </w:pPr>
    </w:p>
    <w:p>
      <w:pPr>
        <w:ind w:left="1460" w:right="80" w:firstLine="392"/>
        <w:spacing w:after="0" w:line="267" w:lineRule="auto"/>
        <w:tabs>
          <w:tab w:leader="none" w:pos="2021" w:val="left"/>
        </w:tabs>
        <w:numPr>
          <w:ilvl w:val="1"/>
          <w:numId w:val="440"/>
        </w:numPr>
        <w:rPr>
          <w:rFonts w:ascii="Arial" w:cs="Arial" w:eastAsia="Arial" w:hAnsi="Arial"/>
          <w:sz w:val="14"/>
          <w:szCs w:val="14"/>
          <w:color w:val="auto"/>
        </w:rPr>
      </w:pPr>
      <w:r>
        <w:rPr>
          <w:rFonts w:ascii="Arial" w:cs="Arial" w:eastAsia="Arial" w:hAnsi="Arial"/>
          <w:sz w:val="14"/>
          <w:szCs w:val="14"/>
          <w:color w:val="auto"/>
        </w:rPr>
        <w:t>Upon the effective date of termination of the Co-Development Obligations, MacroGenics shall have no further obligations to co-fund the Clinical Development Costs with respect to such Co-Development Product.</w:t>
      </w:r>
    </w:p>
    <w:p>
      <w:pPr>
        <w:spacing w:after="0" w:line="38" w:lineRule="exact"/>
        <w:rPr>
          <w:rFonts w:ascii="Arial" w:cs="Arial" w:eastAsia="Arial" w:hAnsi="Arial"/>
          <w:sz w:val="14"/>
          <w:szCs w:val="14"/>
          <w:color w:val="auto"/>
        </w:rPr>
      </w:pPr>
    </w:p>
    <w:p>
      <w:pPr>
        <w:ind w:left="2060" w:hanging="208"/>
        <w:spacing w:after="0"/>
        <w:tabs>
          <w:tab w:leader="none" w:pos="2060" w:val="left"/>
        </w:tabs>
        <w:numPr>
          <w:ilvl w:val="1"/>
          <w:numId w:val="440"/>
        </w:numPr>
        <w:rPr>
          <w:rFonts w:ascii="Arial" w:cs="Arial" w:eastAsia="Arial" w:hAnsi="Arial"/>
          <w:sz w:val="14"/>
          <w:szCs w:val="14"/>
          <w:color w:val="auto"/>
        </w:rPr>
      </w:pPr>
      <w:r>
        <w:rPr>
          <w:rFonts w:ascii="Arial" w:cs="Arial" w:eastAsia="Arial" w:hAnsi="Arial"/>
          <w:sz w:val="14"/>
          <w:szCs w:val="14"/>
          <w:color w:val="auto"/>
        </w:rPr>
        <w:t>The *** payable on such Co-Development Product shall be calculated based on the formula set forth in Section 4.4(b)(iii) above.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Co-Promotion</w:t>
      </w:r>
      <w:r>
        <w:rPr>
          <w:rFonts w:ascii="Arial" w:cs="Arial" w:eastAsia="Arial" w:hAnsi="Arial"/>
          <w:sz w:val="14"/>
          <w:szCs w:val="14"/>
          <w:color w:val="auto"/>
        </w:rPr>
        <w:t>.</w:t>
      </w:r>
    </w:p>
    <w:p>
      <w:pPr>
        <w:spacing w:after="0" w:line="130" w:lineRule="exact"/>
        <w:rPr>
          <w:sz w:val="20"/>
          <w:szCs w:val="20"/>
          <w:color w:val="auto"/>
        </w:rPr>
      </w:pPr>
    </w:p>
    <w:p>
      <w:pPr>
        <w:ind w:left="-40" w:firstLine="1493"/>
        <w:spacing w:after="0" w:line="259" w:lineRule="auto"/>
        <w:tabs>
          <w:tab w:leader="none" w:pos="1635" w:val="left"/>
        </w:tabs>
        <w:numPr>
          <w:ilvl w:val="0"/>
          <w:numId w:val="441"/>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xml:space="preserve">. MacroGenics shall have the non-transferable option to co-promote in the United States up to </w:t>
      </w:r>
      <w:r>
        <w:rPr>
          <w:rFonts w:ascii="Arial" w:cs="Arial" w:eastAsia="Arial" w:hAnsi="Arial"/>
          <w:sz w:val="14"/>
          <w:szCs w:val="14"/>
          <w:b w:val="1"/>
          <w:bCs w:val="1"/>
          <w:color w:val="auto"/>
        </w:rPr>
        <w:t>***</w:t>
      </w:r>
      <w:r>
        <w:rPr>
          <w:rFonts w:ascii="Arial" w:cs="Arial" w:eastAsia="Arial" w:hAnsi="Arial"/>
          <w:sz w:val="14"/>
          <w:szCs w:val="14"/>
          <w:color w:val="auto"/>
        </w:rPr>
        <w:t xml:space="preserve"> Products whose initial indication is Detailed by *** (the “</w:t>
      </w:r>
      <w:r>
        <w:rPr>
          <w:rFonts w:ascii="Arial" w:cs="Arial" w:eastAsia="Arial" w:hAnsi="Arial"/>
          <w:sz w:val="14"/>
          <w:szCs w:val="14"/>
          <w:u w:val="single" w:color="auto"/>
          <w:color w:val="auto"/>
        </w:rPr>
        <w:t>Co-Promotion Option</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BI’s anticipated commercial launch for any such Product, BI shall provide MacroGenics *** and BI’s then-current Commercialization plans (“</w:t>
      </w:r>
      <w:r>
        <w:rPr>
          <w:rFonts w:ascii="Arial" w:cs="Arial" w:eastAsia="Arial" w:hAnsi="Arial"/>
          <w:sz w:val="14"/>
          <w:szCs w:val="14"/>
          <w:u w:val="single" w:color="auto"/>
          <w:color w:val="auto"/>
        </w:rPr>
        <w:t>Commercialization Plan</w:t>
      </w:r>
      <w:r>
        <w:rPr>
          <w:rFonts w:ascii="Arial" w:cs="Arial" w:eastAsia="Arial" w:hAnsi="Arial"/>
          <w:sz w:val="14"/>
          <w:szCs w:val="14"/>
          <w:color w:val="auto"/>
        </w:rPr>
        <w:t>”) with respect to such Product, which Commercialization Plan shall include</w:t>
      </w:r>
      <w:r>
        <w:rPr>
          <w:rFonts w:ascii="Arial" w:cs="Arial" w:eastAsia="Arial" w:hAnsi="Arial"/>
          <w:sz w:val="14"/>
          <w:szCs w:val="14"/>
          <w:b w:val="1"/>
          <w:bCs w:val="1"/>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12" w:lineRule="exact"/>
        <w:rPr>
          <w:sz w:val="20"/>
          <w:szCs w:val="20"/>
          <w:color w:val="auto"/>
        </w:rPr>
      </w:pPr>
    </w:p>
    <w:p>
      <w:pPr>
        <w:ind w:left="3800" w:right="2660" w:hanging="1135"/>
        <w:spacing w:after="0" w:line="341" w:lineRule="auto"/>
        <w:tabs>
          <w:tab w:leader="none" w:pos="2904" w:val="left"/>
        </w:tabs>
        <w:numPr>
          <w:ilvl w:val="0"/>
          <w:numId w:val="4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60" w:top="247" w:right="259" w:bottom="1440" w:gutter="0" w:footer="0" w:header="0"/>
        </w:sectPr>
      </w:pPr>
    </w:p>
    <w:bookmarkStart w:id="484" w:name="page485"/>
    <w:bookmarkEnd w:id="484"/>
    <w:p>
      <w:pPr>
        <w:ind w:right="160" w:firstLine="1493"/>
        <w:spacing w:after="0" w:line="253" w:lineRule="auto"/>
        <w:tabs>
          <w:tab w:leader="none" w:pos="1682" w:val="left"/>
        </w:tabs>
        <w:numPr>
          <w:ilvl w:val="0"/>
          <w:numId w:val="44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Effects of Exercise of Co-Promotion Option</w:t>
      </w:r>
      <w:r>
        <w:rPr>
          <w:rFonts w:ascii="Arial" w:cs="Arial" w:eastAsia="Arial" w:hAnsi="Arial"/>
          <w:sz w:val="14"/>
          <w:szCs w:val="14"/>
          <w:color w:val="auto"/>
        </w:rPr>
        <w:t xml:space="preserve">. If MacroGenics exercises its Co-Promotion Option the Parties shall promptly and in good faith negotiate a definitive co-promotion agreement consistent with the terms and conditions outlined in </w:t>
      </w:r>
      <w:r>
        <w:rPr>
          <w:rFonts w:ascii="Arial" w:cs="Arial" w:eastAsia="Arial" w:hAnsi="Arial"/>
          <w:sz w:val="14"/>
          <w:szCs w:val="14"/>
          <w:u w:val="single" w:color="auto"/>
          <w:color w:val="auto"/>
        </w:rPr>
        <w:t>Schedule 4.5(b)I</w:t>
      </w:r>
      <w:r>
        <w:rPr>
          <w:rFonts w:ascii="Arial" w:cs="Arial" w:eastAsia="Arial" w:hAnsi="Arial"/>
          <w:sz w:val="14"/>
          <w:szCs w:val="14"/>
          <w:color w:val="auto"/>
        </w:rPr>
        <w:t xml:space="preserve">, prior to the initiation of the co-promotion efforts contemplated hereby with the procedures described in </w:t>
      </w:r>
      <w:r>
        <w:rPr>
          <w:rFonts w:ascii="Arial" w:cs="Arial" w:eastAsia="Arial" w:hAnsi="Arial"/>
          <w:sz w:val="14"/>
          <w:szCs w:val="14"/>
          <w:u w:val="single" w:color="auto"/>
          <w:color w:val="auto"/>
        </w:rPr>
        <w:t>Schedule 4.5(b)II</w:t>
      </w:r>
      <w:r>
        <w:rPr>
          <w:rFonts w:ascii="Arial" w:cs="Arial" w:eastAsia="Arial" w:hAnsi="Arial"/>
          <w:sz w:val="14"/>
          <w:szCs w:val="14"/>
          <w:color w:val="auto"/>
        </w:rPr>
        <w:t xml:space="preserve"> applying to any failure by the Parties to agree on the terms of such separate agreement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following the start of such negotiations. Such co-promotion agreement shall require MacroGenics to comply with all applicable Laws and with BI’s policies and guidelines relating to the marketing of the co-promoted Product. Notwithstanding the foregoing, in the event that a Product for which MacroGenics exercised its Co-Promotion Option ***.</w:t>
      </w:r>
    </w:p>
    <w:p>
      <w:pPr>
        <w:spacing w:after="0" w:line="112" w:lineRule="exact"/>
        <w:rPr>
          <w:rFonts w:ascii="Arial" w:cs="Arial" w:eastAsia="Arial" w:hAnsi="Arial"/>
          <w:sz w:val="14"/>
          <w:szCs w:val="14"/>
          <w:color w:val="auto"/>
        </w:rPr>
      </w:pPr>
    </w:p>
    <w:p>
      <w:pPr>
        <w:ind w:right="80" w:firstLine="1493"/>
        <w:spacing w:after="0" w:line="258" w:lineRule="auto"/>
        <w:tabs>
          <w:tab w:leader="none" w:pos="1675" w:val="left"/>
        </w:tabs>
        <w:numPr>
          <w:ilvl w:val="0"/>
          <w:numId w:val="443"/>
        </w:numPr>
        <w:rPr>
          <w:rFonts w:ascii="Arial" w:cs="Arial" w:eastAsia="Arial" w:hAnsi="Arial"/>
          <w:sz w:val="14"/>
          <w:szCs w:val="14"/>
          <w:color w:val="auto"/>
        </w:rPr>
      </w:pPr>
      <w:r>
        <w:rPr>
          <w:rFonts w:ascii="Arial" w:cs="Arial" w:eastAsia="Arial" w:hAnsi="Arial"/>
          <w:sz w:val="14"/>
          <w:szCs w:val="14"/>
          <w:u w:val="single" w:color="auto"/>
          <w:color w:val="auto"/>
        </w:rPr>
        <w:t>Waiver of Co-Promotion Option</w:t>
      </w:r>
      <w:r>
        <w:rPr>
          <w:rFonts w:ascii="Arial" w:cs="Arial" w:eastAsia="Arial" w:hAnsi="Arial"/>
          <w:sz w:val="14"/>
          <w:szCs w:val="14"/>
          <w:color w:val="auto"/>
        </w:rPr>
        <w:t>. In the event MacroGenics does not exercise its Co-Promotion Option during the specified period described above, then (i) MacroGenics shall automatically be deemed to have waived its Co-Promotion Option with regard to the applicable Product; and (ii) the rights granted to BI hereunder with respect to such Product in the United States shall remain exclusive.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GRANTS OF RIGHTS</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Licenses to BI</w:t>
      </w:r>
      <w:r>
        <w:rPr>
          <w:rFonts w:ascii="Arial" w:cs="Arial" w:eastAsia="Arial" w:hAnsi="Arial"/>
          <w:sz w:val="14"/>
          <w:szCs w:val="14"/>
          <w:color w:val="auto"/>
        </w:rPr>
        <w:t>.</w:t>
      </w:r>
    </w:p>
    <w:p>
      <w:pPr>
        <w:spacing w:after="0" w:line="132" w:lineRule="exact"/>
        <w:rPr>
          <w:sz w:val="20"/>
          <w:szCs w:val="20"/>
          <w:color w:val="auto"/>
        </w:rPr>
      </w:pPr>
    </w:p>
    <w:p>
      <w:pPr>
        <w:ind w:firstLine="1493"/>
        <w:spacing w:after="0" w:line="255" w:lineRule="auto"/>
        <w:tabs>
          <w:tab w:leader="none" w:pos="1675" w:val="left"/>
        </w:tabs>
        <w:numPr>
          <w:ilvl w:val="0"/>
          <w:numId w:val="444"/>
        </w:numPr>
        <w:rPr>
          <w:rFonts w:ascii="Arial" w:cs="Arial" w:eastAsia="Arial" w:hAnsi="Arial"/>
          <w:sz w:val="14"/>
          <w:szCs w:val="14"/>
          <w:color w:val="auto"/>
        </w:rPr>
      </w:pPr>
      <w:r>
        <w:rPr>
          <w:rFonts w:ascii="Arial" w:cs="Arial" w:eastAsia="Arial" w:hAnsi="Arial"/>
          <w:sz w:val="14"/>
          <w:szCs w:val="14"/>
          <w:u w:val="single" w:color="auto"/>
          <w:color w:val="auto"/>
        </w:rPr>
        <w:t>Non-Exclusive Research License to BI</w:t>
      </w:r>
      <w:r>
        <w:rPr>
          <w:rFonts w:ascii="Arial" w:cs="Arial" w:eastAsia="Arial" w:hAnsi="Arial"/>
          <w:sz w:val="14"/>
          <w:szCs w:val="14"/>
          <w:color w:val="auto"/>
        </w:rPr>
        <w:t>. Subject to the terms and conditions of this Agreement, MacroGenics hereby grants to BI: (i) during the Research Term and any applicable Lead Candidate Review Period or SOPD Candidate Review Period, a worldwide, royalty-free, non-exclusive license, with the right to grant sublicenses in accordance with Section 5.4, under the MacroGenics Intellectual Property solely to the extent necessary to (A) conduct activities assigned to it under each Research Plan or (B) evaluate the data developed in the conduct of activities under the Research Plans during any applicable Lead Candidate Review Period or SOPD Candidate Review Period.</w:t>
      </w:r>
    </w:p>
    <w:p>
      <w:pPr>
        <w:spacing w:after="0" w:line="109" w:lineRule="exact"/>
        <w:rPr>
          <w:rFonts w:ascii="Arial" w:cs="Arial" w:eastAsia="Arial" w:hAnsi="Arial"/>
          <w:sz w:val="14"/>
          <w:szCs w:val="14"/>
          <w:color w:val="auto"/>
        </w:rPr>
      </w:pPr>
    </w:p>
    <w:p>
      <w:pPr>
        <w:ind w:right="300" w:firstLine="1493"/>
        <w:spacing w:after="0" w:line="321" w:lineRule="auto"/>
        <w:tabs>
          <w:tab w:leader="none" w:pos="1682" w:val="left"/>
        </w:tabs>
        <w:numPr>
          <w:ilvl w:val="0"/>
          <w:numId w:val="444"/>
        </w:numPr>
        <w:rPr>
          <w:rFonts w:ascii="Arial" w:cs="Arial" w:eastAsia="Arial" w:hAnsi="Arial"/>
          <w:sz w:val="12"/>
          <w:szCs w:val="12"/>
          <w:color w:val="auto"/>
        </w:rPr>
      </w:pPr>
      <w:r>
        <w:rPr>
          <w:rFonts w:ascii="Arial" w:cs="Arial" w:eastAsia="Arial" w:hAnsi="Arial"/>
          <w:sz w:val="12"/>
          <w:szCs w:val="12"/>
          <w:u w:val="single" w:color="auto"/>
          <w:color w:val="auto"/>
        </w:rPr>
        <w:t>Exclusive License to BI</w:t>
      </w:r>
      <w:r>
        <w:rPr>
          <w:rFonts w:ascii="Arial" w:cs="Arial" w:eastAsia="Arial" w:hAnsi="Arial"/>
          <w:sz w:val="12"/>
          <w:szCs w:val="12"/>
          <w:color w:val="auto"/>
        </w:rPr>
        <w:t>. Subject to the terms and conditions of this Agreement, MacroGenics hereby grants to BI an exclusive (even as to MacroGenics), worldwide, royalty-bearing, license, including the right to grant sublicenses in accordance with Section 5.4, under the MacroGenics Intellectual Property and MacroGenics’ interest in the Joint Intellectual Property and Collaboration DART Intellectual Property to research, Develop, make and have made, use, offer for sale, sell, export and import Collaboration DARTs and Products in the Territory and in the Field.</w:t>
      </w:r>
    </w:p>
    <w:p>
      <w:pPr>
        <w:spacing w:after="0" w:line="73" w:lineRule="exact"/>
        <w:rPr>
          <w:sz w:val="20"/>
          <w:szCs w:val="20"/>
          <w:color w:val="auto"/>
        </w:rPr>
      </w:pPr>
    </w:p>
    <w:p>
      <w:pPr>
        <w:ind w:right="80" w:firstLine="917"/>
        <w:spacing w:after="0" w:line="258"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Recordation</w:t>
      </w:r>
      <w:r>
        <w:rPr>
          <w:rFonts w:ascii="Arial" w:cs="Arial" w:eastAsia="Arial" w:hAnsi="Arial"/>
          <w:sz w:val="14"/>
          <w:szCs w:val="14"/>
          <w:color w:val="auto"/>
        </w:rPr>
        <w:t xml:space="preserve">. Following the execution of this Agreement or at any time during the Term, MacroGenics at the request and expense of BI shall promptly register or record the licenses granted to BI under this Agreement with the appropriate patent offices in all applicable countries of the Territory;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registration or recordation specifies the applicable limitations of such license,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such registration shall have no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4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485" w:name="page486"/>
    <w:bookmarkEnd w:id="485"/>
    <w:p>
      <w:pPr>
        <w:jc w:val="both"/>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effect on the allocation of Prosecution and Maintenance rights and obligations set forth in ARTICLE VII. In the event the licenses granted to BI under this Agreement are terminated, BI shall promptly take such actions and execute such documents as are reasonably requested by MacroGenics to cancel such registration(s) or recordation(s) in the applicable countries with respect to the terminated license grants.</w:t>
      </w:r>
    </w:p>
    <w:p>
      <w:pPr>
        <w:spacing w:after="0" w:line="56" w:lineRule="exact"/>
        <w:rPr>
          <w:sz w:val="20"/>
          <w:szCs w:val="20"/>
          <w:color w:val="auto"/>
        </w:rPr>
      </w:pPr>
    </w:p>
    <w:p>
      <w:pPr>
        <w:jc w:val="both"/>
        <w:ind w:right="20" w:firstLine="917"/>
        <w:spacing w:after="0" w:line="258"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Non-Exclusive Research License to MacroGenics</w:t>
      </w:r>
      <w:r>
        <w:rPr>
          <w:rFonts w:ascii="Arial" w:cs="Arial" w:eastAsia="Arial" w:hAnsi="Arial"/>
          <w:sz w:val="14"/>
          <w:szCs w:val="14"/>
          <w:color w:val="auto"/>
        </w:rPr>
        <w:t>. Subject to the terms and conditions of this Agreement, during the Research Term, BI grants to MacroGenics, and MacroGenics accepts, a worldwide, royalty-free non-exclusive license, with the right to grant sublicenses in accordance with Section 5.4, under the BI Intellectual Property solely to the extent necessary to conduct activities assigned to it under each Research Plan.</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Sublicenses</w:t>
      </w:r>
      <w:r>
        <w:rPr>
          <w:rFonts w:ascii="Arial" w:cs="Arial" w:eastAsia="Arial" w:hAnsi="Arial"/>
          <w:sz w:val="14"/>
          <w:szCs w:val="14"/>
          <w:color w:val="auto"/>
        </w:rPr>
        <w:t>.</w:t>
      </w:r>
    </w:p>
    <w:p>
      <w:pPr>
        <w:spacing w:after="0" w:line="132" w:lineRule="exact"/>
        <w:rPr>
          <w:sz w:val="20"/>
          <w:szCs w:val="20"/>
          <w:color w:val="auto"/>
        </w:rPr>
      </w:pPr>
    </w:p>
    <w:p>
      <w:pPr>
        <w:ind w:firstLine="1493"/>
        <w:spacing w:after="0" w:line="311" w:lineRule="auto"/>
        <w:tabs>
          <w:tab w:leader="none" w:pos="1675" w:val="left"/>
        </w:tabs>
        <w:numPr>
          <w:ilvl w:val="0"/>
          <w:numId w:val="446"/>
        </w:numPr>
        <w:rPr>
          <w:rFonts w:ascii="Arial" w:cs="Arial" w:eastAsia="Arial" w:hAnsi="Arial"/>
          <w:sz w:val="12"/>
          <w:szCs w:val="12"/>
          <w:color w:val="auto"/>
        </w:rPr>
      </w:pPr>
      <w:r>
        <w:rPr>
          <w:rFonts w:ascii="Arial" w:cs="Arial" w:eastAsia="Arial" w:hAnsi="Arial"/>
          <w:sz w:val="12"/>
          <w:szCs w:val="12"/>
          <w:color w:val="auto"/>
        </w:rPr>
        <w:t xml:space="preserve">BI shall have the right to grant sublicenses under the licenses granted to it under Section 5.1 to (i) Affiliates of BI at any time, and (ii) (A) under Section 5.1(a) to Third Parties that are specifically approved in a Research Plan or otherwise approved by the JSC, in each case solely to the extent necessary to carry out obligations under such Research Plan; and (B) under Section 5.1(b) to Third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sublicense granted to a Third Party under this Agreement shall be pursuant to a written agreement that subjects such sublicensee to all relevant restrictions and limitations set forth in this Agreement. ***BI shall remain responsible for the performance of its sublicensees, and shall insure that each sublicensee comply with the applicable terms and conditions of this Agreement.</w:t>
      </w:r>
    </w:p>
    <w:p>
      <w:pPr>
        <w:spacing w:after="0" w:line="78" w:lineRule="exact"/>
        <w:rPr>
          <w:rFonts w:ascii="Arial" w:cs="Arial" w:eastAsia="Arial" w:hAnsi="Arial"/>
          <w:sz w:val="12"/>
          <w:szCs w:val="12"/>
          <w:color w:val="auto"/>
        </w:rPr>
      </w:pPr>
    </w:p>
    <w:p>
      <w:pPr>
        <w:ind w:right="60" w:firstLine="1493"/>
        <w:spacing w:after="0" w:line="321" w:lineRule="auto"/>
        <w:tabs>
          <w:tab w:leader="none" w:pos="1682" w:val="left"/>
        </w:tabs>
        <w:numPr>
          <w:ilvl w:val="0"/>
          <w:numId w:val="446"/>
        </w:numPr>
        <w:rPr>
          <w:rFonts w:ascii="Arial" w:cs="Arial" w:eastAsia="Arial" w:hAnsi="Arial"/>
          <w:sz w:val="12"/>
          <w:szCs w:val="12"/>
          <w:color w:val="auto"/>
        </w:rPr>
      </w:pPr>
      <w:r>
        <w:rPr>
          <w:rFonts w:ascii="Arial" w:cs="Arial" w:eastAsia="Arial" w:hAnsi="Arial"/>
          <w:sz w:val="12"/>
          <w:szCs w:val="12"/>
          <w:color w:val="auto"/>
        </w:rPr>
        <w:t xml:space="preserve">MacroGenics may grant sublicenses under the rights granted to it in Section 5.2 to (i) Affiliates of MacroGenics, or (ii) Third Parties that are specifically approved in a Research Plan or otherwise approved by the JSC, in each case solely to the extent necessary to carry out obligations under each Research Plan;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sublicense granted to a Third Party under this Agreement shall be pursuant to a written agreement that subjects such sublicensee to all relevant restrictions and limitations set forth in this Agreement.</w:t>
      </w:r>
    </w:p>
    <w:p>
      <w:pPr>
        <w:spacing w:after="0" w:line="73" w:lineRule="exact"/>
        <w:rPr>
          <w:sz w:val="20"/>
          <w:szCs w:val="20"/>
          <w:color w:val="auto"/>
        </w:rPr>
      </w:pPr>
    </w:p>
    <w:p>
      <w:pPr>
        <w:ind w:right="260" w:firstLine="917"/>
        <w:spacing w:after="0" w:line="255"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Covenant not to Sue</w:t>
      </w:r>
      <w:r>
        <w:rPr>
          <w:rFonts w:ascii="Arial" w:cs="Arial" w:eastAsia="Arial" w:hAnsi="Arial"/>
          <w:sz w:val="14"/>
          <w:szCs w:val="14"/>
          <w:color w:val="auto"/>
        </w:rPr>
        <w:t>. In the event the making, having made, use, offer for sale, sale or import by BI and/or its Affiliates of Product(s) in accordance with the terms and conditions of this Agreement would infringe during the Term a claim of issued letters patent which, subject to Section 3.7, MacroGenics Controls and which patent is not covered by the licenses granted to BI pursuant to Section 5.1 MacroGenics hereby covenants not to sue BI and/or its Affiliates under such issued letters patent solely for the development, making, having made, using, selling, offering for sale or importing Product(s) in the Territory and in the Field.</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Rights Retained by the Parties</w:t>
      </w:r>
      <w:r>
        <w:rPr>
          <w:rFonts w:ascii="Arial" w:cs="Arial" w:eastAsia="Arial" w:hAnsi="Arial"/>
          <w:sz w:val="14"/>
          <w:szCs w:val="14"/>
          <w:color w:val="auto"/>
        </w:rPr>
        <w:t>.</w:t>
      </w:r>
    </w:p>
    <w:p>
      <w:pPr>
        <w:spacing w:after="0" w:line="132" w:lineRule="exact"/>
        <w:rPr>
          <w:sz w:val="20"/>
          <w:szCs w:val="20"/>
          <w:color w:val="auto"/>
        </w:rPr>
      </w:pPr>
    </w:p>
    <w:p>
      <w:pPr>
        <w:ind w:right="120" w:firstLine="1493"/>
        <w:spacing w:after="0" w:line="255" w:lineRule="auto"/>
        <w:tabs>
          <w:tab w:leader="none" w:pos="1675" w:val="left"/>
        </w:tabs>
        <w:numPr>
          <w:ilvl w:val="0"/>
          <w:numId w:val="447"/>
        </w:numPr>
        <w:rPr>
          <w:rFonts w:ascii="Arial" w:cs="Arial" w:eastAsia="Arial" w:hAnsi="Arial"/>
          <w:sz w:val="14"/>
          <w:szCs w:val="14"/>
          <w:color w:val="auto"/>
        </w:rPr>
      </w:pPr>
      <w:r>
        <w:rPr>
          <w:rFonts w:ascii="Arial" w:cs="Arial" w:eastAsia="Arial" w:hAnsi="Arial"/>
          <w:sz w:val="14"/>
          <w:szCs w:val="14"/>
          <w:color w:val="auto"/>
        </w:rPr>
        <w:t>Except as expressly set forth in this Agreement, neither Party shall acquire any license or other intellectual property interest, by implication or otherwise, in any Confidential Information disclosed to it under this Agreement or under any Patent Rights or Know-How Controlled by the other Party or its Affiliates. Without limiting the generality of the foregoing, any of MacroGenics’ rights to MacroGenics Intellectual Property not specifically licensed to BI shall be retained by MacroGenics, and any of BI’s rights to BI Intellectual Property not specifically licensed to MacroGenics shall be retained by BI.</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12" w:lineRule="exact"/>
        <w:rPr>
          <w:sz w:val="20"/>
          <w:szCs w:val="20"/>
          <w:color w:val="auto"/>
        </w:rPr>
      </w:pPr>
    </w:p>
    <w:p>
      <w:pPr>
        <w:ind w:left="3840" w:right="2660" w:hanging="1135"/>
        <w:spacing w:after="0" w:line="341" w:lineRule="auto"/>
        <w:tabs>
          <w:tab w:leader="none" w:pos="2944" w:val="left"/>
        </w:tabs>
        <w:numPr>
          <w:ilvl w:val="0"/>
          <w:numId w:val="44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486" w:name="page487"/>
    <w:bookmarkEnd w:id="486"/>
    <w:p>
      <w:pPr>
        <w:ind w:firstLine="1493"/>
        <w:spacing w:after="0" w:line="255" w:lineRule="auto"/>
        <w:tabs>
          <w:tab w:leader="none" w:pos="1682" w:val="left"/>
        </w:tabs>
        <w:numPr>
          <w:ilvl w:val="0"/>
          <w:numId w:val="44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Notwithstanding the licenses granted to BI pursuant to Section 5.1, MacroGenics retains the right to practice under the MacroGenics Intellectual Property: (i) solely to perform (and to sublicense Third Parties to perform) its obligations under this Agreement and (ii) to perform, and grant Third Parties the non-exclusive right to perform, internal research related *** existing *** prior to the Effective Date or created or acquired by *** of the conduct of any Program;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license granted to a Third Party does not specifically include a license to research any Collaboration DART or Product.</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u w:val="single" w:color="auto"/>
          <w:color w:val="auto"/>
        </w:rPr>
        <w:t>Section 365(n) of the Bankruptcy Code</w:t>
      </w:r>
      <w:r>
        <w:rPr>
          <w:rFonts w:ascii="Arial" w:cs="Arial" w:eastAsia="Arial" w:hAnsi="Arial"/>
          <w:sz w:val="12"/>
          <w:szCs w:val="12"/>
          <w:color w:val="auto"/>
        </w:rPr>
        <w:t>. All rights and licenses granted under or pursuant to any section of this Agreement are and will otherwise be deemed to be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Section 365(n) of the United States Bankruptcy Code (Title 11, U.S. Code), as amended (the “</w:t>
      </w:r>
      <w:r>
        <w:rPr>
          <w:rFonts w:ascii="Arial" w:cs="Arial" w:eastAsia="Arial" w:hAnsi="Arial"/>
          <w:sz w:val="12"/>
          <w:szCs w:val="12"/>
          <w:u w:val="single" w:color="auto"/>
          <w:color w:val="auto"/>
        </w:rPr>
        <w:t>Bankruptcy Code</w:t>
      </w:r>
      <w:r>
        <w:rPr>
          <w:rFonts w:ascii="Arial" w:cs="Arial" w:eastAsia="Arial" w:hAnsi="Arial"/>
          <w:sz w:val="12"/>
          <w:szCs w:val="12"/>
          <w:color w:val="auto"/>
        </w:rPr>
        <w:t>”), licenses of rights to “intellectual property” as defined in Section 101(35A) of the Bankruptcy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Code. The Parties will retain and may fully exercise all of their respective rights and elections under the Bankruptcy Code. Each Party agrees that the other Party, as licensee of such rights under this Agreement,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will retain and may fully exercise all of its rights and elections under the Bankruptcy Code or any other provisions of applicable Law outside the United States that provide similar protection for “intellectual</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property.” The Parties further agree that, in the event of the commencement of a bankruptcy proceeding by or against a Party under the U.S. Bankruptcy Code or analogous provisions of applicable Law outside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the United States, the other Party will be entitled to a complete duplicate of (or complete access to, as appropriate) such intellectual property and all embodiments of such intellectual property, which, if not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already in such Party’s possession, will be promptly delivered to it upon such Party’s written request thereof. Any agreements supplemental hereto will be deemed to be “agreements supplementary to” this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Agreement for purposes of Section 365(n) of the Bankruptcy Code.</w:t>
      </w:r>
    </w:p>
    <w:p>
      <w:pPr>
        <w:spacing w:after="0" w:line="126" w:lineRule="exact"/>
        <w:rPr>
          <w:sz w:val="20"/>
          <w:szCs w:val="20"/>
          <w:color w:val="auto"/>
        </w:rPr>
      </w:pPr>
    </w:p>
    <w:p>
      <w:pPr>
        <w:ind w:right="60" w:firstLine="917"/>
        <w:spacing w:after="0" w:line="267"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Exclusivity</w:t>
      </w:r>
      <w:r>
        <w:rPr>
          <w:rFonts w:ascii="Arial" w:cs="Arial" w:eastAsia="Arial" w:hAnsi="Arial"/>
          <w:sz w:val="14"/>
          <w:szCs w:val="14"/>
          <w:color w:val="auto"/>
        </w:rPr>
        <w:t>. During *** the Parties agree to work exclusively with one another within the scope of the collaboration, *** of molecules, derivatives thereof, or products created from ***. In addition, each Party agrees as follows:</w:t>
      </w:r>
    </w:p>
    <w:p>
      <w:pPr>
        <w:spacing w:after="0" w:line="101" w:lineRule="exact"/>
        <w:rPr>
          <w:sz w:val="20"/>
          <w:szCs w:val="20"/>
          <w:color w:val="auto"/>
        </w:rPr>
      </w:pPr>
    </w:p>
    <w:p>
      <w:pPr>
        <w:ind w:left="1680" w:hanging="187"/>
        <w:spacing w:after="0"/>
        <w:tabs>
          <w:tab w:leader="none" w:pos="1680" w:val="left"/>
        </w:tabs>
        <w:numPr>
          <w:ilvl w:val="0"/>
          <w:numId w:val="450"/>
        </w:numPr>
        <w:rPr>
          <w:rFonts w:ascii="Arial" w:cs="Arial" w:eastAsia="Arial" w:hAnsi="Arial"/>
          <w:sz w:val="14"/>
          <w:szCs w:val="14"/>
          <w:color w:val="auto"/>
        </w:rPr>
      </w:pPr>
      <w:r>
        <w:rPr>
          <w:rFonts w:ascii="Arial" w:cs="Arial" w:eastAsia="Arial" w:hAnsi="Arial"/>
          <w:sz w:val="14"/>
          <w:szCs w:val="14"/>
          <w:u w:val="single" w:color="auto"/>
          <w:color w:val="auto"/>
        </w:rPr>
        <w:t>MacroGenics Exclusivity</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1500" w:right="400" w:firstLine="392"/>
        <w:spacing w:after="0" w:line="345" w:lineRule="auto"/>
        <w:tabs>
          <w:tab w:leader="none" w:pos="2061" w:val="left"/>
        </w:tabs>
        <w:numPr>
          <w:ilvl w:val="1"/>
          <w:numId w:val="450"/>
        </w:numPr>
        <w:rPr>
          <w:rFonts w:ascii="Arial" w:cs="Arial" w:eastAsia="Arial" w:hAnsi="Arial"/>
          <w:sz w:val="12"/>
          <w:szCs w:val="12"/>
          <w:color w:val="auto"/>
        </w:rPr>
      </w:pPr>
      <w:r>
        <w:rPr>
          <w:rFonts w:ascii="Arial" w:cs="Arial" w:eastAsia="Arial" w:hAnsi="Arial"/>
          <w:sz w:val="12"/>
          <w:szCs w:val="12"/>
          <w:color w:val="auto"/>
        </w:rPr>
        <w:t>Subject to the exceptions set forth in Section 5.8(c), except with respect to research, Development and Commercialization activities pursuant to this Agreement, MacroGenics and its Affiliates shall not, nor shall MacroGenics or its Affiliates grant rights to Third Parties to, research, Develop or Commercialize any *** or *** using ***.</w:t>
      </w:r>
    </w:p>
    <w:p>
      <w:pPr>
        <w:ind w:left="1500" w:right="220" w:firstLine="392"/>
        <w:spacing w:after="0" w:line="267" w:lineRule="auto"/>
        <w:tabs>
          <w:tab w:leader="none" w:pos="2099" w:val="left"/>
        </w:tabs>
        <w:numPr>
          <w:ilvl w:val="1"/>
          <w:numId w:val="450"/>
        </w:numPr>
        <w:rPr>
          <w:rFonts w:ascii="Arial" w:cs="Arial" w:eastAsia="Arial" w:hAnsi="Arial"/>
          <w:sz w:val="14"/>
          <w:szCs w:val="14"/>
          <w:color w:val="auto"/>
        </w:rPr>
      </w:pPr>
      <w:r>
        <w:rPr>
          <w:rFonts w:ascii="Arial" w:cs="Arial" w:eastAsia="Arial" w:hAnsi="Arial"/>
          <w:sz w:val="14"/>
          <w:szCs w:val="14"/>
          <w:color w:val="auto"/>
        </w:rPr>
        <w:t xml:space="preserve">On a BI Exclusive Target-by-BI Exclusive Target basis, MacroGenics and its Affiliates shall not, nor shall MacroGenics or its Affiliates grant rights to Third Parties to, research, Develop or Commercialize any molecule or product using *** that is *** during the earlier of </w:t>
      </w:r>
      <w:r>
        <w:rPr>
          <w:rFonts w:ascii="Arial" w:cs="Arial" w:eastAsia="Arial" w:hAnsi="Arial"/>
          <w:sz w:val="14"/>
          <w:szCs w:val="14"/>
          <w:b w:val="1"/>
          <w:bCs w:val="1"/>
          <w:color w:val="auto"/>
        </w:rPr>
        <w: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12" w:lineRule="exact"/>
        <w:rPr>
          <w:sz w:val="20"/>
          <w:szCs w:val="20"/>
          <w:color w:val="auto"/>
        </w:rPr>
      </w:pPr>
    </w:p>
    <w:p>
      <w:pPr>
        <w:ind w:left="3840" w:right="2640" w:hanging="1135"/>
        <w:spacing w:after="0" w:line="341" w:lineRule="auto"/>
        <w:tabs>
          <w:tab w:leader="none" w:pos="2944" w:val="left"/>
        </w:tabs>
        <w:numPr>
          <w:ilvl w:val="0"/>
          <w:numId w:val="45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487" w:name="page488"/>
    <w:bookmarkEnd w:id="487"/>
    <w:p>
      <w:pPr>
        <w:ind w:right="80" w:firstLine="1493"/>
        <w:spacing w:after="0" w:line="267" w:lineRule="auto"/>
        <w:tabs>
          <w:tab w:leader="none" w:pos="1682" w:val="left"/>
        </w:tabs>
        <w:numPr>
          <w:ilvl w:val="0"/>
          <w:numId w:val="45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BI Exclusivity</w:t>
      </w:r>
      <w:r>
        <w:rPr>
          <w:rFonts w:ascii="Arial" w:cs="Arial" w:eastAsia="Arial" w:hAnsi="Arial"/>
          <w:sz w:val="14"/>
          <w:szCs w:val="14"/>
          <w:color w:val="auto"/>
        </w:rPr>
        <w:t xml:space="preserve">. Subject to the exceptions set forth in Section 5.8(c), except with respect to ***. For the avoidance of doubt, and subject to the immediately preceding sentence, BI shall have the right to research, Develop and Commercialize any molecule or product </w:t>
      </w:r>
      <w:r>
        <w:rPr>
          <w:rFonts w:ascii="Arial" w:cs="Arial" w:eastAsia="Arial" w:hAnsi="Arial"/>
          <w:sz w:val="14"/>
          <w:szCs w:val="14"/>
          <w:b w:val="1"/>
          <w:bCs w:val="1"/>
          <w:color w:val="auto"/>
        </w:rPr>
        <w:t>***</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452"/>
        </w:numPr>
        <w:rPr>
          <w:rFonts w:ascii="Arial" w:cs="Arial" w:eastAsia="Arial" w:hAnsi="Arial"/>
          <w:sz w:val="14"/>
          <w:szCs w:val="14"/>
          <w:color w:val="auto"/>
        </w:rPr>
      </w:pPr>
      <w:r>
        <w:rPr>
          <w:rFonts w:ascii="Arial" w:cs="Arial" w:eastAsia="Arial" w:hAnsi="Arial"/>
          <w:sz w:val="14"/>
          <w:szCs w:val="14"/>
          <w:u w:val="single" w:color="auto"/>
          <w:color w:val="auto"/>
        </w:rPr>
        <w:t>Exceptions</w:t>
      </w:r>
      <w:r>
        <w:rPr>
          <w:rFonts w:ascii="Arial" w:cs="Arial" w:eastAsia="Arial" w:hAnsi="Arial"/>
          <w:sz w:val="14"/>
          <w:szCs w:val="14"/>
          <w:color w:val="auto"/>
        </w:rPr>
        <w:t>. The prohibitions set forth in Sections 5.8(a) and 5.8(b) do not apply to any of the following:</w:t>
      </w:r>
    </w:p>
    <w:p>
      <w:pPr>
        <w:spacing w:after="0" w:line="68" w:lineRule="exact"/>
        <w:rPr>
          <w:rFonts w:ascii="Arial" w:cs="Arial" w:eastAsia="Arial" w:hAnsi="Arial"/>
          <w:sz w:val="14"/>
          <w:szCs w:val="14"/>
          <w:color w:val="auto"/>
        </w:rPr>
      </w:pPr>
    </w:p>
    <w:p>
      <w:pPr>
        <w:ind w:left="1500" w:right="40" w:firstLine="392"/>
        <w:spacing w:after="0" w:line="345" w:lineRule="auto"/>
        <w:tabs>
          <w:tab w:leader="none" w:pos="2061" w:val="left"/>
        </w:tabs>
        <w:numPr>
          <w:ilvl w:val="1"/>
          <w:numId w:val="452"/>
        </w:numPr>
        <w:rPr>
          <w:rFonts w:ascii="Arial" w:cs="Arial" w:eastAsia="Arial" w:hAnsi="Arial"/>
          <w:sz w:val="12"/>
          <w:szCs w:val="12"/>
          <w:color w:val="auto"/>
        </w:rPr>
      </w:pPr>
      <w:r>
        <w:rPr>
          <w:rFonts w:ascii="Arial" w:cs="Arial" w:eastAsia="Arial" w:hAnsi="Arial"/>
          <w:sz w:val="12"/>
          <w:szCs w:val="12"/>
          <w:color w:val="auto"/>
        </w:rPr>
        <w:t>with respect to activities by MacroGenics, subject to Section 5.8(a)(ii), the Development and Commercialization of molecules and products Directed to Terminated Targets, however without using any MacroGenics *** created by ***, including Know-How that is solely and specifically related to such MacroGenics ***;</w:t>
      </w:r>
    </w:p>
    <w:p>
      <w:pPr>
        <w:ind w:left="1500" w:firstLine="392"/>
        <w:spacing w:after="0" w:line="345" w:lineRule="auto"/>
        <w:tabs>
          <w:tab w:leader="none" w:pos="2099" w:val="left"/>
        </w:tabs>
        <w:numPr>
          <w:ilvl w:val="1"/>
          <w:numId w:val="452"/>
        </w:numPr>
        <w:rPr>
          <w:rFonts w:ascii="Arial" w:cs="Arial" w:eastAsia="Arial" w:hAnsi="Arial"/>
          <w:sz w:val="12"/>
          <w:szCs w:val="12"/>
          <w:color w:val="auto"/>
        </w:rPr>
      </w:pPr>
      <w:r>
        <w:rPr>
          <w:rFonts w:ascii="Arial" w:cs="Arial" w:eastAsia="Arial" w:hAnsi="Arial"/>
          <w:sz w:val="12"/>
          <w:szCs w:val="12"/>
          <w:color w:val="auto"/>
        </w:rPr>
        <w:t>subject to Section 5.8(a)(ii), any molecule or product Directed against a single Target included in a Collaboration Target, however with respect to activities by MacroGenics without using any MacroGenics *** created by ***, including Know-How that is solely and specifically related to such MacroGenics ***; and</w:t>
      </w:r>
    </w:p>
    <w:p>
      <w:pPr>
        <w:ind w:left="1500" w:right="40" w:firstLine="392"/>
        <w:spacing w:after="0" w:line="252" w:lineRule="auto"/>
        <w:tabs>
          <w:tab w:leader="none" w:pos="2137" w:val="left"/>
        </w:tabs>
        <w:numPr>
          <w:ilvl w:val="1"/>
          <w:numId w:val="452"/>
        </w:numPr>
        <w:rPr>
          <w:rFonts w:ascii="Arial" w:cs="Arial" w:eastAsia="Arial" w:hAnsi="Arial"/>
          <w:sz w:val="14"/>
          <w:szCs w:val="14"/>
          <w:color w:val="auto"/>
        </w:rPr>
      </w:pPr>
      <w:r>
        <w:rPr>
          <w:rFonts w:ascii="Arial" w:cs="Arial" w:eastAsia="Arial" w:hAnsi="Arial"/>
          <w:sz w:val="14"/>
          <w:szCs w:val="14"/>
          <w:color w:val="auto"/>
        </w:rPr>
        <w:t>where a Party’s or its Affiliate’s (the “</w:t>
      </w:r>
      <w:r>
        <w:rPr>
          <w:rFonts w:ascii="Arial" w:cs="Arial" w:eastAsia="Arial" w:hAnsi="Arial"/>
          <w:sz w:val="14"/>
          <w:szCs w:val="14"/>
          <w:u w:val="single" w:color="auto"/>
          <w:color w:val="auto"/>
        </w:rPr>
        <w:t>Acquiring/Acquired Party</w:t>
      </w:r>
      <w:r>
        <w:rPr>
          <w:rFonts w:ascii="Arial" w:cs="Arial" w:eastAsia="Arial" w:hAnsi="Arial"/>
          <w:sz w:val="14"/>
          <w:szCs w:val="14"/>
          <w:color w:val="auto"/>
        </w:rPr>
        <w:t xml:space="preserve">”) involvement in such activity results from its acquisition of or by a Third Party (by merger or otherwise), and such Third Party was engaged in such activity prior to such acquisition or merger;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the Acquiring/Acquired Party shall not provide any such Third Party with rights or access to MacroGenics Intellectual Property (where MacroGenics or its Affiliate is the Acquiring/Acquired Party ) or BI Intellectual Property (where BI or its Affiliate is the Acquiring/Acquired Party ) for use in connection with activities prohibited by Section 5.8 if undertaken by the Acquiring/Acquired Party, and (B) in the case where the Acquiring/Acquired Party acquires a Third Party (by merger or otherwise), the Acquiring/Acquired Party does not expand the scope of, or increase the financial commitment to, such Third Party activities, from what it was immediately prior to the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For the avoidance of doubt and for purposes of this Section 5.8(c) product shall not be inclusive of any Product including Collaboration DARTs.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PAYMENTS; ROYALTIES AND REPORTS</w:t>
      </w:r>
    </w:p>
    <w:p>
      <w:pPr>
        <w:spacing w:after="0" w:line="134"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Initial License Payment</w:t>
      </w:r>
      <w:r>
        <w:rPr>
          <w:rFonts w:ascii="Arial" w:cs="Arial" w:eastAsia="Arial" w:hAnsi="Arial"/>
          <w:sz w:val="14"/>
          <w:szCs w:val="14"/>
          <w:color w:val="auto"/>
        </w:rPr>
        <w:t>. In consideration of the rights to MacroGenics Intellectual Property granted herein within *** of the later of the Effective Date and receipt of Invoice and duly signed original of the Agreement, BI shall pay to MacroGenics a non-creditable and non-refundable sum of Fifteen Million Dollars ($15,000,000).</w:t>
      </w:r>
    </w:p>
    <w:p>
      <w:pPr>
        <w:spacing w:after="0" w:line="101" w:lineRule="exact"/>
        <w:rPr>
          <w:sz w:val="20"/>
          <w:szCs w:val="20"/>
          <w:color w:val="auto"/>
        </w:rPr>
      </w:pPr>
    </w:p>
    <w:p>
      <w:pPr>
        <w:ind w:right="300" w:firstLine="917"/>
        <w:spacing w:after="0" w:line="267"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Equity Investment</w:t>
      </w:r>
      <w:r>
        <w:rPr>
          <w:rFonts w:ascii="Arial" w:cs="Arial" w:eastAsia="Arial" w:hAnsi="Arial"/>
          <w:sz w:val="14"/>
          <w:szCs w:val="14"/>
          <w:color w:val="auto"/>
        </w:rPr>
        <w:t>. BI or any of its Affiliates and MacroGenics shall enter good faith negotiations with the objective of completing such negotiations within *** after the Effective Date regarding the terms and conditions of a definitive stock purchase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5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488" w:name="page489"/>
    <w:bookmarkEnd w:id="488"/>
    <w:p>
      <w:pPr>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whereby BI or any of its Affiliates shall purchase Ten Million Dollars ($10,000,000.00) of Preferred Stock of MacroGenics. The pricing of such Preferred Stock shall be no less than $0.6521 per share. The other terms will be no less favorable to MacroGenics’ current investors as the terms and conditions established in the Series D-2 equity documentation. If BI and MacroGenics are not able to conclude and execute a definitive stock purchase agreement within *** of the Effective Date, *** and require that *** of Preferred Stock on the same terms and conditions as purchased by existing Series D-2 investors, including a share price of ***, under a definitive stock purchase agreement executed by both Parties. ***.</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Programs Funding</w:t>
      </w:r>
      <w:r>
        <w:rPr>
          <w:rFonts w:ascii="Arial" w:cs="Arial" w:eastAsia="Arial" w:hAnsi="Arial"/>
          <w:sz w:val="14"/>
          <w:szCs w:val="14"/>
          <w:color w:val="auto"/>
        </w:rPr>
        <w:t>.</w:t>
      </w:r>
    </w:p>
    <w:p>
      <w:pPr>
        <w:spacing w:after="0" w:line="132" w:lineRule="exact"/>
        <w:rPr>
          <w:sz w:val="20"/>
          <w:szCs w:val="20"/>
          <w:color w:val="auto"/>
        </w:rPr>
      </w:pPr>
    </w:p>
    <w:p>
      <w:pPr>
        <w:ind w:left="1680" w:hanging="187"/>
        <w:spacing w:after="0"/>
        <w:tabs>
          <w:tab w:leader="none" w:pos="1680" w:val="left"/>
        </w:tabs>
        <w:numPr>
          <w:ilvl w:val="0"/>
          <w:numId w:val="454"/>
        </w:numPr>
        <w:rPr>
          <w:rFonts w:ascii="Arial" w:cs="Arial" w:eastAsia="Arial" w:hAnsi="Arial"/>
          <w:sz w:val="12"/>
          <w:szCs w:val="12"/>
          <w:color w:val="auto"/>
        </w:rPr>
      </w:pPr>
      <w:r>
        <w:rPr>
          <w:rFonts w:ascii="Arial" w:cs="Arial" w:eastAsia="Arial" w:hAnsi="Arial"/>
          <w:sz w:val="12"/>
          <w:szCs w:val="12"/>
          <w:u w:val="single" w:color="auto"/>
          <w:color w:val="auto"/>
        </w:rPr>
        <w:t>Maintenance Payments</w:t>
      </w:r>
      <w:r>
        <w:rPr>
          <w:rFonts w:ascii="Arial" w:cs="Arial" w:eastAsia="Arial" w:hAnsi="Arial"/>
          <w:sz w:val="12"/>
          <w:szCs w:val="12"/>
          <w:color w:val="auto"/>
        </w:rPr>
        <w:t>. In consideration of the rights to MacroGenics Intellectual Property granted herein, BI shall pay MacroGenics the following non-refundable, non-creditable,</w:t>
      </w:r>
    </w:p>
    <w:p>
      <w:pPr>
        <w:spacing w:after="0" w:line="35" w:lineRule="exact"/>
        <w:rPr>
          <w:rFonts w:ascii="Arial" w:cs="Arial" w:eastAsia="Arial" w:hAnsi="Arial"/>
          <w:sz w:val="12"/>
          <w:szCs w:val="12"/>
          <w:color w:val="auto"/>
        </w:rPr>
      </w:pPr>
    </w:p>
    <w:p>
      <w:pPr>
        <w:spacing w:after="0" w:line="253" w:lineRule="auto"/>
        <w:rPr>
          <w:rFonts w:ascii="Arial" w:cs="Arial" w:eastAsia="Arial" w:hAnsi="Arial"/>
          <w:sz w:val="12"/>
          <w:szCs w:val="12"/>
          <w:color w:val="auto"/>
        </w:rPr>
      </w:pPr>
      <w:r>
        <w:rPr>
          <w:rFonts w:ascii="Arial" w:cs="Arial" w:eastAsia="Arial" w:hAnsi="Arial"/>
          <w:sz w:val="14"/>
          <w:szCs w:val="14"/>
          <w:color w:val="auto"/>
        </w:rPr>
        <w:t>non-accountable amounts: (</w:t>
      </w:r>
      <w:r>
        <w:rPr>
          <w:rFonts w:ascii="Arial" w:cs="Arial" w:eastAsia="Arial" w:hAnsi="Arial"/>
          <w:sz w:val="14"/>
          <w:szCs w:val="14"/>
          <w:b w:val="1"/>
          <w:bCs w:val="1"/>
          <w:color w:val="auto"/>
        </w:rPr>
        <w:t>***</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of receipt of an Invoice, which shall be provided by MacroGenics to BI on or after</w:t>
      </w:r>
      <w:r>
        <w:rPr>
          <w:rFonts w:ascii="Arial" w:cs="Arial" w:eastAsia="Arial" w:hAnsi="Arial"/>
          <w:sz w:val="14"/>
          <w:szCs w:val="14"/>
          <w:b w:val="1"/>
          <w:bCs w:val="1"/>
          <w:color w:val="auto"/>
        </w:rPr>
        <w:t>***</w:t>
      </w:r>
      <w:r>
        <w:rPr>
          <w:rFonts w:ascii="Arial" w:cs="Arial" w:eastAsia="Arial" w:hAnsi="Arial"/>
          <w:sz w:val="14"/>
          <w:szCs w:val="14"/>
          <w:color w:val="auto"/>
        </w:rPr>
        <w:t xml:space="preserve">of the Effective Date; </w:t>
      </w:r>
      <w:r>
        <w:rPr>
          <w:rFonts w:ascii="Arial" w:cs="Arial" w:eastAsia="Arial" w:hAnsi="Arial"/>
          <w:sz w:val="14"/>
          <w:szCs w:val="14"/>
          <w:b w:val="1"/>
          <w:bCs w:val="1"/>
          <w:color w:val="auto"/>
        </w:rPr>
        <w:t>***</w:t>
      </w:r>
      <w:r>
        <w:rPr>
          <w:rFonts w:ascii="Arial" w:cs="Arial" w:eastAsia="Arial" w:hAnsi="Arial"/>
          <w:sz w:val="14"/>
          <w:szCs w:val="14"/>
          <w:color w:val="auto"/>
        </w:rPr>
        <w:t xml:space="preserve">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of receipt of a written Invoice, which shall be provided by MacroGenics to BI on or after</w:t>
      </w:r>
      <w:r>
        <w:rPr>
          <w:rFonts w:ascii="Arial" w:cs="Arial" w:eastAsia="Arial" w:hAnsi="Arial"/>
          <w:sz w:val="14"/>
          <w:szCs w:val="14"/>
          <w:b w:val="1"/>
          <w:bCs w:val="1"/>
          <w:color w:val="auto"/>
        </w:rPr>
        <w:t>***</w:t>
      </w:r>
      <w:r>
        <w:rPr>
          <w:rFonts w:ascii="Arial" w:cs="Arial" w:eastAsia="Arial" w:hAnsi="Arial"/>
          <w:sz w:val="14"/>
          <w:szCs w:val="14"/>
          <w:color w:val="auto"/>
        </w:rPr>
        <w:t xml:space="preserve">of the Effective Date; and </w:t>
      </w:r>
      <w:r>
        <w:rPr>
          <w:rFonts w:ascii="Arial" w:cs="Arial" w:eastAsia="Arial" w:hAnsi="Arial"/>
          <w:sz w:val="14"/>
          <w:szCs w:val="14"/>
          <w:b w:val="1"/>
          <w:bCs w:val="1"/>
          <w:color w:val="auto"/>
        </w:rPr>
        <w:t>***</w:t>
      </w:r>
      <w:r>
        <w:rPr>
          <w:rFonts w:ascii="Arial" w:cs="Arial" w:eastAsia="Arial" w:hAnsi="Arial"/>
          <w:sz w:val="14"/>
          <w:szCs w:val="14"/>
          <w:color w:val="auto"/>
        </w:rPr>
        <w:t xml:space="preserve">within </w:t>
      </w:r>
      <w:r>
        <w:rPr>
          <w:rFonts w:ascii="Arial" w:cs="Arial" w:eastAsia="Arial" w:hAnsi="Arial"/>
          <w:sz w:val="14"/>
          <w:szCs w:val="14"/>
          <w:b w:val="1"/>
          <w:bCs w:val="1"/>
          <w:color w:val="auto"/>
        </w:rPr>
        <w:t>***</w:t>
      </w:r>
      <w:r>
        <w:rPr>
          <w:rFonts w:ascii="Arial" w:cs="Arial" w:eastAsia="Arial" w:hAnsi="Arial"/>
          <w:sz w:val="14"/>
          <w:szCs w:val="14"/>
          <w:color w:val="auto"/>
        </w:rPr>
        <w:t xml:space="preserve">of receipt of a written Invoice, which shall be provided by MacroGenics to BI on or after </w:t>
      </w:r>
      <w:r>
        <w:rPr>
          <w:rFonts w:ascii="Arial" w:cs="Arial" w:eastAsia="Arial" w:hAnsi="Arial"/>
          <w:sz w:val="14"/>
          <w:szCs w:val="14"/>
          <w:b w:val="1"/>
          <w:bCs w:val="1"/>
          <w:color w:val="auto"/>
        </w:rPr>
        <w:t>***</w:t>
      </w:r>
      <w:r>
        <w:rPr>
          <w:rFonts w:ascii="Arial" w:cs="Arial" w:eastAsia="Arial" w:hAnsi="Arial"/>
          <w:sz w:val="14"/>
          <w:szCs w:val="14"/>
          <w:color w:val="auto"/>
        </w:rPr>
        <w:t>of the Effective Date (each a “</w:t>
      </w:r>
      <w:r>
        <w:rPr>
          <w:rFonts w:ascii="Arial" w:cs="Arial" w:eastAsia="Arial" w:hAnsi="Arial"/>
          <w:sz w:val="14"/>
          <w:szCs w:val="14"/>
          <w:u w:val="single" w:color="auto"/>
          <w:color w:val="auto"/>
        </w:rPr>
        <w:t>Maintenance Payment</w:t>
      </w:r>
      <w:r>
        <w:rPr>
          <w:rFonts w:ascii="Arial" w:cs="Arial" w:eastAsia="Arial" w:hAnsi="Arial"/>
          <w:sz w:val="14"/>
          <w:szCs w:val="14"/>
          <w:color w:val="auto"/>
        </w:rPr>
        <w:t>”).</w:t>
      </w:r>
    </w:p>
    <w:p>
      <w:pPr>
        <w:spacing w:after="0" w:line="111" w:lineRule="exact"/>
        <w:rPr>
          <w:rFonts w:ascii="Arial" w:cs="Arial" w:eastAsia="Arial" w:hAnsi="Arial"/>
          <w:sz w:val="12"/>
          <w:szCs w:val="12"/>
          <w:color w:val="auto"/>
        </w:rPr>
      </w:pPr>
    </w:p>
    <w:p>
      <w:pPr>
        <w:ind w:left="1680" w:hanging="187"/>
        <w:spacing w:after="0"/>
        <w:tabs>
          <w:tab w:leader="none" w:pos="1680" w:val="left"/>
        </w:tabs>
        <w:numPr>
          <w:ilvl w:val="0"/>
          <w:numId w:val="454"/>
        </w:numPr>
        <w:rPr>
          <w:rFonts w:ascii="Arial" w:cs="Arial" w:eastAsia="Arial" w:hAnsi="Arial"/>
          <w:sz w:val="14"/>
          <w:szCs w:val="14"/>
          <w:color w:val="auto"/>
        </w:rPr>
      </w:pPr>
      <w:r>
        <w:rPr>
          <w:rFonts w:ascii="Arial" w:cs="Arial" w:eastAsia="Arial" w:hAnsi="Arial"/>
          <w:sz w:val="14"/>
          <w:szCs w:val="14"/>
          <w:u w:val="single" w:color="auto"/>
          <w:color w:val="auto"/>
        </w:rPr>
        <w:t>Out-of Pocket Costs and FTE Payments</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1500" w:right="60" w:firstLine="392"/>
        <w:spacing w:after="0" w:line="294" w:lineRule="auto"/>
        <w:tabs>
          <w:tab w:leader="none" w:pos="2061" w:val="left"/>
        </w:tabs>
        <w:numPr>
          <w:ilvl w:val="1"/>
          <w:numId w:val="454"/>
        </w:numPr>
        <w:rPr>
          <w:rFonts w:ascii="Arial" w:cs="Arial" w:eastAsia="Arial" w:hAnsi="Arial"/>
          <w:sz w:val="12"/>
          <w:szCs w:val="12"/>
          <w:color w:val="auto"/>
        </w:rPr>
      </w:pPr>
      <w:r>
        <w:rPr>
          <w:rFonts w:ascii="Arial" w:cs="Arial" w:eastAsia="Arial" w:hAnsi="Arial"/>
          <w:sz w:val="12"/>
          <w:szCs w:val="12"/>
          <w:u w:val="single" w:color="auto"/>
          <w:color w:val="auto"/>
        </w:rPr>
        <w:t>Out-of-Pocket Costs</w:t>
      </w:r>
      <w:r>
        <w:rPr>
          <w:rFonts w:ascii="Arial" w:cs="Arial" w:eastAsia="Arial" w:hAnsi="Arial"/>
          <w:sz w:val="12"/>
          <w:szCs w:val="12"/>
          <w:color w:val="auto"/>
        </w:rPr>
        <w:t>. BI shall reimburse MacroGenics all out-of-pocket costs specifically identifiable, documented and incurred by MacroGenics and payable to Third Parties in connection with any Program, as specifically contemplated in the applicable Research Plan, in accordance with agreed upon budget for such expenses set forth in each such Research Plan or as otherwise agreed to by BI. BI shall reimburse such out-of-pocket costs within thirty (30) days after receipt of an Invoice issued by MacroGenics within thirty</w:t>
      </w:r>
    </w:p>
    <w:p>
      <w:pPr>
        <w:ind w:left="1500" w:right="200"/>
        <w:spacing w:after="0" w:line="338" w:lineRule="auto"/>
        <w:rPr>
          <w:rFonts w:ascii="Arial" w:cs="Arial" w:eastAsia="Arial" w:hAnsi="Arial"/>
          <w:sz w:val="12"/>
          <w:szCs w:val="12"/>
          <w:color w:val="auto"/>
        </w:rPr>
      </w:pPr>
      <w:r>
        <w:rPr>
          <w:rFonts w:ascii="Arial" w:cs="Arial" w:eastAsia="Arial" w:hAnsi="Arial"/>
          <w:sz w:val="12"/>
          <w:szCs w:val="12"/>
          <w:color w:val="auto"/>
        </w:rPr>
        <w:t>(30) days after the end of each Calendar Quarter describing such costs in reasonable detail and providing appropriate supporting documentation. For avoidance of doubt, no out-of-pocket costs will be reimbursed by BI unless covered by an agreed upon budget for such expenses set forth in a Research Plan.</w:t>
      </w:r>
    </w:p>
    <w:p>
      <w:pPr>
        <w:ind w:left="1500" w:right="80" w:firstLine="392"/>
        <w:spacing w:after="0" w:line="299" w:lineRule="auto"/>
        <w:tabs>
          <w:tab w:leader="none" w:pos="2099" w:val="left"/>
        </w:tabs>
        <w:numPr>
          <w:ilvl w:val="1"/>
          <w:numId w:val="454"/>
        </w:numPr>
        <w:rPr>
          <w:rFonts w:ascii="Arial" w:cs="Arial" w:eastAsia="Arial" w:hAnsi="Arial"/>
          <w:sz w:val="12"/>
          <w:szCs w:val="12"/>
          <w:color w:val="auto"/>
        </w:rPr>
      </w:pPr>
      <w:r>
        <w:rPr>
          <w:rFonts w:ascii="Arial" w:cs="Arial" w:eastAsia="Arial" w:hAnsi="Arial"/>
          <w:sz w:val="12"/>
          <w:szCs w:val="12"/>
          <w:u w:val="single" w:color="auto"/>
          <w:color w:val="auto"/>
        </w:rPr>
        <w:t>MacroGenics Committed FTEs</w:t>
      </w:r>
      <w:r>
        <w:rPr>
          <w:rFonts w:ascii="Arial" w:cs="Arial" w:eastAsia="Arial" w:hAnsi="Arial"/>
          <w:sz w:val="12"/>
          <w:szCs w:val="12"/>
          <w:color w:val="auto"/>
        </w:rPr>
        <w:t xml:space="preserve">. It is the Parties’ intent that the Research Plans will require </w:t>
      </w:r>
      <w:r>
        <w:rPr>
          <w:rFonts w:ascii="Arial" w:cs="Arial" w:eastAsia="Arial" w:hAnsi="Arial"/>
          <w:sz w:val="12"/>
          <w:szCs w:val="12"/>
          <w:b w:val="1"/>
          <w:bCs w:val="1"/>
          <w:color w:val="auto"/>
        </w:rPr>
        <w:t>***</w:t>
      </w:r>
      <w:r>
        <w:rPr>
          <w:rFonts w:ascii="Arial" w:cs="Arial" w:eastAsia="Arial" w:hAnsi="Arial"/>
          <w:sz w:val="12"/>
          <w:szCs w:val="12"/>
          <w:color w:val="auto"/>
        </w:rPr>
        <w:t xml:space="preserve"> FTEs each Calendar Quarter in the performance of the activities under the Research Plans during the Initial Research Term, and both Parties will use reasonable efforts to limit substantial reductions </w:t>
      </w:r>
      <w:r>
        <w:rPr>
          <w:rFonts w:ascii="Arial" w:cs="Arial" w:eastAsia="Arial" w:hAnsi="Arial"/>
          <w:sz w:val="12"/>
          <w:szCs w:val="12"/>
          <w:b w:val="1"/>
          <w:bCs w:val="1"/>
          <w:color w:val="auto"/>
        </w:rPr>
        <w:t>***</w:t>
      </w:r>
      <w:r>
        <w:rPr>
          <w:rFonts w:ascii="Arial" w:cs="Arial" w:eastAsia="Arial" w:hAnsi="Arial"/>
          <w:sz w:val="12"/>
          <w:szCs w:val="12"/>
          <w:color w:val="auto"/>
        </w:rPr>
        <w:t xml:space="preserve"> from Calendar Quarter to Calendar Quarter). During the Research Term, on or before the later of thirty (30) days of BI’s receipt of an Invoice thereof, and the first day of each Calendar Quarter, BI shall pay MacroGenics the FTE Costs for </w:t>
      </w:r>
      <w:r>
        <w:rPr>
          <w:rFonts w:ascii="Arial" w:cs="Arial" w:eastAsia="Arial" w:hAnsi="Arial"/>
          <w:sz w:val="12"/>
          <w:szCs w:val="12"/>
          <w:b w:val="1"/>
          <w:bCs w:val="1"/>
          <w:color w:val="auto"/>
        </w:rPr>
        <w:t>***</w:t>
      </w:r>
      <w:r>
        <w:rPr>
          <w:rFonts w:ascii="Arial" w:cs="Arial" w:eastAsia="Arial" w:hAnsi="Arial"/>
          <w:sz w:val="12"/>
          <w:szCs w:val="12"/>
          <w:color w:val="auto"/>
        </w:rPr>
        <w:t xml:space="preserve"> during such Calendar Quarter;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payment shall be pro-rated in the first and last Calendar Quarters of the Research Term. For purpose of clarity, during the period of time from the Effective Date through the end of 2011, such quarterly payment shall be equal to </w:t>
      </w:r>
      <w:r>
        <w:rPr>
          <w:rFonts w:ascii="Arial" w:cs="Arial" w:eastAsia="Arial" w:hAnsi="Arial"/>
          <w:sz w:val="12"/>
          <w:szCs w:val="12"/>
          <w:b w:val="1"/>
          <w:bCs w:val="1"/>
          <w:color w:val="auto"/>
        </w:rPr>
        <w:t>***</w:t>
      </w:r>
      <w:r>
        <w:rPr>
          <w:rFonts w:ascii="Arial" w:cs="Arial" w:eastAsia="Arial" w:hAnsi="Arial"/>
          <w:sz w:val="12"/>
          <w:szCs w:val="12"/>
          <w:color w:val="auto"/>
        </w:rPr>
        <w:t xml:space="preserve">. Together with each Invoice, MacroGenics shall provide supporting documentation certified by MacroGenic’s chief financial officer for the purpose of verifying the calculation of the FTE charges paid by BI, for the previous Calendar Quarter. In the event that MacroGenics provides </w:t>
      </w:r>
      <w:r>
        <w:rPr>
          <w:rFonts w:ascii="Arial" w:cs="Arial" w:eastAsia="Arial" w:hAnsi="Arial"/>
          <w:sz w:val="12"/>
          <w:szCs w:val="12"/>
          <w:b w:val="1"/>
          <w:bCs w:val="1"/>
          <w:color w:val="auto"/>
        </w:rPr>
        <w:t>***</w:t>
      </w:r>
      <w:r>
        <w:rPr>
          <w:rFonts w:ascii="Arial" w:cs="Arial" w:eastAsia="Arial" w:hAnsi="Arial"/>
          <w:sz w:val="12"/>
          <w:szCs w:val="12"/>
          <w:color w:val="auto"/>
        </w:rPr>
        <w:t xml:space="preserve"> in a Calendar Quarter to perform activities under the Research Plans, then following the end of such Calendar Quarter MacroGenics shall provide a written Invoice for such additional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5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489" w:name="page490"/>
    <w:bookmarkEnd w:id="489"/>
    <w:p>
      <w:pPr>
        <w:ind w:left="1500"/>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FTEs together with supporting documentation certified by MacroGenics’ chief financial officer for the purpose of verifying the calculation of FTEs to be charged to and paid by BI. BI shall pay such Invoiced amounts within thirty (30) days after receipt of the respective Invoice after each Calendar Quarter. In case that the supporting documentation shows that BI has overpaid the FTE payments for such Calendar Quarter, MacroGenics will, together with the supporting documentation, send BI a credit note for the amount overpaid, upon which BI may credit the amount overpaid against any FTE payments due by BI, or in case no further FTE payments are due by BI, MacroGenics will within thirty (30) days refund the amount overpaid to BI. Notwithstanding the foregoing, BI shall not be entitled to a credit for any such overpayment in the event that such overpayment is a result of BI modifying any of the then current Research Plans to require </w:t>
      </w:r>
      <w:r>
        <w:rPr>
          <w:rFonts w:ascii="Arial" w:cs="Arial" w:eastAsia="Arial" w:hAnsi="Arial"/>
          <w:sz w:val="12"/>
          <w:szCs w:val="12"/>
          <w:b w:val="1"/>
          <w:bCs w:val="1"/>
          <w:color w:val="auto"/>
        </w:rPr>
        <w:t>***</w:t>
      </w:r>
      <w:r>
        <w:rPr>
          <w:rFonts w:ascii="Arial" w:cs="Arial" w:eastAsia="Arial" w:hAnsi="Arial"/>
          <w:sz w:val="12"/>
          <w:szCs w:val="12"/>
          <w:color w:val="auto"/>
        </w:rPr>
        <w:t xml:space="preserve"> MacroGenics FTEs in the aggregate,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MacroGenics had the capacity and was willing to commit the number of FTEs required under the original Research Plan.</w:t>
      </w:r>
    </w:p>
    <w:p>
      <w:pPr>
        <w:spacing w:after="0" w:line="23" w:lineRule="exact"/>
        <w:rPr>
          <w:sz w:val="20"/>
          <w:szCs w:val="20"/>
          <w:color w:val="auto"/>
        </w:rPr>
      </w:pPr>
    </w:p>
    <w:p>
      <w:pPr>
        <w:ind w:left="1500" w:right="40" w:firstLine="392"/>
        <w:spacing w:after="0" w:line="259" w:lineRule="auto"/>
        <w:tabs>
          <w:tab w:leader="none" w:pos="2136" w:val="left"/>
        </w:tabs>
        <w:numPr>
          <w:ilvl w:val="0"/>
          <w:numId w:val="456"/>
        </w:numPr>
        <w:rPr>
          <w:rFonts w:ascii="Arial" w:cs="Arial" w:eastAsia="Arial" w:hAnsi="Arial"/>
          <w:sz w:val="14"/>
          <w:szCs w:val="14"/>
          <w:color w:val="auto"/>
        </w:rPr>
      </w:pPr>
      <w:r>
        <w:rPr>
          <w:rFonts w:ascii="Arial" w:cs="Arial" w:eastAsia="Arial" w:hAnsi="Arial"/>
          <w:sz w:val="14"/>
          <w:szCs w:val="14"/>
          <w:u w:val="single" w:color="auto"/>
          <w:color w:val="auto"/>
        </w:rPr>
        <w:t>Additional MacroGenics FTEs</w:t>
      </w:r>
      <w:r>
        <w:rPr>
          <w:rFonts w:ascii="Arial" w:cs="Arial" w:eastAsia="Arial" w:hAnsi="Arial"/>
          <w:sz w:val="14"/>
          <w:szCs w:val="14"/>
          <w:color w:val="auto"/>
        </w:rPr>
        <w:t xml:space="preserve">. In the event that BI requests, and MacroGenics agrees to provide, </w:t>
      </w:r>
      <w:r>
        <w:rPr>
          <w:rFonts w:ascii="Arial" w:cs="Arial" w:eastAsia="Arial" w:hAnsi="Arial"/>
          <w:sz w:val="14"/>
          <w:szCs w:val="14"/>
          <w:b w:val="1"/>
          <w:bCs w:val="1"/>
          <w:color w:val="auto"/>
        </w:rPr>
        <w:t>***</w:t>
      </w:r>
      <w:r>
        <w:rPr>
          <w:rFonts w:ascii="Arial" w:cs="Arial" w:eastAsia="Arial" w:hAnsi="Arial"/>
          <w:sz w:val="14"/>
          <w:szCs w:val="14"/>
          <w:color w:val="auto"/>
        </w:rPr>
        <w:t xml:space="preserve"> to perform activities under the Research Plans, the number of FTEs set forth in subclause (ii) above shall be increased to account for such additional FTEs and BI shall reimburse MacroGenics its FTE Costs for such additional FTEs in accordance with subclause (ii) above.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Development Milestone Payments</w:t>
      </w:r>
      <w:r>
        <w:rPr>
          <w:rFonts w:ascii="Arial" w:cs="Arial" w:eastAsia="Arial" w:hAnsi="Arial"/>
          <w:sz w:val="14"/>
          <w:szCs w:val="14"/>
          <w:color w:val="auto"/>
        </w:rPr>
        <w:t>.</w:t>
      </w:r>
    </w:p>
    <w:p>
      <w:pPr>
        <w:spacing w:after="0" w:line="130" w:lineRule="exact"/>
        <w:rPr>
          <w:sz w:val="20"/>
          <w:szCs w:val="20"/>
          <w:color w:val="auto"/>
        </w:rPr>
      </w:pPr>
    </w:p>
    <w:p>
      <w:pPr>
        <w:ind w:right="80" w:firstLine="1493"/>
        <w:spacing w:after="0" w:line="301" w:lineRule="auto"/>
        <w:tabs>
          <w:tab w:leader="none" w:pos="1675" w:val="left"/>
        </w:tabs>
        <w:numPr>
          <w:ilvl w:val="0"/>
          <w:numId w:val="457"/>
        </w:numPr>
        <w:rPr>
          <w:rFonts w:ascii="Arial" w:cs="Arial" w:eastAsia="Arial" w:hAnsi="Arial"/>
          <w:sz w:val="12"/>
          <w:szCs w:val="12"/>
          <w:color w:val="auto"/>
        </w:rPr>
      </w:pPr>
      <w:r>
        <w:rPr>
          <w:rFonts w:ascii="Arial" w:cs="Arial" w:eastAsia="Arial" w:hAnsi="Arial"/>
          <w:sz w:val="12"/>
          <w:szCs w:val="12"/>
          <w:u w:val="single" w:color="auto"/>
          <w:color w:val="auto"/>
        </w:rPr>
        <w:t>Development Milestone Payments</w:t>
      </w:r>
      <w:r>
        <w:rPr>
          <w:rFonts w:ascii="Arial" w:cs="Arial" w:eastAsia="Arial" w:hAnsi="Arial"/>
          <w:sz w:val="12"/>
          <w:szCs w:val="12"/>
          <w:color w:val="auto"/>
        </w:rPr>
        <w:t xml:space="preserve">. BI shall pay to MacroGenics the following non-refundable, non-creditable milestone payments 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 Collaboration DART or Product in the each Program, as applicable, upon the *** occurrence of the applicable milestone event by such Collaboration DART or Product in each Program. In the event </w:t>
      </w:r>
      <w:r>
        <w:rPr>
          <w:rFonts w:ascii="Arial" w:cs="Arial" w:eastAsia="Arial" w:hAnsi="Arial"/>
          <w:sz w:val="12"/>
          <w:szCs w:val="12"/>
          <w:b w:val="1"/>
          <w:bCs w:val="1"/>
          <w:color w:val="auto"/>
        </w:rPr>
        <w:t>***</w:t>
      </w:r>
      <w:r>
        <w:rPr>
          <w:rFonts w:ascii="Arial" w:cs="Arial" w:eastAsia="Arial" w:hAnsi="Arial"/>
          <w:sz w:val="12"/>
          <w:szCs w:val="12"/>
          <w:color w:val="auto"/>
        </w:rPr>
        <w:t xml:space="preserve"> Product is developed in the same Program which is not a Replacement Product, then the development and sales milestone payments set forth in Sections 6.4(a)(ii—xi) and 6.5(a)(i – iii), respectively shall be reduced by</w:t>
      </w:r>
      <w:r>
        <w:rPr>
          <w:rFonts w:ascii="Arial" w:cs="Arial" w:eastAsia="Arial" w:hAnsi="Arial"/>
          <w:sz w:val="12"/>
          <w:szCs w:val="12"/>
          <w:b w:val="1"/>
          <w:bCs w:val="1"/>
          <w:color w:val="auto"/>
        </w:rPr>
        <w:t>***</w:t>
      </w:r>
      <w:r>
        <w:rPr>
          <w:rFonts w:ascii="Arial" w:cs="Arial" w:eastAsia="Arial" w:hAnsi="Arial"/>
          <w:sz w:val="12"/>
          <w:szCs w:val="12"/>
          <w:color w:val="auto"/>
        </w:rPr>
        <w:t xml:space="preserve"> for such additional Product achieving each specified milestone event. </w:t>
      </w:r>
      <w:r>
        <w:rPr>
          <w:rFonts w:ascii="Arial" w:cs="Arial" w:eastAsia="Arial" w:hAnsi="Arial"/>
          <w:sz w:val="12"/>
          <w:szCs w:val="12"/>
          <w:b w:val="1"/>
          <w:bCs w:val="1"/>
          <w:color w:val="auto"/>
        </w:rPr>
        <w:t>***</w:t>
      </w:r>
      <w:r>
        <w:rPr>
          <w:rFonts w:ascii="Arial" w:cs="Arial" w:eastAsia="Arial" w:hAnsi="Arial"/>
          <w:sz w:val="12"/>
          <w:szCs w:val="12"/>
          <w:color w:val="auto"/>
        </w:rPr>
        <w:t xml:space="preserve"> Notwithstanding the foregoing, if (x) Development of a Product in a Program is terminated after milestone payment(s) have been made with respect to such Product; and (y) a different Product in such Program is selected to replace the terminated Product (“</w:t>
      </w:r>
      <w:r>
        <w:rPr>
          <w:rFonts w:ascii="Arial" w:cs="Arial" w:eastAsia="Arial" w:hAnsi="Arial"/>
          <w:sz w:val="12"/>
          <w:szCs w:val="12"/>
          <w:u w:val="single" w:color="auto"/>
          <w:color w:val="auto"/>
        </w:rPr>
        <w:t>Replacement Product</w:t>
      </w:r>
      <w:r>
        <w:rPr>
          <w:rFonts w:ascii="Arial" w:cs="Arial" w:eastAsia="Arial" w:hAnsi="Arial"/>
          <w:sz w:val="12"/>
          <w:szCs w:val="12"/>
          <w:color w:val="auto"/>
        </w:rPr>
        <w:t xml:space="preserve">”), then there shall be </w:t>
      </w:r>
      <w:r>
        <w:rPr>
          <w:rFonts w:ascii="Arial" w:cs="Arial" w:eastAsia="Arial" w:hAnsi="Arial"/>
          <w:sz w:val="12"/>
          <w:szCs w:val="12"/>
          <w:b w:val="1"/>
          <w:bCs w:val="1"/>
          <w:color w:val="auto"/>
        </w:rPr>
        <w:t>***</w:t>
      </w:r>
      <w:r>
        <w:rPr>
          <w:rFonts w:ascii="Arial" w:cs="Arial" w:eastAsia="Arial" w:hAnsi="Arial"/>
          <w:sz w:val="12"/>
          <w:szCs w:val="12"/>
          <w:color w:val="auto"/>
        </w:rPr>
        <w:t xml:space="preserve"> due upon achievement of the same milestones by such Replacement Product for which MacroGenics already received a milestone payment for the original Product. For the purposes of this Section 6.4 and Section 6.5, a Product in a Program shall be different from another Product in such Program ***.</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Milestone Event</w:t>
            </w:r>
          </w:p>
        </w:tc>
        <w:tc>
          <w:tcPr>
            <w:tcW w:w="942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Payment</w:t>
            </w:r>
          </w:p>
        </w:tc>
      </w:tr>
      <w:tr>
        <w:trPr>
          <w:trHeight w:val="239"/>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5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490" w:name="page491"/>
    <w:bookmarkEnd w:id="490"/>
    <w:tbl>
      <w:tblPr>
        <w:tblLayout w:type="fixed"/>
        <w:tblInd w:w="0" w:type="dxa"/>
        <w:tblCellMar>
          <w:top w:w="0" w:type="dxa"/>
          <w:left w:w="0" w:type="dxa"/>
          <w:bottom w:w="0" w:type="dxa"/>
          <w:right w:w="0" w:type="dxa"/>
        </w:tblCellMar>
      </w:tblPr>
      <w:tr>
        <w:trPr>
          <w:trHeight w:val="122"/>
        </w:trPr>
        <w:tc>
          <w:tcPr>
            <w:tcW w:w="7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Milestone Event</w:t>
            </w:r>
          </w:p>
        </w:tc>
        <w:tc>
          <w:tcPr>
            <w:tcW w:w="942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Payment</w:t>
            </w:r>
          </w:p>
        </w:tc>
      </w:tr>
      <w:tr>
        <w:trPr>
          <w:trHeight w:val="239"/>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r>
        <w:trPr>
          <w:trHeight w:val="251"/>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9800" w:type="dxa"/>
            <w:vAlign w:val="bottom"/>
            <w:gridSpan w:val="2"/>
          </w:tcPr>
          <w:p>
            <w:pPr>
              <w:jc w:val="center"/>
              <w:ind w:left="9332"/>
              <w:spacing w:after="0"/>
              <w:rPr>
                <w:sz w:val="20"/>
                <w:szCs w:val="20"/>
                <w:color w:val="auto"/>
              </w:rPr>
            </w:pPr>
            <w:r>
              <w:rPr>
                <w:rFonts w:ascii="Arial" w:cs="Arial" w:eastAsia="Arial" w:hAnsi="Arial"/>
                <w:sz w:val="14"/>
                <w:szCs w:val="14"/>
                <w:color w:val="auto"/>
              </w:rPr>
              <w:t>***</w:t>
            </w: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right="160" w:firstLine="1493"/>
        <w:spacing w:after="0" w:line="270" w:lineRule="auto"/>
        <w:tabs>
          <w:tab w:leader="none" w:pos="1682" w:val="left"/>
        </w:tabs>
        <w:numPr>
          <w:ilvl w:val="1"/>
          <w:numId w:val="459"/>
        </w:numPr>
        <w:rPr>
          <w:rFonts w:ascii="Arial" w:cs="Arial" w:eastAsia="Arial" w:hAnsi="Arial"/>
          <w:sz w:val="14"/>
          <w:szCs w:val="14"/>
          <w:color w:val="auto"/>
        </w:rPr>
      </w:pPr>
      <w:r>
        <w:rPr>
          <w:rFonts w:ascii="Arial" w:cs="Arial" w:eastAsia="Arial" w:hAnsi="Arial"/>
          <w:sz w:val="14"/>
          <w:szCs w:val="14"/>
          <w:color w:val="auto"/>
        </w:rPr>
        <w:t xml:space="preserve">If the milestone set forth in Section 6.4(a)(ii) is achieved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Product in a Program prior to the achievement of the milestone set forth in Section 6.4(a)(i) for such Product, then the milestone payment set forth in Section 6.4(a)(i) shall be due and payable simultaneously with the payment of the later milestone event.</w:t>
      </w:r>
    </w:p>
    <w:p>
      <w:pPr>
        <w:spacing w:after="0" w:line="97" w:lineRule="exact"/>
        <w:rPr>
          <w:rFonts w:ascii="Arial" w:cs="Arial" w:eastAsia="Arial" w:hAnsi="Arial"/>
          <w:sz w:val="14"/>
          <w:szCs w:val="14"/>
          <w:color w:val="auto"/>
        </w:rPr>
      </w:pPr>
    </w:p>
    <w:p>
      <w:pPr>
        <w:ind w:left="1680" w:hanging="187"/>
        <w:spacing w:after="0"/>
        <w:tabs>
          <w:tab w:leader="none" w:pos="1680" w:val="left"/>
        </w:tabs>
        <w:numPr>
          <w:ilvl w:val="1"/>
          <w:numId w:val="459"/>
        </w:numPr>
        <w:rPr>
          <w:rFonts w:ascii="Arial" w:cs="Arial" w:eastAsia="Arial" w:hAnsi="Arial"/>
          <w:sz w:val="12"/>
          <w:szCs w:val="12"/>
          <w:color w:val="auto"/>
        </w:rPr>
      </w:pPr>
      <w:r>
        <w:rPr>
          <w:rFonts w:ascii="Arial" w:cs="Arial" w:eastAsia="Arial" w:hAnsi="Arial"/>
          <w:sz w:val="12"/>
          <w:szCs w:val="12"/>
          <w:color w:val="auto"/>
        </w:rPr>
        <w:t xml:space="preserve">If any milestone set forth in Section 6.4(a)(iii) is achieved 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 Product in a Program prior to the achievement of the milestone set forth in Section 6.4(a)(i) or</w:t>
      </w:r>
    </w:p>
    <w:p>
      <w:pPr>
        <w:spacing w:after="0" w:line="37" w:lineRule="exact"/>
        <w:rPr>
          <w:rFonts w:ascii="Arial" w:cs="Arial" w:eastAsia="Arial" w:hAnsi="Arial"/>
          <w:sz w:val="12"/>
          <w:szCs w:val="12"/>
          <w:color w:val="auto"/>
        </w:rPr>
      </w:pPr>
    </w:p>
    <w:p>
      <w:pPr>
        <w:ind w:right="40" w:firstLine="4"/>
        <w:spacing w:after="0" w:line="258" w:lineRule="auto"/>
        <w:tabs>
          <w:tab w:leader="none" w:pos="20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 xml:space="preserve">for such Product, then (x)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such Product the milestone payments set forth in Section 6.4(a)(i) and/or (ii) and (y)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such Product the milestone payment set forth in Section 6.4(a)(ii) shall be due and payable simultaneously with the payment for achievement of the later milestone event.</w:t>
      </w:r>
    </w:p>
    <w:p>
      <w:pPr>
        <w:spacing w:after="0" w:line="105" w:lineRule="exact"/>
        <w:rPr>
          <w:rFonts w:ascii="Arial" w:cs="Arial" w:eastAsia="Arial" w:hAnsi="Arial"/>
          <w:sz w:val="14"/>
          <w:szCs w:val="14"/>
          <w:color w:val="auto"/>
        </w:rPr>
      </w:pPr>
    </w:p>
    <w:p>
      <w:pPr>
        <w:ind w:right="80" w:firstLine="1493"/>
        <w:spacing w:after="0" w:line="270" w:lineRule="auto"/>
        <w:tabs>
          <w:tab w:leader="none" w:pos="1682" w:val="left"/>
        </w:tabs>
        <w:numPr>
          <w:ilvl w:val="1"/>
          <w:numId w:val="460"/>
        </w:numPr>
        <w:rPr>
          <w:rFonts w:ascii="Arial" w:cs="Arial" w:eastAsia="Arial" w:hAnsi="Arial"/>
          <w:sz w:val="14"/>
          <w:szCs w:val="14"/>
          <w:color w:val="auto"/>
        </w:rPr>
      </w:pPr>
      <w:r>
        <w:rPr>
          <w:rFonts w:ascii="Arial" w:cs="Arial" w:eastAsia="Arial" w:hAnsi="Arial"/>
          <w:sz w:val="14"/>
          <w:szCs w:val="14"/>
          <w:u w:val="single" w:color="auto"/>
          <w:color w:val="auto"/>
        </w:rPr>
        <w:t>Payment of Milestones</w:t>
      </w:r>
      <w:r>
        <w:rPr>
          <w:rFonts w:ascii="Arial" w:cs="Arial" w:eastAsia="Arial" w:hAnsi="Arial"/>
          <w:sz w:val="14"/>
          <w:szCs w:val="14"/>
          <w:color w:val="auto"/>
        </w:rPr>
        <w:t xml:space="preserve">. BI shall provide written notice to MacroGenics of the achievement of any milestone event set forth in Section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occurrence of such milestone event and shall make the corresponding milestone payment within thirty (30) days after receipt of an Invoice therefor.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Sales Milestone Payments</w:t>
      </w:r>
      <w:r>
        <w:rPr>
          <w:rFonts w:ascii="Arial" w:cs="Arial" w:eastAsia="Arial" w:hAnsi="Arial"/>
          <w:sz w:val="14"/>
          <w:szCs w:val="14"/>
          <w:color w:val="auto"/>
        </w:rPr>
        <w:t>.</w:t>
      </w:r>
    </w:p>
    <w:p>
      <w:pPr>
        <w:spacing w:after="0" w:line="132" w:lineRule="exact"/>
        <w:rPr>
          <w:sz w:val="20"/>
          <w:szCs w:val="20"/>
          <w:color w:val="auto"/>
        </w:rPr>
      </w:pPr>
    </w:p>
    <w:p>
      <w:pPr>
        <w:ind w:firstLine="1493"/>
        <w:spacing w:after="0" w:line="267" w:lineRule="auto"/>
        <w:tabs>
          <w:tab w:leader="none" w:pos="1675" w:val="left"/>
        </w:tabs>
        <w:numPr>
          <w:ilvl w:val="0"/>
          <w:numId w:val="461"/>
        </w:numPr>
        <w:rPr>
          <w:rFonts w:ascii="Arial" w:cs="Arial" w:eastAsia="Arial" w:hAnsi="Arial"/>
          <w:sz w:val="14"/>
          <w:szCs w:val="14"/>
          <w:color w:val="auto"/>
        </w:rPr>
      </w:pPr>
      <w:r>
        <w:rPr>
          <w:rFonts w:ascii="Arial" w:cs="Arial" w:eastAsia="Arial" w:hAnsi="Arial"/>
          <w:sz w:val="14"/>
          <w:szCs w:val="14"/>
          <w:u w:val="single" w:color="auto"/>
          <w:color w:val="auto"/>
        </w:rPr>
        <w:t>Sales Milestone Payments</w:t>
      </w:r>
      <w:r>
        <w:rPr>
          <w:rFonts w:ascii="Arial" w:cs="Arial" w:eastAsia="Arial" w:hAnsi="Arial"/>
          <w:sz w:val="14"/>
          <w:szCs w:val="14"/>
          <w:color w:val="auto"/>
        </w:rPr>
        <w:t>. BI shall make the non-refundable, non-creditable payments to MacroGenics set forth below upon the earliest achievement of each of the corresponding milestone events by the *** Product within each Program to achieve such milestone: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Milestone Event</w:t>
            </w:r>
          </w:p>
        </w:tc>
        <w:tc>
          <w:tcPr>
            <w:tcW w:w="942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Payment</w:t>
            </w:r>
          </w:p>
        </w:tc>
      </w:tr>
      <w:tr>
        <w:trPr>
          <w:trHeight w:val="239"/>
        </w:trPr>
        <w:tc>
          <w:tcPr>
            <w:tcW w:w="10140" w:type="dxa"/>
            <w:vAlign w:val="bottom"/>
            <w:gridSpan w:val="2"/>
          </w:tcPr>
          <w:p>
            <w:pPr>
              <w:spacing w:after="0"/>
              <w:rPr>
                <w:sz w:val="20"/>
                <w:szCs w:val="20"/>
                <w:color w:val="auto"/>
              </w:rPr>
            </w:pPr>
            <w:r>
              <w:rPr>
                <w:rFonts w:ascii="Arial" w:cs="Arial" w:eastAsia="Arial" w:hAnsi="Arial"/>
                <w:sz w:val="14"/>
                <w:szCs w:val="14"/>
                <w:color w:val="auto"/>
              </w:rPr>
              <w:t>(i) First occurrence of aggregate worldwide Net Sales of the Product of greater than*** in a Calendar Year</w:t>
            </w:r>
          </w:p>
        </w:tc>
        <w:tc>
          <w:tcPr>
            <w:tcW w:w="380" w:type="dxa"/>
            <w:vAlign w:val="bottom"/>
          </w:tcPr>
          <w:p>
            <w:pPr>
              <w:jc w:val="right"/>
              <w:ind w:right="40"/>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12" w:lineRule="exact"/>
        <w:rPr>
          <w:sz w:val="20"/>
          <w:szCs w:val="20"/>
          <w:color w:val="auto"/>
        </w:rPr>
      </w:pPr>
    </w:p>
    <w:p>
      <w:pPr>
        <w:ind w:left="3840" w:right="2640" w:hanging="1135"/>
        <w:spacing w:after="0" w:line="341" w:lineRule="auto"/>
        <w:tabs>
          <w:tab w:leader="none" w:pos="2944" w:val="left"/>
        </w:tabs>
        <w:numPr>
          <w:ilvl w:val="0"/>
          <w:numId w:val="4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491" w:name="page492"/>
    <w:bookmarkEnd w:id="491"/>
    <w:tbl>
      <w:tblPr>
        <w:tblLayout w:type="fixed"/>
        <w:tblInd w:w="0" w:type="dxa"/>
        <w:tblCellMar>
          <w:top w:w="0" w:type="dxa"/>
          <w:left w:w="0" w:type="dxa"/>
          <w:bottom w:w="0" w:type="dxa"/>
          <w:right w:w="0" w:type="dxa"/>
        </w:tblCellMar>
      </w:tblPr>
      <w:tr>
        <w:trPr>
          <w:trHeight w:val="122"/>
        </w:trPr>
        <w:tc>
          <w:tcPr>
            <w:tcW w:w="7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Milestone Event</w:t>
            </w:r>
          </w:p>
        </w:tc>
        <w:tc>
          <w:tcPr>
            <w:tcW w:w="942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Payment</w:t>
            </w:r>
          </w:p>
        </w:tc>
      </w:tr>
      <w:tr>
        <w:trPr>
          <w:trHeight w:val="239"/>
        </w:trPr>
        <w:tc>
          <w:tcPr>
            <w:tcW w:w="10140" w:type="dxa"/>
            <w:vAlign w:val="bottom"/>
            <w:gridSpan w:val="2"/>
          </w:tcPr>
          <w:p>
            <w:pPr>
              <w:spacing w:after="0"/>
              <w:rPr>
                <w:sz w:val="20"/>
                <w:szCs w:val="20"/>
                <w:color w:val="auto"/>
              </w:rPr>
            </w:pPr>
            <w:r>
              <w:rPr>
                <w:rFonts w:ascii="Arial" w:cs="Arial" w:eastAsia="Arial" w:hAnsi="Arial"/>
                <w:sz w:val="14"/>
                <w:szCs w:val="14"/>
                <w:color w:val="auto"/>
              </w:rPr>
              <w:t>(ii) First occurrence of aggregate worldwide Net Sales of the Product of greater than *** in a Calendar Year</w:t>
            </w: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140" w:type="dxa"/>
            <w:vAlign w:val="bottom"/>
            <w:gridSpan w:val="2"/>
          </w:tcPr>
          <w:p>
            <w:pPr>
              <w:spacing w:after="0"/>
              <w:rPr>
                <w:sz w:val="20"/>
                <w:szCs w:val="20"/>
                <w:color w:val="auto"/>
              </w:rPr>
            </w:pPr>
            <w:r>
              <w:rPr>
                <w:rFonts w:ascii="Arial" w:cs="Arial" w:eastAsia="Arial" w:hAnsi="Arial"/>
                <w:sz w:val="14"/>
                <w:szCs w:val="14"/>
                <w:color w:val="auto"/>
              </w:rPr>
              <w:t>(iii) First occurrence of aggregate worldwide Net Sales of the Product of greater than *** in a Calendar Year</w:t>
            </w: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right="380" w:firstLine="1493"/>
        <w:spacing w:after="0" w:line="267" w:lineRule="auto"/>
        <w:tabs>
          <w:tab w:leader="none" w:pos="1682" w:val="left"/>
        </w:tabs>
        <w:numPr>
          <w:ilvl w:val="0"/>
          <w:numId w:val="463"/>
        </w:numPr>
        <w:rPr>
          <w:rFonts w:ascii="Arial" w:cs="Arial" w:eastAsia="Arial" w:hAnsi="Arial"/>
          <w:sz w:val="14"/>
          <w:szCs w:val="14"/>
          <w:color w:val="auto"/>
        </w:rPr>
      </w:pPr>
      <w:r>
        <w:rPr>
          <w:rFonts w:ascii="Arial" w:cs="Arial" w:eastAsia="Arial" w:hAnsi="Arial"/>
          <w:sz w:val="14"/>
          <w:szCs w:val="14"/>
          <w:u w:val="single" w:color="auto"/>
          <w:color w:val="auto"/>
        </w:rPr>
        <w:t>Payment of Milestones</w:t>
      </w:r>
      <w:r>
        <w:rPr>
          <w:rFonts w:ascii="Arial" w:cs="Arial" w:eastAsia="Arial" w:hAnsi="Arial"/>
          <w:sz w:val="14"/>
          <w:szCs w:val="14"/>
          <w:color w:val="auto"/>
        </w:rPr>
        <w:t xml:space="preserve">. BI shall make the milestone payments required by Section 6.5(a) in accordance with Section 6.7. For purposes of clarity, more than one of the sales milestone payments may be earned concurrently based on the same Net Sales of the applicable Product. </w:t>
      </w:r>
      <w:r>
        <w:rPr>
          <w:rFonts w:ascii="Arial" w:cs="Arial" w:eastAsia="Arial" w:hAnsi="Arial"/>
          <w:sz w:val="14"/>
          <w:szCs w:val="14"/>
          <w:b w:val="1"/>
          <w:bCs w:val="1"/>
          <w:color w:val="auto"/>
        </w:rPr>
        <w: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Royalties</w:t>
      </w:r>
      <w:r>
        <w:rPr>
          <w:rFonts w:ascii="Arial" w:cs="Arial" w:eastAsia="Arial" w:hAnsi="Arial"/>
          <w:sz w:val="14"/>
          <w:szCs w:val="14"/>
          <w:color w:val="auto"/>
        </w:rPr>
        <w:t>. On a Product-by-Product basis, BI shall pay to MacroGenics royalties on the worldwide Net Sales as provided in this Section 6.6:</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Royalty Rate</w:t>
      </w:r>
      <w:r>
        <w:rPr>
          <w:rFonts w:ascii="Arial" w:cs="Arial" w:eastAsia="Arial" w:hAnsi="Arial"/>
          <w:sz w:val="12"/>
          <w:szCs w:val="12"/>
          <w:color w:val="auto"/>
        </w:rPr>
        <w:t>. BI shall pay MacroGenics royalties on Net Sales of Products at the following rates *** with respect *** achieved during the applicable Calendar Year: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9"/>
              </w:rPr>
              <w:t>Annual Net Sales Threshold</w:t>
            </w:r>
          </w:p>
        </w:tc>
        <w:tc>
          <w:tcPr>
            <w:tcW w:w="86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Royalty Rate</w:t>
            </w:r>
          </w:p>
        </w:tc>
      </w:tr>
      <w:tr>
        <w:trPr>
          <w:trHeight w:val="239"/>
        </w:trPr>
        <w:tc>
          <w:tcPr>
            <w:tcW w:w="10020" w:type="dxa"/>
            <w:vAlign w:val="bottom"/>
            <w:gridSpan w:val="2"/>
          </w:tcPr>
          <w:p>
            <w:pPr>
              <w:spacing w:after="0"/>
              <w:rPr>
                <w:sz w:val="20"/>
                <w:szCs w:val="20"/>
                <w:color w:val="auto"/>
              </w:rPr>
            </w:pPr>
            <w:r>
              <w:rPr>
                <w:rFonts w:ascii="Arial" w:cs="Arial" w:eastAsia="Arial" w:hAnsi="Arial"/>
                <w:sz w:val="14"/>
                <w:szCs w:val="14"/>
                <w:color w:val="auto"/>
              </w:rPr>
              <w:t>(i) On the first *** in Annual Net Sales</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020" w:type="dxa"/>
            <w:vAlign w:val="bottom"/>
            <w:gridSpan w:val="2"/>
          </w:tcPr>
          <w:p>
            <w:pPr>
              <w:spacing w:after="0"/>
              <w:rPr>
                <w:sz w:val="20"/>
                <w:szCs w:val="20"/>
                <w:color w:val="auto"/>
              </w:rPr>
            </w:pPr>
            <w:r>
              <w:rPr>
                <w:rFonts w:ascii="Arial" w:cs="Arial" w:eastAsia="Arial" w:hAnsi="Arial"/>
                <w:sz w:val="14"/>
                <w:szCs w:val="14"/>
                <w:color w:val="auto"/>
              </w:rPr>
              <w:t>(ii) On that portion of Annual Net Sales greater than *** but less than ***</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020" w:type="dxa"/>
            <w:vAlign w:val="bottom"/>
            <w:gridSpan w:val="2"/>
          </w:tcPr>
          <w:p>
            <w:pPr>
              <w:spacing w:after="0"/>
              <w:rPr>
                <w:sz w:val="20"/>
                <w:szCs w:val="20"/>
                <w:color w:val="auto"/>
              </w:rPr>
            </w:pPr>
            <w:r>
              <w:rPr>
                <w:rFonts w:ascii="Arial" w:cs="Arial" w:eastAsia="Arial" w:hAnsi="Arial"/>
                <w:sz w:val="14"/>
                <w:szCs w:val="14"/>
                <w:color w:val="auto"/>
              </w:rPr>
              <w:t>(iii) On that portion of Annual Net Sales greater than ***</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11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u w:val="single" w:color="auto"/>
          <w:color w:val="auto"/>
        </w:rPr>
        <w:t>Royalty Term</w:t>
      </w:r>
      <w:r>
        <w:rPr>
          <w:rFonts w:ascii="Arial" w:cs="Arial" w:eastAsia="Arial" w:hAnsi="Arial"/>
          <w:sz w:val="12"/>
          <w:szCs w:val="12"/>
          <w:color w:val="auto"/>
        </w:rPr>
        <w:t xml:space="preserve">. BI’s royalty obligations to MacroGenics under this Section 6.6 shall expire on a country-by-country and Product-by-Product basis on the later of: (i) </w:t>
      </w:r>
      <w:r>
        <w:rPr>
          <w:rFonts w:ascii="Arial" w:cs="Arial" w:eastAsia="Arial" w:hAnsi="Arial"/>
          <w:sz w:val="12"/>
          <w:szCs w:val="12"/>
          <w:b w:val="1"/>
          <w:bCs w:val="1"/>
          <w:color w:val="auto"/>
        </w:rPr>
        <w:t>***</w:t>
      </w:r>
      <w:r>
        <w:rPr>
          <w:rFonts w:ascii="Arial" w:cs="Arial" w:eastAsia="Arial" w:hAnsi="Arial"/>
          <w:sz w:val="12"/>
          <w:szCs w:val="12"/>
          <w:color w:val="auto"/>
        </w:rPr>
        <w:t xml:space="preserve">or (ii) </w:t>
      </w:r>
      <w:r>
        <w:rPr>
          <w:rFonts w:ascii="Arial" w:cs="Arial" w:eastAsia="Arial" w:hAnsi="Arial"/>
          <w:sz w:val="12"/>
          <w:szCs w:val="12"/>
          <w:b w:val="1"/>
          <w:bCs w:val="1"/>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Royalty Term</w:t>
      </w:r>
      <w:r>
        <w:rPr>
          <w:rFonts w:ascii="Arial" w:cs="Arial" w:eastAsia="Arial" w:hAnsi="Arial"/>
          <w:sz w:val="14"/>
          <w:szCs w:val="14"/>
          <w:color w:val="auto"/>
        </w:rPr>
        <w:t>”).</w:t>
      </w:r>
    </w:p>
    <w:p>
      <w:pPr>
        <w:spacing w:after="0" w:line="126" w:lineRule="exact"/>
        <w:rPr>
          <w:sz w:val="20"/>
          <w:szCs w:val="20"/>
          <w:color w:val="auto"/>
        </w:rPr>
      </w:pPr>
    </w:p>
    <w:p>
      <w:pPr>
        <w:ind w:left="1680" w:hanging="187"/>
        <w:spacing w:after="0"/>
        <w:tabs>
          <w:tab w:leader="none" w:pos="1680" w:val="left"/>
        </w:tabs>
        <w:numPr>
          <w:ilvl w:val="0"/>
          <w:numId w:val="464"/>
        </w:numPr>
        <w:rPr>
          <w:rFonts w:ascii="Arial" w:cs="Arial" w:eastAsia="Arial" w:hAnsi="Arial"/>
          <w:sz w:val="14"/>
          <w:szCs w:val="14"/>
          <w:color w:val="auto"/>
        </w:rPr>
      </w:pPr>
      <w:r>
        <w:rPr>
          <w:rFonts w:ascii="Arial" w:cs="Arial" w:eastAsia="Arial" w:hAnsi="Arial"/>
          <w:sz w:val="14"/>
          <w:szCs w:val="14"/>
          <w:u w:val="single" w:color="auto"/>
          <w:color w:val="auto"/>
        </w:rPr>
        <w:t>Royalty Adjustments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jc w:val="both"/>
        <w:ind w:firstLine="1952"/>
        <w:spacing w:after="0" w:line="258" w:lineRule="auto"/>
        <w:tabs>
          <w:tab w:leader="none" w:pos="2110" w:val="left"/>
        </w:tabs>
        <w:numPr>
          <w:ilvl w:val="1"/>
          <w:numId w:val="464"/>
        </w:numPr>
        <w:rPr>
          <w:rFonts w:ascii="Arial" w:cs="Arial" w:eastAsia="Arial" w:hAnsi="Arial"/>
          <w:sz w:val="14"/>
          <w:szCs w:val="14"/>
          <w:color w:val="auto"/>
        </w:rPr>
      </w:pPr>
      <w:r>
        <w:rPr>
          <w:rFonts w:ascii="Arial" w:cs="Arial" w:eastAsia="Arial" w:hAnsi="Arial"/>
          <w:sz w:val="14"/>
          <w:szCs w:val="14"/>
          <w:u w:val="single" w:color="auto"/>
          <w:color w:val="auto"/>
        </w:rPr>
        <w:t>Non Patented Product</w:t>
      </w:r>
      <w:r>
        <w:rPr>
          <w:rFonts w:ascii="Arial" w:cs="Arial" w:eastAsia="Arial" w:hAnsi="Arial"/>
          <w:sz w:val="14"/>
          <w:szCs w:val="14"/>
          <w:color w:val="auto"/>
        </w:rPr>
        <w:t xml:space="preserve">. In the event a Product is sold in a country and the composition of matter of the Product, or the use of such Product for an indication for which it has received Regulatory Approval and has been commercialized in such country is not covered by a Valid Claim within MacroGenics Patent Rights, Joint Patent Rights and/or Collaboration DART Patent Rights in such country, then the royalty rate for such Product in such country shall be reduced by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7" w:lineRule="exact"/>
        <w:rPr>
          <w:rFonts w:ascii="Arial" w:cs="Arial" w:eastAsia="Arial" w:hAnsi="Arial"/>
          <w:sz w:val="14"/>
          <w:szCs w:val="14"/>
          <w:color w:val="auto"/>
        </w:rPr>
      </w:pPr>
    </w:p>
    <w:p>
      <w:pPr>
        <w:ind w:right="140" w:firstLine="1952"/>
        <w:spacing w:after="0" w:line="267" w:lineRule="auto"/>
        <w:tabs>
          <w:tab w:leader="none" w:pos="2148" w:val="left"/>
        </w:tabs>
        <w:numPr>
          <w:ilvl w:val="1"/>
          <w:numId w:val="464"/>
        </w:numPr>
        <w:rPr>
          <w:rFonts w:ascii="Arial" w:cs="Arial" w:eastAsia="Arial" w:hAnsi="Arial"/>
          <w:sz w:val="14"/>
          <w:szCs w:val="14"/>
          <w:color w:val="auto"/>
        </w:rPr>
      </w:pPr>
      <w:r>
        <w:rPr>
          <w:rFonts w:ascii="Arial" w:cs="Arial" w:eastAsia="Arial" w:hAnsi="Arial"/>
          <w:sz w:val="14"/>
          <w:szCs w:val="14"/>
          <w:u w:val="single" w:color="auto"/>
          <w:color w:val="auto"/>
        </w:rPr>
        <w:t>Generic Competition</w:t>
      </w:r>
      <w:r>
        <w:rPr>
          <w:rFonts w:ascii="Arial" w:cs="Arial" w:eastAsia="Arial" w:hAnsi="Arial"/>
          <w:sz w:val="14"/>
          <w:szCs w:val="14"/>
          <w:color w:val="auto"/>
        </w:rPr>
        <w:t xml:space="preserve">. In the event that a Product faces Generic Competition in a particular country of the Territory, the applicable royalty rate for such country for such Product shall be reduced to by </w:t>
      </w:r>
      <w:r>
        <w:rPr>
          <w:rFonts w:ascii="Arial" w:cs="Arial" w:eastAsia="Arial" w:hAnsi="Arial"/>
          <w:sz w:val="14"/>
          <w:szCs w:val="14"/>
          <w:b w:val="1"/>
          <w:bCs w:val="1"/>
          <w:color w:val="auto"/>
        </w:rPr>
        <w:t>***</w:t>
      </w:r>
      <w:r>
        <w:rPr>
          <w:rFonts w:ascii="Arial" w:cs="Arial" w:eastAsia="Arial" w:hAnsi="Arial"/>
          <w:sz w:val="14"/>
          <w:szCs w:val="14"/>
          <w:color w:val="auto"/>
        </w:rPr>
        <w:t xml:space="preserve"> during the applicable Calendar Quarter in which such Generic Competition exists.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pacing w:after="0" w:line="12" w:lineRule="exact"/>
        <w:rPr>
          <w:sz w:val="20"/>
          <w:szCs w:val="20"/>
          <w:color w:val="auto"/>
        </w:rPr>
      </w:pPr>
    </w:p>
    <w:p>
      <w:pPr>
        <w:ind w:left="3840" w:right="2640" w:hanging="1135"/>
        <w:spacing w:after="0" w:line="341" w:lineRule="auto"/>
        <w:tabs>
          <w:tab w:leader="none" w:pos="2944" w:val="left"/>
        </w:tabs>
        <w:numPr>
          <w:ilvl w:val="0"/>
          <w:numId w:val="46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492" w:name="page493"/>
    <w:bookmarkEnd w:id="492"/>
    <w:p>
      <w:pPr>
        <w:ind w:firstLine="1952"/>
        <w:spacing w:after="0" w:line="292" w:lineRule="auto"/>
        <w:tabs>
          <w:tab w:leader="none" w:pos="2186" w:val="left"/>
        </w:tabs>
        <w:numPr>
          <w:ilvl w:val="1"/>
          <w:numId w:val="466"/>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Third Party Offset</w:t>
      </w:r>
      <w:r>
        <w:rPr>
          <w:rFonts w:ascii="Arial" w:cs="Arial" w:eastAsia="Arial" w:hAnsi="Arial"/>
          <w:sz w:val="12"/>
          <w:szCs w:val="12"/>
          <w:color w:val="auto"/>
        </w:rPr>
        <w:t xml:space="preserve">. If BI determines in good faith that, in order to avoid infringement of any Patent Right not licensed hereunder that Covers a Collaboration DART or Product, it is reasonably necessary to obtain a license from a Third Party in order to Develop, Commercialize, make, have made, use, offer for sale, sell or import such Collaboration DART or Product in a country in the Territory and to pay a royalty or other consideration under such license (including in connection with the settlement of a patent infringement claim), then (A) the royalty payments due under Article VI with respect to Net Sales for such Product in such country shall be reduced by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payable by BI to such Third Party that are reasonably and appropriately allocable to the Collaboration DART or Product in such country, and/or (B) the milestone Payments due under Section 6.4(a)(iv-xi) and Section 6.5 with respect to the respective milestone payment for such Product if the Product is the </w:t>
      </w:r>
      <w:r>
        <w:rPr>
          <w:rFonts w:ascii="Arial" w:cs="Arial" w:eastAsia="Arial" w:hAnsi="Arial"/>
          <w:sz w:val="12"/>
          <w:szCs w:val="12"/>
          <w:b w:val="1"/>
          <w:bCs w:val="1"/>
          <w:color w:val="auto"/>
        </w:rPr>
        <w:t>***</w:t>
      </w:r>
    </w:p>
    <w:p>
      <w:pPr>
        <w:spacing w:after="0" w:line="2" w:lineRule="exact"/>
        <w:rPr>
          <w:rFonts w:ascii="Arial" w:cs="Arial" w:eastAsia="Arial" w:hAnsi="Arial"/>
          <w:sz w:val="12"/>
          <w:szCs w:val="12"/>
          <w:color w:val="auto"/>
        </w:rPr>
      </w:pPr>
    </w:p>
    <w:p>
      <w:pPr>
        <w:ind w:right="20"/>
        <w:spacing w:after="0" w:line="300" w:lineRule="auto"/>
        <w:rPr>
          <w:rFonts w:ascii="Arial" w:cs="Arial" w:eastAsia="Arial" w:hAnsi="Arial"/>
          <w:sz w:val="12"/>
          <w:szCs w:val="12"/>
          <w:color w:val="auto"/>
        </w:rPr>
      </w:pPr>
      <w:r>
        <w:rPr>
          <w:rFonts w:ascii="Arial" w:cs="Arial" w:eastAsia="Arial" w:hAnsi="Arial"/>
          <w:sz w:val="12"/>
          <w:szCs w:val="12"/>
          <w:color w:val="auto"/>
        </w:rPr>
        <w:t xml:space="preserve">Product in a Program for which milestones are due shall be reduced by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payable by BI to such Third Party that are reasonably and appropriately allocable to the Collaboration DART or Product,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(1) BI shall not be </w:t>
      </w:r>
      <w:r>
        <w:rPr>
          <w:rFonts w:ascii="Arial" w:cs="Arial" w:eastAsia="Arial" w:hAnsi="Arial"/>
          <w:sz w:val="12"/>
          <w:szCs w:val="12"/>
          <w:b w:val="1"/>
          <w:bCs w:val="1"/>
          <w:color w:val="auto"/>
        </w:rPr>
        <w:t>***</w:t>
      </w:r>
      <w:r>
        <w:rPr>
          <w:rFonts w:ascii="Arial" w:cs="Arial" w:eastAsia="Arial" w:hAnsi="Arial"/>
          <w:sz w:val="12"/>
          <w:szCs w:val="12"/>
          <w:color w:val="auto"/>
        </w:rPr>
        <w:t xml:space="preserve"> related to a Collaboration DART or Product to a Third Party that occur prior to </w:t>
      </w:r>
      <w:r>
        <w:rPr>
          <w:rFonts w:ascii="Arial" w:cs="Arial" w:eastAsia="Arial" w:hAnsi="Arial"/>
          <w:sz w:val="12"/>
          <w:szCs w:val="12"/>
          <w:b w:val="1"/>
          <w:bCs w:val="1"/>
          <w:color w:val="auto"/>
        </w:rPr>
        <w:t>***</w:t>
      </w:r>
      <w:r>
        <w:rPr>
          <w:rFonts w:ascii="Arial" w:cs="Arial" w:eastAsia="Arial" w:hAnsi="Arial"/>
          <w:sz w:val="12"/>
          <w:szCs w:val="12"/>
          <w:color w:val="auto"/>
        </w:rPr>
        <w:t xml:space="preserve"> for the relevant Collaboration DART or Product; and (2) in no event shall the aggregate deductions under this Section 6.6(c) reduce the royalty rate paid by BI in respect of Net Sales of such Product pursuant to Section 6.6(a) to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and with respect to the milestone payments due under </w:t>
      </w:r>
      <w:r>
        <w:rPr>
          <w:rFonts w:ascii="Arial" w:cs="Arial" w:eastAsia="Arial" w:hAnsi="Arial"/>
          <w:sz w:val="12"/>
          <w:szCs w:val="12"/>
          <w:b w:val="1"/>
          <w:bCs w:val="1"/>
          <w:color w:val="auto"/>
        </w:rPr>
        <w:t>***</w:t>
      </w:r>
      <w:r>
        <w:rPr>
          <w:rFonts w:ascii="Arial" w:cs="Arial" w:eastAsia="Arial" w:hAnsi="Arial"/>
          <w:sz w:val="12"/>
          <w:szCs w:val="12"/>
          <w:color w:val="auto"/>
        </w:rPr>
        <w:t xml:space="preserve"> and Section 6.5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for such </w:t>
      </w:r>
      <w:r>
        <w:rPr>
          <w:rFonts w:ascii="Arial" w:cs="Arial" w:eastAsia="Arial" w:hAnsi="Arial"/>
          <w:sz w:val="12"/>
          <w:szCs w:val="12"/>
          <w:b w:val="1"/>
          <w:bCs w:val="1"/>
          <w:color w:val="auto"/>
        </w:rPr>
        <w:t>***</w:t>
      </w:r>
      <w:r>
        <w:rPr>
          <w:rFonts w:ascii="Arial" w:cs="Arial" w:eastAsia="Arial" w:hAnsi="Arial"/>
          <w:sz w:val="12"/>
          <w:szCs w:val="12"/>
          <w:color w:val="auto"/>
        </w:rPr>
        <w:t xml:space="preserve"> Product in a Program. For purposes of clarity, milestone payments which are due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Product in a Program that is not a Replacement Product shall not be subject to any offset under this Section 6.6(c)(iii). BI shall be entitled to accumulate amounts permitted to be deducted in a prior period, but not deducted on account of such minimum royalty percentage, and deduct such amounts in a future period.</w:t>
      </w:r>
    </w:p>
    <w:p>
      <w:pPr>
        <w:spacing w:after="0" w:line="87" w:lineRule="exact"/>
        <w:rPr>
          <w:rFonts w:ascii="Arial" w:cs="Arial" w:eastAsia="Arial" w:hAnsi="Arial"/>
          <w:sz w:val="12"/>
          <w:szCs w:val="12"/>
          <w:color w:val="auto"/>
        </w:rPr>
      </w:pPr>
    </w:p>
    <w:p>
      <w:pPr>
        <w:ind w:left="1680" w:hanging="187"/>
        <w:spacing w:after="0"/>
        <w:tabs>
          <w:tab w:leader="none" w:pos="1680" w:val="left"/>
        </w:tabs>
        <w:numPr>
          <w:ilvl w:val="0"/>
          <w:numId w:val="467"/>
        </w:numPr>
        <w:rPr>
          <w:rFonts w:ascii="Arial" w:cs="Arial" w:eastAsia="Arial" w:hAnsi="Arial"/>
          <w:sz w:val="12"/>
          <w:szCs w:val="12"/>
          <w:color w:val="auto"/>
        </w:rPr>
      </w:pPr>
      <w:r>
        <w:rPr>
          <w:rFonts w:ascii="Arial" w:cs="Arial" w:eastAsia="Arial" w:hAnsi="Arial"/>
          <w:sz w:val="12"/>
          <w:szCs w:val="12"/>
          <w:u w:val="single" w:color="auto"/>
          <w:color w:val="auto"/>
        </w:rPr>
        <w:t>No Further Deductions</w:t>
      </w:r>
      <w:r>
        <w:rPr>
          <w:rFonts w:ascii="Arial" w:cs="Arial" w:eastAsia="Arial" w:hAnsi="Arial"/>
          <w:sz w:val="12"/>
          <w:szCs w:val="12"/>
          <w:color w:val="auto"/>
        </w:rPr>
        <w:t>. Except as expressly provided in this Section 6.6, there shall not be any offsets to or deductions from the royalties payable pursuant to this Section 6.6.</w:t>
      </w:r>
    </w:p>
    <w:p>
      <w:pPr>
        <w:spacing w:after="0" w:line="153" w:lineRule="exact"/>
        <w:rPr>
          <w:sz w:val="20"/>
          <w:szCs w:val="20"/>
          <w:color w:val="auto"/>
        </w:rPr>
      </w:pPr>
    </w:p>
    <w:p>
      <w:pPr>
        <w:ind w:right="220" w:firstLine="917"/>
        <w:spacing w:after="0" w:line="256"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Reports; Payments</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end of each Calendar Quarter during which there are Net Sales giving rise to a payment obligation under Section 6.5 or 6.6, BI shall submit to MacroGenics a report identifying for each Product, the Net Sales for such Product for each country for such Calendar Quarter, the calculation of royalties (including gross sales and all deductions taken from gross sales), and the royalties and the sales milestones payable to MacroGenics. Concurrently with each such report, BI shall pay to MacroGenics all royalties and sales milestones payable by it under Sections 6.5 and 6.6.</w:t>
      </w:r>
    </w:p>
    <w:p>
      <w:pPr>
        <w:spacing w:after="0" w:line="109" w:lineRule="exact"/>
        <w:rPr>
          <w:sz w:val="20"/>
          <w:szCs w:val="20"/>
          <w:color w:val="auto"/>
        </w:rPr>
      </w:pPr>
    </w:p>
    <w:p>
      <w:pPr>
        <w:ind w:right="60" w:firstLine="917"/>
        <w:spacing w:after="0" w:line="311"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Books and Records; Audit Rights</w:t>
      </w:r>
      <w:r>
        <w:rPr>
          <w:rFonts w:ascii="Arial" w:cs="Arial" w:eastAsia="Arial" w:hAnsi="Arial"/>
          <w:sz w:val="12"/>
          <w:szCs w:val="12"/>
          <w:color w:val="auto"/>
        </w:rPr>
        <w:t>. Each Party (the “</w:t>
      </w:r>
      <w:r>
        <w:rPr>
          <w:rFonts w:ascii="Arial" w:cs="Arial" w:eastAsia="Arial" w:hAnsi="Arial"/>
          <w:sz w:val="12"/>
          <w:szCs w:val="12"/>
          <w:u w:val="single" w:color="auto"/>
          <w:color w:val="auto"/>
        </w:rPr>
        <w:t>Audited Party</w:t>
      </w:r>
      <w:r>
        <w:rPr>
          <w:rFonts w:ascii="Arial" w:cs="Arial" w:eastAsia="Arial" w:hAnsi="Arial"/>
          <w:sz w:val="12"/>
          <w:szCs w:val="12"/>
          <w:color w:val="auto"/>
        </w:rPr>
        <w:t>”) shall keep (and, in the case of BI, shall cause its Affiliates and Sublicensees to keep) complete, true and accurate books and records in accordance with its Accounting Standards in sufficient detail for the other Party (the “</w:t>
      </w:r>
      <w:r>
        <w:rPr>
          <w:rFonts w:ascii="Arial" w:cs="Arial" w:eastAsia="Arial" w:hAnsi="Arial"/>
          <w:sz w:val="12"/>
          <w:szCs w:val="12"/>
          <w:u w:val="single" w:color="auto"/>
          <w:color w:val="auto"/>
        </w:rPr>
        <w:t>Auditing Party</w:t>
      </w:r>
      <w:r>
        <w:rPr>
          <w:rFonts w:ascii="Arial" w:cs="Arial" w:eastAsia="Arial" w:hAnsi="Arial"/>
          <w:sz w:val="12"/>
          <w:szCs w:val="12"/>
          <w:color w:val="auto"/>
        </w:rPr>
        <w:t>”) to determine the payments due and costs incurred under this Agreement. Each Auditing Party shall have the right, once annually at its own expense, to have an independent, certified public accounting firm of nationally recognized standing, selected by the Auditing Party and reasonably acceptable to the Audited Party, review any such records of the Audited Party in the location(s) where such records are maintained by the</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12" w:lineRule="exact"/>
        <w:rPr>
          <w:sz w:val="20"/>
          <w:szCs w:val="20"/>
          <w:color w:val="auto"/>
        </w:rPr>
      </w:pPr>
    </w:p>
    <w:p>
      <w:pPr>
        <w:ind w:left="3840" w:right="2660" w:hanging="1135"/>
        <w:spacing w:after="0" w:line="341" w:lineRule="auto"/>
        <w:tabs>
          <w:tab w:leader="none" w:pos="2944" w:val="left"/>
        </w:tabs>
        <w:numPr>
          <w:ilvl w:val="0"/>
          <w:numId w:val="46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493" w:name="page494"/>
    <w:bookmarkEnd w:id="493"/>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Audited Party upon reasonable notice (which shall be no less than *** prior notice) and during regular business hours and under obligations of strict confidence, for the sole purpose of verifying the accuracy of the amounts paid under this Agreement within a *** period preceding the date of the request for review. The report of such accounting firm shall be limited to a certificate stating whether any report made or invoice or payment submitted by the Audited Party during such period is accurate or inaccurate and the actual amounts of Clinical Development Costs, FTE Costs, MacroGenics out-of-pocket expenses under Section 6.3(b)(i), and any payments under Section 3.7, and the amount of any Net Sales, milestone or royalty discrepancy. No other information shall be provided to the Auditing Party. The Audited Party shall receive a copy of each such report concurrently with receipt by the Auditing Party. Should such inspection lead to the discovery of a discrepancy to the Auditing Party’s detriment, the Audited Party shall pay the amount of the discrepancy within *** after its receipt from the accounting firm of the certificate showing the amount of the discrepancy. The Auditing Party shall pay the full cost of the review unless the underpayment of milestones, royalties, FTE Costs, MacroGenics out-of-pocket expenses under Section 6.3(b)(i) and/or Clinical Development Costs is greater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due for the applicable period, in which case the Audited Party shall pay the reasonable costs charged by such accounting firm for such review. Any overpayment of royalties by BI revealed by an inspection shall be fully-creditable against future royalty payments under Section 6.6.</w:t>
      </w:r>
    </w:p>
    <w:p>
      <w:pPr>
        <w:spacing w:after="0" w:line="25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6.9 </w:t>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132" w:lineRule="exact"/>
        <w:rPr>
          <w:sz w:val="20"/>
          <w:szCs w:val="20"/>
          <w:color w:val="auto"/>
        </w:rPr>
      </w:pPr>
    </w:p>
    <w:p>
      <w:pPr>
        <w:ind w:right="60" w:firstLine="1493"/>
        <w:spacing w:after="0" w:line="321" w:lineRule="auto"/>
        <w:tabs>
          <w:tab w:leader="none" w:pos="1675" w:val="left"/>
        </w:tabs>
        <w:numPr>
          <w:ilvl w:val="0"/>
          <w:numId w:val="469"/>
        </w:numPr>
        <w:rPr>
          <w:rFonts w:ascii="Arial" w:cs="Arial" w:eastAsia="Arial" w:hAnsi="Arial"/>
          <w:sz w:val="12"/>
          <w:szCs w:val="12"/>
          <w:color w:val="auto"/>
        </w:rPr>
      </w:pPr>
      <w:r>
        <w:rPr>
          <w:rFonts w:ascii="Arial" w:cs="Arial" w:eastAsia="Arial" w:hAnsi="Arial"/>
          <w:sz w:val="12"/>
          <w:szCs w:val="12"/>
          <w:color w:val="auto"/>
        </w:rPr>
        <w:t>If Laws require withholding by BI of any taxes imposed upon MacroGenics on account of any royalties and/or payments, paid under this Agreement, such taxes shall be deducted by BI as required by Law from such remittable royalty and/or payment and shall be paid by BI to the proper tax authorities. Official receipts of payment of any withholding tax shall be secured and sent to MacroGenics as evidence of such payment. The Parties shall exercise their best efforts to ensure that any withholding taxes imposed are reduced as far as possible under the provisions of any relevant tax treaty.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6.10 </w:t>
      </w:r>
      <w:r>
        <w:rPr>
          <w:rFonts w:ascii="Arial" w:cs="Arial" w:eastAsia="Arial" w:hAnsi="Arial"/>
          <w:sz w:val="14"/>
          <w:szCs w:val="14"/>
          <w:u w:val="single" w:color="auto"/>
          <w:color w:val="auto"/>
        </w:rPr>
        <w:t>United States Dollars</w:t>
      </w:r>
      <w:r>
        <w:rPr>
          <w:rFonts w:ascii="Arial" w:cs="Arial" w:eastAsia="Arial" w:hAnsi="Arial"/>
          <w:sz w:val="14"/>
          <w:szCs w:val="14"/>
          <w:color w:val="auto"/>
        </w:rPr>
        <w:t>. All dollar ($) amounts specified in this Agreement are United States dollar amounts.</w:t>
      </w:r>
    </w:p>
    <w:p>
      <w:pPr>
        <w:spacing w:after="0" w:line="132" w:lineRule="exact"/>
        <w:rPr>
          <w:sz w:val="20"/>
          <w:szCs w:val="20"/>
          <w:color w:val="auto"/>
        </w:rPr>
      </w:pPr>
    </w:p>
    <w:p>
      <w:pPr>
        <w:ind w:firstLine="917"/>
        <w:spacing w:after="0" w:line="302" w:lineRule="auto"/>
        <w:rPr>
          <w:sz w:val="20"/>
          <w:szCs w:val="20"/>
          <w:color w:val="auto"/>
        </w:rPr>
      </w:pPr>
      <w:r>
        <w:rPr>
          <w:rFonts w:ascii="Arial" w:cs="Arial" w:eastAsia="Arial" w:hAnsi="Arial"/>
          <w:sz w:val="12"/>
          <w:szCs w:val="12"/>
          <w:color w:val="auto"/>
        </w:rPr>
        <w:t xml:space="preserve">6.11 </w:t>
      </w:r>
      <w:r>
        <w:rPr>
          <w:rFonts w:ascii="Arial" w:cs="Arial" w:eastAsia="Arial" w:hAnsi="Arial"/>
          <w:sz w:val="12"/>
          <w:szCs w:val="12"/>
          <w:u w:val="single" w:color="auto"/>
          <w:color w:val="auto"/>
        </w:rPr>
        <w:t>Payment Method and Currency Conversion</w:t>
      </w:r>
      <w:r>
        <w:rPr>
          <w:rFonts w:ascii="Arial" w:cs="Arial" w:eastAsia="Arial" w:hAnsi="Arial"/>
          <w:sz w:val="12"/>
          <w:szCs w:val="12"/>
          <w:color w:val="auto"/>
        </w:rPr>
        <w:t>. Except as otherwise provided herein, all payments due to a Party hereunder shall be due and payable within *** after receipt of an invoice from the other Party and shall be paid via a bank wire transfer to such bank account as such Party shall designate. For the purposes of determining the amount of any sales milestone payment under Section 6.5 or royalties due for the relevant Calendar Quarter under Section 6.6, the amount of Net Sales in any foreign currency shall be converted into United States dollars in accordance with the normal business practice of BI. In accordance with BI’s normal business practice, when Products are sold for monies other than Euro, the earned royalties in such countries will be determined by (a) converting the Net Sales in each country in the Territory into Euro, using the monthly exchange rates as customarily used by BI in its regular accounting system (as of the Effective Date, using the monthly exchange rates published by the European Central Bank (ECB) in Frankfurt/Main, Germany) and (b) calculating the respective royalty payments per country based on the respective Euro values.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7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494" w:name="page495"/>
    <w:bookmarkEnd w:id="494"/>
    <w:p>
      <w:pPr>
        <w:ind w:right="60" w:firstLine="917"/>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6.12 </w:t>
      </w:r>
      <w:r>
        <w:rPr>
          <w:rFonts w:ascii="Arial" w:cs="Arial" w:eastAsia="Arial" w:hAnsi="Arial"/>
          <w:sz w:val="12"/>
          <w:szCs w:val="12"/>
          <w:u w:val="single" w:color="auto"/>
          <w:color w:val="auto"/>
        </w:rPr>
        <w:t>Blocked Payments</w:t>
      </w:r>
      <w:r>
        <w:rPr>
          <w:rFonts w:ascii="Arial" w:cs="Arial" w:eastAsia="Arial" w:hAnsi="Arial"/>
          <w:sz w:val="12"/>
          <w:szCs w:val="12"/>
          <w:color w:val="auto"/>
        </w:rPr>
        <w:t>. If by reason of applicable Laws in any country in the Territory, it becomes impossible or illegal for BI or its Affiliates or Sublicensees to transfer, or have transferred on its behalf, milestones, royalties or other payments to MacroGenics, BI shall promptly notify MacroGenics of the conditions preventing such transfer and such royalties or other payments shall be deposited in local currency in the relevant country to the credit of MacroGenics in a recognized banking institution with a good creditworthiness designated by MacroGenics or, if none is designated by MacroGenics within thirty (30) days, in a recognized banking institution selected by BI or its Affiliate or Sublicensee, as the case may be, and identified in a written notice given to MacroGenics. If so deposited in a foreign country, BI shall provide, or cause its Affiliate or Sublicensee to provide, reasonable cooperation to MacroGenics so as to allow MacroGenics to assume control over such deposit as promptly as practicable.</w:t>
      </w:r>
    </w:p>
    <w:p>
      <w:pPr>
        <w:spacing w:after="0" w:line="84" w:lineRule="exact"/>
        <w:rPr>
          <w:sz w:val="20"/>
          <w:szCs w:val="20"/>
          <w:color w:val="auto"/>
        </w:rPr>
      </w:pPr>
    </w:p>
    <w:p>
      <w:pPr>
        <w:jc w:val="both"/>
        <w:ind w:right="160" w:firstLine="917"/>
        <w:spacing w:after="0" w:line="258" w:lineRule="auto"/>
        <w:rPr>
          <w:sz w:val="20"/>
          <w:szCs w:val="20"/>
          <w:color w:val="auto"/>
        </w:rPr>
      </w:pPr>
      <w:r>
        <w:rPr>
          <w:rFonts w:ascii="Arial" w:cs="Arial" w:eastAsia="Arial" w:hAnsi="Arial"/>
          <w:sz w:val="14"/>
          <w:szCs w:val="14"/>
          <w:color w:val="auto"/>
        </w:rPr>
        <w:t xml:space="preserve">6.13 </w:t>
      </w:r>
      <w:r>
        <w:rPr>
          <w:rFonts w:ascii="Arial" w:cs="Arial" w:eastAsia="Arial" w:hAnsi="Arial"/>
          <w:sz w:val="14"/>
          <w:szCs w:val="14"/>
          <w:u w:val="single" w:color="auto"/>
          <w:color w:val="auto"/>
        </w:rPr>
        <w:t>Late Payments</w:t>
      </w:r>
      <w:r>
        <w:rPr>
          <w:rFonts w:ascii="Arial" w:cs="Arial" w:eastAsia="Arial" w:hAnsi="Arial"/>
          <w:sz w:val="14"/>
          <w:szCs w:val="14"/>
          <w:color w:val="auto"/>
        </w:rPr>
        <w:t xml:space="preserve">. Payments not made within *** after the due dates pursuant to the terms of this Agreement, shall bear interest at a rate of the *** U.S. dollar LIBOR rate effective for the date that payment was due (as published in </w:t>
      </w:r>
      <w:r>
        <w:rPr>
          <w:rFonts w:ascii="Arial" w:cs="Arial" w:eastAsia="Arial" w:hAnsi="Arial"/>
          <w:sz w:val="14"/>
          <w:szCs w:val="14"/>
          <w:u w:val="single" w:color="auto"/>
          <w:color w:val="auto"/>
        </w:rPr>
        <w:t>The Wall Street Journal</w:t>
      </w:r>
      <w:r>
        <w:rPr>
          <w:rFonts w:ascii="Arial" w:cs="Arial" w:eastAsia="Arial" w:hAnsi="Arial"/>
          <w:sz w:val="14"/>
          <w:szCs w:val="14"/>
          <w:color w:val="auto"/>
        </w:rPr>
        <w:t>, Eastern Edition) *** annum, Calculation of interest will be made for the exact number of days the payment was past due based on a year of 360 days (actual/360).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PATENTS</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Ownership</w:t>
      </w:r>
      <w:r>
        <w:rPr>
          <w:rFonts w:ascii="Arial" w:cs="Arial" w:eastAsia="Arial" w:hAnsi="Arial"/>
          <w:sz w:val="14"/>
          <w:szCs w:val="14"/>
          <w:color w:val="auto"/>
        </w:rPr>
        <w:t>.</w:t>
      </w:r>
    </w:p>
    <w:p>
      <w:pPr>
        <w:spacing w:after="0" w:line="132" w:lineRule="exact"/>
        <w:rPr>
          <w:sz w:val="20"/>
          <w:szCs w:val="20"/>
          <w:color w:val="auto"/>
        </w:rPr>
      </w:pPr>
    </w:p>
    <w:p>
      <w:pPr>
        <w:ind w:right="20" w:firstLine="1493"/>
        <w:spacing w:after="0" w:line="311" w:lineRule="auto"/>
        <w:tabs>
          <w:tab w:leader="none" w:pos="1675" w:val="left"/>
        </w:tabs>
        <w:numPr>
          <w:ilvl w:val="1"/>
          <w:numId w:val="471"/>
        </w:numPr>
        <w:rPr>
          <w:rFonts w:ascii="Arial" w:cs="Arial" w:eastAsia="Arial" w:hAnsi="Arial"/>
          <w:sz w:val="12"/>
          <w:szCs w:val="12"/>
          <w:color w:val="auto"/>
        </w:rPr>
      </w:pPr>
      <w:r>
        <w:rPr>
          <w:rFonts w:ascii="Arial" w:cs="Arial" w:eastAsia="Arial" w:hAnsi="Arial"/>
          <w:sz w:val="12"/>
          <w:szCs w:val="12"/>
          <w:color w:val="auto"/>
        </w:rPr>
        <w:t>Each Party shall exclusively own all Know-How and Inventions, invented solely by employees, agents and consultants of such Party or its Affiliates, and any Patent Rights related thereto subject to the licenses granted under ARTICLE V and except as set forth in Section 7.1(b). Inventions invented jointly by employees, agents, or consultants of the Parties or their Affiliates (“</w:t>
      </w:r>
      <w:r>
        <w:rPr>
          <w:rFonts w:ascii="Arial" w:cs="Arial" w:eastAsia="Arial" w:hAnsi="Arial"/>
          <w:sz w:val="12"/>
          <w:szCs w:val="12"/>
          <w:u w:val="single" w:color="auto"/>
          <w:color w:val="auto"/>
        </w:rPr>
        <w:t>Joint</w:t>
      </w:r>
      <w:r>
        <w:rPr>
          <w:rFonts w:ascii="Arial" w:cs="Arial" w:eastAsia="Arial" w:hAnsi="Arial"/>
          <w:sz w:val="12"/>
          <w:szCs w:val="12"/>
          <w:color w:val="auto"/>
        </w:rPr>
        <w:t xml:space="preserve"> </w:t>
      </w:r>
      <w:r>
        <w:rPr>
          <w:rFonts w:ascii="Arial" w:cs="Arial" w:eastAsia="Arial" w:hAnsi="Arial"/>
          <w:sz w:val="12"/>
          <w:szCs w:val="12"/>
          <w:u w:val="single" w:color="auto"/>
          <w:color w:val="auto"/>
        </w:rPr>
        <w:t>Intellectual Property</w:t>
      </w:r>
      <w:r>
        <w:rPr>
          <w:rFonts w:ascii="Arial" w:cs="Arial" w:eastAsia="Arial" w:hAnsi="Arial"/>
          <w:sz w:val="12"/>
          <w:szCs w:val="12"/>
          <w:color w:val="auto"/>
        </w:rPr>
        <w:t>” and any Patent Rights included in such Joint Intellectual Property, “</w:t>
      </w:r>
      <w:r>
        <w:rPr>
          <w:rFonts w:ascii="Arial" w:cs="Arial" w:eastAsia="Arial" w:hAnsi="Arial"/>
          <w:sz w:val="12"/>
          <w:szCs w:val="12"/>
          <w:u w:val="single" w:color="auto"/>
          <w:color w:val="auto"/>
        </w:rPr>
        <w:t>Joint Patent Rights</w:t>
      </w:r>
      <w:r>
        <w:rPr>
          <w:rFonts w:ascii="Arial" w:cs="Arial" w:eastAsia="Arial" w:hAnsi="Arial"/>
          <w:sz w:val="12"/>
          <w:szCs w:val="12"/>
          <w:color w:val="auto"/>
        </w:rPr>
        <w:t>” and any Know-How included in such Joint Intellectual Property, “</w:t>
      </w:r>
      <w:r>
        <w:rPr>
          <w:rFonts w:ascii="Arial" w:cs="Arial" w:eastAsia="Arial" w:hAnsi="Arial"/>
          <w:sz w:val="12"/>
          <w:szCs w:val="12"/>
          <w:u w:val="single" w:color="auto"/>
          <w:color w:val="auto"/>
        </w:rPr>
        <w:t>Joint Know-How</w:t>
      </w:r>
      <w:r>
        <w:rPr>
          <w:rFonts w:ascii="Arial" w:cs="Arial" w:eastAsia="Arial" w:hAnsi="Arial"/>
          <w:sz w:val="12"/>
          <w:szCs w:val="12"/>
          <w:color w:val="auto"/>
        </w:rPr>
        <w:t>”) shall be Jointly Owned, subject to the licenses granted under ARTICLE V. Inventorship shall be determined in accordance with U.S. patent Laws for purposes of determining ownership in accordance with the foregoing.</w:t>
      </w:r>
    </w:p>
    <w:p>
      <w:pPr>
        <w:spacing w:after="0" w:line="78" w:lineRule="exact"/>
        <w:rPr>
          <w:rFonts w:ascii="Arial" w:cs="Arial" w:eastAsia="Arial" w:hAnsi="Arial"/>
          <w:sz w:val="12"/>
          <w:szCs w:val="12"/>
          <w:color w:val="auto"/>
        </w:rPr>
      </w:pPr>
    </w:p>
    <w:p>
      <w:pPr>
        <w:ind w:right="100" w:firstLine="1493"/>
        <w:spacing w:after="0" w:line="295" w:lineRule="auto"/>
        <w:tabs>
          <w:tab w:leader="none" w:pos="1682" w:val="left"/>
        </w:tabs>
        <w:numPr>
          <w:ilvl w:val="1"/>
          <w:numId w:val="471"/>
        </w:numPr>
        <w:rPr>
          <w:rFonts w:ascii="Arial" w:cs="Arial" w:eastAsia="Arial" w:hAnsi="Arial"/>
          <w:sz w:val="12"/>
          <w:szCs w:val="12"/>
          <w:color w:val="auto"/>
        </w:rPr>
      </w:pPr>
      <w:r>
        <w:rPr>
          <w:rFonts w:ascii="Arial" w:cs="Arial" w:eastAsia="Arial" w:hAnsi="Arial"/>
          <w:sz w:val="12"/>
          <w:szCs w:val="12"/>
          <w:color w:val="auto"/>
        </w:rPr>
        <w:t xml:space="preserve">Notwithstanding Section 7.1(a), Collaboration DART Patent Rights regardless of the inventorship shall be Jointly Owned by the Parties, subject to the licenses granted under ARTICLE V and (i) MacroGenics hereby assigns to BI a </w:t>
      </w:r>
      <w:r>
        <w:rPr>
          <w:rFonts w:ascii="Arial" w:cs="Arial" w:eastAsia="Arial" w:hAnsi="Arial"/>
          <w:sz w:val="12"/>
          <w:szCs w:val="12"/>
          <w:b w:val="1"/>
          <w:bCs w:val="1"/>
          <w:color w:val="auto"/>
        </w:rPr>
        <w:t>***</w:t>
      </w:r>
      <w:r>
        <w:rPr>
          <w:rFonts w:ascii="Arial" w:cs="Arial" w:eastAsia="Arial" w:hAnsi="Arial"/>
          <w:sz w:val="12"/>
          <w:szCs w:val="12"/>
          <w:color w:val="auto"/>
        </w:rPr>
        <w:t xml:space="preserve"> undivided interest in any such Collaboration DART Patent Right that is solely owned by MacroGenics and (ii) BI hereby assigns to MacroGenics a</w:t>
      </w:r>
    </w:p>
    <w:p>
      <w:pPr>
        <w:ind w:left="240" w:hanging="236"/>
        <w:spacing w:after="0"/>
        <w:tabs>
          <w:tab w:leader="none" w:pos="240" w:val="left"/>
        </w:tabs>
        <w:numPr>
          <w:ilvl w:val="0"/>
          <w:numId w:val="471"/>
        </w:numPr>
        <w:rPr>
          <w:rFonts w:ascii="Arial" w:cs="Arial" w:eastAsia="Arial" w:hAnsi="Arial"/>
          <w:sz w:val="14"/>
          <w:szCs w:val="14"/>
          <w:b w:val="1"/>
          <w:bCs w:val="1"/>
          <w:color w:val="auto"/>
        </w:rPr>
      </w:pPr>
      <w:r>
        <w:rPr>
          <w:rFonts w:ascii="Arial" w:cs="Arial" w:eastAsia="Arial" w:hAnsi="Arial"/>
          <w:sz w:val="14"/>
          <w:szCs w:val="14"/>
          <w:color w:val="auto"/>
        </w:rPr>
        <w:t>undivided interest in any such Collaboration DART Patent Right that is solely owned by BI.</w:t>
      </w:r>
    </w:p>
    <w:p>
      <w:pPr>
        <w:spacing w:after="0" w:line="125" w:lineRule="exact"/>
        <w:rPr>
          <w:rFonts w:ascii="Arial" w:cs="Arial" w:eastAsia="Arial" w:hAnsi="Arial"/>
          <w:sz w:val="14"/>
          <w:szCs w:val="14"/>
          <w:b w:val="1"/>
          <w:bCs w:val="1"/>
          <w:color w:val="auto"/>
        </w:rPr>
      </w:pPr>
    </w:p>
    <w:p>
      <w:pPr>
        <w:ind w:firstLine="1493"/>
        <w:spacing w:after="0" w:line="258" w:lineRule="auto"/>
        <w:tabs>
          <w:tab w:leader="none" w:pos="1675" w:val="left"/>
        </w:tabs>
        <w:numPr>
          <w:ilvl w:val="1"/>
          <w:numId w:val="472"/>
        </w:numPr>
        <w:rPr>
          <w:rFonts w:ascii="Arial" w:cs="Arial" w:eastAsia="Arial" w:hAnsi="Arial"/>
          <w:sz w:val="14"/>
          <w:szCs w:val="14"/>
          <w:color w:val="auto"/>
        </w:rPr>
      </w:pPr>
      <w:r>
        <w:rPr>
          <w:rFonts w:ascii="Arial" w:cs="Arial" w:eastAsia="Arial" w:hAnsi="Arial"/>
          <w:sz w:val="14"/>
          <w:szCs w:val="14"/>
          <w:color w:val="auto"/>
        </w:rPr>
        <w:t>Except as expressly provided in this Agreement, and subject to any restrictions herein (including the licenses granted under ARTICLE V), with respect to Joint Intellectual Property (other than Collaboration DART Patent Rights), each joint owner may assign, license, sell or otherwise encumber or transfer any such interest without the prior written approval of the other Party and without obligation to account or provide compensation to the other Party.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7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495" w:name="page496"/>
    <w:bookmarkEnd w:id="495"/>
    <w:p>
      <w:pPr>
        <w:jc w:val="both"/>
        <w:ind w:right="200" w:firstLine="1493"/>
        <w:spacing w:after="0" w:line="295" w:lineRule="auto"/>
        <w:tabs>
          <w:tab w:leader="none" w:pos="1682" w:val="left"/>
        </w:tabs>
        <w:numPr>
          <w:ilvl w:val="0"/>
          <w:numId w:val="47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With respect to Collaboration DART Patent Rights, (i) each joint owner may only assign, license, sell or otherwise encumber or transfer any such interest *** of the other Party, subject to Section 5.4, which shall not be unreasonably withheld;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(ii) that either Party may, ***, assign its interest in such Collaboration DART Patent Rights, in whole or in part, to any of</w:t>
      </w:r>
    </w:p>
    <w:p>
      <w:pPr>
        <w:ind w:right="100"/>
        <w:spacing w:after="0" w:line="253" w:lineRule="auto"/>
        <w:rPr>
          <w:rFonts w:ascii="Arial" w:cs="Arial" w:eastAsia="Arial" w:hAnsi="Arial"/>
          <w:sz w:val="12"/>
          <w:szCs w:val="12"/>
          <w:color w:val="auto"/>
        </w:rPr>
      </w:pP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such Affiliate agrees to be bound by the obligations hereunder with respect to such Collaboration DART Patent Rights and the assigning Party shall remain jointly and severally liable with such Affiliate in respect of all obligations so assigned. Any such *** assignment, license or other disposition under (i) or (ii) of such Collaboration DART Patent Rights shall at all times be and remain subject to the rights granted and accompanying conditions and obligations with respect thereto under this Agreement. ***.</w:t>
      </w:r>
    </w:p>
    <w:p>
      <w:pPr>
        <w:spacing w:after="0" w:line="112" w:lineRule="exact"/>
        <w:rPr>
          <w:sz w:val="20"/>
          <w:szCs w:val="20"/>
          <w:color w:val="auto"/>
        </w:rPr>
      </w:pPr>
    </w:p>
    <w:p>
      <w:pPr>
        <w:ind w:right="560" w:firstLine="917"/>
        <w:spacing w:after="0" w:line="351"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BI Prosecution and Maintenance of Patent Rights</w:t>
      </w:r>
      <w:r>
        <w:rPr>
          <w:rFonts w:ascii="Arial" w:cs="Arial" w:eastAsia="Arial" w:hAnsi="Arial"/>
          <w:sz w:val="12"/>
          <w:szCs w:val="12"/>
          <w:color w:val="auto"/>
        </w:rPr>
        <w:t>. Subject to Section 7.4, BI shall be responsible for the Prosecution and Maintenance of the BI Patent Rights, including any related interference, opposition, re-examination, re-issue, revocation or any official proceeding involving patents and patent applications, at its sole expense.</w:t>
      </w:r>
    </w:p>
    <w:p>
      <w:pPr>
        <w:spacing w:after="0" w:line="56" w:lineRule="exact"/>
        <w:rPr>
          <w:sz w:val="20"/>
          <w:szCs w:val="20"/>
          <w:color w:val="auto"/>
        </w:rPr>
      </w:pPr>
    </w:p>
    <w:p>
      <w:pPr>
        <w:ind w:right="400" w:firstLine="917"/>
        <w:spacing w:after="0" w:line="351"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MacroGenics Prosecution and Maintenance of Patent Rights</w:t>
      </w:r>
      <w:r>
        <w:rPr>
          <w:rFonts w:ascii="Arial" w:cs="Arial" w:eastAsia="Arial" w:hAnsi="Arial"/>
          <w:sz w:val="12"/>
          <w:szCs w:val="12"/>
          <w:color w:val="auto"/>
        </w:rPr>
        <w:t>. Subject to Section 7.4 MacroGenics shall be responsible for the Prosecution and Maintenance of the MacroGenics Patent Rights, including any related interference, opposition, re-examination, re-issue, revocation or any official proceeding involving patents and patent applications, at its sole expense.</w:t>
      </w:r>
    </w:p>
    <w:p>
      <w:pPr>
        <w:spacing w:after="0" w:line="56" w:lineRule="exact"/>
        <w:rPr>
          <w:sz w:val="20"/>
          <w:szCs w:val="20"/>
          <w:color w:val="auto"/>
        </w:rPr>
      </w:pPr>
    </w:p>
    <w:p>
      <w:pPr>
        <w:ind w:right="120" w:firstLine="917"/>
        <w:spacing w:after="0" w:line="255"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Prosecution and Maintenance of Joint Patent Rights and Collaboration DART Patent Rights</w:t>
      </w:r>
      <w:r>
        <w:rPr>
          <w:rFonts w:ascii="Arial" w:cs="Arial" w:eastAsia="Arial" w:hAnsi="Arial"/>
          <w:sz w:val="14"/>
          <w:szCs w:val="14"/>
          <w:color w:val="auto"/>
        </w:rPr>
        <w:t>. The Prosecution and Maintenance of any Joint Patent Right and/or Collaboration DART Patent Right shall be through a mutually selected U.S. patent counsel. Within sixty (60) days following the Effective Date, the Parties shall agree on a patent counsel (“</w:t>
      </w:r>
      <w:r>
        <w:rPr>
          <w:rFonts w:ascii="Arial" w:cs="Arial" w:eastAsia="Arial" w:hAnsi="Arial"/>
          <w:sz w:val="14"/>
          <w:szCs w:val="14"/>
          <w:u w:val="single" w:color="auto"/>
          <w:color w:val="auto"/>
        </w:rPr>
        <w:t>Joint Counsel</w:t>
      </w:r>
      <w:r>
        <w:rPr>
          <w:rFonts w:ascii="Arial" w:cs="Arial" w:eastAsia="Arial" w:hAnsi="Arial"/>
          <w:sz w:val="14"/>
          <w:szCs w:val="14"/>
          <w:color w:val="auto"/>
        </w:rPr>
        <w:t>”) who shall be engaged by both Parties for the Prosecution and Maintenance of all Collaboration DART Patent Rights and Joint Patent Rights (the “</w:t>
      </w:r>
      <w:r>
        <w:rPr>
          <w:rFonts w:ascii="Arial" w:cs="Arial" w:eastAsia="Arial" w:hAnsi="Arial"/>
          <w:sz w:val="14"/>
          <w:szCs w:val="14"/>
          <w:u w:val="single" w:color="auto"/>
          <w:color w:val="auto"/>
        </w:rPr>
        <w:t>Joint Counsel Patent Rights</w:t>
      </w:r>
      <w:r>
        <w:rPr>
          <w:rFonts w:ascii="Arial" w:cs="Arial" w:eastAsia="Arial" w:hAnsi="Arial"/>
          <w:sz w:val="14"/>
          <w:szCs w:val="14"/>
          <w:color w:val="auto"/>
        </w:rPr>
        <w:t>”). The following terms shall apply to each Joint Counsel Patent Right:</w:t>
      </w:r>
    </w:p>
    <w:p>
      <w:pPr>
        <w:spacing w:after="0" w:line="110" w:lineRule="exact"/>
        <w:rPr>
          <w:sz w:val="20"/>
          <w:szCs w:val="20"/>
          <w:color w:val="auto"/>
        </w:rPr>
      </w:pPr>
    </w:p>
    <w:p>
      <w:pPr>
        <w:ind w:firstLine="1493"/>
        <w:spacing w:after="0" w:line="300" w:lineRule="auto"/>
        <w:tabs>
          <w:tab w:leader="none" w:pos="1675" w:val="left"/>
        </w:tabs>
        <w:numPr>
          <w:ilvl w:val="0"/>
          <w:numId w:val="475"/>
        </w:numPr>
        <w:rPr>
          <w:rFonts w:ascii="Arial" w:cs="Arial" w:eastAsia="Arial" w:hAnsi="Arial"/>
          <w:sz w:val="12"/>
          <w:szCs w:val="12"/>
          <w:color w:val="auto"/>
        </w:rPr>
      </w:pPr>
      <w:r>
        <w:rPr>
          <w:rFonts w:ascii="Arial" w:cs="Arial" w:eastAsia="Arial" w:hAnsi="Arial"/>
          <w:sz w:val="12"/>
          <w:szCs w:val="12"/>
          <w:color w:val="auto"/>
        </w:rPr>
        <w:t xml:space="preserve">Joint Counsel shall give BI and MacroGenics (or each Party’s designee) an opportunity to review the text of each application, office action response or other substantive document for a Joint Counsel Patent Right before filing with any patent office in the Territory, shall incorporate BI’s and MacroGenics’ (or each Party’s designee) reasonable comments with respect thereto, and shall supply BI and MacroGenics (or each party’s designee) with a copy of each such application, office action response or other substantive document as filed, together with notice of its filing date and serial number. In the event that MacroGenics and BI provide Joint Counsel with conflicting instructions regarding filing, prosecuting and maintaining a Joint Counsel Patent Right, Joint Counsel shall make the Parties aware of such conflicting instructions and, if the Parties are not able to resolve such conflict within a reasonable time prior to the applicable filing deadline, the Joint Counsel shall take such action as would reasonably expected to maximize the scope, extent and coverage of such Joint Counsel Patent Right. For any Collaboration DART Patent Right that claims an invention which was solely invented by MacroGenics and Covers improvements to the DART Platform not specifically related to the </w:t>
      </w:r>
      <w:r>
        <w:rPr>
          <w:rFonts w:ascii="Arial" w:cs="Arial" w:eastAsia="Arial" w:hAnsi="Arial"/>
          <w:sz w:val="12"/>
          <w:szCs w:val="12"/>
          <w:b w:val="1"/>
          <w:bCs w:val="1"/>
          <w:color w:val="auto"/>
        </w:rPr>
        <w:t>***</w:t>
      </w:r>
      <w:r>
        <w:rPr>
          <w:rFonts w:ascii="Arial" w:cs="Arial" w:eastAsia="Arial" w:hAnsi="Arial"/>
          <w:sz w:val="12"/>
          <w:szCs w:val="12"/>
          <w:color w:val="auto"/>
        </w:rPr>
        <w:t xml:space="preserve"> shall become solely owned by MacroGenics (and BI shall and hereby does assign all right, title, and interest it has in such Collaboration DART Patent Right to</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7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496" w:name="page497"/>
    <w:bookmarkEnd w:id="496"/>
    <w:p>
      <w:pPr>
        <w:ind w:right="160"/>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and become a MacroGenics Patent Right subject to the licenses granted under ARTICLE V. For any Collaboration DART Patent Right that claims an invention which was solely invented by BI and Covers *** such Collaboration DART Patent Right shall become solely owned by BI (and MacroGenics shall and hereby does assign all right title and interest it has in such Collaboration DART Patent Right to BI) and become a BI Patent Right. In the event that such Collaboration DART Patent Right becomes a MacroGenics Patent Right or a BI Patent Right, the Parties shall cooperate with each other to</w:t>
      </w:r>
    </w:p>
    <w:p>
      <w:pPr>
        <w:ind w:right="400" w:firstLine="4"/>
        <w:spacing w:after="0" w:line="253" w:lineRule="auto"/>
        <w:tabs>
          <w:tab w:leader="none" w:pos="192" w:val="left"/>
        </w:tabs>
        <w:numPr>
          <w:ilvl w:val="0"/>
          <w:numId w:val="477"/>
        </w:numPr>
        <w:rPr>
          <w:rFonts w:ascii="Arial" w:cs="Arial" w:eastAsia="Arial" w:hAnsi="Arial"/>
          <w:sz w:val="14"/>
          <w:szCs w:val="14"/>
          <w:color w:val="auto"/>
        </w:rPr>
      </w:pPr>
      <w:r>
        <w:rPr>
          <w:rFonts w:ascii="Arial" w:cs="Arial" w:eastAsia="Arial" w:hAnsi="Arial"/>
          <w:sz w:val="14"/>
          <w:szCs w:val="14"/>
          <w:color w:val="auto"/>
        </w:rPr>
        <w:t>amend the MacroGenics Patent Right or a BI Patent Right to delete any claims Covering the Collaboration DART or its method of use or method of manufacture, and (2) file, prosecute and maintain a divisional or continuation application of said Collaboration DART Patent Right having claims Covering the Collaboration DART or its method of use or method of manufacture and which will remain a Collaboration DART Patent Right Jointly Owned by the Parties.</w:t>
      </w:r>
    </w:p>
    <w:p>
      <w:pPr>
        <w:spacing w:after="0" w:line="111" w:lineRule="exact"/>
        <w:rPr>
          <w:rFonts w:ascii="Arial" w:cs="Arial" w:eastAsia="Arial" w:hAnsi="Arial"/>
          <w:sz w:val="14"/>
          <w:szCs w:val="14"/>
          <w:color w:val="auto"/>
        </w:rPr>
      </w:pPr>
    </w:p>
    <w:p>
      <w:pPr>
        <w:ind w:firstLine="1493"/>
        <w:spacing w:after="0" w:line="267" w:lineRule="auto"/>
        <w:tabs>
          <w:tab w:leader="none" w:pos="1682" w:val="left"/>
        </w:tabs>
        <w:numPr>
          <w:ilvl w:val="1"/>
          <w:numId w:val="477"/>
        </w:numPr>
        <w:rPr>
          <w:rFonts w:ascii="Arial" w:cs="Arial" w:eastAsia="Arial" w:hAnsi="Arial"/>
          <w:sz w:val="14"/>
          <w:szCs w:val="14"/>
          <w:color w:val="auto"/>
        </w:rPr>
      </w:pPr>
      <w:r>
        <w:rPr>
          <w:rFonts w:ascii="Arial" w:cs="Arial" w:eastAsia="Arial" w:hAnsi="Arial"/>
          <w:sz w:val="14"/>
          <w:szCs w:val="14"/>
          <w:color w:val="auto"/>
        </w:rPr>
        <w:t>Both Parties shall cooperate with Joint Counsel in Prosecution and Maintenance of patent applications for Joint Counsel Patent Rights, including providing Joint Counsel with data and other information as appropriate with respect thereto.</w:t>
      </w:r>
    </w:p>
    <w:p>
      <w:pPr>
        <w:spacing w:after="0" w:line="101" w:lineRule="exact"/>
        <w:rPr>
          <w:rFonts w:ascii="Arial" w:cs="Arial" w:eastAsia="Arial" w:hAnsi="Arial"/>
          <w:sz w:val="14"/>
          <w:szCs w:val="14"/>
          <w:color w:val="auto"/>
        </w:rPr>
      </w:pPr>
    </w:p>
    <w:p>
      <w:pPr>
        <w:ind w:right="260" w:firstLine="1493"/>
        <w:spacing w:after="0" w:line="258" w:lineRule="auto"/>
        <w:tabs>
          <w:tab w:leader="none" w:pos="1675" w:val="left"/>
        </w:tabs>
        <w:numPr>
          <w:ilvl w:val="1"/>
          <w:numId w:val="477"/>
        </w:numPr>
        <w:rPr>
          <w:rFonts w:ascii="Arial" w:cs="Arial" w:eastAsia="Arial" w:hAnsi="Arial"/>
          <w:sz w:val="14"/>
          <w:szCs w:val="14"/>
          <w:color w:val="auto"/>
        </w:rPr>
      </w:pPr>
      <w:r>
        <w:rPr>
          <w:rFonts w:ascii="Arial" w:cs="Arial" w:eastAsia="Arial" w:hAnsi="Arial"/>
          <w:sz w:val="14"/>
          <w:szCs w:val="14"/>
          <w:color w:val="auto"/>
        </w:rPr>
        <w:t>Joint Counsel shall keep BI and MacroGenics advised of the status of the Prosecution and Maintenance of Joint Counsel Patent Rights, including actual and prospective patent filings for Joint Counsel Patent Rights and shall provide each Party with advance copies of any papers related thereto. Joint Counsel shall promptly give notice to BI and MacroGenics of the grant, lapse, revocation, surrender, invalidation, or abandonment of any Joint Counsel Patent Rights.</w:t>
      </w:r>
    </w:p>
    <w:p>
      <w:pPr>
        <w:spacing w:after="0" w:line="105" w:lineRule="exact"/>
        <w:rPr>
          <w:rFonts w:ascii="Arial" w:cs="Arial" w:eastAsia="Arial" w:hAnsi="Arial"/>
          <w:sz w:val="14"/>
          <w:szCs w:val="14"/>
          <w:color w:val="auto"/>
        </w:rPr>
      </w:pPr>
    </w:p>
    <w:p>
      <w:pPr>
        <w:ind w:right="40" w:firstLine="1493"/>
        <w:spacing w:after="0" w:line="270" w:lineRule="auto"/>
        <w:tabs>
          <w:tab w:leader="none" w:pos="1682" w:val="left"/>
        </w:tabs>
        <w:numPr>
          <w:ilvl w:val="1"/>
          <w:numId w:val="477"/>
        </w:numPr>
        <w:rPr>
          <w:rFonts w:ascii="Arial" w:cs="Arial" w:eastAsia="Arial" w:hAnsi="Arial"/>
          <w:sz w:val="14"/>
          <w:szCs w:val="14"/>
          <w:color w:val="auto"/>
        </w:rPr>
      </w:pPr>
      <w:r>
        <w:rPr>
          <w:rFonts w:ascii="Arial" w:cs="Arial" w:eastAsia="Arial" w:hAnsi="Arial"/>
          <w:sz w:val="14"/>
          <w:szCs w:val="14"/>
          <w:color w:val="auto"/>
        </w:rPr>
        <w:t xml:space="preserve">The Parties shall </w:t>
      </w:r>
      <w:r>
        <w:rPr>
          <w:rFonts w:ascii="Arial" w:cs="Arial" w:eastAsia="Arial" w:hAnsi="Arial"/>
          <w:sz w:val="14"/>
          <w:szCs w:val="14"/>
          <w:b w:val="1"/>
          <w:bCs w:val="1"/>
          <w:color w:val="auto"/>
        </w:rPr>
        <w:t>***</w:t>
      </w:r>
      <w:r>
        <w:rPr>
          <w:rFonts w:ascii="Arial" w:cs="Arial" w:eastAsia="Arial" w:hAnsi="Arial"/>
          <w:sz w:val="14"/>
          <w:szCs w:val="14"/>
          <w:color w:val="auto"/>
        </w:rPr>
        <w:t xml:space="preserve"> charged by Joint Counsel with respect to the Prosecution and Maintenance of Joint Counsel Patent Rights and all other mutually agreed and approved out-of-pocket costs and expenses incurred by either Party in connection with such Prosecution and Maintenance of Joint Counsel Patent Rights.</w:t>
      </w:r>
    </w:p>
    <w:p>
      <w:pPr>
        <w:spacing w:after="0" w:line="99" w:lineRule="exact"/>
        <w:rPr>
          <w:rFonts w:ascii="Arial" w:cs="Arial" w:eastAsia="Arial" w:hAnsi="Arial"/>
          <w:sz w:val="14"/>
          <w:szCs w:val="14"/>
          <w:color w:val="auto"/>
        </w:rPr>
      </w:pPr>
    </w:p>
    <w:p>
      <w:pPr>
        <w:ind w:right="20" w:firstLine="1493"/>
        <w:spacing w:after="0" w:line="300" w:lineRule="auto"/>
        <w:tabs>
          <w:tab w:leader="none" w:pos="1675" w:val="left"/>
        </w:tabs>
        <w:numPr>
          <w:ilvl w:val="1"/>
          <w:numId w:val="477"/>
        </w:numPr>
        <w:rPr>
          <w:rFonts w:ascii="Arial" w:cs="Arial" w:eastAsia="Arial" w:hAnsi="Arial"/>
          <w:sz w:val="12"/>
          <w:szCs w:val="12"/>
          <w:color w:val="auto"/>
        </w:rPr>
      </w:pPr>
      <w:r>
        <w:rPr>
          <w:rFonts w:ascii="Arial" w:cs="Arial" w:eastAsia="Arial" w:hAnsi="Arial"/>
          <w:sz w:val="12"/>
          <w:szCs w:val="12"/>
          <w:color w:val="auto"/>
        </w:rPr>
        <w:t xml:space="preserve">Should BI decide that it does not wish to continue paying for the Prosecution and Maintenance of a particular Joint Counsel Patent Right, BI shall notify MacroGenics and Joint Counsel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in advance of the next deadline and shall allow MacroGenics to assume responsibility for such Prosecution and Maintenance payments incurred after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of BI’s notice. If MacroGenics assumes such responsibility, then: (i) MacroGenics may designate any counsel of its choice to handle the Prosecution and Maintenance of such Joint Counsel Patent Right and it shall cease to be part of the Joint Counsel Patent Rights and no further royalty obligations shall exist under this Agreement with respect thereto, (ii) BI shall lose its licenses to such Joint Counsel Patent Right under ARTICLE V and the covenant not to sue under Section 5.5 shall not apply with respect to such Joint Counsel Patent Right, and (iii) BI shall and hereby does transfer and assign all right, title and interest in said Joint Counsel Patent Right to MacroGenics as the sole owner. If MacroGenics decides not to assume such responsibility, then it shall instruct Joint Counsel to abandon the Prosecution and Maintenance of such Collaboration DART Patent Right and/or Joint Patent Right.</w:t>
      </w:r>
    </w:p>
    <w:p>
      <w:pPr>
        <w:spacing w:after="0" w:line="88" w:lineRule="exact"/>
        <w:rPr>
          <w:rFonts w:ascii="Arial" w:cs="Arial" w:eastAsia="Arial" w:hAnsi="Arial"/>
          <w:sz w:val="12"/>
          <w:szCs w:val="12"/>
          <w:color w:val="auto"/>
        </w:rPr>
      </w:pPr>
    </w:p>
    <w:p>
      <w:pPr>
        <w:ind w:right="140" w:firstLine="1493"/>
        <w:spacing w:after="0" w:line="267" w:lineRule="auto"/>
        <w:tabs>
          <w:tab w:leader="none" w:pos="1660" w:val="left"/>
        </w:tabs>
        <w:numPr>
          <w:ilvl w:val="1"/>
          <w:numId w:val="477"/>
        </w:numPr>
        <w:rPr>
          <w:rFonts w:ascii="Arial" w:cs="Arial" w:eastAsia="Arial" w:hAnsi="Arial"/>
          <w:sz w:val="14"/>
          <w:szCs w:val="14"/>
          <w:color w:val="auto"/>
        </w:rPr>
      </w:pPr>
      <w:r>
        <w:rPr>
          <w:rFonts w:ascii="Arial" w:cs="Arial" w:eastAsia="Arial" w:hAnsi="Arial"/>
          <w:sz w:val="14"/>
          <w:szCs w:val="14"/>
          <w:color w:val="auto"/>
        </w:rPr>
        <w:t xml:space="preserve">Should MacroGenics decide that it does not wish to continue paying for the Prosecution and Maintenance of a particular Joint Counsel Patent Right, MacroGenics shall notify BI and Joint Counsel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in advance of the next deadline and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7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497" w:name="page498"/>
    <w:bookmarkEnd w:id="497"/>
    <w:p>
      <w:pPr>
        <w:jc w:val="both"/>
        <w:ind w:right="120"/>
        <w:spacing w:after="0" w:line="29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shall allow BI to assume responsibility for such Prosecution and Maintenance payments incurred after ***after receipt of MacroGenics’ notice. If BI assumes such responsibility, then: (i) BI may designate any counsel of its choice to handle the Prosecution and Maintenance of such Joint Counsel Patent Right and it shall no longer be considered a Joint Patent Right or Collaboration DART Patent Right, as applicable,</w:t>
      </w:r>
    </w:p>
    <w:p>
      <w:pPr>
        <w:spacing w:after="0" w:line="1" w:lineRule="exact"/>
        <w:rPr>
          <w:sz w:val="20"/>
          <w:szCs w:val="20"/>
          <w:color w:val="auto"/>
        </w:rPr>
      </w:pPr>
    </w:p>
    <w:p>
      <w:pPr>
        <w:ind w:right="160" w:firstLine="4"/>
        <w:spacing w:after="0" w:line="341" w:lineRule="auto"/>
        <w:tabs>
          <w:tab w:leader="none" w:pos="200" w:val="left"/>
        </w:tabs>
        <w:numPr>
          <w:ilvl w:val="0"/>
          <w:numId w:val="479"/>
        </w:numPr>
        <w:rPr>
          <w:rFonts w:ascii="Arial" w:cs="Arial" w:eastAsia="Arial" w:hAnsi="Arial"/>
          <w:sz w:val="12"/>
          <w:szCs w:val="12"/>
          <w:color w:val="auto"/>
        </w:rPr>
      </w:pPr>
      <w:r>
        <w:rPr>
          <w:rFonts w:ascii="Arial" w:cs="Arial" w:eastAsia="Arial" w:hAnsi="Arial"/>
          <w:sz w:val="12"/>
          <w:szCs w:val="12"/>
          <w:color w:val="auto"/>
        </w:rPr>
        <w:t>such Joint Counsel Patent Right shall be deemed a BI Patent Right; and (iii) MacroGenics shall and hereby does transfer and assign all right, title and interest in said Joint Counsel Patent Right to BI as the sole owner. If BI decides not to assume such responsibility, then it shall instruct Joint Counsel to abandon the Prosecution and Maintenance of such Joint Counsel Patent Right.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Third Party Infringement</w:t>
      </w:r>
      <w:r>
        <w:rPr>
          <w:rFonts w:ascii="Arial" w:cs="Arial" w:eastAsia="Arial" w:hAnsi="Arial"/>
          <w:sz w:val="14"/>
          <w:szCs w:val="14"/>
          <w:color w:val="auto"/>
        </w:rPr>
        <w:t>.</w:t>
      </w:r>
    </w:p>
    <w:p>
      <w:pPr>
        <w:spacing w:after="0" w:line="132" w:lineRule="exact"/>
        <w:rPr>
          <w:sz w:val="20"/>
          <w:szCs w:val="20"/>
          <w:color w:val="auto"/>
        </w:rPr>
      </w:pPr>
    </w:p>
    <w:p>
      <w:pPr>
        <w:ind w:right="120" w:firstLine="1493"/>
        <w:spacing w:after="0" w:line="321" w:lineRule="auto"/>
        <w:tabs>
          <w:tab w:leader="none" w:pos="1675" w:val="left"/>
        </w:tabs>
        <w:numPr>
          <w:ilvl w:val="0"/>
          <w:numId w:val="480"/>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Each Party shall promptly report in writing to the other Party any known or suspected (i) infringement of any of the MacroGenics Patent Rights, BI Patent Rights, Joint Patent Rights, or Collaboration DART Patent Rights, or (ii) unauthorized use or misappropriation of any of the MacroGenics Know-How, BI Know-How, Joint Know-How or Collaboration DART Know-How of which such Party becomes aware, and shall provide the other Party with all available evidence regarding such known or suspected infringement or unauthorized use.</w:t>
      </w:r>
    </w:p>
    <w:p>
      <w:pPr>
        <w:spacing w:after="0" w:line="73" w:lineRule="exact"/>
        <w:rPr>
          <w:rFonts w:ascii="Arial" w:cs="Arial" w:eastAsia="Arial" w:hAnsi="Arial"/>
          <w:sz w:val="12"/>
          <w:szCs w:val="12"/>
          <w:color w:val="auto"/>
        </w:rPr>
      </w:pPr>
    </w:p>
    <w:p>
      <w:pPr>
        <w:ind w:firstLine="1493"/>
        <w:spacing w:after="0" w:line="302" w:lineRule="auto"/>
        <w:tabs>
          <w:tab w:leader="none" w:pos="1682" w:val="left"/>
        </w:tabs>
        <w:numPr>
          <w:ilvl w:val="0"/>
          <w:numId w:val="480"/>
        </w:numPr>
        <w:rPr>
          <w:rFonts w:ascii="Arial" w:cs="Arial" w:eastAsia="Arial" w:hAnsi="Arial"/>
          <w:sz w:val="12"/>
          <w:szCs w:val="12"/>
          <w:color w:val="auto"/>
        </w:rPr>
      </w:pPr>
      <w:r>
        <w:rPr>
          <w:rFonts w:ascii="Arial" w:cs="Arial" w:eastAsia="Arial" w:hAnsi="Arial"/>
          <w:sz w:val="12"/>
          <w:szCs w:val="12"/>
          <w:u w:val="single" w:color="auto"/>
          <w:color w:val="auto"/>
        </w:rPr>
        <w:t>Initial Right to Enforce</w:t>
      </w:r>
      <w:r>
        <w:rPr>
          <w:rFonts w:ascii="Arial" w:cs="Arial" w:eastAsia="Arial" w:hAnsi="Arial"/>
          <w:sz w:val="12"/>
          <w:szCs w:val="12"/>
          <w:color w:val="auto"/>
        </w:rPr>
        <w:t xml:space="preserve">. Subject to Section 7.5(c), BI shall have the first right, but not the obligation, to initiate a lawsuit or take other reasonable action to (i) enforce the Joint Patent Rights and Collaboration DART Patent Rights and (ii) enforce the MacroGenics Patent Rights solely with respect to an infringement by a Third Party infringing the relevant MacroGenics Patent Rights by making, using or selling a product that competes with a Product. Notwithstanding the foregoing sentence, BI shall not initiate any such lawsuit or other enforcement action asserting any such MacroGenics Patent Rights, Joint Patent Rights or Collaboration DART Patent Rights without first consulting with MacroGenics and giving good faith consideration to any reasonable objection from MacroGenics regarding BI’s proposed course of action. MacroGenics shall cooperate in the prosecution of such suit as may be reasonably requested by BI, including joining any action as party-plaintiff at BI’s sole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BI shall promptly reimburse all out-of-pocket expenses (including reasonable counsel fees and expenses) agreed by BI in advance and actually incurred by MacroGenics in connection with such cooperation.</w:t>
      </w:r>
    </w:p>
    <w:p>
      <w:pPr>
        <w:spacing w:after="0" w:line="86" w:lineRule="exact"/>
        <w:rPr>
          <w:rFonts w:ascii="Arial" w:cs="Arial" w:eastAsia="Arial" w:hAnsi="Arial"/>
          <w:sz w:val="12"/>
          <w:szCs w:val="12"/>
          <w:color w:val="auto"/>
        </w:rPr>
      </w:pPr>
    </w:p>
    <w:p>
      <w:pPr>
        <w:ind w:right="80" w:firstLine="1493"/>
        <w:spacing w:after="0" w:line="253" w:lineRule="auto"/>
        <w:tabs>
          <w:tab w:leader="none" w:pos="1675" w:val="left"/>
        </w:tabs>
        <w:numPr>
          <w:ilvl w:val="0"/>
          <w:numId w:val="480"/>
        </w:numPr>
        <w:rPr>
          <w:rFonts w:ascii="Arial" w:cs="Arial" w:eastAsia="Arial" w:hAnsi="Arial"/>
          <w:sz w:val="14"/>
          <w:szCs w:val="14"/>
          <w:color w:val="auto"/>
        </w:rPr>
      </w:pPr>
      <w:r>
        <w:rPr>
          <w:rFonts w:ascii="Arial" w:cs="Arial" w:eastAsia="Arial" w:hAnsi="Arial"/>
          <w:sz w:val="14"/>
          <w:szCs w:val="14"/>
          <w:u w:val="single" w:color="auto"/>
          <w:color w:val="auto"/>
        </w:rPr>
        <w:t>Step-In Right</w:t>
      </w:r>
      <w:r>
        <w:rPr>
          <w:rFonts w:ascii="Arial" w:cs="Arial" w:eastAsia="Arial" w:hAnsi="Arial"/>
          <w:sz w:val="14"/>
          <w:szCs w:val="14"/>
          <w:color w:val="auto"/>
        </w:rPr>
        <w:t xml:space="preserve">. If BI does not initiate a lawsuit or take other reasonable action pursuant to Section 7.5(b) with respect to any MacroGenics Patent Rights, Joint Patent Rights or Collaboration DART Patent Rights, then MacroGenics shall have the right (in cases where MacroGenics has standing), but not the obligation, to initiate such lawsuit or take such other action, </w:t>
      </w:r>
      <w:r>
        <w:rPr>
          <w:rFonts w:ascii="Arial" w:cs="Arial" w:eastAsia="Arial" w:hAnsi="Arial"/>
          <w:sz w:val="14"/>
          <w:szCs w:val="14"/>
          <w:b w:val="1"/>
          <w:bCs w:val="1"/>
          <w:color w:val="auto"/>
        </w:rPr>
        <w:t>***</w:t>
      </w:r>
      <w:r>
        <w:rPr>
          <w:rFonts w:ascii="Arial" w:cs="Arial" w:eastAsia="Arial" w:hAnsi="Arial"/>
          <w:sz w:val="14"/>
          <w:szCs w:val="14"/>
          <w:color w:val="auto"/>
        </w:rPr>
        <w:t xml:space="preserve"> and giving good faith consideration to BI’s reason(s) for not initiating a lawsuit or taking other action. For this purpose, BI shall cooperate in the prosecution of such suit as may be reasonably requested by MacroGenics, including joining any action as party-plaintiff at BI’s sole discretion;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MacroGenics shall promptly reimburse all out-of-pocket expenses (including reasonable counsel fees and expenses) agreed by MacroGenics in advance and actually incurred by BI in connection with such cooperation.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8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498" w:name="page499"/>
    <w:bookmarkEnd w:id="498"/>
    <w:p>
      <w:pPr>
        <w:jc w:val="both"/>
        <w:ind w:right="40" w:firstLine="1493"/>
        <w:spacing w:after="0" w:line="255" w:lineRule="auto"/>
        <w:tabs>
          <w:tab w:leader="none" w:pos="1682" w:val="left"/>
        </w:tabs>
        <w:numPr>
          <w:ilvl w:val="1"/>
          <w:numId w:val="48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Conduct of Certain Actions; Costs.</w:t>
      </w:r>
      <w:r>
        <w:rPr>
          <w:rFonts w:ascii="Arial" w:cs="Arial" w:eastAsia="Arial" w:hAnsi="Arial"/>
          <w:sz w:val="14"/>
          <w:szCs w:val="14"/>
          <w:color w:val="auto"/>
        </w:rPr>
        <w:t xml:space="preserve"> The Party initiating legal action shall have the sole and exclusive right to select counsel for any suit initiated by it pursuant to Section 7.5(b) or 7.5(c) (the “</w:t>
      </w:r>
      <w:r>
        <w:rPr>
          <w:rFonts w:ascii="Arial" w:cs="Arial" w:eastAsia="Arial" w:hAnsi="Arial"/>
          <w:sz w:val="14"/>
          <w:szCs w:val="14"/>
          <w:u w:val="single" w:color="auto"/>
          <w:color w:val="auto"/>
        </w:rPr>
        <w:t>Initiating Party</w:t>
      </w:r>
      <w:r>
        <w:rPr>
          <w:rFonts w:ascii="Arial" w:cs="Arial" w:eastAsia="Arial" w:hAnsi="Arial"/>
          <w:sz w:val="14"/>
          <w:szCs w:val="14"/>
          <w:color w:val="auto"/>
        </w:rPr>
        <w:t>”). The Initiating Party shall bear its own out-of-pocket costs incurred in any such legal action, including the fees and expenses of the counsel selected by it. The other Party shall have the right to participate and be represented in any such legal action (in cases where such other Party has standing) by its own counsel at its own expense. The Initiating Party shall have the final say about the strategy and decisions in the suit and any settlement.</w:t>
      </w:r>
    </w:p>
    <w:p>
      <w:pPr>
        <w:spacing w:after="0" w:line="109" w:lineRule="exact"/>
        <w:rPr>
          <w:rFonts w:ascii="Arial" w:cs="Arial" w:eastAsia="Arial" w:hAnsi="Arial"/>
          <w:sz w:val="14"/>
          <w:szCs w:val="14"/>
          <w:color w:val="auto"/>
        </w:rPr>
      </w:pPr>
    </w:p>
    <w:p>
      <w:pPr>
        <w:ind w:firstLine="1493"/>
        <w:spacing w:after="0" w:line="351" w:lineRule="auto"/>
        <w:tabs>
          <w:tab w:leader="none" w:pos="1675" w:val="left"/>
        </w:tabs>
        <w:numPr>
          <w:ilvl w:val="1"/>
          <w:numId w:val="482"/>
        </w:numPr>
        <w:rPr>
          <w:rFonts w:ascii="Arial" w:cs="Arial" w:eastAsia="Arial" w:hAnsi="Arial"/>
          <w:sz w:val="12"/>
          <w:szCs w:val="12"/>
          <w:color w:val="auto"/>
        </w:rPr>
      </w:pPr>
      <w:r>
        <w:rPr>
          <w:rFonts w:ascii="Arial" w:cs="Arial" w:eastAsia="Arial" w:hAnsi="Arial"/>
          <w:sz w:val="12"/>
          <w:szCs w:val="12"/>
          <w:u w:val="single" w:color="auto"/>
          <w:color w:val="auto"/>
        </w:rPr>
        <w:t>Recoveries</w:t>
      </w:r>
      <w:r>
        <w:rPr>
          <w:rFonts w:ascii="Arial" w:cs="Arial" w:eastAsia="Arial" w:hAnsi="Arial"/>
          <w:sz w:val="12"/>
          <w:szCs w:val="12"/>
          <w:color w:val="auto"/>
        </w:rPr>
        <w:t xml:space="preserve">. Any amounts recovered in any action or settlement of any such action shall be allocated first to *** incurred in such action and any reward remaining shall be allocated to the Initiating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BI is the Initiating Party, with respect to any remaining portion of such recovery, MacroGenics shall receive either (i) ***.</w:t>
      </w:r>
    </w:p>
    <w:p>
      <w:pPr>
        <w:spacing w:after="0" w:line="56" w:lineRule="exact"/>
        <w:rPr>
          <w:rFonts w:ascii="Arial" w:cs="Arial" w:eastAsia="Arial" w:hAnsi="Arial"/>
          <w:sz w:val="12"/>
          <w:szCs w:val="12"/>
          <w:color w:val="auto"/>
        </w:rPr>
      </w:pPr>
    </w:p>
    <w:p>
      <w:pPr>
        <w:ind w:right="20" w:firstLine="1493"/>
        <w:spacing w:after="0" w:line="292" w:lineRule="auto"/>
        <w:tabs>
          <w:tab w:leader="none" w:pos="1659" w:val="left"/>
        </w:tabs>
        <w:numPr>
          <w:ilvl w:val="1"/>
          <w:numId w:val="482"/>
        </w:numPr>
        <w:rPr>
          <w:rFonts w:ascii="Arial" w:cs="Arial" w:eastAsia="Arial" w:hAnsi="Arial"/>
          <w:sz w:val="12"/>
          <w:szCs w:val="12"/>
          <w:color w:val="auto"/>
        </w:rPr>
      </w:pPr>
      <w:r>
        <w:rPr>
          <w:rFonts w:ascii="Arial" w:cs="Arial" w:eastAsia="Arial" w:hAnsi="Arial"/>
          <w:sz w:val="12"/>
          <w:szCs w:val="12"/>
          <w:u w:val="single" w:color="auto"/>
          <w:color w:val="auto"/>
        </w:rPr>
        <w:t>Section on Patent Disputes under U.S. Biologics Price Competition and Innovation Act of 2009</w:t>
      </w:r>
      <w:r>
        <w:rPr>
          <w:rFonts w:ascii="Arial" w:cs="Arial" w:eastAsia="Arial" w:hAnsi="Arial"/>
          <w:sz w:val="12"/>
          <w:szCs w:val="12"/>
          <w:color w:val="auto"/>
        </w:rPr>
        <w:t>. Each Party shall immediately give written notice to the other Party of any notice received from a Third Party of an application for FDA approval under the U.S. Biologics Price Competition and Innovation Act of 2009 (or any amendment or successor statute thereto) for a biosimilar biologic product referencing a Product or any certification under a similar statutory or regulatory requirement in any non-United States country in the Territory claiming that a Collaboration DART Patent Right, Joint Patent Right or MacroGenics Patent Right covering any Product is invalid or unenforceable or that infringement will not arise from the Development, manufacture or Commercialization of a proposed biosimilar biologic product by a Third Party. Upon the giving or receipt of such notice, BI shall have the first right, but not the obligation, to bring an infringement action against such Third Party in connection with such certification. In the case of a MacroGenics Patent Right, Joint Patent Right or Collaboration DART Patent Right, BI shall notify MacroGenics in writing of its intent to exercise, or not exercise, this right at least</w:t>
      </w:r>
    </w:p>
    <w:p>
      <w:pPr>
        <w:spacing w:after="0" w:line="1" w:lineRule="exact"/>
        <w:rPr>
          <w:rFonts w:ascii="Arial" w:cs="Arial" w:eastAsia="Arial" w:hAnsi="Arial"/>
          <w:sz w:val="12"/>
          <w:szCs w:val="12"/>
          <w:color w:val="auto"/>
        </w:rPr>
      </w:pPr>
    </w:p>
    <w:p>
      <w:pPr>
        <w:ind w:right="80" w:firstLine="4"/>
        <w:spacing w:after="0" w:line="303" w:lineRule="auto"/>
        <w:tabs>
          <w:tab w:leader="none" w:pos="238" w:val="left"/>
        </w:tabs>
        <w:numPr>
          <w:ilvl w:val="0"/>
          <w:numId w:val="482"/>
        </w:numPr>
        <w:rPr>
          <w:rFonts w:ascii="Arial" w:cs="Arial" w:eastAsia="Arial" w:hAnsi="Arial"/>
          <w:sz w:val="12"/>
          <w:szCs w:val="12"/>
          <w:b w:val="1"/>
          <w:bCs w:val="1"/>
          <w:color w:val="auto"/>
        </w:rPr>
      </w:pPr>
      <w:r>
        <w:rPr>
          <w:rFonts w:ascii="Arial" w:cs="Arial" w:eastAsia="Arial" w:hAnsi="Arial"/>
          <w:sz w:val="12"/>
          <w:szCs w:val="12"/>
          <w:color w:val="auto"/>
        </w:rPr>
        <w:t xml:space="preserve">prior to the date set forth by statute or regulation for the patent owner to take its initial action in such proceedings. MacroGenics shall have the right to initiate such an action if BI provides written notice of its intent not to exercise such right or fails to provide any notice of intent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the date set forth by statute or regulation for the patent owner to take its initial action in such proceedings. The non-Initiating Party in any such action shall cooperate with the Initiating Party in accordance with Sections 7.5(b) and (c), as applicable. All other prelitigation, litigation, settlement, costs, and recovery matters in a patent dispute under the U.S. Biologics Price Competition and Innovation Act of 2009 or any certification under a similar statutory or regulatory requirement in any non-United States country in the Territory shall additionally be governed by the provisions of Section 7.5(a) to 7.5(e) for Third Party Infringement generally.</w:t>
      </w:r>
    </w:p>
    <w:p>
      <w:pPr>
        <w:spacing w:after="0" w:line="84" w:lineRule="exact"/>
        <w:rPr>
          <w:sz w:val="20"/>
          <w:szCs w:val="20"/>
          <w:color w:val="auto"/>
        </w:rPr>
      </w:pPr>
    </w:p>
    <w:p>
      <w:pPr>
        <w:ind w:right="20" w:firstLine="917"/>
        <w:spacing w:after="0" w:line="311" w:lineRule="auto"/>
        <w:rPr>
          <w:sz w:val="20"/>
          <w:szCs w:val="20"/>
          <w:color w:val="auto"/>
        </w:rPr>
      </w:pPr>
      <w:r>
        <w:rPr>
          <w:rFonts w:ascii="Arial" w:cs="Arial" w:eastAsia="Arial" w:hAnsi="Arial"/>
          <w:sz w:val="12"/>
          <w:szCs w:val="12"/>
          <w:color w:val="auto"/>
        </w:rPr>
        <w:t xml:space="preserve">7.6 </w:t>
      </w:r>
      <w:r>
        <w:rPr>
          <w:rFonts w:ascii="Arial" w:cs="Arial" w:eastAsia="Arial" w:hAnsi="Arial"/>
          <w:sz w:val="12"/>
          <w:szCs w:val="12"/>
          <w:u w:val="single" w:color="auto"/>
          <w:color w:val="auto"/>
        </w:rPr>
        <w:t>Patent Invalidity Claim</w:t>
      </w:r>
      <w:r>
        <w:rPr>
          <w:rFonts w:ascii="Arial" w:cs="Arial" w:eastAsia="Arial" w:hAnsi="Arial"/>
          <w:sz w:val="12"/>
          <w:szCs w:val="12"/>
          <w:color w:val="auto"/>
        </w:rPr>
        <w:t>. Each Party shall promptly notify the other in the event of any legal or administrative action by any Third Party against a MacroGenics Patent Right, BI Patent Right, Joint Patent Right or Collaboration DART Patent Right of which it becomes aware, including any nullity, revocation, reexamination or compulsory license proceeding. BI shall have the first right, but not the obligation, at its expense, to defend against any such action relating to the BI Patent Rights, Joint Patent Rights and/or Collaboration DART Patent Rights. If BI does not defend against any such action involving a Joint Patent Right and/or Collaboration DART Patent Right, then MacroGenics shall have the right, but not the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8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499" w:name="page500"/>
    <w:bookmarkEnd w:id="499"/>
    <w:p>
      <w:pPr>
        <w:ind w:right="3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obligation, to defend such action at MacroGenics’ expense. MacroGenics shall have the first right, but not the obligation, at its expense, to defend against any such action relating to the MacroGenics Patent Rights.</w:t>
      </w:r>
    </w:p>
    <w:p>
      <w:pPr>
        <w:spacing w:after="0" w:line="101" w:lineRule="exact"/>
        <w:rPr>
          <w:sz w:val="20"/>
          <w:szCs w:val="20"/>
          <w:color w:val="auto"/>
        </w:rPr>
      </w:pPr>
    </w:p>
    <w:p>
      <w:pPr>
        <w:ind w:right="160" w:firstLine="917"/>
        <w:spacing w:after="0" w:line="305" w:lineRule="auto"/>
        <w:rPr>
          <w:sz w:val="20"/>
          <w:szCs w:val="20"/>
          <w:color w:val="auto"/>
        </w:rPr>
      </w:pPr>
      <w:r>
        <w:rPr>
          <w:rFonts w:ascii="Arial" w:cs="Arial" w:eastAsia="Arial" w:hAnsi="Arial"/>
          <w:sz w:val="12"/>
          <w:szCs w:val="12"/>
          <w:color w:val="auto"/>
        </w:rPr>
        <w:t xml:space="preserve">7.7 </w:t>
      </w:r>
      <w:r>
        <w:rPr>
          <w:rFonts w:ascii="Arial" w:cs="Arial" w:eastAsia="Arial" w:hAnsi="Arial"/>
          <w:sz w:val="12"/>
          <w:szCs w:val="12"/>
          <w:u w:val="single" w:color="auto"/>
          <w:color w:val="auto"/>
        </w:rPr>
        <w:t>Patent Term Extensions</w:t>
      </w:r>
      <w:r>
        <w:rPr>
          <w:rFonts w:ascii="Arial" w:cs="Arial" w:eastAsia="Arial" w:hAnsi="Arial"/>
          <w:sz w:val="12"/>
          <w:szCs w:val="12"/>
          <w:color w:val="auto"/>
        </w:rPr>
        <w:t>. BI shall have full and exclusive right to determine and control all filings of requests for any patent term extensions or supplemental patent certificates or their equivalents in any country in the Territory for any Joint Patent Right, Collaboration DART Patent Right and BI Patent Right, and all costs and expenses relating thereto shall be paid by BI. MacroGenics shall have full and exclusive right to determine and control all filings of requests for any patent term extensions or supplemental patent certificates or their equivalents in any country in the Territory for any MacroGenics Patent Right and all costs and expenses relating thereto shall be paid by MacroGenics. The Parties shall reasonably cooperate with each other in obtaining patent term extensions or supplemental protection certificates or their equivalents in any country in the Territory, where applicable to MacroGenics Patent Rights.</w:t>
      </w:r>
    </w:p>
    <w:p>
      <w:pPr>
        <w:spacing w:after="0" w:line="84" w:lineRule="exact"/>
        <w:rPr>
          <w:sz w:val="20"/>
          <w:szCs w:val="20"/>
          <w:color w:val="auto"/>
        </w:rPr>
      </w:pPr>
    </w:p>
    <w:p>
      <w:pPr>
        <w:ind w:right="440" w:firstLine="917"/>
        <w:spacing w:after="0" w:line="267" w:lineRule="auto"/>
        <w:rPr>
          <w:sz w:val="20"/>
          <w:szCs w:val="20"/>
          <w:color w:val="auto"/>
        </w:rPr>
      </w:pPr>
      <w:r>
        <w:rPr>
          <w:rFonts w:ascii="Arial" w:cs="Arial" w:eastAsia="Arial" w:hAnsi="Arial"/>
          <w:sz w:val="14"/>
          <w:szCs w:val="14"/>
          <w:color w:val="auto"/>
        </w:rPr>
        <w:t xml:space="preserve">7.8 </w:t>
      </w:r>
      <w:r>
        <w:rPr>
          <w:rFonts w:ascii="Arial" w:cs="Arial" w:eastAsia="Arial" w:hAnsi="Arial"/>
          <w:sz w:val="14"/>
          <w:szCs w:val="14"/>
          <w:u w:val="single" w:color="auto"/>
          <w:color w:val="auto"/>
        </w:rPr>
        <w:t>Patent Marking</w:t>
      </w:r>
      <w:r>
        <w:rPr>
          <w:rFonts w:ascii="Arial" w:cs="Arial" w:eastAsia="Arial" w:hAnsi="Arial"/>
          <w:sz w:val="14"/>
          <w:szCs w:val="14"/>
          <w:color w:val="auto"/>
        </w:rPr>
        <w:t>. BI shall mark Products sold by BI, its Affiliates and/or Sublicensees in such countries and to such extent where BI and MacroGenics mutually agree and as otherwise required to comply with patent marking statutes in the applicable country.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CONFIDENTIALITY AND PUBLICATION</w:t>
      </w:r>
    </w:p>
    <w:p>
      <w:pPr>
        <w:spacing w:after="0" w:line="132" w:lineRule="exact"/>
        <w:rPr>
          <w:sz w:val="20"/>
          <w:szCs w:val="20"/>
          <w:color w:val="auto"/>
        </w:rPr>
      </w:pPr>
    </w:p>
    <w:p>
      <w:pPr>
        <w:ind w:right="240" w:firstLine="917"/>
        <w:spacing w:after="0" w:line="259"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Nondisclosure Obligation</w:t>
      </w:r>
      <w:r>
        <w:rPr>
          <w:rFonts w:ascii="Arial" w:cs="Arial" w:eastAsia="Arial" w:hAnsi="Arial"/>
          <w:sz w:val="14"/>
          <w:szCs w:val="14"/>
          <w:color w:val="auto"/>
        </w:rPr>
        <w:t xml:space="preserve">. The Parties agree that during the Term, and for a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thereafter, a Party receiving Confidential Information of the other Party shall (a) maintain in confidence such Confidential Information to the same extent such Party maintains its own confidential information, (b) not disclose such Confidential Information to any Third Party without the prior written consent of the other Party, and (c) not use such Confidential Information for any purpose except those permitted by this Agreement.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Authorized Disclosure</w:t>
      </w:r>
      <w:r>
        <w:rPr>
          <w:rFonts w:ascii="Arial" w:cs="Arial" w:eastAsia="Arial" w:hAnsi="Arial"/>
          <w:sz w:val="12"/>
          <w:szCs w:val="12"/>
          <w:color w:val="auto"/>
        </w:rPr>
        <w:t>. Notwithstanding Section 8.1, a Party may disclose Confidential Information of the other Party to the extent such disclosure is reasonably necessary in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instances:</w:t>
      </w:r>
    </w:p>
    <w:p>
      <w:pPr>
        <w:spacing w:after="0" w:line="126" w:lineRule="exact"/>
        <w:rPr>
          <w:sz w:val="20"/>
          <w:szCs w:val="20"/>
          <w:color w:val="auto"/>
        </w:rPr>
      </w:pPr>
    </w:p>
    <w:p>
      <w:pPr>
        <w:ind w:left="1680" w:hanging="187"/>
        <w:spacing w:after="0"/>
        <w:tabs>
          <w:tab w:leader="none" w:pos="168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Prosecuting and Maintaining Patent Rights;</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filings with Regulatory Authorities;</w:t>
      </w:r>
    </w:p>
    <w:p>
      <w:pPr>
        <w:spacing w:after="0" w:line="131" w:lineRule="exact"/>
        <w:rPr>
          <w:rFonts w:ascii="Arial" w:cs="Arial" w:eastAsia="Arial" w:hAnsi="Arial"/>
          <w:sz w:val="14"/>
          <w:szCs w:val="14"/>
          <w:color w:val="auto"/>
        </w:rPr>
      </w:pPr>
    </w:p>
    <w:p>
      <w:pPr>
        <w:ind w:firstLine="1493"/>
        <w:spacing w:after="0" w:line="258" w:lineRule="auto"/>
        <w:tabs>
          <w:tab w:leader="none" w:pos="1675" w:val="left"/>
        </w:tabs>
        <w:numPr>
          <w:ilvl w:val="0"/>
          <w:numId w:val="484"/>
        </w:numPr>
        <w:rPr>
          <w:rFonts w:ascii="Arial" w:cs="Arial" w:eastAsia="Arial" w:hAnsi="Arial"/>
          <w:sz w:val="14"/>
          <w:szCs w:val="14"/>
          <w:color w:val="auto"/>
        </w:rPr>
      </w:pPr>
      <w:r>
        <w:rPr>
          <w:rFonts w:ascii="Arial" w:cs="Arial" w:eastAsia="Arial" w:hAnsi="Arial"/>
          <w:sz w:val="14"/>
          <w:szCs w:val="14"/>
          <w:color w:val="auto"/>
        </w:rPr>
        <w:t xml:space="preserve">complying with applicable Laws and/or submitting information to tax or other Governmental Authorities;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receiving Party is required by Law to make any public disclosures of Confidential Information of the disclosing Party, to the extent it may legally do so, it will give reasonable advance notice to the disclosing Party of such disclosure and will use its reasonable efforts to secure confidential treatment of such Confidential Information prior to its disclosure (whether through protective orders or otherwise);</w:t>
      </w:r>
    </w:p>
    <w:p>
      <w:pPr>
        <w:spacing w:after="0" w:line="107" w:lineRule="exact"/>
        <w:rPr>
          <w:rFonts w:ascii="Arial" w:cs="Arial" w:eastAsia="Arial" w:hAnsi="Arial"/>
          <w:sz w:val="14"/>
          <w:szCs w:val="14"/>
          <w:color w:val="auto"/>
        </w:rPr>
      </w:pPr>
    </w:p>
    <w:p>
      <w:pPr>
        <w:ind w:left="1680" w:hanging="187"/>
        <w:spacing w:after="0"/>
        <w:tabs>
          <w:tab w:leader="none" w:pos="1680" w:val="left"/>
        </w:tabs>
        <w:numPr>
          <w:ilvl w:val="0"/>
          <w:numId w:val="484"/>
        </w:numPr>
        <w:rPr>
          <w:rFonts w:ascii="Arial" w:cs="Arial" w:eastAsia="Arial" w:hAnsi="Arial"/>
          <w:sz w:val="12"/>
          <w:szCs w:val="12"/>
          <w:color w:val="auto"/>
        </w:rPr>
      </w:pPr>
      <w:r>
        <w:rPr>
          <w:rFonts w:ascii="Arial" w:cs="Arial" w:eastAsia="Arial" w:hAnsi="Arial"/>
          <w:sz w:val="12"/>
          <w:szCs w:val="12"/>
          <w:color w:val="auto"/>
        </w:rPr>
        <w:t>to its Affiliates, and to prospective and actual acquirers, licensees, Sublicensees, employees, consultants, agents, accountants, lawyers, advisors and investors, on 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8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00" w:name="page501"/>
    <w:bookmarkEnd w:id="500"/>
    <w:p>
      <w:pPr>
        <w:ind w:right="1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need to know basis, each of whom prior to disclosure must be bound by written obligations of confidentiality and non-use equivalent in scope to those set forth in this ARTICLE VIII and that are of reasonable duration in view of the circumstances of the disclosure; and</w:t>
      </w:r>
    </w:p>
    <w:p>
      <w:pPr>
        <w:spacing w:after="0" w:line="10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 to the extent mutually agreed to in writing by the Parties.</w:t>
      </w:r>
    </w:p>
    <w:p>
      <w:pPr>
        <w:spacing w:after="0" w:line="132" w:lineRule="exact"/>
        <w:rPr>
          <w:sz w:val="20"/>
          <w:szCs w:val="20"/>
          <w:color w:val="auto"/>
        </w:rPr>
      </w:pPr>
    </w:p>
    <w:p>
      <w:pPr>
        <w:ind w:firstLine="917"/>
        <w:spacing w:after="0" w:line="297"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Scientific Publications</w:t>
      </w:r>
      <w:r>
        <w:rPr>
          <w:rFonts w:ascii="Arial" w:cs="Arial" w:eastAsia="Arial" w:hAnsi="Arial"/>
          <w:sz w:val="12"/>
          <w:szCs w:val="12"/>
          <w:color w:val="auto"/>
        </w:rPr>
        <w:t xml:space="preserve">. During the Research Term, neither Party shall first publish or first present in a public forum the scientific or technical results of any activities performed pursuant to this Agreement without the opportunity for prior review and comment by the other Party. Each Party agrees to provide the other Party with the opportunity to review any proposed abstracts, manuscripts or scientific presentations (including verbal presentations) which relate to its activities performed pursuant to this Agreement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its intended submission for publication and agrees, upon request, not to submit any such abstract or manuscript for publication until the other Party is given a reasonable period of time </w:t>
      </w:r>
      <w:r>
        <w:rPr>
          <w:rFonts w:ascii="Arial" w:cs="Arial" w:eastAsia="Arial" w:hAnsi="Arial"/>
          <w:sz w:val="12"/>
          <w:szCs w:val="12"/>
          <w:b w:val="1"/>
          <w:bCs w:val="1"/>
          <w:color w:val="auto"/>
        </w:rPr>
        <w:t>***</w:t>
      </w:r>
      <w:r>
        <w:rPr>
          <w:rFonts w:ascii="Arial" w:cs="Arial" w:eastAsia="Arial" w:hAnsi="Arial"/>
          <w:sz w:val="12"/>
          <w:szCs w:val="12"/>
          <w:color w:val="auto"/>
        </w:rPr>
        <w:t xml:space="preserve"> secure patent protection for any material in such publication which it believes to be patentable. Both Parties understand that a reasonable commercial strategy may require delay of publication of information or filing of patent applications first. The Parties agree to review and decide whether to delay publication to permit filing of patent applications. Neither Party shall have the right to publish or present Confidential Information of the other Party. Nothing contained in this Section 8.3 shall prohibit the inclusion of information necessary for a patent application, provided that the non-filing Party is given a reasonable opportunity to review the information to be included prior to submission of such patent application. For avoidance of doubt any publication shall be consistent with BI’s internal publication strategy. After the Research Term, BI and its Affiliates may publish or present any results, data or scientific findings of any activities performed pursuant to this Agreement without the prior review of MacroGenics. After the Research Term, neither MacroGenics nor its Affiliates may publish or present any results, data or scientific findings of any activities performed pursuant to this Agreement without prior review and prior written consent of BI.</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Press Releases and Other Permitted Disclosures</w:t>
      </w:r>
      <w:r>
        <w:rPr>
          <w:rFonts w:ascii="Arial" w:cs="Arial" w:eastAsia="Arial" w:hAnsi="Arial"/>
          <w:sz w:val="14"/>
          <w:szCs w:val="14"/>
          <w:color w:val="auto"/>
        </w:rPr>
        <w:t>.</w:t>
      </w:r>
    </w:p>
    <w:p>
      <w:pPr>
        <w:spacing w:after="0" w:line="132" w:lineRule="exact"/>
        <w:rPr>
          <w:sz w:val="20"/>
          <w:szCs w:val="20"/>
          <w:color w:val="auto"/>
        </w:rPr>
      </w:pPr>
    </w:p>
    <w:p>
      <w:pPr>
        <w:ind w:right="80" w:firstLine="1493"/>
        <w:spacing w:after="0" w:line="300" w:lineRule="auto"/>
        <w:tabs>
          <w:tab w:leader="none" w:pos="1675" w:val="left"/>
        </w:tabs>
        <w:numPr>
          <w:ilvl w:val="0"/>
          <w:numId w:val="486"/>
        </w:numPr>
        <w:rPr>
          <w:rFonts w:ascii="Arial" w:cs="Arial" w:eastAsia="Arial" w:hAnsi="Arial"/>
          <w:sz w:val="12"/>
          <w:szCs w:val="12"/>
          <w:color w:val="auto"/>
        </w:rPr>
      </w:pPr>
      <w:r>
        <w:rPr>
          <w:rFonts w:ascii="Arial" w:cs="Arial" w:eastAsia="Arial" w:hAnsi="Arial"/>
          <w:sz w:val="12"/>
          <w:szCs w:val="12"/>
          <w:color w:val="auto"/>
        </w:rPr>
        <w:t xml:space="preserve">MacroGenics and BI each agree not to disclose any terms and conditions of this Agreement to any Third Party, except as described below in this Section 8.4. The press release announcing the collaboration contemplated by this Agreement is set forth in </w:t>
      </w:r>
      <w:r>
        <w:rPr>
          <w:rFonts w:ascii="Arial" w:cs="Arial" w:eastAsia="Arial" w:hAnsi="Arial"/>
          <w:sz w:val="12"/>
          <w:szCs w:val="12"/>
          <w:u w:val="single" w:color="auto"/>
          <w:color w:val="auto"/>
        </w:rPr>
        <w:t>Schedule 8.4</w:t>
      </w:r>
      <w:r>
        <w:rPr>
          <w:rFonts w:ascii="Arial" w:cs="Arial" w:eastAsia="Arial" w:hAnsi="Arial"/>
          <w:sz w:val="12"/>
          <w:szCs w:val="12"/>
          <w:color w:val="auto"/>
        </w:rPr>
        <w:t xml:space="preserve">, and the Parties will cooperate in the release thereof as soon as practicable after the Effective Date. Subject to the other provisions of this Agreement, no other press release, public statement or disclosure concerning the existence or terms of this Agreement shall be made, either directly or indirectly, by either Party, without first obtaining the written approval of the other Party, which such approval shall not be unreasonably withheld or delayed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submission to the approving Party of a draft of the respective press release, public statement or disclosure. In no event shall such subsequent press releases, public statements or disclosures by MacroGenics disclose, if previously undisclosed, ***;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MacroGenics may disclose the receipt of any milestone event but not the actual amount of such milestone payment under this Agreement. Once any public statement or disclosure has been approved in accordance with this Section 8.4, then either Party may appropriately communicate information contained in such permitted statement or disclosure.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12" w:lineRule="exact"/>
        <w:rPr>
          <w:sz w:val="20"/>
          <w:szCs w:val="20"/>
          <w:color w:val="auto"/>
        </w:rPr>
      </w:pPr>
    </w:p>
    <w:p>
      <w:pPr>
        <w:ind w:left="3840" w:right="2680" w:hanging="1135"/>
        <w:spacing w:after="0" w:line="341" w:lineRule="auto"/>
        <w:tabs>
          <w:tab w:leader="none" w:pos="2944" w:val="left"/>
        </w:tabs>
        <w:numPr>
          <w:ilvl w:val="0"/>
          <w:numId w:val="48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01" w:name="page502"/>
    <w:bookmarkEnd w:id="501"/>
    <w:p>
      <w:pPr>
        <w:ind w:left="1680" w:hanging="187"/>
        <w:spacing w:after="0"/>
        <w:tabs>
          <w:tab w:leader="none" w:pos="1680" w:val="left"/>
        </w:tabs>
        <w:numPr>
          <w:ilvl w:val="0"/>
          <w:numId w:val="48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Either Party may disclose the existence and terms of this Agreement in confidence:</w:t>
      </w:r>
    </w:p>
    <w:p>
      <w:pPr>
        <w:spacing w:after="0" w:line="68" w:lineRule="exact"/>
        <w:rPr>
          <w:rFonts w:ascii="Arial" w:cs="Arial" w:eastAsia="Arial" w:hAnsi="Arial"/>
          <w:sz w:val="14"/>
          <w:szCs w:val="14"/>
          <w:color w:val="auto"/>
        </w:rPr>
      </w:pPr>
    </w:p>
    <w:p>
      <w:pPr>
        <w:ind w:left="1500" w:firstLine="392"/>
        <w:spacing w:after="0" w:line="255" w:lineRule="auto"/>
        <w:tabs>
          <w:tab w:leader="none" w:pos="2061" w:val="left"/>
        </w:tabs>
        <w:numPr>
          <w:ilvl w:val="1"/>
          <w:numId w:val="488"/>
        </w:numPr>
        <w:rPr>
          <w:rFonts w:ascii="Arial" w:cs="Arial" w:eastAsia="Arial" w:hAnsi="Arial"/>
          <w:sz w:val="14"/>
          <w:szCs w:val="14"/>
          <w:color w:val="auto"/>
        </w:rPr>
      </w:pPr>
      <w:r>
        <w:rPr>
          <w:rFonts w:ascii="Arial" w:cs="Arial" w:eastAsia="Arial" w:hAnsi="Arial"/>
          <w:sz w:val="14"/>
          <w:szCs w:val="14"/>
          <w:color w:val="auto"/>
        </w:rPr>
        <w:t xml:space="preserve">(A) to its attorneys, professional accountants, and auditors, and (B) bankers or other financial advisors in connection with an initial public offering, private financing or other strategic transaction, or corporate valuation for internal purposes;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disclosure to such professional accountants, auditors, bankers or other financial advisors is under an agreement to keep the terms of confidentiality and non-use no less rigorous than the terms contained in this Agreement and to use such information solely for the applicable purpose permitted pursuant to this Section 8.4(b)(i);</w:t>
      </w:r>
    </w:p>
    <w:p>
      <w:pPr>
        <w:spacing w:after="0" w:line="47" w:lineRule="exact"/>
        <w:rPr>
          <w:rFonts w:ascii="Arial" w:cs="Arial" w:eastAsia="Arial" w:hAnsi="Arial"/>
          <w:sz w:val="14"/>
          <w:szCs w:val="14"/>
          <w:color w:val="auto"/>
        </w:rPr>
      </w:pPr>
    </w:p>
    <w:p>
      <w:pPr>
        <w:ind w:left="1500" w:right="20" w:firstLine="392"/>
        <w:spacing w:after="0" w:line="255" w:lineRule="auto"/>
        <w:tabs>
          <w:tab w:leader="none" w:pos="2099" w:val="left"/>
        </w:tabs>
        <w:numPr>
          <w:ilvl w:val="1"/>
          <w:numId w:val="488"/>
        </w:numPr>
        <w:rPr>
          <w:rFonts w:ascii="Arial" w:cs="Arial" w:eastAsia="Arial" w:hAnsi="Arial"/>
          <w:sz w:val="14"/>
          <w:szCs w:val="14"/>
          <w:color w:val="auto"/>
        </w:rPr>
      </w:pPr>
      <w:r>
        <w:rPr>
          <w:rFonts w:ascii="Arial" w:cs="Arial" w:eastAsia="Arial" w:hAnsi="Arial"/>
          <w:sz w:val="14"/>
          <w:szCs w:val="14"/>
          <w:color w:val="auto"/>
        </w:rPr>
        <w:t xml:space="preserve">to potential acquirers (and their respective attorneys and professional advisors), in connection with a potential merger, acquisition or reorganization;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(A) the Party making the disclosure has a bona fide offer (e.g., a signed letter of intent) from such Third Party for such a transaction, and (B) such disclosure is under an agreement to keep the terms of confidentiality and non-use no less rigorous than the terms contained in this Agreement and to use such information solely for the purpose permitted pursuant to this Section 8.4(b)(ii);</w:t>
      </w:r>
    </w:p>
    <w:p>
      <w:pPr>
        <w:spacing w:after="0" w:line="47" w:lineRule="exact"/>
        <w:rPr>
          <w:rFonts w:ascii="Arial" w:cs="Arial" w:eastAsia="Arial" w:hAnsi="Arial"/>
          <w:sz w:val="14"/>
          <w:szCs w:val="14"/>
          <w:color w:val="auto"/>
        </w:rPr>
      </w:pPr>
    </w:p>
    <w:p>
      <w:pPr>
        <w:ind w:left="1500" w:right="200" w:firstLine="392"/>
        <w:spacing w:after="0" w:line="267" w:lineRule="auto"/>
        <w:tabs>
          <w:tab w:leader="none" w:pos="2137" w:val="left"/>
        </w:tabs>
        <w:numPr>
          <w:ilvl w:val="1"/>
          <w:numId w:val="488"/>
        </w:numPr>
        <w:rPr>
          <w:rFonts w:ascii="Arial" w:cs="Arial" w:eastAsia="Arial" w:hAnsi="Arial"/>
          <w:sz w:val="14"/>
          <w:szCs w:val="14"/>
          <w:color w:val="auto"/>
        </w:rPr>
      </w:pPr>
      <w:r>
        <w:rPr>
          <w:rFonts w:ascii="Arial" w:cs="Arial" w:eastAsia="Arial" w:hAnsi="Arial"/>
          <w:sz w:val="14"/>
          <w:szCs w:val="14"/>
          <w:color w:val="auto"/>
        </w:rPr>
        <w:t xml:space="preserve">to existing or potential investors, lenders or permitted assignees of such Party (and their respective attorneys and professional advisors);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such disclosure is under an agreement to keep the terms of confidentiality and non-use no less rigorous than the terms contained in this Agreement; and</w:t>
      </w:r>
    </w:p>
    <w:p>
      <w:pPr>
        <w:spacing w:after="0" w:line="36" w:lineRule="exact"/>
        <w:rPr>
          <w:rFonts w:ascii="Arial" w:cs="Arial" w:eastAsia="Arial" w:hAnsi="Arial"/>
          <w:sz w:val="14"/>
          <w:szCs w:val="14"/>
          <w:color w:val="auto"/>
        </w:rPr>
      </w:pPr>
    </w:p>
    <w:p>
      <w:pPr>
        <w:ind w:left="2120" w:hanging="228"/>
        <w:spacing w:after="0"/>
        <w:tabs>
          <w:tab w:leader="none" w:pos="2120" w:val="left"/>
        </w:tabs>
        <w:numPr>
          <w:ilvl w:val="1"/>
          <w:numId w:val="488"/>
        </w:numPr>
        <w:rPr>
          <w:rFonts w:ascii="Arial" w:cs="Arial" w:eastAsia="Arial" w:hAnsi="Arial"/>
          <w:sz w:val="14"/>
          <w:szCs w:val="14"/>
          <w:color w:val="auto"/>
        </w:rPr>
      </w:pPr>
      <w:r>
        <w:rPr>
          <w:rFonts w:ascii="Arial" w:cs="Arial" w:eastAsia="Arial" w:hAnsi="Arial"/>
          <w:sz w:val="14"/>
          <w:szCs w:val="14"/>
          <w:color w:val="auto"/>
        </w:rPr>
        <w:t xml:space="preserve">to potential licensees or sublicensees or potential acquirors of such Party (and their respective attorneys and professional advisors);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p>
      <w:pPr>
        <w:spacing w:after="0" w:line="133" w:lineRule="exact"/>
        <w:rPr>
          <w:rFonts w:ascii="Arial" w:cs="Arial" w:eastAsia="Arial" w:hAnsi="Arial"/>
          <w:sz w:val="14"/>
          <w:szCs w:val="14"/>
          <w:color w:val="auto"/>
        </w:rPr>
      </w:pPr>
    </w:p>
    <w:p>
      <w:pPr>
        <w:ind w:right="240" w:firstLine="1493"/>
        <w:spacing w:after="0" w:line="302" w:lineRule="auto"/>
        <w:tabs>
          <w:tab w:leader="none" w:pos="1675" w:val="left"/>
        </w:tabs>
        <w:numPr>
          <w:ilvl w:val="0"/>
          <w:numId w:val="488"/>
        </w:numPr>
        <w:rPr>
          <w:rFonts w:ascii="Arial" w:cs="Arial" w:eastAsia="Arial" w:hAnsi="Arial"/>
          <w:sz w:val="12"/>
          <w:szCs w:val="12"/>
          <w:color w:val="auto"/>
        </w:rPr>
      </w:pPr>
      <w:r>
        <w:rPr>
          <w:rFonts w:ascii="Arial" w:cs="Arial" w:eastAsia="Arial" w:hAnsi="Arial"/>
          <w:sz w:val="12"/>
          <w:szCs w:val="12"/>
          <w:color w:val="auto"/>
        </w:rPr>
        <w:t xml:space="preserve">Notwithstanding the foregoing provisions of this ARTICLE VIII, a Party may disclose the existence and terms of this Agreement, however excluding, as far as legally possible, Schedules 1.5, 1.47, 1.77, and 1.81, or a Party’s or the Parties’ activities under this Agreement where required, as reasonably determined by the legal counsel of the disclosing Party, by applicable Law, by applicable stock exchange regulation or by order or other ruling of a competent court, although, to the extent practicable, the other Party shall be given </w:t>
      </w:r>
      <w:r>
        <w:rPr>
          <w:rFonts w:ascii="Arial" w:cs="Arial" w:eastAsia="Arial" w:hAnsi="Arial"/>
          <w:sz w:val="12"/>
          <w:szCs w:val="12"/>
          <w:b w:val="1"/>
          <w:bCs w:val="1"/>
          <w:color w:val="auto"/>
        </w:rPr>
        <w:t>***</w:t>
      </w:r>
      <w:r>
        <w:rPr>
          <w:rFonts w:ascii="Arial" w:cs="Arial" w:eastAsia="Arial" w:hAnsi="Arial"/>
          <w:sz w:val="12"/>
          <w:szCs w:val="12"/>
          <w:color w:val="auto"/>
        </w:rPr>
        <w:t xml:space="preserve"> notice of any such legally required disclosure to comment and reasonably consider such comments provided by such Party on the proposed disclosure. To the Parties’ common understanding, in case that either Party is obliged to publish the Agreement as “material agreement” in accordance with the U.S. stock exchange regulations (“</w:t>
      </w:r>
      <w:r>
        <w:rPr>
          <w:rFonts w:ascii="Arial" w:cs="Arial" w:eastAsia="Arial" w:hAnsi="Arial"/>
          <w:sz w:val="12"/>
          <w:szCs w:val="12"/>
          <w:u w:val="single" w:color="auto"/>
          <w:color w:val="auto"/>
        </w:rPr>
        <w:t>SEC Filing</w:t>
      </w:r>
      <w:r>
        <w:rPr>
          <w:rFonts w:ascii="Arial" w:cs="Arial" w:eastAsia="Arial" w:hAnsi="Arial"/>
          <w:sz w:val="12"/>
          <w:szCs w:val="12"/>
          <w:color w:val="auto"/>
        </w:rPr>
        <w:t>”), the Agreement shall be redacted by the filing Party as far as legally possible, and the filing Party shall cooperate with the other Party reasonably in advance to such SEC Filing to enable the other Party to review and comment on the scope of such redaction.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8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02" w:name="page503"/>
    <w:bookmarkEnd w:id="502"/>
    <w:p>
      <w:pPr>
        <w:ind w:left="5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IX</w:t>
      </w:r>
    </w:p>
    <w:p>
      <w:pPr>
        <w:spacing w:after="0" w:line="132" w:lineRule="exact"/>
        <w:rPr>
          <w:sz w:val="20"/>
          <w:szCs w:val="20"/>
          <w:color w:val="auto"/>
        </w:rPr>
      </w:pPr>
    </w:p>
    <w:p>
      <w:pPr>
        <w:ind w:left="3760"/>
        <w:spacing w:after="0"/>
        <w:rPr>
          <w:sz w:val="20"/>
          <w:szCs w:val="20"/>
          <w:color w:val="auto"/>
        </w:rPr>
      </w:pPr>
      <w:r>
        <w:rPr>
          <w:rFonts w:ascii="Arial" w:cs="Arial" w:eastAsia="Arial" w:hAnsi="Arial"/>
          <w:sz w:val="14"/>
          <w:szCs w:val="14"/>
          <w:b w:val="1"/>
          <w:bCs w:val="1"/>
          <w:u w:val="single" w:color="auto"/>
          <w:color w:val="auto"/>
        </w:rPr>
        <w:t>REPRESENTATIONS AND WARRANTIES; INDEMNIFICATION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Representations and Warranties of the Parties</w:t>
      </w:r>
      <w:r>
        <w:rPr>
          <w:rFonts w:ascii="Arial" w:cs="Arial" w:eastAsia="Arial" w:hAnsi="Arial"/>
          <w:sz w:val="14"/>
          <w:szCs w:val="14"/>
          <w:color w:val="auto"/>
        </w:rPr>
        <w:t>. BI and MacroGenics each represent, warrant and covenant to the other that:</w:t>
      </w:r>
    </w:p>
    <w:p>
      <w:pPr>
        <w:spacing w:after="0" w:line="132" w:lineRule="exact"/>
        <w:rPr>
          <w:sz w:val="20"/>
          <w:szCs w:val="20"/>
          <w:color w:val="auto"/>
        </w:rPr>
      </w:pPr>
    </w:p>
    <w:p>
      <w:pPr>
        <w:ind w:right="220" w:firstLine="1493"/>
        <w:spacing w:after="0" w:line="267" w:lineRule="auto"/>
        <w:tabs>
          <w:tab w:leader="none" w:pos="1675" w:val="left"/>
        </w:tabs>
        <w:numPr>
          <w:ilvl w:val="0"/>
          <w:numId w:val="490"/>
        </w:numPr>
        <w:rPr>
          <w:rFonts w:ascii="Arial" w:cs="Arial" w:eastAsia="Arial" w:hAnsi="Arial"/>
          <w:sz w:val="14"/>
          <w:szCs w:val="14"/>
          <w:color w:val="auto"/>
        </w:rPr>
      </w:pPr>
      <w:r>
        <w:rPr>
          <w:rFonts w:ascii="Arial" w:cs="Arial" w:eastAsia="Arial" w:hAnsi="Arial"/>
          <w:sz w:val="14"/>
          <w:szCs w:val="14"/>
          <w:color w:val="auto"/>
        </w:rPr>
        <w:t>as of the Effective Date it has the authority and right to enter into and perform this Agreement and grant the rights embodied herein, and it is not aware of any legal impediment that could inhibit its ability to perform its obligations under this Agreement;</w:t>
      </w:r>
    </w:p>
    <w:p>
      <w:pPr>
        <w:spacing w:after="0" w:line="101" w:lineRule="exact"/>
        <w:rPr>
          <w:rFonts w:ascii="Arial" w:cs="Arial" w:eastAsia="Arial" w:hAnsi="Arial"/>
          <w:sz w:val="14"/>
          <w:szCs w:val="14"/>
          <w:color w:val="auto"/>
        </w:rPr>
      </w:pPr>
    </w:p>
    <w:p>
      <w:pPr>
        <w:ind w:firstLine="1493"/>
        <w:spacing w:after="0" w:line="267" w:lineRule="auto"/>
        <w:tabs>
          <w:tab w:leader="none" w:pos="1682" w:val="left"/>
        </w:tabs>
        <w:numPr>
          <w:ilvl w:val="0"/>
          <w:numId w:val="490"/>
        </w:numPr>
        <w:rPr>
          <w:rFonts w:ascii="Arial" w:cs="Arial" w:eastAsia="Arial" w:hAnsi="Arial"/>
          <w:sz w:val="14"/>
          <w:szCs w:val="14"/>
          <w:color w:val="auto"/>
        </w:rPr>
      </w:pPr>
      <w:r>
        <w:rPr>
          <w:rFonts w:ascii="Arial" w:cs="Arial" w:eastAsia="Arial" w:hAnsi="Arial"/>
          <w:sz w:val="14"/>
          <w:szCs w:val="14"/>
          <w:color w:val="auto"/>
        </w:rPr>
        <w:t>as of the Effective Date its execution, delivery and performance of this Agreement does not conflict with, or constitute a breach of, any order, judgment, agreement or instrument to which it is a party or is otherwise bound;</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it shall comply in all material respects with all Laws applicable to its actions under this Agreement;</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490"/>
        </w:numPr>
        <w:rPr>
          <w:rFonts w:ascii="Arial" w:cs="Arial" w:eastAsia="Arial" w:hAnsi="Arial"/>
          <w:sz w:val="12"/>
          <w:szCs w:val="12"/>
          <w:color w:val="auto"/>
        </w:rPr>
      </w:pPr>
      <w:r>
        <w:rPr>
          <w:rFonts w:ascii="Arial" w:cs="Arial" w:eastAsia="Arial" w:hAnsi="Arial"/>
          <w:sz w:val="12"/>
          <w:szCs w:val="12"/>
          <w:color w:val="auto"/>
        </w:rPr>
        <w:t>as of the Effective Date no consent of any Third Party is required for such Party to grant the licenses and rights granted to the other Party under this Agreement or to perform its</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obligations hereunder;</w:t>
      </w:r>
    </w:p>
    <w:p>
      <w:pPr>
        <w:spacing w:after="0" w:line="125" w:lineRule="exact"/>
        <w:rPr>
          <w:rFonts w:ascii="Arial" w:cs="Arial" w:eastAsia="Arial" w:hAnsi="Arial"/>
          <w:sz w:val="12"/>
          <w:szCs w:val="12"/>
          <w:color w:val="auto"/>
        </w:rPr>
      </w:pPr>
    </w:p>
    <w:p>
      <w:pPr>
        <w:ind w:right="80" w:firstLine="1493"/>
        <w:spacing w:after="0" w:line="255" w:lineRule="auto"/>
        <w:tabs>
          <w:tab w:leader="none" w:pos="1675" w:val="left"/>
        </w:tabs>
        <w:numPr>
          <w:ilvl w:val="0"/>
          <w:numId w:val="490"/>
        </w:numPr>
        <w:rPr>
          <w:rFonts w:ascii="Arial" w:cs="Arial" w:eastAsia="Arial" w:hAnsi="Arial"/>
          <w:sz w:val="14"/>
          <w:szCs w:val="14"/>
          <w:color w:val="auto"/>
        </w:rPr>
      </w:pPr>
      <w:r>
        <w:rPr>
          <w:rFonts w:ascii="Arial" w:cs="Arial" w:eastAsia="Arial" w:hAnsi="Arial"/>
          <w:sz w:val="14"/>
          <w:szCs w:val="14"/>
          <w:color w:val="auto"/>
        </w:rPr>
        <w:t>all of such Party’s personnel and employees, and Third Parties, including agents and consultants, hired by such Party and involved in each Program or in the research, Development, manufacture or Commercialization of Collaboration DARTs or Products are or will be under a written obligation to assign to such Party any rights they may have in any Invention first invented, discovered, made, conceived and/or reduced to practice in the conduct of activities pursuant to the Programs or in the research, Development, manufacture or Commercialization of any Collaboration DARTs or Product; and</w:t>
      </w:r>
    </w:p>
    <w:p>
      <w:pPr>
        <w:spacing w:after="0" w:line="109" w:lineRule="exact"/>
        <w:rPr>
          <w:rFonts w:ascii="Arial" w:cs="Arial" w:eastAsia="Arial" w:hAnsi="Arial"/>
          <w:sz w:val="14"/>
          <w:szCs w:val="14"/>
          <w:color w:val="auto"/>
        </w:rPr>
      </w:pPr>
    </w:p>
    <w:p>
      <w:pPr>
        <w:ind w:right="20" w:firstLine="1493"/>
        <w:spacing w:after="0" w:line="267" w:lineRule="auto"/>
        <w:tabs>
          <w:tab w:leader="none" w:pos="166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it will not, after the Effective Date, enter into any written or oral contractual obligation with a Third Party that would be inconsistent with the obligations that arise on its part out of this Agreement or that would deprive the other Party of the benefits of or rights granted under this Agreement.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Representations and Warranties of MacroGenics</w:t>
      </w:r>
      <w:r>
        <w:rPr>
          <w:rFonts w:ascii="Arial" w:cs="Arial" w:eastAsia="Arial" w:hAnsi="Arial"/>
          <w:sz w:val="14"/>
          <w:szCs w:val="14"/>
          <w:color w:val="auto"/>
        </w:rPr>
        <w:t>. MacroGenics represents, warrants and covenants to BI, as of the Effective Date, that:</w:t>
      </w:r>
    </w:p>
    <w:p>
      <w:pPr>
        <w:spacing w:after="0" w:line="132" w:lineRule="exact"/>
        <w:rPr>
          <w:sz w:val="20"/>
          <w:szCs w:val="20"/>
          <w:color w:val="auto"/>
        </w:rPr>
      </w:pPr>
    </w:p>
    <w:p>
      <w:pPr>
        <w:ind w:left="1680" w:hanging="187"/>
        <w:spacing w:after="0"/>
        <w:tabs>
          <w:tab w:leader="none" w:pos="168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MacroGenics will use commercially reasonable efforts in the Prosecution and Maintenance of the MacroGenics Patent Rights.</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491"/>
        </w:numPr>
        <w:rPr>
          <w:rFonts w:ascii="Arial" w:cs="Arial" w:eastAsia="Arial" w:hAnsi="Arial"/>
          <w:sz w:val="12"/>
          <w:szCs w:val="12"/>
          <w:color w:val="auto"/>
        </w:rPr>
      </w:pPr>
      <w:r>
        <w:rPr>
          <w:rFonts w:ascii="Arial" w:cs="Arial" w:eastAsia="Arial" w:hAnsi="Arial"/>
          <w:sz w:val="12"/>
          <w:szCs w:val="12"/>
          <w:color w:val="auto"/>
        </w:rPr>
        <w:t>MacroGenics has not previously assigned, transferred, conveyed or otherwise encumbered its right, title and interest in MacroGenics Intellectual Property in a manner inconsistent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with the terms hereof;</w:t>
      </w:r>
    </w:p>
    <w:p>
      <w:pPr>
        <w:spacing w:after="0" w:line="12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(c) MacroGenics’ execution, delivery and performance of this Agreement does not conflict with, or constitute a breach of, any term or condition of any agreement to which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MacroGenics is a party;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9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503" w:name="page504"/>
    <w:bookmarkEnd w:id="503"/>
    <w:p>
      <w:pPr>
        <w:ind w:right="120" w:firstLine="1493"/>
        <w:spacing w:after="0" w:line="351" w:lineRule="auto"/>
        <w:tabs>
          <w:tab w:leader="none" w:pos="1682" w:val="left"/>
        </w:tabs>
        <w:numPr>
          <w:ilvl w:val="0"/>
          <w:numId w:val="49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except with respect to patent and patent applications licensed to MacroGenics, MacroGenics is the legal and beneficial owner of the MacroGenics Patent Rights existing as of the Effective Date, free and clear of any liens, charges and encumbrances, and MacroGenics has valid and existing licenses to the MacroGenics Patent Rights not owned by MacroGenics;</w:t>
      </w:r>
    </w:p>
    <w:p>
      <w:pPr>
        <w:spacing w:after="0" w:line="56" w:lineRule="exact"/>
        <w:rPr>
          <w:rFonts w:ascii="Arial" w:cs="Arial" w:eastAsia="Arial" w:hAnsi="Arial"/>
          <w:sz w:val="12"/>
          <w:szCs w:val="12"/>
          <w:color w:val="auto"/>
        </w:rPr>
      </w:pPr>
    </w:p>
    <w:p>
      <w:pPr>
        <w:ind w:right="160" w:firstLine="1493"/>
        <w:spacing w:after="0" w:line="267" w:lineRule="auto"/>
        <w:tabs>
          <w:tab w:leader="none" w:pos="1675" w:val="left"/>
        </w:tabs>
        <w:numPr>
          <w:ilvl w:val="0"/>
          <w:numId w:val="493"/>
        </w:numPr>
        <w:rPr>
          <w:rFonts w:ascii="Arial" w:cs="Arial" w:eastAsia="Arial" w:hAnsi="Arial"/>
          <w:sz w:val="14"/>
          <w:szCs w:val="14"/>
          <w:color w:val="auto"/>
        </w:rPr>
      </w:pPr>
      <w:r>
        <w:rPr>
          <w:rFonts w:ascii="Arial" w:cs="Arial" w:eastAsia="Arial" w:hAnsi="Arial"/>
          <w:sz w:val="14"/>
          <w:szCs w:val="14"/>
          <w:color w:val="auto"/>
        </w:rPr>
        <w:t>except as previously disclosed in writing to BI, to MacroGenics’ knowledge, the conception, development and reduction to practice of the MacroGenics Intellectual Property has not constituted or involved the misappropriation of trade secrets of any Third Party or the infringement of issued Patent Rights of any Third Party;</w:t>
      </w:r>
    </w:p>
    <w:p>
      <w:pPr>
        <w:spacing w:after="0" w:line="101" w:lineRule="exact"/>
        <w:rPr>
          <w:rFonts w:ascii="Arial" w:cs="Arial" w:eastAsia="Arial" w:hAnsi="Arial"/>
          <w:sz w:val="14"/>
          <w:szCs w:val="14"/>
          <w:color w:val="auto"/>
        </w:rPr>
      </w:pPr>
    </w:p>
    <w:p>
      <w:pPr>
        <w:ind w:right="400" w:firstLine="1493"/>
        <w:spacing w:after="0" w:line="267" w:lineRule="auto"/>
        <w:tabs>
          <w:tab w:leader="none" w:pos="166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except as previously disclosed in writing to BI, MacroGenics has not received any written notice of any unauthorized use, infringement, misappropriation, or dilution by any person, including any current or former employee or consultant of MacroGenics, of any MacroGenics Intellectual Property; and</w:t>
      </w:r>
    </w:p>
    <w:p>
      <w:pPr>
        <w:spacing w:after="0" w:line="101" w:lineRule="exact"/>
        <w:rPr>
          <w:rFonts w:ascii="Arial" w:cs="Arial" w:eastAsia="Arial" w:hAnsi="Arial"/>
          <w:sz w:val="14"/>
          <w:szCs w:val="14"/>
          <w:color w:val="auto"/>
        </w:rPr>
      </w:pPr>
    </w:p>
    <w:p>
      <w:pPr>
        <w:ind w:right="520" w:firstLine="1493"/>
        <w:spacing w:after="0" w:line="267" w:lineRule="auto"/>
        <w:tabs>
          <w:tab w:leader="none" w:pos="1682" w:val="left"/>
        </w:tabs>
        <w:numPr>
          <w:ilvl w:val="0"/>
          <w:numId w:val="493"/>
        </w:numPr>
        <w:rPr>
          <w:rFonts w:ascii="Arial" w:cs="Arial" w:eastAsia="Arial" w:hAnsi="Arial"/>
          <w:sz w:val="14"/>
          <w:szCs w:val="14"/>
          <w:color w:val="auto"/>
        </w:rPr>
      </w:pPr>
      <w:r>
        <w:rPr>
          <w:rFonts w:ascii="Arial" w:cs="Arial" w:eastAsia="Arial" w:hAnsi="Arial"/>
          <w:sz w:val="14"/>
          <w:szCs w:val="14"/>
          <w:color w:val="auto"/>
        </w:rPr>
        <w:t>that there are no claims, judgments, settlements pending or, to the knowledge of MacroGenics, any threatened actions with respect, to the extent licensed hereunder, to the MacroGenics Intellectual Property.</w:t>
      </w:r>
    </w:p>
    <w:p>
      <w:pPr>
        <w:spacing w:after="0" w:line="101" w:lineRule="exact"/>
        <w:rPr>
          <w:sz w:val="20"/>
          <w:szCs w:val="20"/>
          <w:color w:val="auto"/>
        </w:rPr>
      </w:pPr>
    </w:p>
    <w:p>
      <w:pPr>
        <w:ind w:right="140" w:firstLine="917"/>
        <w:spacing w:after="0" w:line="255"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No Other Warranties</w:t>
      </w:r>
      <w:r>
        <w:rPr>
          <w:rFonts w:ascii="Arial" w:cs="Arial" w:eastAsia="Arial" w:hAnsi="Arial"/>
          <w:sz w:val="14"/>
          <w:szCs w:val="14"/>
          <w:color w:val="auto"/>
        </w:rPr>
        <w:t>. EXCEPT AS OTHERWISE EXPRESSLY SET FORTH HEREIN, THE PARTIES MAKE NO REPRESENTATIONS AND EXTEND NO WARRANTIES OF ANY KIND, EITHER EXPRESS OR IMPLIED, AND PARTICULARLY THAT PRODUCT(S) WILL BE SUCCESSFULLY DEVELOPED HEREUNDER, AND IF PRODUCT(S) ARE DEVELOPED, WITH RESPECT TO SUCH PRODUCT(S), THE PARTIES DISCLAIM ALL IMPLIED WARRANTIES OF TITLE, NON-INFRINGEMENT, MERCHANTABILITY AND FITNESS FOR A PARTICULAR PURPOSE.</w:t>
      </w:r>
    </w:p>
    <w:p>
      <w:pPr>
        <w:spacing w:after="0" w:line="110" w:lineRule="exact"/>
        <w:rPr>
          <w:sz w:val="20"/>
          <w:szCs w:val="20"/>
          <w:color w:val="auto"/>
        </w:rPr>
      </w:pPr>
    </w:p>
    <w:p>
      <w:pPr>
        <w:ind w:firstLine="917"/>
        <w:spacing w:after="0" w:line="294"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u w:val="single" w:color="auto"/>
          <w:color w:val="auto"/>
        </w:rPr>
        <w:t>Indemnification by BI</w:t>
      </w:r>
      <w:r>
        <w:rPr>
          <w:rFonts w:ascii="Arial" w:cs="Arial" w:eastAsia="Arial" w:hAnsi="Arial"/>
          <w:sz w:val="12"/>
          <w:szCs w:val="12"/>
          <w:color w:val="auto"/>
        </w:rPr>
        <w:t>. BI shall indemnify, hold harmless and defend MacroGenics, its Affiliates and all of their respective officers, directors, employees, agents, licensors and shareholders (collectively, the “</w:t>
      </w:r>
      <w:r>
        <w:rPr>
          <w:rFonts w:ascii="Arial" w:cs="Arial" w:eastAsia="Arial" w:hAnsi="Arial"/>
          <w:sz w:val="12"/>
          <w:szCs w:val="12"/>
          <w:u w:val="single" w:color="auto"/>
          <w:color w:val="auto"/>
        </w:rPr>
        <w:t>MacroGenics Indemnitees</w:t>
      </w:r>
      <w:r>
        <w:rPr>
          <w:rFonts w:ascii="Arial" w:cs="Arial" w:eastAsia="Arial" w:hAnsi="Arial"/>
          <w:sz w:val="12"/>
          <w:szCs w:val="12"/>
          <w:color w:val="auto"/>
        </w:rPr>
        <w:t>”) from and against any and all losses, damages, liabilities, judgments, fines, amounts paid in settlement, expenses and costs of defense (including reasonable attorneys’ fees and witness fees) resulting from any demand, claim, action or proceeding brought or initiated by a Third Party (each a “</w:t>
      </w:r>
      <w:r>
        <w:rPr>
          <w:rFonts w:ascii="Arial" w:cs="Arial" w:eastAsia="Arial" w:hAnsi="Arial"/>
          <w:sz w:val="12"/>
          <w:szCs w:val="12"/>
          <w:u w:val="single" w:color="auto"/>
          <w:color w:val="auto"/>
        </w:rPr>
        <w:t>Third Party Claim</w:t>
      </w:r>
      <w:r>
        <w:rPr>
          <w:rFonts w:ascii="Arial" w:cs="Arial" w:eastAsia="Arial" w:hAnsi="Arial"/>
          <w:sz w:val="12"/>
          <w:szCs w:val="12"/>
          <w:color w:val="auto"/>
        </w:rPr>
        <w:t>”) against any MacroGenics Indemnitees(s) arising out of</w:t>
      </w:r>
    </w:p>
    <w:p>
      <w:pPr>
        <w:ind w:right="240" w:firstLine="4"/>
        <w:spacing w:after="0" w:line="316" w:lineRule="auto"/>
        <w:tabs>
          <w:tab w:leader="none" w:pos="185" w:val="left"/>
        </w:tabs>
        <w:numPr>
          <w:ilvl w:val="0"/>
          <w:numId w:val="494"/>
        </w:numPr>
        <w:rPr>
          <w:rFonts w:ascii="Arial" w:cs="Arial" w:eastAsia="Arial" w:hAnsi="Arial"/>
          <w:sz w:val="12"/>
          <w:szCs w:val="12"/>
          <w:color w:val="auto"/>
        </w:rPr>
      </w:pPr>
      <w:r>
        <w:rPr>
          <w:rFonts w:ascii="Arial" w:cs="Arial" w:eastAsia="Arial" w:hAnsi="Arial"/>
          <w:sz w:val="12"/>
          <w:szCs w:val="12"/>
          <w:color w:val="auto"/>
        </w:rPr>
        <w:t xml:space="preserve">a Default by BI; (b) the gross negligence or willful misconduct of BI or its Affiliates; or (c) the conduct of any Program or use of Collaboration DART or Product by, on behalf of or under authority of, BI (except with respect to the conduct of such activities by a MacroGenics Indemnitee);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MacroGenics Indemnitees shall comply with the procedures set forth in Section 9.6; and (ii) such indemnity shall not apply to the extent such Third Party Claim is caused by the negligence, willful misconduct or violation of Law by a MacroGenics Indemnitee.</w:t>
      </w:r>
    </w:p>
    <w:p>
      <w:pPr>
        <w:spacing w:after="0" w:line="76" w:lineRule="exact"/>
        <w:rPr>
          <w:sz w:val="20"/>
          <w:szCs w:val="20"/>
          <w:color w:val="auto"/>
        </w:rPr>
      </w:pPr>
    </w:p>
    <w:p>
      <w:pPr>
        <w:ind w:right="240" w:firstLine="917"/>
        <w:spacing w:after="0" w:line="258"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Indemnification by MacroGenics</w:t>
      </w:r>
      <w:r>
        <w:rPr>
          <w:rFonts w:ascii="Arial" w:cs="Arial" w:eastAsia="Arial" w:hAnsi="Arial"/>
          <w:sz w:val="14"/>
          <w:szCs w:val="14"/>
          <w:color w:val="auto"/>
        </w:rPr>
        <w:t>. MacroGenics shall indemnify, hold harmless and defend BI, its Affiliates and all of their respective officers, directors, employees, agents, licensors and shareholders (collectively, the “</w:t>
      </w:r>
      <w:r>
        <w:rPr>
          <w:rFonts w:ascii="Arial" w:cs="Arial" w:eastAsia="Arial" w:hAnsi="Arial"/>
          <w:sz w:val="14"/>
          <w:szCs w:val="14"/>
          <w:u w:val="single" w:color="auto"/>
          <w:color w:val="auto"/>
        </w:rPr>
        <w:t>BI Indemnitees</w:t>
      </w:r>
      <w:r>
        <w:rPr>
          <w:rFonts w:ascii="Arial" w:cs="Arial" w:eastAsia="Arial" w:hAnsi="Arial"/>
          <w:sz w:val="14"/>
          <w:szCs w:val="14"/>
          <w:color w:val="auto"/>
        </w:rPr>
        <w:t>”) from and against any and all losses, damages, liabilities, judgments, fines, amounts paid in settlement, expenses and costs of defense (including reasonable attorneys’ fees and witness fees) resulting from any Third Party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49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04" w:name="page505"/>
    <w:bookmarkEnd w:id="504"/>
    <w:p>
      <w:pPr>
        <w:ind w:right="6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Claim against any BI Indemnitees(s) arising out of (a) a Default by MacroGenics; (b) the gross negligence or willful misconduct of MacroGenics or its Affiliates; or (c) the conduct of any Program or use of Collaboration DART or Product by, on behalf of or under authority of (except with respect to the conduct of such activities by a BI Indemnitee), MacroGenics,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BI Indemnitees shall comply with the procedures set forth in Section 9.6; and (ii) such indemnity shall not apply to the extent such Third Party Claim is caused by the negligence, willful misconduct or violation of Law by a BI Indemnitee.</w:t>
      </w:r>
    </w:p>
    <w:p>
      <w:pPr>
        <w:spacing w:after="0" w:line="73" w:lineRule="exact"/>
        <w:rPr>
          <w:sz w:val="20"/>
          <w:szCs w:val="20"/>
          <w:color w:val="auto"/>
        </w:rPr>
      </w:pPr>
    </w:p>
    <w:p>
      <w:pPr>
        <w:ind w:firstLine="917"/>
        <w:spacing w:after="0" w:line="300"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u w:val="single" w:color="auto"/>
          <w:color w:val="auto"/>
        </w:rPr>
        <w:t>Procedure</w:t>
      </w:r>
      <w:r>
        <w:rPr>
          <w:rFonts w:ascii="Arial" w:cs="Arial" w:eastAsia="Arial" w:hAnsi="Arial"/>
          <w:sz w:val="12"/>
          <w:szCs w:val="12"/>
          <w:color w:val="auto"/>
        </w:rPr>
        <w:t xml:space="preserve">. To be eligible for the MacroGenics Indemnitees to be indemnified hereunder, MacroGenics shall provide BI with prompt notice of the Third Party Claim giving rise to the indemnification obligation under this ARTICLE IX and the exclusive ability to defend or settle any such claim;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BI shall not enter into any settlement for damages without MacroGenics’ prior written consent, such consent not to be unreasonably withheld, delayed or conditioned. MacroGenics shall have the right to participate, at its own expense and with counsel of its choice, in the defense of any claim or suit that has been assumed by BI. To be eligible for the BI Indemnitees to be indemnified hereunder, BI shall provide MacroGenics with prompt notice of the Third Party Claim giving rise to the indemnification obligation under this ARTICLE IX and the exclusive ability to defend or settle any such claim;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MacroGenics shall not enter into any settlement for damages without BI’s prior written consent, such consent not to be unreasonably withheld, delayed or conditioned. BI shall have the right to participate, at its own expense and with counsel of its choice, in the defense of any claim or suit that has been assumed by MacroGenics.</w:t>
      </w:r>
    </w:p>
    <w:p>
      <w:pPr>
        <w:spacing w:after="0" w:line="88" w:lineRule="exact"/>
        <w:rPr>
          <w:sz w:val="20"/>
          <w:szCs w:val="20"/>
          <w:color w:val="auto"/>
        </w:rPr>
      </w:pPr>
    </w:p>
    <w:p>
      <w:pPr>
        <w:ind w:firstLine="917"/>
        <w:spacing w:after="0" w:line="300" w:lineRule="auto"/>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u w:val="single" w:color="auto"/>
          <w:color w:val="auto"/>
        </w:rPr>
        <w:t>Insurance</w:t>
      </w:r>
      <w:r>
        <w:rPr>
          <w:rFonts w:ascii="Arial" w:cs="Arial" w:eastAsia="Arial" w:hAnsi="Arial"/>
          <w:sz w:val="12"/>
          <w:szCs w:val="12"/>
          <w:color w:val="auto"/>
        </w:rPr>
        <w:t>. BI shall procure and maintain insurance or self-insurance, including product liability insurance, adequate to cover its obligations hereunder and which are consistent with normal business practices of prudent companies similarly situated, at all times during which any Product is being developed, clinically tested in human subjects or commercially distributed or sold by or on behalf of BI, its Affiliates or Sublicensees. MacroGenics shall procure and maintain insurance or self-insurance, including product liability insurance, adequate to cover its obligations hereunder and which are consistent with normal business practices of prudent companies similarly situated, at all times during which any Product is being developed, clinically tested in human subjects or commercially distributed or sold by or on behalf of MacroGenics, its Affiliates or Sublicensees. It is understood that such insurance or self-insurance shall not be construed to create a limit of a Party’s liability with respect to its indemnification obligations under this ARTICLE IX. Each Party shall provide the other Party with written evidence of such insurance or self-insurance upon request. Each Party shall provide the other Party with written notice at least thirty (30) days prior to the cancellation, non renewal or material change in such insurance or self-insurance which could adversely affect rights hereunder.</w:t>
      </w:r>
    </w:p>
    <w:p>
      <w:pPr>
        <w:spacing w:after="0" w:line="88" w:lineRule="exact"/>
        <w:rPr>
          <w:sz w:val="20"/>
          <w:szCs w:val="20"/>
          <w:color w:val="auto"/>
        </w:rPr>
      </w:pPr>
    </w:p>
    <w:p>
      <w:pPr>
        <w:ind w:right="60" w:firstLine="917"/>
        <w:spacing w:after="0" w:line="255"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No Consequential or Punitive Damages</w:t>
      </w:r>
      <w:r>
        <w:rPr>
          <w:rFonts w:ascii="Arial" w:cs="Arial" w:eastAsia="Arial" w:hAnsi="Arial"/>
          <w:sz w:val="14"/>
          <w:szCs w:val="14"/>
          <w:color w:val="auto"/>
        </w:rPr>
        <w:t>. EXCEPT WITH RESPECT TO (a) THE INDEMNIFICATION RIGHTS OR OBLIGATIONS OF EITHER PARTY UNDER THIS AGREEMENT WITH RESPECT TO THIRD PARTY CLAIMS; AND (b) A BREACH OF THE CONFIDENTIALITY OBLIGATIONS OF ARTICLE VIII, AND (c) A PARTY’S WILLFULL MISCONDUCT, NEITHER PARTY HERETO WILL BE LIABLE FOR INDIRECT, INCIDENTAL, CONSEQUENTIAL, SPECIAL, EXEMPLARY OR PUNITIVE DAMAGES, INCLUDING LOST PROFITS, ARISING FROM OR RELATING TO THIS AGREEMENT, REGARDLESS OF ANY NOTICE OF SUCH DAMAGES.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12" w:lineRule="exact"/>
        <w:rPr>
          <w:sz w:val="20"/>
          <w:szCs w:val="20"/>
          <w:color w:val="auto"/>
        </w:rPr>
      </w:pPr>
    </w:p>
    <w:p>
      <w:pPr>
        <w:ind w:left="3840" w:right="2660" w:hanging="1135"/>
        <w:spacing w:after="0" w:line="341" w:lineRule="auto"/>
        <w:tabs>
          <w:tab w:leader="none" w:pos="2944" w:val="left"/>
        </w:tabs>
        <w:numPr>
          <w:ilvl w:val="0"/>
          <w:numId w:val="49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05" w:name="page506"/>
    <w:bookmarkEnd w:id="505"/>
    <w:p>
      <w:pPr>
        <w:ind w:left="5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X</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4"/>
          <w:szCs w:val="14"/>
          <w:b w:val="1"/>
          <w:bCs w:val="1"/>
          <w:u w:val="single" w:color="auto"/>
          <w:color w:val="auto"/>
        </w:rPr>
        <w:t>TERM AND TERMINATION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Term and Expiration</w:t>
      </w:r>
      <w:r>
        <w:rPr>
          <w:rFonts w:ascii="Arial" w:cs="Arial" w:eastAsia="Arial" w:hAnsi="Arial"/>
          <w:sz w:val="12"/>
          <w:szCs w:val="12"/>
          <w:color w:val="auto"/>
        </w:rPr>
        <w:t>. This Agreement shall be effective as of the Effective Date and unless terminated earlier pursuant to Section 10.2, this Agreement shall continue in effect ***</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hereunder (the “</w:t>
      </w:r>
      <w:r>
        <w:rPr>
          <w:rFonts w:ascii="Arial" w:cs="Arial" w:eastAsia="Arial" w:hAnsi="Arial"/>
          <w:sz w:val="14"/>
          <w:szCs w:val="14"/>
          <w:u w:val="single" w:color="auto"/>
          <w:color w:val="auto"/>
        </w:rPr>
        <w:t>Term</w:t>
      </w:r>
      <w:r>
        <w:rPr>
          <w:rFonts w:ascii="Arial" w:cs="Arial" w:eastAsia="Arial" w:hAnsi="Arial"/>
          <w:sz w:val="14"/>
          <w:szCs w:val="14"/>
          <w:color w:val="auto"/>
        </w:rPr>
        <w: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Termination</w:t>
      </w:r>
      <w:r>
        <w:rPr>
          <w:rFonts w:ascii="Arial" w:cs="Arial" w:eastAsia="Arial" w:hAnsi="Arial"/>
          <w:sz w:val="14"/>
          <w:szCs w:val="14"/>
          <w:color w:val="auto"/>
        </w:rPr>
        <w:t>.</w:t>
      </w:r>
    </w:p>
    <w:p>
      <w:pPr>
        <w:spacing w:after="0" w:line="132" w:lineRule="exact"/>
        <w:rPr>
          <w:sz w:val="20"/>
          <w:szCs w:val="20"/>
          <w:color w:val="auto"/>
        </w:rPr>
      </w:pPr>
    </w:p>
    <w:p>
      <w:pPr>
        <w:ind w:right="20" w:firstLine="1493"/>
        <w:spacing w:after="0" w:line="297" w:lineRule="auto"/>
        <w:tabs>
          <w:tab w:leader="none" w:pos="1675" w:val="left"/>
        </w:tabs>
        <w:numPr>
          <w:ilvl w:val="0"/>
          <w:numId w:val="497"/>
        </w:numPr>
        <w:rPr>
          <w:rFonts w:ascii="Arial" w:cs="Arial" w:eastAsia="Arial" w:hAnsi="Arial"/>
          <w:sz w:val="12"/>
          <w:szCs w:val="12"/>
          <w:color w:val="auto"/>
        </w:rPr>
      </w:pPr>
      <w:r>
        <w:rPr>
          <w:rFonts w:ascii="Arial" w:cs="Arial" w:eastAsia="Arial" w:hAnsi="Arial"/>
          <w:sz w:val="12"/>
          <w:szCs w:val="12"/>
          <w:u w:val="single" w:color="auto"/>
          <w:color w:val="auto"/>
        </w:rPr>
        <w:t>Termination of Agreement for Cause</w:t>
      </w:r>
      <w:r>
        <w:rPr>
          <w:rFonts w:ascii="Arial" w:cs="Arial" w:eastAsia="Arial" w:hAnsi="Arial"/>
          <w:sz w:val="12"/>
          <w:szCs w:val="12"/>
          <w:color w:val="auto"/>
        </w:rPr>
        <w:t>. This Agreement may be terminated at any time during the Term upon written notice by either Party (the “</w:t>
      </w:r>
      <w:r>
        <w:rPr>
          <w:rFonts w:ascii="Arial" w:cs="Arial" w:eastAsia="Arial" w:hAnsi="Arial"/>
          <w:sz w:val="12"/>
          <w:szCs w:val="12"/>
          <w:u w:val="single" w:color="auto"/>
          <w:color w:val="auto"/>
        </w:rPr>
        <w:t>Non-Defaulting Party</w:t>
      </w:r>
      <w:r>
        <w:rPr>
          <w:rFonts w:ascii="Arial" w:cs="Arial" w:eastAsia="Arial" w:hAnsi="Arial"/>
          <w:sz w:val="12"/>
          <w:szCs w:val="12"/>
          <w:color w:val="auto"/>
        </w:rPr>
        <w:t>”) upon Default of the other Party (the “</w:t>
      </w:r>
      <w:r>
        <w:rPr>
          <w:rFonts w:ascii="Arial" w:cs="Arial" w:eastAsia="Arial" w:hAnsi="Arial"/>
          <w:sz w:val="12"/>
          <w:szCs w:val="12"/>
          <w:u w:val="single" w:color="auto"/>
          <w:color w:val="auto"/>
        </w:rPr>
        <w:t>Defaulting Party</w:t>
      </w:r>
      <w:r>
        <w:rPr>
          <w:rFonts w:ascii="Arial" w:cs="Arial" w:eastAsia="Arial" w:hAnsi="Arial"/>
          <w:sz w:val="12"/>
          <w:szCs w:val="12"/>
          <w:color w:val="auto"/>
        </w:rPr>
        <w:t xml:space="preserve">”), which Default remains uncured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requesting cure of such Default. The Non-Defaulting Party shall provide written notice to the Defaulting Party, which notice shall identify the Default, the intent to so terminate and the actions or conduct that it considers would be an acceptable cure of such Default. If the Defaulting Party disputes the Default under this Section 10.2(a), then the issue of whether the Non-Defaulting Party may properly terminate this Agreement on expiration of the applicable cure period shall be resolved in accordance with ARTICLE XI. If as a result of such dispute resolution process, it is determined that the alleged Defaulting Party committed a Default and the Defaulting Party does not cure such Default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date of such dispute resolution award (the “</w:t>
      </w:r>
      <w:r>
        <w:rPr>
          <w:rFonts w:ascii="Arial" w:cs="Arial" w:eastAsia="Arial" w:hAnsi="Arial"/>
          <w:sz w:val="12"/>
          <w:szCs w:val="12"/>
          <w:u w:val="single" w:color="auto"/>
          <w:color w:val="auto"/>
        </w:rPr>
        <w:t>Additional Cure Period</w:t>
      </w:r>
      <w:r>
        <w:rPr>
          <w:rFonts w:ascii="Arial" w:cs="Arial" w:eastAsia="Arial" w:hAnsi="Arial"/>
          <w:sz w:val="12"/>
          <w:szCs w:val="12"/>
          <w:color w:val="auto"/>
        </w:rPr>
        <w:t xml:space="preserve">”), then such termination shall be effective as of the expiration of the Additional Cure Period. If the Parties dispute whether such Default was so cured, either Party alone may request the same tribunal to determine whether it was so cured, and the Parties shall cooperate to allow such determination to be made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such request by either Party. Such dispute resolution proceeding does not suspend any obligations of either Party hereunder, and each Party shall use reasonable efforts to mitigate any damage. If as a result of such dispute resolution proceeding it is determined that the alleged Defaulting Party did not commit such Default (or such Default was cured in accordance with this Section 10.2(a), the Additional Cure Period), then no termination shall be effective, and this Agreement shall continue in full force and effect. Notwithstanding the foregoing, in case that MacroGenics was previously subject to a Change of Control, MacroGenics shall not have the right to terminate this Agreement for ***.</w:t>
      </w:r>
    </w:p>
    <w:p>
      <w:pPr>
        <w:spacing w:after="0" w:line="256" w:lineRule="exact"/>
        <w:rPr>
          <w:rFonts w:ascii="Arial" w:cs="Arial" w:eastAsia="Arial" w:hAnsi="Arial"/>
          <w:sz w:val="12"/>
          <w:szCs w:val="12"/>
          <w:color w:val="auto"/>
        </w:rPr>
      </w:pPr>
    </w:p>
    <w:p>
      <w:pPr>
        <w:ind w:firstLine="1493"/>
        <w:spacing w:after="0" w:line="351" w:lineRule="auto"/>
        <w:tabs>
          <w:tab w:leader="none" w:pos="1682" w:val="left"/>
        </w:tabs>
        <w:numPr>
          <w:ilvl w:val="0"/>
          <w:numId w:val="497"/>
        </w:numPr>
        <w:rPr>
          <w:rFonts w:ascii="Arial" w:cs="Arial" w:eastAsia="Arial" w:hAnsi="Arial"/>
          <w:sz w:val="12"/>
          <w:szCs w:val="12"/>
          <w:color w:val="auto"/>
        </w:rPr>
      </w:pPr>
      <w:r>
        <w:rPr>
          <w:rFonts w:ascii="Arial" w:cs="Arial" w:eastAsia="Arial" w:hAnsi="Arial"/>
          <w:sz w:val="12"/>
          <w:szCs w:val="12"/>
          <w:u w:val="single" w:color="auto"/>
          <w:color w:val="auto"/>
        </w:rPr>
        <w:t>Termination With Respect to a Program</w:t>
      </w:r>
      <w:r>
        <w:rPr>
          <w:rFonts w:ascii="Arial" w:cs="Arial" w:eastAsia="Arial" w:hAnsi="Arial"/>
          <w:sz w:val="12"/>
          <w:szCs w:val="12"/>
          <w:color w:val="auto"/>
        </w:rPr>
        <w:t xml:space="preserve">. BI may elect to terminate the research, Development and/or Commercialization of any Program by providing MacroGenics with *** prior written notice and this Agreement shall terminate following such *** period solely with respect to the Program that is the subject of such termination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during the ***.</w:t>
      </w:r>
    </w:p>
    <w:p>
      <w:pPr>
        <w:spacing w:after="0" w:line="56" w:lineRule="exact"/>
        <w:rPr>
          <w:rFonts w:ascii="Arial" w:cs="Arial" w:eastAsia="Arial" w:hAnsi="Arial"/>
          <w:sz w:val="12"/>
          <w:szCs w:val="12"/>
          <w:color w:val="auto"/>
        </w:rPr>
      </w:pPr>
    </w:p>
    <w:p>
      <w:pPr>
        <w:ind w:right="120" w:firstLine="1493"/>
        <w:spacing w:after="0" w:line="351" w:lineRule="auto"/>
        <w:tabs>
          <w:tab w:leader="none" w:pos="1675" w:val="left"/>
        </w:tabs>
        <w:numPr>
          <w:ilvl w:val="0"/>
          <w:numId w:val="497"/>
        </w:numPr>
        <w:rPr>
          <w:rFonts w:ascii="Arial" w:cs="Arial" w:eastAsia="Arial" w:hAnsi="Arial"/>
          <w:sz w:val="12"/>
          <w:szCs w:val="12"/>
          <w:color w:val="auto"/>
        </w:rPr>
      </w:pPr>
      <w:r>
        <w:rPr>
          <w:rFonts w:ascii="Arial" w:cs="Arial" w:eastAsia="Arial" w:hAnsi="Arial"/>
          <w:sz w:val="12"/>
          <w:szCs w:val="12"/>
          <w:u w:val="single" w:color="auto"/>
          <w:color w:val="auto"/>
        </w:rPr>
        <w:t>Termination if BI Challenges MacroGenics Patent Rights or Collaboration DART Patent Rights</w:t>
      </w:r>
      <w:r>
        <w:rPr>
          <w:rFonts w:ascii="Arial" w:cs="Arial" w:eastAsia="Arial" w:hAnsi="Arial"/>
          <w:sz w:val="12"/>
          <w:szCs w:val="12"/>
          <w:color w:val="auto"/>
        </w:rPr>
        <w:t>. If BI or any of its Affiliates or Sublicensees, directly or indirectly, (i) initiates or requests an interference or opposition proceeding with respect to any MacroGenics Patent Right or Collaboration DART Patent Right, (ii) makes, files or maintains any</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12" w:lineRule="exact"/>
        <w:rPr>
          <w:sz w:val="20"/>
          <w:szCs w:val="20"/>
          <w:color w:val="auto"/>
        </w:rPr>
      </w:pPr>
    </w:p>
    <w:p>
      <w:pPr>
        <w:ind w:left="3840" w:right="2660" w:hanging="1135"/>
        <w:spacing w:after="0" w:line="341" w:lineRule="auto"/>
        <w:tabs>
          <w:tab w:leader="none" w:pos="2944" w:val="left"/>
        </w:tabs>
        <w:numPr>
          <w:ilvl w:val="0"/>
          <w:numId w:val="49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5" w:right="259" w:bottom="1440" w:gutter="0" w:footer="0" w:header="0"/>
        </w:sectPr>
      </w:pPr>
    </w:p>
    <w:bookmarkStart w:id="506" w:name="page507"/>
    <w:bookmarkEnd w:id="506"/>
    <w:p>
      <w:pPr>
        <w:ind w:right="80"/>
        <w:spacing w:after="0" w:line="29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claim, demand, lawsuit, or cause of action to challenge the validity or enforceability of any MacroGenics Patent Right or Collaboration DART Patent Right in a tribunal or forum, or (iii) opposes any extension of, or the grant of a supplementary protection certificate with respect to, any MacroGenics Patent Right or Collaboration DART Patent Right, MacroGenics shall have the right to terminate this Agreement upon</w:t>
      </w:r>
    </w:p>
    <w:p>
      <w:pPr>
        <w:spacing w:after="0" w:line="1" w:lineRule="exact"/>
        <w:rPr>
          <w:sz w:val="20"/>
          <w:szCs w:val="20"/>
          <w:color w:val="auto"/>
        </w:rPr>
      </w:pPr>
    </w:p>
    <w:p>
      <w:pPr>
        <w:ind w:left="240" w:hanging="236"/>
        <w:spacing w:after="0"/>
        <w:tabs>
          <w:tab w:leader="none" w:pos="240" w:val="left"/>
        </w:tabs>
        <w:numPr>
          <w:ilvl w:val="0"/>
          <w:numId w:val="499"/>
        </w:numPr>
        <w:rPr>
          <w:rFonts w:ascii="Arial" w:cs="Arial" w:eastAsia="Arial" w:hAnsi="Arial"/>
          <w:sz w:val="12"/>
          <w:szCs w:val="12"/>
          <w:color w:val="auto"/>
        </w:rPr>
      </w:pPr>
      <w:r>
        <w:rPr>
          <w:rFonts w:ascii="Arial" w:cs="Arial" w:eastAsia="Arial" w:hAnsi="Arial"/>
          <w:sz w:val="12"/>
          <w:szCs w:val="12"/>
          <w:color w:val="auto"/>
        </w:rPr>
        <w:t>written notice to BI. Any such termination shall only become effective if BI or its Affiliate or Sublicensee, as applicable, has not withdrawn such action before the end of the above notice period.</w:t>
      </w:r>
    </w:p>
    <w:p>
      <w:pPr>
        <w:spacing w:after="0" w:line="146" w:lineRule="exact"/>
        <w:rPr>
          <w:rFonts w:ascii="Arial" w:cs="Arial" w:eastAsia="Arial" w:hAnsi="Arial"/>
          <w:sz w:val="12"/>
          <w:szCs w:val="12"/>
          <w:color w:val="auto"/>
        </w:rPr>
      </w:pPr>
    </w:p>
    <w:p>
      <w:pPr>
        <w:ind w:right="160" w:firstLine="1493"/>
        <w:spacing w:after="0" w:line="270" w:lineRule="auto"/>
        <w:tabs>
          <w:tab w:leader="none" w:pos="1682" w:val="left"/>
        </w:tabs>
        <w:numPr>
          <w:ilvl w:val="1"/>
          <w:numId w:val="499"/>
        </w:numPr>
        <w:rPr>
          <w:rFonts w:ascii="Arial" w:cs="Arial" w:eastAsia="Arial" w:hAnsi="Arial"/>
          <w:sz w:val="14"/>
          <w:szCs w:val="14"/>
          <w:color w:val="auto"/>
        </w:rPr>
      </w:pP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BI shall have the right to terminate this Agreement at any time in its sole discretion by giving MacroGenics *** prior written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 invoiced prior to the effective date of such termination.</w:t>
      </w:r>
    </w:p>
    <w:p>
      <w:pPr>
        <w:spacing w:after="0" w:line="99" w:lineRule="exact"/>
        <w:rPr>
          <w:rFonts w:ascii="Arial" w:cs="Arial" w:eastAsia="Arial" w:hAnsi="Arial"/>
          <w:sz w:val="14"/>
          <w:szCs w:val="14"/>
          <w:color w:val="auto"/>
        </w:rPr>
      </w:pPr>
    </w:p>
    <w:p>
      <w:pPr>
        <w:jc w:val="both"/>
        <w:ind w:firstLine="1493"/>
        <w:spacing w:after="0" w:line="253" w:lineRule="auto"/>
        <w:tabs>
          <w:tab w:leader="none" w:pos="1675" w:val="left"/>
        </w:tabs>
        <w:numPr>
          <w:ilvl w:val="1"/>
          <w:numId w:val="499"/>
        </w:numPr>
        <w:rPr>
          <w:rFonts w:ascii="Arial" w:cs="Arial" w:eastAsia="Arial" w:hAnsi="Arial"/>
          <w:sz w:val="14"/>
          <w:szCs w:val="14"/>
          <w:color w:val="auto"/>
        </w:rPr>
      </w:pPr>
      <w:r>
        <w:rPr>
          <w:rFonts w:ascii="Arial" w:cs="Arial" w:eastAsia="Arial" w:hAnsi="Arial"/>
          <w:sz w:val="14"/>
          <w:szCs w:val="14"/>
          <w:u w:val="single" w:color="auto"/>
          <w:color w:val="auto"/>
        </w:rPr>
        <w:t>Termination if MacroGenics Challenges Collaboration DART Patent Rights</w:t>
      </w:r>
      <w:r>
        <w:rPr>
          <w:rFonts w:ascii="Arial" w:cs="Arial" w:eastAsia="Arial" w:hAnsi="Arial"/>
          <w:sz w:val="14"/>
          <w:szCs w:val="14"/>
          <w:color w:val="auto"/>
        </w:rPr>
        <w:t xml:space="preserve">. If MacroGenics or any of its Affiliates or Sublicensees, directly or indirectly, (i) initiates or requests an interference or opposition proceeding with respect to any Collaboration DART Patent Right, (ii) makes, files or maintains any claim, demand, lawsuit, or cause of action to challenge the validity or enforceability of any Collaboration DART Patent Right in a tribunal or forum, or (iii) opposes any extension of, or the grant of a supplementary protection certificate with respect to, any Collaboration DART Patent Right, BI shall have the right to terminate this Agreement upon </w:t>
      </w:r>
      <w:r>
        <w:rPr>
          <w:rFonts w:ascii="Arial" w:cs="Arial" w:eastAsia="Arial" w:hAnsi="Arial"/>
          <w:sz w:val="14"/>
          <w:szCs w:val="14"/>
          <w:b w:val="1"/>
          <w:bCs w:val="1"/>
          <w:color w:val="auto"/>
        </w:rPr>
        <w:t>***</w:t>
      </w:r>
      <w:r>
        <w:rPr>
          <w:rFonts w:ascii="Arial" w:cs="Arial" w:eastAsia="Arial" w:hAnsi="Arial"/>
          <w:sz w:val="14"/>
          <w:szCs w:val="14"/>
          <w:color w:val="auto"/>
        </w:rPr>
        <w:t xml:space="preserve"> written notice to MacroGenics. Any such termination shall only become effective if MacroGenics or its Affiliate or Sublicensee, as applicable, has not withdrawn such action before the end of the above notice period.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Effect of Termination on Licenses</w:t>
      </w:r>
      <w:r>
        <w:rPr>
          <w:rFonts w:ascii="Arial" w:cs="Arial" w:eastAsia="Arial" w:hAnsi="Arial"/>
          <w:sz w:val="14"/>
          <w:szCs w:val="14"/>
          <w:color w:val="auto"/>
        </w:rPr>
        <w:t>.</w:t>
      </w:r>
    </w:p>
    <w:p>
      <w:pPr>
        <w:spacing w:after="0" w:line="132" w:lineRule="exact"/>
        <w:rPr>
          <w:sz w:val="20"/>
          <w:szCs w:val="20"/>
          <w:color w:val="auto"/>
        </w:rPr>
      </w:pPr>
    </w:p>
    <w:p>
      <w:pPr>
        <w:ind w:right="20" w:firstLine="1493"/>
        <w:spacing w:after="0" w:line="300" w:lineRule="auto"/>
        <w:tabs>
          <w:tab w:leader="none" w:pos="1675" w:val="left"/>
        </w:tabs>
        <w:numPr>
          <w:ilvl w:val="0"/>
          <w:numId w:val="500"/>
        </w:numPr>
        <w:rPr>
          <w:rFonts w:ascii="Arial" w:cs="Arial" w:eastAsia="Arial" w:hAnsi="Arial"/>
          <w:sz w:val="12"/>
          <w:szCs w:val="12"/>
          <w:color w:val="auto"/>
        </w:rPr>
      </w:pPr>
      <w:r>
        <w:rPr>
          <w:rFonts w:ascii="Arial" w:cs="Arial" w:eastAsia="Arial" w:hAnsi="Arial"/>
          <w:sz w:val="12"/>
          <w:szCs w:val="12"/>
          <w:color w:val="auto"/>
        </w:rPr>
        <w:t xml:space="preserve">If BI terminates this Agreement under Section 10.2(a) or Section 10.2(e): (i) BI’s license pursuant to this Agreement, shall continue;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BI shall continue to fulfill BI’s payment and/or royalty obligations as specified herein;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BI may ***, as determined (A) in a final decision of the arbitrators in accordance with Section 11.2 or a court of competent jurisdiction, which decision is not appealable or has not been appealed within the time allowed for appeal, or (B) by the Parties in a settlement agreement; and (ii) MacroGenics shall,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effective date of such termination, return or cause to be returned to BI, copies of all BI Confidential Information and BI Intellectual Property and all Materials provided by BI, in each case with respect to any Terminated Product, except that MacroGenics may retain one copy of the BI Confidential Information solely for legal archive purposes, (iii) BI shall be released of its ongoing disclosure and information exchange obligations under ARTICLES III and IV, (iv) the JSC and its subcommittees shall not meet anymore, except to address matters relating to Patent Rights; and (v) MacroGencics’ co-promotion option stipulated under Section 4.5 and the co-development option stipulated under Section 4.4 shall terminate.</w:t>
      </w:r>
    </w:p>
    <w:p>
      <w:pPr>
        <w:spacing w:after="0" w:line="88" w:lineRule="exact"/>
        <w:rPr>
          <w:rFonts w:ascii="Arial" w:cs="Arial" w:eastAsia="Arial" w:hAnsi="Arial"/>
          <w:sz w:val="12"/>
          <w:szCs w:val="12"/>
          <w:color w:val="auto"/>
        </w:rPr>
      </w:pPr>
    </w:p>
    <w:p>
      <w:pPr>
        <w:ind w:left="1680" w:hanging="187"/>
        <w:spacing w:after="0"/>
        <w:tabs>
          <w:tab w:leader="none" w:pos="1680" w:val="left"/>
        </w:tabs>
        <w:numPr>
          <w:ilvl w:val="0"/>
          <w:numId w:val="500"/>
        </w:numPr>
        <w:rPr>
          <w:rFonts w:ascii="Arial" w:cs="Arial" w:eastAsia="Arial" w:hAnsi="Arial"/>
          <w:sz w:val="12"/>
          <w:szCs w:val="12"/>
          <w:color w:val="auto"/>
        </w:rPr>
      </w:pPr>
      <w:r>
        <w:rPr>
          <w:rFonts w:ascii="Arial" w:cs="Arial" w:eastAsia="Arial" w:hAnsi="Arial"/>
          <w:sz w:val="12"/>
          <w:szCs w:val="12"/>
          <w:color w:val="auto"/>
        </w:rPr>
        <w:t>Upon termination of this Agreement in whole or with respect to a Terminated Product by BI under Section 10.2(b) or 10.2(d) or by MacroGenics under Section 10.2(a) 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Section 10.2(c), then:</w:t>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(i) BI’s licenses pursuant to Section 5.1 shall terminate as of the effective date of termination with respect to all Terminated Products;</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0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07" w:name="page508"/>
    <w:bookmarkEnd w:id="507"/>
    <w:p>
      <w:pPr>
        <w:ind w:left="880" w:hanging="208"/>
        <w:spacing w:after="0"/>
        <w:tabs>
          <w:tab w:leader="none" w:pos="880" w:val="left"/>
        </w:tabs>
        <w:numPr>
          <w:ilvl w:val="1"/>
          <w:numId w:val="50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Collaboration Targets to which the Terminated Products are Directed shall be deemed Terminated Targets;</w:t>
      </w:r>
    </w:p>
    <w:p>
      <w:pPr>
        <w:spacing w:after="0" w:line="66" w:lineRule="exact"/>
        <w:rPr>
          <w:rFonts w:ascii="Arial" w:cs="Arial" w:eastAsia="Arial" w:hAnsi="Arial"/>
          <w:sz w:val="14"/>
          <w:szCs w:val="14"/>
          <w:color w:val="auto"/>
        </w:rPr>
      </w:pPr>
    </w:p>
    <w:p>
      <w:pPr>
        <w:ind w:left="280" w:right="40" w:firstLine="392"/>
        <w:spacing w:after="0" w:line="259" w:lineRule="auto"/>
        <w:tabs>
          <w:tab w:leader="none" w:pos="917" w:val="left"/>
        </w:tabs>
        <w:numPr>
          <w:ilvl w:val="1"/>
          <w:numId w:val="502"/>
        </w:numPr>
        <w:rPr>
          <w:rFonts w:ascii="Arial" w:cs="Arial" w:eastAsia="Arial" w:hAnsi="Arial"/>
          <w:sz w:val="14"/>
          <w:szCs w:val="14"/>
          <w:color w:val="auto"/>
        </w:rPr>
      </w:pPr>
      <w:r>
        <w:rPr>
          <w:rFonts w:ascii="Arial" w:cs="Arial" w:eastAsia="Arial" w:hAnsi="Arial"/>
          <w:sz w:val="14"/>
          <w:szCs w:val="14"/>
          <w:color w:val="auto"/>
        </w:rPr>
        <w:t xml:space="preserve">BI shall,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effective date of termination, return or cause to be returned to MacroGenics, copies of all MacroGenics Confidential Information and MacroGenics Intellectual Property and all Materials owned and provided by MacroGenics, in each case with respect to any Terminated Product; except that BI may retain one copy of the MacroGenics Confidential Information solely for legal archive purposes;</w:t>
      </w:r>
    </w:p>
    <w:p>
      <w:pPr>
        <w:spacing w:after="0" w:line="42" w:lineRule="exact"/>
        <w:rPr>
          <w:rFonts w:ascii="Arial" w:cs="Arial" w:eastAsia="Arial" w:hAnsi="Arial"/>
          <w:sz w:val="14"/>
          <w:szCs w:val="14"/>
          <w:color w:val="auto"/>
        </w:rPr>
      </w:pPr>
    </w:p>
    <w:p>
      <w:pPr>
        <w:ind w:left="280" w:right="100" w:firstLine="392"/>
        <w:spacing w:after="0" w:line="312" w:lineRule="auto"/>
        <w:tabs>
          <w:tab w:leader="none" w:pos="909" w:val="left"/>
        </w:tabs>
        <w:numPr>
          <w:ilvl w:val="1"/>
          <w:numId w:val="502"/>
        </w:numPr>
        <w:rPr>
          <w:rFonts w:ascii="Arial" w:cs="Arial" w:eastAsia="Arial" w:hAnsi="Arial"/>
          <w:sz w:val="12"/>
          <w:szCs w:val="12"/>
          <w:color w:val="auto"/>
        </w:rPr>
      </w:pPr>
      <w:r>
        <w:rPr>
          <w:rFonts w:ascii="Arial" w:cs="Arial" w:eastAsia="Arial" w:hAnsi="Arial"/>
          <w:sz w:val="12"/>
          <w:szCs w:val="12"/>
          <w:color w:val="auto"/>
        </w:rPr>
        <w:t xml:space="preserve">MacroGenics shall,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effective date of termination, return or cause to be returned to BI, copies of all BI Confidential Information and BI Intellectual Property and all Materials provided by BI, in each case with respect to any Terminated Product, except that (A) MacroGenics may retain one copy of the BI Confidential Information solely for legal archive purposes and (B) MacroGenics may retain such BI Confidential Information, BI Intellectual Property and Materials solely to the extent necessary to research, Develop, make, have made, use, offer for sale, sell and import the Terminated Products in the Field in the Territory;</w:t>
      </w:r>
    </w:p>
    <w:p>
      <w:pPr>
        <w:spacing w:after="0" w:line="13" w:lineRule="exact"/>
        <w:rPr>
          <w:rFonts w:ascii="Arial" w:cs="Arial" w:eastAsia="Arial" w:hAnsi="Arial"/>
          <w:sz w:val="12"/>
          <w:szCs w:val="12"/>
          <w:color w:val="auto"/>
        </w:rPr>
      </w:pPr>
    </w:p>
    <w:p>
      <w:pPr>
        <w:ind w:left="280" w:right="40" w:firstLine="392"/>
        <w:spacing w:after="0" w:line="297" w:lineRule="auto"/>
        <w:tabs>
          <w:tab w:leader="none" w:pos="871" w:val="left"/>
        </w:tabs>
        <w:numPr>
          <w:ilvl w:val="1"/>
          <w:numId w:val="502"/>
        </w:numPr>
        <w:rPr>
          <w:rFonts w:ascii="Arial" w:cs="Arial" w:eastAsia="Arial" w:hAnsi="Arial"/>
          <w:sz w:val="12"/>
          <w:szCs w:val="12"/>
          <w:color w:val="auto"/>
        </w:rPr>
      </w:pPr>
      <w:r>
        <w:rPr>
          <w:rFonts w:ascii="Arial" w:cs="Arial" w:eastAsia="Arial" w:hAnsi="Arial"/>
          <w:sz w:val="12"/>
          <w:szCs w:val="12"/>
          <w:color w:val="auto"/>
        </w:rPr>
        <w:t xml:space="preserve">At MacroGenics’ request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effective date of termination, BI will either *** (the choice of (A) or (B) being in BI’s sole discretion), and (C) at MacroGenics’ request BI will grant to MacroGenics a non-exclusive, worldwide, license to BI Intellectual Property, including the regulatory documentation defined in Section 10.3(b)</w:t>
      </w:r>
    </w:p>
    <w:p>
      <w:pPr>
        <w:ind w:left="280" w:right="140" w:hanging="7"/>
        <w:spacing w:after="0" w:line="290" w:lineRule="auto"/>
        <w:tabs>
          <w:tab w:leader="none" w:pos="51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 xml:space="preserve">below, however excluding BI Biopharmaceutical Technology, solely to the extent that such licenses are necessary to research, Develop, make, have made, use, offer for sale, sell and import the Terminated Products in the Field in the Territory. If MacroGenics has been *** pursuant to this Section 10.3(b)(v)(A) or (B), MacroGenics shall pay to BI (i) </w:t>
      </w:r>
      <w:r>
        <w:rPr>
          <w:rFonts w:ascii="Arial" w:cs="Arial" w:eastAsia="Arial" w:hAnsi="Arial"/>
          <w:sz w:val="12"/>
          <w:szCs w:val="12"/>
          <w:b w:val="1"/>
          <w:bCs w:val="1"/>
          <w:color w:val="auto"/>
        </w:rPr>
        <w:t>***</w:t>
      </w:r>
    </w:p>
    <w:p>
      <w:pPr>
        <w:ind w:left="280"/>
        <w:spacing w:after="0"/>
        <w:rPr>
          <w:rFonts w:ascii="Arial" w:cs="Arial" w:eastAsia="Arial" w:hAnsi="Arial"/>
          <w:sz w:val="12"/>
          <w:szCs w:val="12"/>
          <w:color w:val="auto"/>
        </w:rPr>
      </w:pPr>
      <w:r>
        <w:rPr>
          <w:rFonts w:ascii="Arial" w:cs="Arial" w:eastAsia="Arial" w:hAnsi="Arial"/>
          <w:sz w:val="12"/>
          <w:szCs w:val="12"/>
          <w:color w:val="auto"/>
        </w:rPr>
        <w:t xml:space="preserve">Notwithstanding the foregoing, if MacroGenics has been *** pursuant to Section 10.3(b)(v)(C) only and has not been *** under Section 10.3(b)(v)(A) or (B), MacroGenics shall </w:t>
      </w:r>
      <w:r>
        <w:rPr>
          <w:rFonts w:ascii="Arial" w:cs="Arial" w:eastAsia="Arial" w:hAnsi="Arial"/>
          <w:sz w:val="12"/>
          <w:szCs w:val="12"/>
          <w:b w:val="1"/>
          <w:bCs w:val="1"/>
          <w:color w:val="auto"/>
        </w:rPr>
        <w:t>***</w:t>
      </w:r>
    </w:p>
    <w:p>
      <w:pPr>
        <w:spacing w:after="0" w:line="29" w:lineRule="exact"/>
        <w:rPr>
          <w:rFonts w:ascii="Arial" w:cs="Arial" w:eastAsia="Arial" w:hAnsi="Arial"/>
          <w:sz w:val="12"/>
          <w:szCs w:val="12"/>
          <w:color w:val="auto"/>
        </w:rPr>
      </w:pPr>
    </w:p>
    <w:p>
      <w:pPr>
        <w:ind w:left="280"/>
        <w:spacing w:after="0"/>
        <w:rPr>
          <w:rFonts w:ascii="Arial" w:cs="Arial" w:eastAsia="Arial" w:hAnsi="Arial"/>
          <w:sz w:val="12"/>
          <w:szCs w:val="12"/>
          <w:color w:val="auto"/>
        </w:rPr>
      </w:pPr>
      <w:r>
        <w:rPr>
          <w:rFonts w:ascii="Arial" w:cs="Arial" w:eastAsia="Arial" w:hAnsi="Arial"/>
          <w:sz w:val="14"/>
          <w:szCs w:val="14"/>
          <w:color w:val="auto"/>
        </w:rPr>
        <w:t>a Product-by-Product basis, in each case in accordance with the applicable terms of ARTICLE VI (such as duration, adjustments, reports, audits and the like);</w:t>
      </w:r>
    </w:p>
    <w:p>
      <w:pPr>
        <w:spacing w:after="0" w:line="60" w:lineRule="exact"/>
        <w:rPr>
          <w:rFonts w:ascii="Arial" w:cs="Arial" w:eastAsia="Arial" w:hAnsi="Arial"/>
          <w:sz w:val="12"/>
          <w:szCs w:val="12"/>
          <w:color w:val="auto"/>
        </w:rPr>
      </w:pPr>
    </w:p>
    <w:p>
      <w:pPr>
        <w:ind w:left="280" w:firstLine="392"/>
        <w:spacing w:after="0" w:line="297" w:lineRule="auto"/>
        <w:tabs>
          <w:tab w:leader="none" w:pos="909" w:val="left"/>
        </w:tabs>
        <w:numPr>
          <w:ilvl w:val="1"/>
          <w:numId w:val="503"/>
        </w:numPr>
        <w:rPr>
          <w:rFonts w:ascii="Arial" w:cs="Arial" w:eastAsia="Arial" w:hAnsi="Arial"/>
          <w:sz w:val="12"/>
          <w:szCs w:val="12"/>
          <w:color w:val="auto"/>
        </w:rPr>
      </w:pPr>
      <w:r>
        <w:rPr>
          <w:rFonts w:ascii="Arial" w:cs="Arial" w:eastAsia="Arial" w:hAnsi="Arial"/>
          <w:sz w:val="12"/>
          <w:szCs w:val="12"/>
          <w:color w:val="auto"/>
        </w:rPr>
        <w:t xml:space="preserve">For a period of </w:t>
      </w:r>
      <w:r>
        <w:rPr>
          <w:rFonts w:ascii="Arial" w:cs="Arial" w:eastAsia="Arial" w:hAnsi="Arial"/>
          <w:sz w:val="12"/>
          <w:szCs w:val="12"/>
          <w:b w:val="1"/>
          <w:bCs w:val="1"/>
          <w:color w:val="auto"/>
        </w:rPr>
        <w:t>***</w:t>
      </w:r>
      <w:r>
        <w:rPr>
          <w:rFonts w:ascii="Arial" w:cs="Arial" w:eastAsia="Arial" w:hAnsi="Arial"/>
          <w:sz w:val="12"/>
          <w:szCs w:val="12"/>
          <w:color w:val="auto"/>
        </w:rPr>
        <w:t>, BI and its Affiliates shall be entitled to finish work in progress and to sell any Collaboration DART(s) and/or Products remaining in inventory in accordance with the terms of this Agreement. Such sales shall be subject to the royalty provisions of this Agreement. Thereafter, MacroGenics shall have the option, exercisable within</w:t>
      </w:r>
    </w:p>
    <w:p>
      <w:pPr>
        <w:ind w:left="280" w:right="140"/>
        <w:spacing w:after="0" w:line="258" w:lineRule="auto"/>
        <w:rPr>
          <w:rFonts w:ascii="Arial" w:cs="Arial" w:eastAsia="Arial" w:hAnsi="Arial"/>
          <w:sz w:val="12"/>
          <w:szCs w:val="12"/>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following such</w:t>
      </w:r>
      <w:r>
        <w:rPr>
          <w:rFonts w:ascii="Arial" w:cs="Arial" w:eastAsia="Arial" w:hAnsi="Arial"/>
          <w:sz w:val="14"/>
          <w:szCs w:val="14"/>
          <w:b w:val="1"/>
          <w:bCs w:val="1"/>
          <w:color w:val="auto"/>
        </w:rPr>
        <w:t xml:space="preserve"> *** </w:t>
      </w:r>
      <w:r>
        <w:rPr>
          <w:rFonts w:ascii="Arial" w:cs="Arial" w:eastAsia="Arial" w:hAnsi="Arial"/>
          <w:sz w:val="14"/>
          <w:szCs w:val="14"/>
          <w:color w:val="auto"/>
        </w:rPr>
        <w:t>period, to obtain BI’s inventory of Terminated Products at a *** for such inventory of Terminated Product to be ***. MacroGenics may exercise such option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by written notice to BI during such </w:t>
      </w:r>
      <w:r>
        <w:rPr>
          <w:rFonts w:ascii="Arial" w:cs="Arial" w:eastAsia="Arial" w:hAnsi="Arial"/>
          <w:sz w:val="14"/>
          <w:szCs w:val="14"/>
          <w:b w:val="1"/>
          <w:bCs w:val="1"/>
          <w:color w:val="auto"/>
        </w:rPr>
        <w:t>***</w:t>
      </w:r>
      <w:r>
        <w:rPr>
          <w:rFonts w:ascii="Arial" w:cs="Arial" w:eastAsia="Arial" w:hAnsi="Arial"/>
          <w:sz w:val="14"/>
          <w:szCs w:val="14"/>
          <w:color w:val="auto"/>
        </w:rPr>
        <w:t xml:space="preserve"> period;</w:t>
      </w:r>
    </w:p>
    <w:p>
      <w:pPr>
        <w:spacing w:after="0" w:line="43" w:lineRule="exact"/>
        <w:rPr>
          <w:rFonts w:ascii="Arial" w:cs="Arial" w:eastAsia="Arial" w:hAnsi="Arial"/>
          <w:sz w:val="12"/>
          <w:szCs w:val="12"/>
          <w:color w:val="auto"/>
        </w:rPr>
      </w:pPr>
    </w:p>
    <w:p>
      <w:pPr>
        <w:ind w:left="280" w:right="80" w:firstLine="392"/>
        <w:spacing w:after="0" w:line="270" w:lineRule="auto"/>
        <w:tabs>
          <w:tab w:leader="none" w:pos="947" w:val="left"/>
        </w:tabs>
        <w:numPr>
          <w:ilvl w:val="1"/>
          <w:numId w:val="503"/>
        </w:numPr>
        <w:rPr>
          <w:rFonts w:ascii="Arial" w:cs="Arial" w:eastAsia="Arial" w:hAnsi="Arial"/>
          <w:sz w:val="14"/>
          <w:szCs w:val="14"/>
          <w:color w:val="auto"/>
        </w:rPr>
      </w:pPr>
      <w:r>
        <w:rPr>
          <w:rFonts w:ascii="Arial" w:cs="Arial" w:eastAsia="Arial" w:hAnsi="Arial"/>
          <w:sz w:val="14"/>
          <w:szCs w:val="14"/>
          <w:color w:val="auto"/>
        </w:rPr>
        <w:t xml:space="preserve">In the event a Terminated Product has commenced </w:t>
      </w:r>
      <w:r>
        <w:rPr>
          <w:rFonts w:ascii="Arial" w:cs="Arial" w:eastAsia="Arial" w:hAnsi="Arial"/>
          <w:sz w:val="14"/>
          <w:szCs w:val="14"/>
          <w:b w:val="1"/>
          <w:bCs w:val="1"/>
          <w:color w:val="auto"/>
        </w:rPr>
        <w:t>***</w:t>
      </w:r>
      <w:r>
        <w:rPr>
          <w:rFonts w:ascii="Arial" w:cs="Arial" w:eastAsia="Arial" w:hAnsi="Arial"/>
          <w:sz w:val="14"/>
          <w:szCs w:val="14"/>
          <w:color w:val="auto"/>
        </w:rPr>
        <w:t xml:space="preserve"> before the effective date of termination, the Parties will negotiate in good faith an *** to MacroGenics of BI’s and its Affiliates’ *** for the Terminated Products in the Field in the Territory) relating solely to the Terminated Product and owned by BI;</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52</w:t>
      </w:r>
    </w:p>
    <w:p>
      <w:pPr>
        <w:spacing w:after="0" w:line="12" w:lineRule="exact"/>
        <w:rPr>
          <w:sz w:val="20"/>
          <w:szCs w:val="20"/>
          <w:color w:val="auto"/>
        </w:rPr>
      </w:pPr>
    </w:p>
    <w:p>
      <w:pPr>
        <w:ind w:left="2620" w:right="2700" w:hanging="1135"/>
        <w:spacing w:after="0" w:line="341" w:lineRule="auto"/>
        <w:tabs>
          <w:tab w:leader="none" w:pos="1724" w:val="left"/>
        </w:tabs>
        <w:numPr>
          <w:ilvl w:val="0"/>
          <w:numId w:val="50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40"/>
          </w:cols>
          <w:pgMar w:left="1440" w:top="247" w:right="219" w:bottom="1440" w:gutter="0" w:footer="0" w:header="0"/>
        </w:sectPr>
      </w:pPr>
    </w:p>
    <w:bookmarkStart w:id="508" w:name="page509"/>
    <w:bookmarkEnd w:id="508"/>
    <w:p>
      <w:pPr>
        <w:ind w:left="1500" w:firstLine="392"/>
        <w:spacing w:after="0" w:line="258" w:lineRule="auto"/>
        <w:tabs>
          <w:tab w:leader="none" w:pos="2204" w:val="left"/>
        </w:tabs>
        <w:numPr>
          <w:ilvl w:val="0"/>
          <w:numId w:val="50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BI shall, in exchange for commercially reasonable terms to be negotiated in good faith between the Parties, use Commercially Reasonable Efforts to supply MacroGenics with comparable quantities of the Terminated Products in the dosage strength, formulation and presentation as were being Developed or Commercialized as of the effective date of termination until the earlier of </w:t>
      </w:r>
      <w:r>
        <w:rPr>
          <w:rFonts w:ascii="Arial" w:cs="Arial" w:eastAsia="Arial" w:hAnsi="Arial"/>
          <w:sz w:val="14"/>
          <w:szCs w:val="14"/>
          <w:b w:val="1"/>
          <w:bCs w:val="1"/>
          <w:color w:val="auto"/>
        </w:rPr>
        <w:t>***</w:t>
      </w:r>
    </w:p>
    <w:p>
      <w:pPr>
        <w:spacing w:after="0" w:line="44" w:lineRule="exact"/>
        <w:rPr>
          <w:rFonts w:ascii="Arial" w:cs="Arial" w:eastAsia="Arial" w:hAnsi="Arial"/>
          <w:sz w:val="14"/>
          <w:szCs w:val="14"/>
          <w:color w:val="auto"/>
        </w:rPr>
      </w:pPr>
    </w:p>
    <w:p>
      <w:pPr>
        <w:ind w:left="1500" w:right="80" w:firstLine="392"/>
        <w:spacing w:after="0" w:line="267" w:lineRule="auto"/>
        <w:tabs>
          <w:tab w:leader="none" w:pos="2129" w:val="left"/>
        </w:tabs>
        <w:numPr>
          <w:ilvl w:val="0"/>
          <w:numId w:val="505"/>
        </w:numPr>
        <w:rPr>
          <w:rFonts w:ascii="Arial" w:cs="Arial" w:eastAsia="Arial" w:hAnsi="Arial"/>
          <w:sz w:val="14"/>
          <w:szCs w:val="14"/>
          <w:color w:val="auto"/>
        </w:rPr>
      </w:pPr>
      <w:r>
        <w:rPr>
          <w:rFonts w:ascii="Arial" w:cs="Arial" w:eastAsia="Arial" w:hAnsi="Arial"/>
          <w:sz w:val="14"/>
          <w:szCs w:val="14"/>
          <w:color w:val="auto"/>
        </w:rPr>
        <w:t xml:space="preserve">BI shall promptly *** and *** all *** and related rights *** and any other *** and other materials relating to *** of any Terminated Product, or *** or sell a Terminated Product); </w:t>
      </w:r>
      <w:r>
        <w:rPr>
          <w:rFonts w:ascii="Arial" w:cs="Arial" w:eastAsia="Arial" w:hAnsi="Arial"/>
          <w:sz w:val="14"/>
          <w:szCs w:val="14"/>
          <w:u w:val="single" w:color="auto"/>
          <w:color w:val="auto"/>
        </w:rPr>
        <w:t>provided</w:t>
      </w:r>
      <w:r>
        <w:rPr>
          <w:rFonts w:ascii="Arial" w:cs="Arial" w:eastAsia="Arial" w:hAnsi="Arial"/>
          <w:sz w:val="14"/>
          <w:szCs w:val="14"/>
          <w:color w:val="auto"/>
        </w:rPr>
        <w:t>, that BI may retain a single copy of such items for its records;</w:t>
      </w:r>
    </w:p>
    <w:p>
      <w:pPr>
        <w:spacing w:after="0" w:line="38" w:lineRule="exact"/>
        <w:rPr>
          <w:rFonts w:ascii="Arial" w:cs="Arial" w:eastAsia="Arial" w:hAnsi="Arial"/>
          <w:sz w:val="14"/>
          <w:szCs w:val="14"/>
          <w:color w:val="auto"/>
        </w:rPr>
      </w:pPr>
    </w:p>
    <w:p>
      <w:pPr>
        <w:ind w:left="1500" w:right="200" w:firstLine="392"/>
        <w:spacing w:after="0" w:line="267" w:lineRule="auto"/>
        <w:tabs>
          <w:tab w:leader="none" w:pos="2091" w:val="left"/>
        </w:tabs>
        <w:numPr>
          <w:ilvl w:val="0"/>
          <w:numId w:val="505"/>
        </w:numPr>
        <w:rPr>
          <w:rFonts w:ascii="Arial" w:cs="Arial" w:eastAsia="Arial" w:hAnsi="Arial"/>
          <w:sz w:val="14"/>
          <w:szCs w:val="14"/>
          <w:color w:val="auto"/>
        </w:rPr>
      </w:pPr>
      <w:r>
        <w:rPr>
          <w:rFonts w:ascii="Arial" w:cs="Arial" w:eastAsia="Arial" w:hAnsi="Arial"/>
          <w:sz w:val="14"/>
          <w:szCs w:val="14"/>
          <w:color w:val="auto"/>
        </w:rPr>
        <w:t>BI shall, and hereby *** to MacroGenics *** Collaboration DART included in *** that were invented solely by employees, agents or consultants of MacroGenics or its Affiliates. *** and</w:t>
      </w:r>
    </w:p>
    <w:p>
      <w:pPr>
        <w:spacing w:after="0" w:line="38" w:lineRule="exact"/>
        <w:rPr>
          <w:rFonts w:ascii="Arial" w:cs="Arial" w:eastAsia="Arial" w:hAnsi="Arial"/>
          <w:sz w:val="14"/>
          <w:szCs w:val="14"/>
          <w:color w:val="auto"/>
        </w:rPr>
      </w:pPr>
    </w:p>
    <w:p>
      <w:pPr>
        <w:ind w:left="1500" w:right="240" w:firstLine="392"/>
        <w:spacing w:after="0" w:line="351" w:lineRule="auto"/>
        <w:tabs>
          <w:tab w:leader="none" w:pos="2129" w:val="left"/>
        </w:tabs>
        <w:numPr>
          <w:ilvl w:val="0"/>
          <w:numId w:val="505"/>
        </w:numPr>
        <w:rPr>
          <w:rFonts w:ascii="Arial" w:cs="Arial" w:eastAsia="Arial" w:hAnsi="Arial"/>
          <w:sz w:val="12"/>
          <w:szCs w:val="12"/>
          <w:color w:val="auto"/>
        </w:rPr>
      </w:pPr>
      <w:r>
        <w:rPr>
          <w:rFonts w:ascii="Arial" w:cs="Arial" w:eastAsia="Arial" w:hAnsi="Arial"/>
          <w:sz w:val="12"/>
          <w:szCs w:val="12"/>
          <w:color w:val="auto"/>
        </w:rPr>
        <w:t xml:space="preserve">In the event that BI grants to MacroGenics an *** with respect to Collaboration DART Patent Rights, MacroGenics shall be solely responsible for the Prosecution and Maintenance of such Collaboration DART Patent Rights and with respect to any such Collaboration DART Patent Rights licensed to MacroGenics, MacroGenics </w:t>
      </w:r>
      <w:r>
        <w:rPr>
          <w:rFonts w:ascii="Arial" w:cs="Arial" w:eastAsia="Arial" w:hAnsi="Arial"/>
          <w:sz w:val="12"/>
          <w:szCs w:val="12"/>
          <w:b w:val="1"/>
          <w:bCs w:val="1"/>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Change of Control</w:t>
      </w:r>
      <w:r>
        <w:rPr>
          <w:rFonts w:ascii="Arial" w:cs="Arial" w:eastAsia="Arial" w:hAnsi="Arial"/>
          <w:sz w:val="14"/>
          <w:szCs w:val="14"/>
          <w:color w:val="auto"/>
        </w:rPr>
        <w:t>. In the event of a Change of Control, provided all payments provided for herein are paid to MacroGenics’s successor, BI shall have the following rights:</w:t>
      </w:r>
    </w:p>
    <w:p>
      <w:pPr>
        <w:spacing w:after="0" w:line="132" w:lineRule="exact"/>
        <w:rPr>
          <w:sz w:val="20"/>
          <w:szCs w:val="20"/>
          <w:color w:val="auto"/>
        </w:rPr>
      </w:pPr>
    </w:p>
    <w:p>
      <w:pPr>
        <w:ind w:left="1680" w:hanging="187"/>
        <w:spacing w:after="0"/>
        <w:tabs>
          <w:tab w:leader="none" w:pos="1680" w:val="left"/>
        </w:tabs>
        <w:numPr>
          <w:ilvl w:val="0"/>
          <w:numId w:val="506"/>
        </w:numPr>
        <w:rPr>
          <w:rFonts w:ascii="Arial" w:cs="Arial" w:eastAsia="Arial" w:hAnsi="Arial"/>
          <w:sz w:val="14"/>
          <w:szCs w:val="14"/>
          <w:color w:val="auto"/>
        </w:rPr>
      </w:pPr>
      <w:r>
        <w:rPr>
          <w:rFonts w:ascii="Arial" w:cs="Arial" w:eastAsia="Arial" w:hAnsi="Arial"/>
          <w:sz w:val="14"/>
          <w:szCs w:val="14"/>
          <w:color w:val="auto"/>
        </w:rPr>
        <w:t xml:space="preserve">BI shall be released of its ongoing disclosure and information exchange obligations under Sections 3.9(b) and 4.2;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BI on *** and</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506"/>
        </w:numPr>
        <w:rPr>
          <w:rFonts w:ascii="Arial" w:cs="Arial" w:eastAsia="Arial" w:hAnsi="Arial"/>
          <w:sz w:val="14"/>
          <w:szCs w:val="14"/>
          <w:color w:val="auto"/>
        </w:rPr>
      </w:pPr>
      <w:r>
        <w:rPr>
          <w:rFonts w:ascii="Arial" w:cs="Arial" w:eastAsia="Arial" w:hAnsi="Arial"/>
          <w:sz w:val="14"/>
          <w:szCs w:val="14"/>
          <w:color w:val="auto"/>
        </w:rPr>
        <w:t>The JSC shall not meet anymore, except to address matters relating to Patent Rights.</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w:t>
      </w:r>
      <w:r>
        <w:rPr>
          <w:rFonts w:ascii="Arial" w:cs="Arial" w:eastAsia="Arial" w:hAnsi="Arial"/>
          <w:sz w:val="14"/>
          <w:szCs w:val="14"/>
          <w:b w:val="1"/>
          <w:bCs w:val="1"/>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Effect of Expiration or Termination; Survival</w:t>
      </w:r>
      <w:r>
        <w:rPr>
          <w:rFonts w:ascii="Arial" w:cs="Arial" w:eastAsia="Arial" w:hAnsi="Arial"/>
          <w:sz w:val="14"/>
          <w:szCs w:val="14"/>
          <w:color w:val="auto"/>
        </w:rPr>
        <w:t>.</w:t>
      </w:r>
    </w:p>
    <w:p>
      <w:pPr>
        <w:spacing w:after="0" w:line="132" w:lineRule="exact"/>
        <w:rPr>
          <w:sz w:val="20"/>
          <w:szCs w:val="20"/>
          <w:color w:val="auto"/>
        </w:rPr>
      </w:pPr>
    </w:p>
    <w:p>
      <w:pPr>
        <w:ind w:right="220" w:firstLine="1493"/>
        <w:spacing w:after="0" w:line="311" w:lineRule="auto"/>
        <w:tabs>
          <w:tab w:leader="none" w:pos="1675" w:val="left"/>
        </w:tabs>
        <w:numPr>
          <w:ilvl w:val="0"/>
          <w:numId w:val="507"/>
        </w:numPr>
        <w:rPr>
          <w:rFonts w:ascii="Arial" w:cs="Arial" w:eastAsia="Arial" w:hAnsi="Arial"/>
          <w:sz w:val="12"/>
          <w:szCs w:val="12"/>
          <w:color w:val="auto"/>
        </w:rPr>
      </w:pPr>
      <w:r>
        <w:rPr>
          <w:rFonts w:ascii="Arial" w:cs="Arial" w:eastAsia="Arial" w:hAnsi="Arial"/>
          <w:sz w:val="12"/>
          <w:szCs w:val="12"/>
          <w:color w:val="auto"/>
        </w:rPr>
        <w:t>Expiration or termination of the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including the obligation to pay royalties for Product(s) sold prior to such expiration or termination. Termination of this Agreement shall be in addition to, and shall not prejudice, the Parties’ remedies at law or in equity, including the Parties’ ability to receive legal damages and/or equitable relief with respect to any breach of this Agreement, regardless of whether or not such breach was the reason for the termination.</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0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6" w:right="259" w:bottom="1440" w:gutter="0" w:footer="0" w:header="0"/>
        </w:sectPr>
      </w:pPr>
    </w:p>
    <w:bookmarkStart w:id="509" w:name="page510"/>
    <w:bookmarkEnd w:id="509"/>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 The provisions of Articles 1, 8, 11 and 12 and Sections 3.6(c), 7.1, 9.3, 9.4, 9.5, 9.6, 9.7, 9.8, 10.3, 10.4 and 10.5 shall survive the expiration or termination of the Agreement.</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ARTICLE XI</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DISPUTE RESOLUTION</w:t>
      </w:r>
    </w:p>
    <w:p>
      <w:pPr>
        <w:spacing w:after="0" w:line="134" w:lineRule="exact"/>
        <w:rPr>
          <w:sz w:val="20"/>
          <w:szCs w:val="20"/>
          <w:color w:val="auto"/>
        </w:rPr>
      </w:pPr>
    </w:p>
    <w:p>
      <w:pPr>
        <w:ind w:right="60" w:firstLine="917"/>
        <w:spacing w:after="0" w:line="255"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u w:val="single" w:color="auto"/>
          <w:color w:val="auto"/>
        </w:rPr>
        <w:t>Seeking Consensus</w:t>
      </w:r>
      <w:r>
        <w:rPr>
          <w:rFonts w:ascii="Arial" w:cs="Arial" w:eastAsia="Arial" w:hAnsi="Arial"/>
          <w:sz w:val="14"/>
          <w:szCs w:val="14"/>
          <w:color w:val="auto"/>
        </w:rPr>
        <w:t>. If any dispute arises out of, in connection with or related to this Agreement, including disputes over the interpretation, performance, enforcement or breach of this Agreement, including any dispute that is not within the jurisdiction of the JSC (a “</w:t>
      </w:r>
      <w:r>
        <w:rPr>
          <w:rFonts w:ascii="Arial" w:cs="Arial" w:eastAsia="Arial" w:hAnsi="Arial"/>
          <w:sz w:val="14"/>
          <w:szCs w:val="14"/>
          <w:u w:val="single" w:color="auto"/>
          <w:color w:val="auto"/>
        </w:rPr>
        <w:t>Dispute</w:t>
      </w:r>
      <w:r>
        <w:rPr>
          <w:rFonts w:ascii="Arial" w:cs="Arial" w:eastAsia="Arial" w:hAnsi="Arial"/>
          <w:sz w:val="14"/>
          <w:szCs w:val="14"/>
          <w:color w:val="auto"/>
        </w:rPr>
        <w:t xml:space="preserve">”), however excluding any dispute resolved in accordance with Section 2.5(c), then upon the written request of either Party, the matter shall be referred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who shall meet in a good faith effort to resolve the dispute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If the Parties’ </w:t>
      </w:r>
      <w:r>
        <w:rPr>
          <w:rFonts w:ascii="Arial" w:cs="Arial" w:eastAsia="Arial" w:hAnsi="Arial"/>
          <w:sz w:val="14"/>
          <w:szCs w:val="14"/>
          <w:b w:val="1"/>
          <w:bCs w:val="1"/>
          <w:color w:val="auto"/>
        </w:rPr>
        <w:t>***</w:t>
      </w:r>
      <w:r>
        <w:rPr>
          <w:rFonts w:ascii="Arial" w:cs="Arial" w:eastAsia="Arial" w:hAnsi="Arial"/>
          <w:sz w:val="14"/>
          <w:szCs w:val="14"/>
          <w:color w:val="auto"/>
        </w:rPr>
        <w:t xml:space="preserve"> cannot agree on a resolution of the Dispute within such </w:t>
      </w:r>
      <w:r>
        <w:rPr>
          <w:rFonts w:ascii="Arial" w:cs="Arial" w:eastAsia="Arial" w:hAnsi="Arial"/>
          <w:sz w:val="14"/>
          <w:szCs w:val="14"/>
          <w:b w:val="1"/>
          <w:bCs w:val="1"/>
          <w:color w:val="auto"/>
        </w:rPr>
        <w:t>***</w:t>
      </w:r>
      <w:r>
        <w:rPr>
          <w:rFonts w:ascii="Arial" w:cs="Arial" w:eastAsia="Arial" w:hAnsi="Arial"/>
          <w:sz w:val="14"/>
          <w:szCs w:val="14"/>
          <w:color w:val="auto"/>
        </w:rPr>
        <w:t>period, then it shall be resolved pursuant to the remaining provisions of this ARTICLE XI.</w:t>
      </w:r>
    </w:p>
    <w:p>
      <w:pPr>
        <w:spacing w:after="0" w:line="110" w:lineRule="exact"/>
        <w:rPr>
          <w:sz w:val="20"/>
          <w:szCs w:val="20"/>
          <w:color w:val="auto"/>
        </w:rPr>
      </w:pPr>
    </w:p>
    <w:p>
      <w:pPr>
        <w:jc w:val="both"/>
        <w:ind w:right="20" w:firstLine="917"/>
        <w:spacing w:after="0" w:line="258"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Arbitration</w:t>
      </w:r>
      <w:r>
        <w:rPr>
          <w:rFonts w:ascii="Arial" w:cs="Arial" w:eastAsia="Arial" w:hAnsi="Arial"/>
          <w:sz w:val="14"/>
          <w:szCs w:val="14"/>
          <w:color w:val="auto"/>
        </w:rPr>
        <w:t xml:space="preserve">. The Parties shall negotiate in good faith and use reasonable efforts to settle any Dispute in accordance with Section 11.1. If the Parties do not fully settle a Dispute, and a Party wishes to pursue the matter, each such Dispute that is not an “Excluded Claim” shall be finally resolved by binding arbitration in accordance with the </w:t>
      </w:r>
      <w:r>
        <w:rPr>
          <w:rFonts w:ascii="Arial" w:cs="Arial" w:eastAsia="Arial" w:hAnsi="Arial"/>
          <w:sz w:val="14"/>
          <w:szCs w:val="14"/>
          <w:b w:val="1"/>
          <w:bCs w:val="1"/>
          <w:color w:val="auto"/>
        </w:rPr>
        <w:t>***</w:t>
      </w:r>
      <w:r>
        <w:rPr>
          <w:rFonts w:ascii="Arial" w:cs="Arial" w:eastAsia="Arial" w:hAnsi="Arial"/>
          <w:sz w:val="14"/>
          <w:szCs w:val="14"/>
          <w:color w:val="auto"/>
        </w:rPr>
        <w:t xml:space="preserve"> and judgment on the arbitration award may be entered in any court having jurisdiction thereof.</w:t>
      </w:r>
    </w:p>
    <w:p>
      <w:pPr>
        <w:spacing w:after="0" w:line="106" w:lineRule="exact"/>
        <w:rPr>
          <w:sz w:val="20"/>
          <w:szCs w:val="20"/>
          <w:color w:val="auto"/>
        </w:rPr>
      </w:pPr>
    </w:p>
    <w:p>
      <w:pPr>
        <w:ind w:right="340" w:firstLine="1493"/>
        <w:spacing w:after="0" w:line="270" w:lineRule="auto"/>
        <w:tabs>
          <w:tab w:leader="none" w:pos="1675" w:val="left"/>
        </w:tabs>
        <w:numPr>
          <w:ilvl w:val="0"/>
          <w:numId w:val="509"/>
        </w:numPr>
        <w:rPr>
          <w:rFonts w:ascii="Arial" w:cs="Arial" w:eastAsia="Arial" w:hAnsi="Arial"/>
          <w:sz w:val="14"/>
          <w:szCs w:val="14"/>
          <w:color w:val="auto"/>
        </w:rPr>
      </w:pPr>
      <w:r>
        <w:rPr>
          <w:rFonts w:ascii="Arial" w:cs="Arial" w:eastAsia="Arial" w:hAnsi="Arial"/>
          <w:sz w:val="14"/>
          <w:szCs w:val="14"/>
          <w:color w:val="auto"/>
        </w:rPr>
        <w:t xml:space="preserve">The arbitration shall be conducted by </w:t>
      </w:r>
      <w:r>
        <w:rPr>
          <w:rFonts w:ascii="Arial" w:cs="Arial" w:eastAsia="Arial" w:hAnsi="Arial"/>
          <w:sz w:val="14"/>
          <w:szCs w:val="14"/>
          <w:b w:val="1"/>
          <w:bCs w:val="1"/>
          <w:color w:val="auto"/>
        </w:rPr>
        <w:t>***</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initiation of arbitration, each Party shall select </w:t>
      </w:r>
      <w:r>
        <w:rPr>
          <w:rFonts w:ascii="Arial" w:cs="Arial" w:eastAsia="Arial" w:hAnsi="Arial"/>
          <w:sz w:val="14"/>
          <w:szCs w:val="14"/>
          <w:b w:val="1"/>
          <w:bCs w:val="1"/>
          <w:color w:val="auto"/>
        </w:rPr>
        <w:t>***</w:t>
      </w:r>
      <w:r>
        <w:rPr>
          <w:rFonts w:ascii="Arial" w:cs="Arial" w:eastAsia="Arial" w:hAnsi="Arial"/>
          <w:sz w:val="14"/>
          <w:szCs w:val="14"/>
          <w:color w:val="auto"/>
        </w:rPr>
        <w:t xml:space="preserve"> The place of arbitration shall be </w:t>
      </w:r>
      <w:r>
        <w:rPr>
          <w:rFonts w:ascii="Arial" w:cs="Arial" w:eastAsia="Arial" w:hAnsi="Arial"/>
          <w:sz w:val="14"/>
          <w:szCs w:val="14"/>
          <w:b w:val="1"/>
          <w:bCs w:val="1"/>
          <w:color w:val="auto"/>
        </w:rPr>
        <w:t>***</w:t>
      </w:r>
      <w:r>
        <w:rPr>
          <w:rFonts w:ascii="Arial" w:cs="Arial" w:eastAsia="Arial" w:hAnsi="Arial"/>
          <w:sz w:val="14"/>
          <w:szCs w:val="14"/>
          <w:color w:val="auto"/>
        </w:rPr>
        <w:t>, and all proceedings and communications shall be in English.</w:t>
      </w:r>
    </w:p>
    <w:p>
      <w:pPr>
        <w:spacing w:after="0" w:line="99" w:lineRule="exact"/>
        <w:rPr>
          <w:rFonts w:ascii="Arial" w:cs="Arial" w:eastAsia="Arial" w:hAnsi="Arial"/>
          <w:sz w:val="14"/>
          <w:szCs w:val="14"/>
          <w:color w:val="auto"/>
        </w:rPr>
      </w:pPr>
    </w:p>
    <w:p>
      <w:pPr>
        <w:ind w:firstLine="1493"/>
        <w:spacing w:after="0" w:line="305" w:lineRule="auto"/>
        <w:tabs>
          <w:tab w:leader="none" w:pos="1682" w:val="left"/>
        </w:tabs>
        <w:numPr>
          <w:ilvl w:val="0"/>
          <w:numId w:val="509"/>
        </w:numPr>
        <w:rPr>
          <w:rFonts w:ascii="Arial" w:cs="Arial" w:eastAsia="Arial" w:hAnsi="Arial"/>
          <w:sz w:val="12"/>
          <w:szCs w:val="12"/>
          <w:color w:val="auto"/>
        </w:rPr>
      </w:pPr>
      <w:r>
        <w:rPr>
          <w:rFonts w:ascii="Arial" w:cs="Arial" w:eastAsia="Arial" w:hAnsi="Arial"/>
          <w:sz w:val="12"/>
          <w:szCs w:val="12"/>
          <w:color w:val="auto"/>
        </w:rPr>
        <w:t>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scope of the authority of the arbitrators shall be limited to the strict application of law. The arbitrators shall have no authority to award punitive or any other type of damages not measured by a Party’s compensatory damages. Each Party participating in an arbitration pursuant to the terms of this Agreement shall, subject to the award of the arbitrators, pay an equal share of the arbitrator’s fees. The arbitrators shall have the power to award recovery of all costs (including reasonable attorney’s fees, administrative fees, arbitrator’s fees and court costs) to the prevailing party.</w:t>
      </w:r>
    </w:p>
    <w:p>
      <w:pPr>
        <w:spacing w:after="0" w:line="84" w:lineRule="exact"/>
        <w:rPr>
          <w:rFonts w:ascii="Arial" w:cs="Arial" w:eastAsia="Arial" w:hAnsi="Arial"/>
          <w:sz w:val="12"/>
          <w:szCs w:val="12"/>
          <w:color w:val="auto"/>
        </w:rPr>
      </w:pPr>
    </w:p>
    <w:p>
      <w:pPr>
        <w:jc w:val="both"/>
        <w:ind w:right="80" w:firstLine="1493"/>
        <w:spacing w:after="0" w:line="258" w:lineRule="auto"/>
        <w:tabs>
          <w:tab w:leader="none" w:pos="1675" w:val="left"/>
        </w:tabs>
        <w:numPr>
          <w:ilvl w:val="0"/>
          <w:numId w:val="509"/>
        </w:numPr>
        <w:rPr>
          <w:rFonts w:ascii="Arial" w:cs="Arial" w:eastAsia="Arial" w:hAnsi="Arial"/>
          <w:sz w:val="14"/>
          <w:szCs w:val="14"/>
          <w:color w:val="auto"/>
        </w:rPr>
      </w:pPr>
      <w:r>
        <w:rPr>
          <w:rFonts w:ascii="Arial" w:cs="Arial" w:eastAsia="Arial" w:hAnsi="Arial"/>
          <w:sz w:val="14"/>
          <w:szCs w:val="14"/>
          <w:color w:val="auto"/>
        </w:rPr>
        <w:t xml:space="preserve">Neither Party shall be required to give general discovery of documents, but may be required to produce documents or testimony which are relevant or considered relevant by the arbitrators to the dispute. It is the objective and intent of the Parties that any arbitration proceeding be conducted in such a manner that a decision will be rendered by the arbitrators </w:t>
      </w:r>
      <w:r>
        <w:rPr>
          <w:rFonts w:ascii="Arial" w:cs="Arial" w:eastAsia="Arial" w:hAnsi="Arial"/>
          <w:sz w:val="14"/>
          <w:szCs w:val="14"/>
          <w:b w:val="1"/>
          <w:bCs w:val="1"/>
          <w:color w:val="auto"/>
        </w:rPr>
        <w:t>***</w:t>
      </w:r>
      <w:r>
        <w:rPr>
          <w:rFonts w:ascii="Arial" w:cs="Arial" w:eastAsia="Arial" w:hAnsi="Arial"/>
          <w:sz w:val="14"/>
          <w:szCs w:val="14"/>
          <w:color w:val="auto"/>
        </w:rPr>
        <w:t>, and the Parties and the panel selected in the manner provided above will adopt rules and procedures intended to implement such objective and intent.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54</w:t>
      </w:r>
    </w:p>
    <w:p>
      <w:pPr>
        <w:spacing w:after="0" w:line="12" w:lineRule="exact"/>
        <w:rPr>
          <w:sz w:val="20"/>
          <w:szCs w:val="20"/>
          <w:color w:val="auto"/>
        </w:rPr>
      </w:pPr>
    </w:p>
    <w:p>
      <w:pPr>
        <w:ind w:left="3840" w:right="2620" w:hanging="1135"/>
        <w:spacing w:after="0" w:line="341" w:lineRule="auto"/>
        <w:tabs>
          <w:tab w:leader="none" w:pos="2944" w:val="left"/>
        </w:tabs>
        <w:numPr>
          <w:ilvl w:val="0"/>
          <w:numId w:val="51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20" w:top="246" w:right="299" w:bottom="1440" w:gutter="0" w:footer="0" w:header="0"/>
        </w:sectPr>
      </w:pPr>
    </w:p>
    <w:bookmarkStart w:id="510" w:name="page511"/>
    <w:bookmarkEnd w:id="510"/>
    <w:p>
      <w:pPr>
        <w:ind w:firstLine="1493"/>
        <w:spacing w:after="0" w:line="321" w:lineRule="auto"/>
        <w:tabs>
          <w:tab w:leader="none" w:pos="1682" w:val="left"/>
        </w:tabs>
        <w:numPr>
          <w:ilvl w:val="0"/>
          <w:numId w:val="5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Except to the extent necessary to confirm or vacate an award or as may be required by law (including applicable securities laws or the rules of any stock exchange on which a Party’s securities may then be listed), neither a Party nor an arbitrator may disclose the existence, content, or results of arbitration without the prior written consent of both Parties. In no event shall arbitration be initiated after the date when commencement of a legal or equitable proceeding based on the dispute, controversy or claim would be barred by the applicable </w:t>
      </w:r>
      <w:r>
        <w:rPr>
          <w:rFonts w:ascii="Arial" w:cs="Arial" w:eastAsia="Arial" w:hAnsi="Arial"/>
          <w:sz w:val="12"/>
          <w:szCs w:val="12"/>
          <w:b w:val="1"/>
          <w:bCs w:val="1"/>
          <w:color w:val="auto"/>
        </w:rPr>
        <w:t>***</w:t>
      </w:r>
      <w:r>
        <w:rPr>
          <w:rFonts w:ascii="Arial" w:cs="Arial" w:eastAsia="Arial" w:hAnsi="Arial"/>
          <w:sz w:val="12"/>
          <w:szCs w:val="12"/>
          <w:color w:val="auto"/>
        </w:rPr>
        <w:t xml:space="preserve"> statute of limitations.</w:t>
      </w:r>
    </w:p>
    <w:p>
      <w:pPr>
        <w:spacing w:after="0" w:line="73" w:lineRule="exact"/>
        <w:rPr>
          <w:rFonts w:ascii="Arial" w:cs="Arial" w:eastAsia="Arial" w:hAnsi="Arial"/>
          <w:sz w:val="12"/>
          <w:szCs w:val="12"/>
          <w:color w:val="auto"/>
        </w:rPr>
      </w:pPr>
    </w:p>
    <w:p>
      <w:pPr>
        <w:ind w:left="1680" w:hanging="187"/>
        <w:spacing w:after="0"/>
        <w:tabs>
          <w:tab w:leader="none" w:pos="168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The Parties agree that any payments made pursuant to this Agreement pending resolution of the dispute shall be refunded or credited if an arbitrator or court determines that such</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payments are not due.</w:t>
      </w:r>
    </w:p>
    <w:p>
      <w:pPr>
        <w:spacing w:after="0" w:line="12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As used in this Section, the term “</w:t>
      </w:r>
      <w:r>
        <w:rPr>
          <w:rFonts w:ascii="Arial" w:cs="Arial" w:eastAsia="Arial" w:hAnsi="Arial"/>
          <w:sz w:val="14"/>
          <w:szCs w:val="14"/>
          <w:u w:val="single" w:color="auto"/>
          <w:color w:val="auto"/>
        </w:rPr>
        <w:t>Excluded Claim</w:t>
      </w:r>
      <w:r>
        <w:rPr>
          <w:rFonts w:ascii="Arial" w:cs="Arial" w:eastAsia="Arial" w:hAnsi="Arial"/>
          <w:sz w:val="14"/>
          <w:szCs w:val="14"/>
          <w:color w:val="auto"/>
        </w:rPr>
        <w:t>” shall mean a Dispute that concerns (a) the validity or infringement of a patent, trademark or copyright; or (b) any antitrust, anti-monopoly or competition law or regulation, whether or not statutory.</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Jury Waiver</w:t>
      </w:r>
      <w:r>
        <w:rPr>
          <w:rFonts w:ascii="Arial" w:cs="Arial" w:eastAsia="Arial" w:hAnsi="Arial"/>
          <w:sz w:val="14"/>
          <w:szCs w:val="14"/>
          <w:color w:val="auto"/>
        </w:rPr>
        <w:t>. Each of the Parties hereto irrevocably und unconditionally waives trial by jury in any legal action or proceeding relating to this Agreement.</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XII</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MISCELLANEOUS</w:t>
      </w:r>
    </w:p>
    <w:p>
      <w:pPr>
        <w:spacing w:after="0" w:line="132" w:lineRule="exact"/>
        <w:rPr>
          <w:sz w:val="20"/>
          <w:szCs w:val="20"/>
          <w:color w:val="auto"/>
        </w:rPr>
      </w:pPr>
    </w:p>
    <w:p>
      <w:pPr>
        <w:ind w:right="280" w:firstLine="917"/>
        <w:spacing w:after="0" w:line="270"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Governing Law</w:t>
      </w:r>
      <w:r>
        <w:rPr>
          <w:rFonts w:ascii="Arial" w:cs="Arial" w:eastAsia="Arial" w:hAnsi="Arial"/>
          <w:sz w:val="14"/>
          <w:szCs w:val="14"/>
          <w:color w:val="auto"/>
        </w:rPr>
        <w:t xml:space="preserve">. This Agreement shall be governed by and construed in accordance with the laws of the </w:t>
      </w:r>
      <w:r>
        <w:rPr>
          <w:rFonts w:ascii="Arial" w:cs="Arial" w:eastAsia="Arial" w:hAnsi="Arial"/>
          <w:sz w:val="14"/>
          <w:szCs w:val="14"/>
          <w:b w:val="1"/>
          <w:bCs w:val="1"/>
          <w:color w:val="auto"/>
        </w:rPr>
        <w:t>***</w:t>
      </w:r>
      <w:r>
        <w:rPr>
          <w:rFonts w:ascii="Arial" w:cs="Arial" w:eastAsia="Arial" w:hAnsi="Arial"/>
          <w:sz w:val="14"/>
          <w:szCs w:val="14"/>
          <w:color w:val="auto"/>
        </w:rPr>
        <w:t>, other than any principle of conflict or choice of laws that would cause the application of the laws of any other jurisdiction.</w:t>
      </w:r>
    </w:p>
    <w:p>
      <w:pPr>
        <w:spacing w:after="0" w:line="99" w:lineRule="exact"/>
        <w:rPr>
          <w:sz w:val="20"/>
          <w:szCs w:val="20"/>
          <w:color w:val="auto"/>
        </w:rPr>
      </w:pPr>
    </w:p>
    <w:p>
      <w:pPr>
        <w:ind w:firstLine="917"/>
        <w:spacing w:after="0" w:line="321" w:lineRule="auto"/>
        <w:rPr>
          <w:sz w:val="20"/>
          <w:szCs w:val="20"/>
          <w:color w:val="auto"/>
        </w:rPr>
      </w:pPr>
      <w:r>
        <w:rPr>
          <w:rFonts w:ascii="Arial" w:cs="Arial" w:eastAsia="Arial" w:hAnsi="Arial"/>
          <w:sz w:val="12"/>
          <w:szCs w:val="12"/>
          <w:color w:val="auto"/>
        </w:rPr>
        <w:t xml:space="preserve">12.2 </w:t>
      </w:r>
      <w:r>
        <w:rPr>
          <w:rFonts w:ascii="Arial" w:cs="Arial" w:eastAsia="Arial" w:hAnsi="Arial"/>
          <w:sz w:val="12"/>
          <w:szCs w:val="12"/>
          <w:u w:val="single" w:color="auto"/>
          <w:color w:val="auto"/>
        </w:rPr>
        <w:t>Waiver</w:t>
      </w:r>
      <w:r>
        <w:rPr>
          <w:rFonts w:ascii="Arial" w:cs="Arial" w:eastAsia="Arial" w:hAnsi="Arial"/>
          <w:sz w:val="12"/>
          <w:szCs w:val="12"/>
          <w:color w:val="auto"/>
        </w:rPr>
        <w:t>. Waiver by a Party of a breach hereunder by the other Party shall not be construed as a waiver of any succeeding breach of the same or any other provision. No delay or omission by a Party to exercise or avail itself of any right, power or privilege that it has or may have hereunder shall operate as a waiver of any right, power or privilege by such Party. No waiver shall be effective unless made in writing with specific reference to the relevant provision(s) of this Agreement and signed by a duly authorized representative of the Party granting the waiver.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12.3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instructions and other communications hereunder or in connection herewith shall be in writing, shall be sent to the address specified in this Section 12.3 and shall be:</w:t>
      </w:r>
    </w:p>
    <w:p>
      <w:pPr>
        <w:spacing w:after="0" w:line="35" w:lineRule="exact"/>
        <w:rPr>
          <w:sz w:val="20"/>
          <w:szCs w:val="20"/>
          <w:color w:val="auto"/>
        </w:rPr>
      </w:pPr>
    </w:p>
    <w:p>
      <w:pPr>
        <w:ind w:firstLine="4"/>
        <w:spacing w:after="0" w:line="290" w:lineRule="auto"/>
        <w:tabs>
          <w:tab w:leader="none" w:pos="185" w:val="left"/>
        </w:tabs>
        <w:numPr>
          <w:ilvl w:val="0"/>
          <w:numId w:val="512"/>
        </w:numPr>
        <w:rPr>
          <w:rFonts w:ascii="Arial" w:cs="Arial" w:eastAsia="Arial" w:hAnsi="Arial"/>
          <w:sz w:val="12"/>
          <w:szCs w:val="12"/>
          <w:color w:val="auto"/>
        </w:rPr>
      </w:pPr>
      <w:r>
        <w:rPr>
          <w:rFonts w:ascii="Arial" w:cs="Arial" w:eastAsia="Arial" w:hAnsi="Arial"/>
          <w:sz w:val="12"/>
          <w:szCs w:val="12"/>
          <w:color w:val="auto"/>
        </w:rPr>
        <w:t xml:space="preserve">delivered personally; (b) sent by registered or certified mail, return receipt requested, postage prepaid; or (c) sent via a reputable nationwide overnight courier service. Any such notice, instruction or communication shall be deemed to have been delivered upon receipt if delivered by hand or when transmitted with electronic confirmation of receipt, if transmitted by facsimile (if such transmission is on a Business Day; otherwise, on the next Business Day following such transmission),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 original document is sent via an internationally recognized overnight delivery service (receipt requested), three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(3) Business Days after it is sent by registered or certified mail, return receipt requested, postage prepaid, one (1) Business Day after it is sent via a reputable nationwide overnight courier service.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1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6" w:right="259" w:bottom="1440" w:gutter="0" w:footer="0" w:header="0"/>
        </w:sectPr>
      </w:pPr>
    </w:p>
    <w:bookmarkStart w:id="511" w:name="page512"/>
    <w:bookmarkEnd w:id="511"/>
    <w:p>
      <w:pPr>
        <w:ind w:left="580"/>
        <w:spacing w:after="0"/>
        <w:rPr>
          <w:sz w:val="20"/>
          <w:szCs w:val="20"/>
          <w:color w:val="auto"/>
        </w:rPr>
      </w:pPr>
      <w:r>
        <w:rPr>
          <w:rFonts w:ascii="Arial" w:cs="Arial" w:eastAsia="Arial" w:hAnsi="Arial"/>
          <w:sz w:val="14"/>
          <w:szCs w:val="14"/>
          <w:color w:val="auto"/>
        </w:rPr>
        <w:t>If to</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MacroGenics,</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MacroGenics,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-169545</wp:posOffset>
            </wp:positionV>
            <wp:extent cx="7316470" cy="323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1500 East Gude Drive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Rockville, MD 20850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Chief Executive Officer</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Facsimile: ***</w:t>
      </w:r>
    </w:p>
    <w:p>
      <w:pPr>
        <w:spacing w:after="0" w:line="94" w:lineRule="exact"/>
        <w:rPr>
          <w:sz w:val="20"/>
          <w:szCs w:val="20"/>
          <w:color w:val="auto"/>
        </w:rPr>
      </w:pPr>
    </w:p>
    <w:p>
      <w:pPr>
        <w:sectPr>
          <w:pgSz w:w="11900" w:h="16838" w:orient="portrait"/>
          <w:cols w:equalWidth="0" w:num="2">
            <w:col w:w="1340" w:space="480"/>
            <w:col w:w="9640"/>
          </w:cols>
          <w:pgMar w:left="220" w:top="246" w:right="219" w:bottom="1440" w:gutter="0" w:footer="0" w:header="0"/>
        </w:sectPr>
      </w:pPr>
    </w:p>
    <w:p>
      <w:pPr>
        <w:ind w:left="580"/>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Wilmer Cutler Pickering Hale and Dorr LLP</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399 Park Avenue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94" w:lineRule="exact"/>
        <w:rPr>
          <w:sz w:val="20"/>
          <w:szCs w:val="20"/>
          <w:color w:val="auto"/>
        </w:rPr>
      </w:pPr>
    </w:p>
    <w:p>
      <w:pPr>
        <w:sectPr>
          <w:pgSz w:w="11900" w:h="16838" w:orient="portrait"/>
          <w:cols w:equalWidth="0" w:num="2">
            <w:col w:w="1380" w:space="440"/>
            <w:col w:w="9640"/>
          </w:cols>
          <w:pgMar w:left="220" w:top="246" w:right="219" w:bottom="1440" w:gutter="0" w:footer="0" w:header="0"/>
          <w:type w:val="continuous"/>
        </w:sectPr>
      </w:pPr>
    </w:p>
    <w:p>
      <w:pPr>
        <w:jc w:val="center"/>
        <w:ind w:left="580"/>
        <w:spacing w:after="0"/>
        <w:rPr>
          <w:sz w:val="20"/>
          <w:szCs w:val="20"/>
          <w:color w:val="auto"/>
        </w:rPr>
      </w:pPr>
      <w:r>
        <w:rPr>
          <w:rFonts w:ascii="Arial" w:cs="Arial" w:eastAsia="Arial" w:hAnsi="Arial"/>
          <w:sz w:val="12"/>
          <w:szCs w:val="12"/>
          <w:color w:val="auto"/>
        </w:rPr>
        <w:t>If to BI,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Boehringer Ingelheim International GmbH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Binger Strasse 173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55216 Ingelheim am Rhein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Attention: ***</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94" w:lineRule="exact"/>
        <w:rPr>
          <w:sz w:val="20"/>
          <w:szCs w:val="20"/>
          <w:color w:val="auto"/>
        </w:rPr>
      </w:pPr>
    </w:p>
    <w:p>
      <w:pPr>
        <w:sectPr>
          <w:pgSz w:w="11900" w:h="16838" w:orient="portrait"/>
          <w:cols w:equalWidth="0" w:num="2">
            <w:col w:w="1180" w:space="640"/>
            <w:col w:w="9640"/>
          </w:cols>
          <w:pgMar w:left="220" w:top="246" w:right="219" w:bottom="1440" w:gutter="0" w:footer="0" w:header="0"/>
          <w:type w:val="continuous"/>
        </w:sectPr>
      </w:pPr>
    </w:p>
    <w:p>
      <w:pPr>
        <w:ind w:left="580"/>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Boehringer Ingelheim International GmbH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Binger Strasse 173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55216 Ingelheim am RheinGermany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Facsimile: ***</w:t>
      </w:r>
    </w:p>
    <w:p>
      <w:pPr>
        <w:spacing w:after="0" w:line="136" w:lineRule="exact"/>
        <w:rPr>
          <w:sz w:val="20"/>
          <w:szCs w:val="20"/>
          <w:color w:val="auto"/>
        </w:rPr>
      </w:pPr>
    </w:p>
    <w:p>
      <w:pPr>
        <w:sectPr>
          <w:pgSz w:w="11900" w:h="16838" w:orient="portrait"/>
          <w:cols w:equalWidth="0" w:num="2">
            <w:col w:w="1380" w:space="440"/>
            <w:col w:w="9640"/>
          </w:cols>
          <w:pgMar w:left="220" w:top="246" w:right="219" w:bottom="1440" w:gutter="0" w:footer="0" w:header="0"/>
          <w:type w:val="continuous"/>
        </w:sectPr>
      </w:pPr>
    </w:p>
    <w:p>
      <w:pPr>
        <w:spacing w:after="0"/>
        <w:rPr>
          <w:sz w:val="20"/>
          <w:szCs w:val="20"/>
          <w:color w:val="auto"/>
        </w:rPr>
      </w:pPr>
      <w:r>
        <w:rPr>
          <w:rFonts w:ascii="Arial" w:cs="Arial" w:eastAsia="Arial" w:hAnsi="Arial"/>
          <w:sz w:val="14"/>
          <w:szCs w:val="14"/>
          <w:color w:val="auto"/>
        </w:rPr>
        <w:t>or to such other address as the Party to whom notice is to be given may have furnished to the other Party in writing in accordance herewith.</w:t>
      </w:r>
    </w:p>
    <w:p>
      <w:pPr>
        <w:spacing w:after="0" w:line="132" w:lineRule="exact"/>
        <w:rPr>
          <w:sz w:val="20"/>
          <w:szCs w:val="20"/>
          <w:color w:val="auto"/>
        </w:rPr>
      </w:pPr>
    </w:p>
    <w:p>
      <w:pPr>
        <w:jc w:val="both"/>
        <w:ind w:right="100" w:firstLine="917"/>
        <w:spacing w:after="0" w:line="255" w:lineRule="auto"/>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u w:val="single" w:color="auto"/>
          <w:color w:val="auto"/>
        </w:rPr>
        <w:t>Entire Agreement; Amendment</w:t>
      </w:r>
      <w:r>
        <w:rPr>
          <w:rFonts w:ascii="Arial" w:cs="Arial" w:eastAsia="Arial" w:hAnsi="Arial"/>
          <w:sz w:val="14"/>
          <w:szCs w:val="14"/>
          <w:color w:val="auto"/>
        </w:rPr>
        <w:t>. This Agreement (including any Exhibits and Schedules) contains the complete understanding of the Parties with respect to the Development, manufacture and commercialization of Products and supersedes all prior understandings and writings relating to such subject matter. In particular, it supersedes and replaces the Prior Confidentiality Agreement and any and all term sheets relating to the transactions contemplated by this Agreement and exchanged between the Parties prior to the Effective Date. No amendment, change or addition to this Agreement will be effective or binding on either Party unless reduced to writing and duly executed on behalf of both Parties.</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12.5 </w:t>
      </w:r>
      <w:r>
        <w:rPr>
          <w:rFonts w:ascii="Arial" w:cs="Arial" w:eastAsia="Arial" w:hAnsi="Arial"/>
          <w:sz w:val="14"/>
          <w:szCs w:val="14"/>
          <w:u w:val="single" w:color="auto"/>
          <w:color w:val="auto"/>
        </w:rPr>
        <w:t>Headings</w:t>
      </w:r>
      <w:r>
        <w:rPr>
          <w:rFonts w:ascii="Arial" w:cs="Arial" w:eastAsia="Arial" w:hAnsi="Arial"/>
          <w:sz w:val="14"/>
          <w:szCs w:val="14"/>
          <w:color w:val="auto"/>
        </w:rPr>
        <w:t>. Headings in this Agreement are for convenience of reference only and shall not be considered in construing this Agreement.</w:t>
      </w:r>
    </w:p>
    <w:p>
      <w:pPr>
        <w:spacing w:after="0" w:line="132"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 xml:space="preserve">12.6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provision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1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type w:val="continuous"/>
        </w:sectPr>
      </w:pPr>
    </w:p>
    <w:bookmarkStart w:id="512" w:name="page513"/>
    <w:bookmarkEnd w:id="512"/>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been contained in this Agreement, and there shall be deemed substituted therefor such provision as will most nearly carry out the intent of the Parties as expressed in this Agreement to the fullest extent permitted by applicable law.</w:t>
      </w:r>
    </w:p>
    <w:p>
      <w:pPr>
        <w:spacing w:after="0" w:line="101" w:lineRule="exact"/>
        <w:rPr>
          <w:sz w:val="20"/>
          <w:szCs w:val="20"/>
          <w:color w:val="auto"/>
        </w:rPr>
      </w:pPr>
    </w:p>
    <w:p>
      <w:pPr>
        <w:ind w:right="20" w:firstLine="917"/>
        <w:spacing w:after="0" w:line="302" w:lineRule="auto"/>
        <w:rPr>
          <w:sz w:val="20"/>
          <w:szCs w:val="20"/>
          <w:color w:val="auto"/>
        </w:rPr>
      </w:pPr>
      <w:r>
        <w:rPr>
          <w:rFonts w:ascii="Arial" w:cs="Arial" w:eastAsia="Arial" w:hAnsi="Arial"/>
          <w:sz w:val="12"/>
          <w:szCs w:val="12"/>
          <w:color w:val="auto"/>
        </w:rPr>
        <w:t xml:space="preserve">12.7 </w:t>
      </w:r>
      <w:r>
        <w:rPr>
          <w:rFonts w:ascii="Arial" w:cs="Arial" w:eastAsia="Arial" w:hAnsi="Arial"/>
          <w:sz w:val="12"/>
          <w:szCs w:val="12"/>
          <w:u w:val="single" w:color="auto"/>
          <w:color w:val="auto"/>
        </w:rPr>
        <w:t>Assignment</w:t>
      </w:r>
      <w:r>
        <w:rPr>
          <w:rFonts w:ascii="Arial" w:cs="Arial" w:eastAsia="Arial" w:hAnsi="Arial"/>
          <w:sz w:val="12"/>
          <w:szCs w:val="12"/>
          <w:color w:val="auto"/>
        </w:rPr>
        <w:t xml:space="preserve">. Neither this Agreement nor any right or obligation hereunder may be assigned or otherwise transferred by any Party without the consent of the other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any Party may, without such consent, assign this Agreement, in whole or in part: (a) to any of its respective Affiliates;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assigning Party shall remain jointly and severally liable with such Affiliate in respect of all obligations so assigned, or (b) to any successor in interest by way of merger, acquisition or sale of all or substantially all of its assets to which this Agreement relates (an “</w:t>
      </w:r>
      <w:r>
        <w:rPr>
          <w:rFonts w:ascii="Arial" w:cs="Arial" w:eastAsia="Arial" w:hAnsi="Arial"/>
          <w:sz w:val="12"/>
          <w:szCs w:val="12"/>
          <w:u w:val="single" w:color="auto"/>
          <w:color w:val="auto"/>
        </w:rPr>
        <w:t>M&amp;A Event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successor agrees in writing to be bound by the terms of this Agreement as if it were the assigning party. Any assignment not in accordance with this Section 12.7 shall be void. Each Party agrees that, notwithstanding any provisions of this Agreement to the contrary, if this Agreement is assigned by a Party in connection with an M&amp;A Event, such assignment shall not provide the non-assigning Party with rights or access to any intellectual property or technology of the acquirer of the assigning Party. If BI assigns its rights and obligations hereunder to an Affiliate or Third Party ***</w:t>
      </w:r>
    </w:p>
    <w:p>
      <w:pPr>
        <w:spacing w:after="0" w:line="86" w:lineRule="exact"/>
        <w:rPr>
          <w:sz w:val="20"/>
          <w:szCs w:val="20"/>
          <w:color w:val="auto"/>
        </w:rPr>
      </w:pPr>
    </w:p>
    <w:p>
      <w:pPr>
        <w:ind w:right="440" w:firstLine="917"/>
        <w:spacing w:after="0" w:line="351" w:lineRule="auto"/>
        <w:rPr>
          <w:sz w:val="20"/>
          <w:szCs w:val="20"/>
          <w:color w:val="auto"/>
        </w:rPr>
      </w:pPr>
      <w:r>
        <w:rPr>
          <w:rFonts w:ascii="Arial" w:cs="Arial" w:eastAsia="Arial" w:hAnsi="Arial"/>
          <w:sz w:val="12"/>
          <w:szCs w:val="12"/>
          <w:color w:val="auto"/>
        </w:rPr>
        <w:t xml:space="preserve">12.8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any number of counterparts, each of which shall be deemed an original but all of which together shall constitute one and the same instrument. Signatures provided by facsimile transmission or in Adobe™ Portable Document Format (PDF) sent by electronic mail shall be deemed to be original signatures.</w:t>
      </w:r>
    </w:p>
    <w:p>
      <w:pPr>
        <w:spacing w:after="0" w:line="56" w:lineRule="exact"/>
        <w:rPr>
          <w:sz w:val="20"/>
          <w:szCs w:val="20"/>
          <w:color w:val="auto"/>
        </w:rPr>
      </w:pPr>
    </w:p>
    <w:p>
      <w:pPr>
        <w:ind w:right="60" w:firstLine="917"/>
        <w:spacing w:after="0" w:line="305" w:lineRule="auto"/>
        <w:rPr>
          <w:sz w:val="20"/>
          <w:szCs w:val="20"/>
          <w:color w:val="auto"/>
        </w:rPr>
      </w:pPr>
      <w:r>
        <w:rPr>
          <w:rFonts w:ascii="Arial" w:cs="Arial" w:eastAsia="Arial" w:hAnsi="Arial"/>
          <w:sz w:val="12"/>
          <w:szCs w:val="12"/>
          <w:color w:val="auto"/>
        </w:rPr>
        <w:t xml:space="preserve">12.9 </w:t>
      </w:r>
      <w:r>
        <w:rPr>
          <w:rFonts w:ascii="Arial" w:cs="Arial" w:eastAsia="Arial" w:hAnsi="Arial"/>
          <w:sz w:val="12"/>
          <w:szCs w:val="12"/>
          <w:u w:val="single" w:color="auto"/>
          <w:color w:val="auto"/>
        </w:rPr>
        <w:t>Force Majeure</w:t>
      </w:r>
      <w:r>
        <w:rPr>
          <w:rFonts w:ascii="Arial" w:cs="Arial" w:eastAsia="Arial" w:hAnsi="Arial"/>
          <w:sz w:val="12"/>
          <w:szCs w:val="12"/>
          <w:color w:val="auto"/>
        </w:rPr>
        <w:t xml:space="preserve">. No Party shall be liable for failure of or delay in performing obligations set forth in this Agreement, and no Party shall be deemed in breach of its obligations, if such failure or delay is due to a natural disaster, explosion, fire, flood, tornadoes, thunderstorms, earthquake, war, terrorism, riots, embargo, losses or shortages of power, labor stoppage, substance or material shortages, events caused by reason of laws of any Governmental Authority, events caused by acts or omissions of a Third Party, or any other cause reasonably beyond the control of such Party, if the Party affected gives prompt notice of any such cause to the other Party. The Party giving such notice shall thereupon be excused from such of its obligations hereunder as it is thereby disabled from performing for so long as it is so disabled,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such affected Party commences and continues to use its Commercially Reasonable Efforts to cure such cause.</w:t>
      </w:r>
    </w:p>
    <w:p>
      <w:pPr>
        <w:spacing w:after="0" w:line="84"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 xml:space="preserve">12.10 </w:t>
      </w:r>
      <w:r>
        <w:rPr>
          <w:rFonts w:ascii="Arial" w:cs="Arial" w:eastAsia="Arial" w:hAnsi="Arial"/>
          <w:sz w:val="14"/>
          <w:szCs w:val="14"/>
          <w:u w:val="single" w:color="auto"/>
          <w:color w:val="auto"/>
        </w:rPr>
        <w:t>Third-Party Beneficiaries</w:t>
      </w:r>
      <w:r>
        <w:rPr>
          <w:rFonts w:ascii="Arial" w:cs="Arial" w:eastAsia="Arial" w:hAnsi="Arial"/>
          <w:sz w:val="14"/>
          <w:szCs w:val="14"/>
          <w:color w:val="auto"/>
        </w:rPr>
        <w:t>. None of the provisions of this Agreement shall be for the benefit of or enforceable by any Third Party other than a MacroGenics Indemnitee under Section 9.4 or BI Indemnitee under Section 9.5. No such Third Party shall obtain any right under any provision of this Agreement or shall by reason of any such provision make any claim in respect of any debt, liability or obligation (or otherwise) against either Party.</w:t>
      </w:r>
    </w:p>
    <w:p>
      <w:pPr>
        <w:spacing w:after="0" w:line="108" w:lineRule="exact"/>
        <w:rPr>
          <w:sz w:val="20"/>
          <w:szCs w:val="20"/>
          <w:color w:val="auto"/>
        </w:rPr>
      </w:pPr>
    </w:p>
    <w:p>
      <w:pPr>
        <w:ind w:firstLine="917"/>
        <w:spacing w:after="0" w:line="351" w:lineRule="auto"/>
        <w:rPr>
          <w:sz w:val="20"/>
          <w:szCs w:val="20"/>
          <w:color w:val="auto"/>
        </w:rPr>
      </w:pPr>
      <w:r>
        <w:rPr>
          <w:rFonts w:ascii="Arial" w:cs="Arial" w:eastAsia="Arial" w:hAnsi="Arial"/>
          <w:sz w:val="12"/>
          <w:szCs w:val="12"/>
          <w:color w:val="auto"/>
        </w:rPr>
        <w:t xml:space="preserve">12.11 </w:t>
      </w:r>
      <w:r>
        <w:rPr>
          <w:rFonts w:ascii="Arial" w:cs="Arial" w:eastAsia="Arial" w:hAnsi="Arial"/>
          <w:sz w:val="12"/>
          <w:szCs w:val="12"/>
          <w:u w:val="single" w:color="auto"/>
          <w:color w:val="auto"/>
        </w:rPr>
        <w:t>Relationship of the Parties</w:t>
      </w:r>
      <w:r>
        <w:rPr>
          <w:rFonts w:ascii="Arial" w:cs="Arial" w:eastAsia="Arial" w:hAnsi="Arial"/>
          <w:sz w:val="12"/>
          <w:szCs w:val="12"/>
          <w:color w:val="auto"/>
        </w:rPr>
        <w:t>. Each Party shall bear its own costs incurred in the performance of its obligations hereunder without charge or expense to the other, except as expressly provided in this Agreement. Neither Party shall have any responsibility for the hiring, termination or compensation of the other Party’s employees or for any employee compensation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1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13" w:name="page514"/>
    <w:bookmarkEnd w:id="51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or benefits of the other Party’s employees. No employee or representative of a Party shall have any authority to bind or obligate the other Party for any sum or in any manner whatsoever, or to create or impose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any contractual or other liability on the other Party without said other Party’s approval. For all purposes, and notwithstanding any other provision of this Agreement to the contrary, the legal relationship under</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this Agreement of each Party to the other Party shall be that of independent contractor. Nothing in this Agreement shall be construed to establish a relationship of partners or joint venturers between the Parties.</w:t>
      </w:r>
    </w:p>
    <w:p>
      <w:pPr>
        <w:spacing w:after="0" w:line="149" w:lineRule="exact"/>
        <w:rPr>
          <w:sz w:val="20"/>
          <w:szCs w:val="20"/>
          <w:color w:val="auto"/>
        </w:rPr>
      </w:pPr>
    </w:p>
    <w:p>
      <w:pPr>
        <w:ind w:firstLine="917"/>
        <w:spacing w:after="0" w:line="255" w:lineRule="auto"/>
        <w:rPr>
          <w:sz w:val="20"/>
          <w:szCs w:val="20"/>
          <w:color w:val="auto"/>
        </w:rPr>
      </w:pPr>
      <w:r>
        <w:rPr>
          <w:rFonts w:ascii="Arial" w:cs="Arial" w:eastAsia="Arial" w:hAnsi="Arial"/>
          <w:sz w:val="14"/>
          <w:szCs w:val="14"/>
          <w:color w:val="auto"/>
        </w:rPr>
        <w:t xml:space="preserve">12.12 </w:t>
      </w:r>
      <w:r>
        <w:rPr>
          <w:rFonts w:ascii="Arial" w:cs="Arial" w:eastAsia="Arial" w:hAnsi="Arial"/>
          <w:sz w:val="14"/>
          <w:szCs w:val="14"/>
          <w:u w:val="single" w:color="auto"/>
          <w:color w:val="auto"/>
        </w:rPr>
        <w:t>Performance by Affiliates</w:t>
      </w:r>
      <w:r>
        <w:rPr>
          <w:rFonts w:ascii="Arial" w:cs="Arial" w:eastAsia="Arial" w:hAnsi="Arial"/>
          <w:sz w:val="14"/>
          <w:szCs w:val="14"/>
          <w:color w:val="auto"/>
        </w:rPr>
        <w:t>. To the extent that this Agreement imposes obligations on Affiliates of a Party, such Party agrees to cause its Affiliates to perform such obligations and shall guarantee performance of this Agreement by its Affiliates. If any disagreement arises out of the performance of this Agreement by an Affiliate of a Party, or the alleged failure of an Affiliate or the alleged failure of an Affiliate to comply with the conditions and obligations of this Agreement, the Party seeking to resolve such dispute shall have the right do so directly with the other Party, without any obligation to first pursue an action against, or recovery from, the Affiliate which is alleged to have caused a breach of this Agreement.</w:t>
      </w:r>
    </w:p>
    <w:p>
      <w:pPr>
        <w:spacing w:after="0" w:line="110" w:lineRule="exact"/>
        <w:rPr>
          <w:sz w:val="20"/>
          <w:szCs w:val="20"/>
          <w:color w:val="auto"/>
        </w:rPr>
      </w:pPr>
    </w:p>
    <w:p>
      <w:pPr>
        <w:ind w:firstLine="917"/>
        <w:spacing w:after="0" w:line="299" w:lineRule="auto"/>
        <w:rPr>
          <w:sz w:val="20"/>
          <w:szCs w:val="20"/>
          <w:color w:val="auto"/>
        </w:rPr>
      </w:pPr>
      <w:r>
        <w:rPr>
          <w:rFonts w:ascii="Arial" w:cs="Arial" w:eastAsia="Arial" w:hAnsi="Arial"/>
          <w:sz w:val="12"/>
          <w:szCs w:val="12"/>
          <w:color w:val="auto"/>
        </w:rPr>
        <w:t xml:space="preserve">12.13 </w:t>
      </w:r>
      <w:r>
        <w:rPr>
          <w:rFonts w:ascii="Arial" w:cs="Arial" w:eastAsia="Arial" w:hAnsi="Arial"/>
          <w:sz w:val="12"/>
          <w:szCs w:val="12"/>
          <w:u w:val="single" w:color="auto"/>
          <w:color w:val="auto"/>
        </w:rPr>
        <w:t>Construction</w:t>
      </w:r>
      <w:r>
        <w:rPr>
          <w:rFonts w:ascii="Arial" w:cs="Arial" w:eastAsia="Arial" w:hAnsi="Arial"/>
          <w:sz w:val="12"/>
          <w:szCs w:val="12"/>
          <w:color w:val="auto"/>
        </w:rPr>
        <w:t>. Each Party acknowledges that it has been advised by counsel during the course of negotiation of this Agreement, and, therefore, that this Agreement shall be interpreted without regard to any presumption or rule requiring construction against the Party causing this Agreement to be drafted. Any reference in this Agreement to an Article, Section, subsection, paragraph, clause, Schedule or Exhibit shall be deemed to be a reference to any Article, Section, subsection, paragraph, clause, Schedule or Exhibit, of or to, as the case may be, this Agreement. Except where the context otherwise requires, (a) wherever used, the use of any gender will be applicable to all genders; (b) the word “or” is used in the inclusive sense (and/or); (c)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(d) any reference to any Laws refers to such Laws as from time to time enacted, repealed or amended; (e) the words “herein”, “hereof” and hereunder”, and words of similar import, refer to this Agreement in its entirety and not to any particular provision hereof; and (f) the words “include”, “includes” and “including” shall be deemed to be followed by the phrase “but not limited to”, “without limitation” or words of similar import.</w:t>
      </w:r>
    </w:p>
    <w:p>
      <w:pPr>
        <w:spacing w:after="0" w:line="87" w:lineRule="exact"/>
        <w:rPr>
          <w:sz w:val="20"/>
          <w:szCs w:val="20"/>
          <w:color w:val="auto"/>
        </w:rPr>
      </w:pPr>
    </w:p>
    <w:p>
      <w:pPr>
        <w:jc w:val="center"/>
        <w:ind w:right="1400"/>
        <w:spacing w:after="0"/>
        <w:rPr>
          <w:sz w:val="20"/>
          <w:szCs w:val="20"/>
          <w:color w:val="auto"/>
        </w:rPr>
      </w:pPr>
      <w:r>
        <w:rPr>
          <w:rFonts w:ascii="Arial" w:cs="Arial" w:eastAsia="Arial" w:hAnsi="Arial"/>
          <w:sz w:val="14"/>
          <w:szCs w:val="14"/>
          <w:color w:val="auto"/>
        </w:rPr>
        <w:t xml:space="preserve">12.14 </w:t>
      </w:r>
      <w:r>
        <w:rPr>
          <w:rFonts w:ascii="Arial" w:cs="Arial" w:eastAsia="Arial" w:hAnsi="Arial"/>
          <w:sz w:val="14"/>
          <w:szCs w:val="14"/>
          <w:u w:val="single" w:color="auto"/>
          <w:color w:val="auto"/>
        </w:rPr>
        <w:t>Create Act</w:t>
      </w:r>
      <w:r>
        <w:rPr>
          <w:rFonts w:ascii="Arial" w:cs="Arial" w:eastAsia="Arial" w:hAnsi="Arial"/>
          <w:sz w:val="14"/>
          <w:szCs w:val="14"/>
          <w:color w:val="auto"/>
        </w:rPr>
        <w:t>. It is the intention of the Parties that this Agreement is a “joint research agreement” as that phrase is defined in 35 U.S.C. § 103(c)(3).</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1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14" w:name="page515"/>
    <w:bookmarkEnd w:id="514"/>
    <w:p>
      <w:pPr>
        <w:ind w:left="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IN WITNESS WHEREOF, </w:t>
      </w:r>
      <w:r>
        <w:rPr>
          <w:rFonts w:ascii="Arial" w:cs="Arial" w:eastAsia="Arial" w:hAnsi="Arial"/>
          <w:sz w:val="14"/>
          <w:szCs w:val="14"/>
          <w:color w:val="auto"/>
        </w:rPr>
        <w:t>the Parties have executed this Agreement as of the Effective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gridSpan w:val="4"/>
          </w:tcPr>
          <w:p>
            <w:pPr>
              <w:spacing w:after="0"/>
              <w:rPr>
                <w:sz w:val="20"/>
                <w:szCs w:val="20"/>
                <w:color w:val="auto"/>
              </w:rPr>
            </w:pPr>
            <w:r>
              <w:rPr>
                <w:rFonts w:ascii="Arial" w:cs="Arial" w:eastAsia="Arial" w:hAnsi="Arial"/>
                <w:sz w:val="14"/>
                <w:szCs w:val="14"/>
                <w:b w:val="1"/>
                <w:bCs w:val="1"/>
                <w:color w:val="auto"/>
              </w:rPr>
              <w:t>BOEHRINGER INGELHEIM INTERNATIONAL GMBH</w:t>
            </w:r>
          </w:p>
        </w:tc>
        <w:tc>
          <w:tcPr>
            <w:tcW w:w="6680" w:type="dxa"/>
            <w:vAlign w:val="bottom"/>
            <w:gridSpan w:val="2"/>
          </w:tcPr>
          <w:p>
            <w:pPr>
              <w:ind w:left="1820"/>
              <w:spacing w:after="0"/>
              <w:rPr>
                <w:sz w:val="20"/>
                <w:szCs w:val="20"/>
                <w:color w:val="auto"/>
              </w:rPr>
            </w:pPr>
            <w:r>
              <w:rPr>
                <w:rFonts w:ascii="Arial" w:cs="Arial" w:eastAsia="Arial" w:hAnsi="Arial"/>
                <w:sz w:val="14"/>
                <w:szCs w:val="14"/>
                <w:b w:val="1"/>
                <w:bCs w:val="1"/>
                <w:color w:val="auto"/>
              </w:rPr>
              <w:t>MACROGENICS, INC</w:t>
            </w:r>
          </w:p>
        </w:tc>
      </w:tr>
      <w:tr>
        <w:trPr>
          <w:trHeight w:val="334"/>
        </w:trPr>
        <w:tc>
          <w:tcPr>
            <w:tcW w:w="680" w:type="dxa"/>
            <w:vAlign w:val="bottom"/>
          </w:tcPr>
          <w:p>
            <w:pPr>
              <w:spacing w:after="0"/>
              <w:rPr>
                <w:sz w:val="20"/>
                <w:szCs w:val="20"/>
                <w:color w:val="auto"/>
              </w:rPr>
            </w:pPr>
            <w:r>
              <w:rPr>
                <w:rFonts w:ascii="Arial" w:cs="Arial" w:eastAsia="Arial" w:hAnsi="Arial"/>
                <w:sz w:val="14"/>
                <w:szCs w:val="14"/>
                <w:color w:val="auto"/>
              </w:rPr>
              <w:t>ppa.</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53"/>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4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 Dr. Klaus Wilgenbus</w:t>
            </w:r>
          </w:p>
        </w:tc>
        <w:tc>
          <w:tcPr>
            <w:tcW w:w="2560" w:type="dxa"/>
            <w:vAlign w:val="bottom"/>
          </w:tcPr>
          <w:p>
            <w:pPr>
              <w:ind w:left="1820"/>
              <w:spacing w:after="0"/>
              <w:rPr>
                <w:sz w:val="20"/>
                <w:szCs w:val="20"/>
                <w:color w:val="auto"/>
              </w:rPr>
            </w:pPr>
            <w:r>
              <w:rPr>
                <w:rFonts w:ascii="Arial" w:cs="Arial" w:eastAsia="Arial" w:hAnsi="Arial"/>
                <w:sz w:val="14"/>
                <w:szCs w:val="14"/>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Scott Koenig</w:t>
            </w:r>
          </w:p>
        </w:tc>
      </w:tr>
      <w:tr>
        <w:trPr>
          <w:trHeight w:val="252"/>
        </w:trPr>
        <w:tc>
          <w:tcPr>
            <w:tcW w:w="680" w:type="dxa"/>
            <w:vAlign w:val="bottom"/>
          </w:tcPr>
          <w:p>
            <w:pPr>
              <w:spacing w:after="0"/>
              <w:rPr>
                <w:sz w:val="20"/>
                <w:szCs w:val="20"/>
                <w:color w:val="auto"/>
              </w:rPr>
            </w:pPr>
            <w:r>
              <w:rPr>
                <w:rFonts w:ascii="Arial" w:cs="Arial" w:eastAsia="Arial" w:hAnsi="Arial"/>
                <w:sz w:val="14"/>
                <w:szCs w:val="14"/>
                <w:color w:val="auto"/>
              </w:rPr>
              <w:t>NAME:</w:t>
            </w:r>
          </w:p>
        </w:tc>
        <w:tc>
          <w:tcPr>
            <w:tcW w:w="4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Dr. Klaus Wilgenbus</w:t>
            </w:r>
          </w:p>
        </w:tc>
        <w:tc>
          <w:tcPr>
            <w:tcW w:w="2560" w:type="dxa"/>
            <w:vAlign w:val="bottom"/>
          </w:tcPr>
          <w:p>
            <w:pPr>
              <w:ind w:left="1820"/>
              <w:spacing w:after="0"/>
              <w:rPr>
                <w:sz w:val="20"/>
                <w:szCs w:val="20"/>
                <w:color w:val="auto"/>
              </w:rPr>
            </w:pPr>
            <w:r>
              <w:rPr>
                <w:rFonts w:ascii="Arial" w:cs="Arial" w:eastAsia="Arial" w:hAnsi="Arial"/>
                <w:sz w:val="14"/>
                <w:szCs w:val="14"/>
                <w:color w:val="auto"/>
              </w:rPr>
              <w:t>NAME:</w:t>
            </w:r>
          </w:p>
        </w:tc>
        <w:tc>
          <w:tcPr>
            <w:tcW w:w="4120" w:type="dxa"/>
            <w:vAlign w:val="bottom"/>
          </w:tcPr>
          <w:p>
            <w:pPr>
              <w:spacing w:after="0"/>
              <w:rPr>
                <w:sz w:val="20"/>
                <w:szCs w:val="20"/>
                <w:color w:val="auto"/>
              </w:rPr>
            </w:pPr>
            <w:r>
              <w:rPr>
                <w:rFonts w:ascii="Arial" w:cs="Arial" w:eastAsia="Arial" w:hAnsi="Arial"/>
                <w:sz w:val="14"/>
                <w:szCs w:val="14"/>
                <w:color w:val="auto"/>
              </w:rPr>
              <w:t>Scott Koenig</w:t>
            </w:r>
          </w:p>
        </w:tc>
      </w:tr>
      <w:tr>
        <w:trPr>
          <w:trHeight w:val="250"/>
        </w:trPr>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4100" w:type="dxa"/>
            <w:vAlign w:val="bottom"/>
            <w:gridSpan w:val="3"/>
          </w:tcPr>
          <w:p>
            <w:pPr>
              <w:spacing w:after="0"/>
              <w:rPr>
                <w:sz w:val="20"/>
                <w:szCs w:val="20"/>
                <w:color w:val="auto"/>
              </w:rPr>
            </w:pPr>
            <w:r>
              <w:rPr>
                <w:rFonts w:ascii="Arial" w:cs="Arial" w:eastAsia="Arial" w:hAnsi="Arial"/>
                <w:sz w:val="14"/>
                <w:szCs w:val="14"/>
                <w:color w:val="auto"/>
              </w:rPr>
              <w:t>AUTHORIZED SIGNATORY</w:t>
            </w:r>
          </w:p>
        </w:tc>
        <w:tc>
          <w:tcPr>
            <w:tcW w:w="2560" w:type="dxa"/>
            <w:vAlign w:val="bottom"/>
          </w:tcPr>
          <w:p>
            <w:pPr>
              <w:ind w:left="1820"/>
              <w:spacing w:after="0"/>
              <w:rPr>
                <w:sz w:val="20"/>
                <w:szCs w:val="20"/>
                <w:color w:val="auto"/>
              </w:rPr>
            </w:pPr>
            <w:r>
              <w:rPr>
                <w:rFonts w:ascii="Arial" w:cs="Arial" w:eastAsia="Arial" w:hAnsi="Arial"/>
                <w:sz w:val="14"/>
                <w:szCs w:val="14"/>
                <w:color w:val="auto"/>
              </w:rPr>
              <w:t>TITLE:</w:t>
            </w:r>
          </w:p>
        </w:tc>
        <w:tc>
          <w:tcPr>
            <w:tcW w:w="4120" w:type="dxa"/>
            <w:vAlign w:val="bottom"/>
          </w:tcPr>
          <w:p>
            <w:pPr>
              <w:spacing w:after="0"/>
              <w:rPr>
                <w:sz w:val="20"/>
                <w:szCs w:val="20"/>
                <w:color w:val="auto"/>
              </w:rPr>
            </w:pPr>
            <w:r>
              <w:rPr>
                <w:rFonts w:ascii="Arial" w:cs="Arial" w:eastAsia="Arial" w:hAnsi="Arial"/>
                <w:sz w:val="14"/>
                <w:szCs w:val="14"/>
                <w:color w:val="auto"/>
              </w:rPr>
              <w:t>Chief Executive Officer</w:t>
            </w:r>
          </w:p>
        </w:tc>
      </w:tr>
      <w:tr>
        <w:trPr>
          <w:trHeight w:val="408"/>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10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Dorothee Schwall-Rudolph</w:t>
            </w: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52"/>
        </w:trPr>
        <w:tc>
          <w:tcPr>
            <w:tcW w:w="680" w:type="dxa"/>
            <w:vAlign w:val="bottom"/>
          </w:tcPr>
          <w:p>
            <w:pPr>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21"/>
                <w:szCs w:val="21"/>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Dorothee Schwall-Rudolph</w:t>
            </w:r>
          </w:p>
        </w:tc>
        <w:tc>
          <w:tcPr>
            <w:tcW w:w="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51"/>
        </w:trPr>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10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AUTHORIZED SIGNATORY</w:t>
            </w:r>
          </w:p>
        </w:tc>
        <w:tc>
          <w:tcPr>
            <w:tcW w:w="2560" w:type="dxa"/>
            <w:vAlign w:val="bottom"/>
          </w:tcPr>
          <w:p>
            <w:pPr>
              <w:spacing w:after="0"/>
              <w:rPr>
                <w:sz w:val="21"/>
                <w:szCs w:val="21"/>
                <w:color w:val="auto"/>
              </w:rPr>
            </w:pPr>
          </w:p>
        </w:tc>
        <w:tc>
          <w:tcPr>
            <w:tcW w:w="4120" w:type="dxa"/>
            <w:vAlign w:val="bottom"/>
          </w:tcPr>
          <w:p>
            <w:pPr>
              <w:spacing w:after="0"/>
              <w:rPr>
                <w:sz w:val="21"/>
                <w:szCs w:val="2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1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515" w:name="page516"/>
    <w:bookmarkEnd w:id="515"/>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1.5</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BI EXCLUSIVE TARGETS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1.*** ***</w:t>
      </w:r>
    </w:p>
    <w:p>
      <w:pPr>
        <w:spacing w:after="0" w:line="13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w:t>
      </w:r>
    </w:p>
    <w:p>
      <w:pPr>
        <w:spacing w:after="0" w:line="115" w:lineRule="exact"/>
        <w:rPr>
          <w:sz w:val="20"/>
          <w:szCs w:val="20"/>
          <w:color w:val="auto"/>
        </w:rPr>
      </w:pPr>
    </w:p>
    <w:p>
      <w:pPr>
        <w:ind w:left="3840" w:right="1479" w:hanging="1135"/>
        <w:spacing w:after="0" w:line="351" w:lineRule="auto"/>
        <w:tabs>
          <w:tab w:leader="none" w:pos="2944" w:val="left"/>
        </w:tabs>
        <w:numPr>
          <w:ilvl w:val="0"/>
          <w:numId w:val="51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516" w:name="page517"/>
    <w:bookmarkEnd w:id="516"/>
    <w:p>
      <w:pPr>
        <w:ind w:left="53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1.28</w:t>
      </w:r>
    </w:p>
    <w:p>
      <w:pPr>
        <w:spacing w:after="0" w:line="132"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DART PLATFORM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DART Platform comprises bispecific or monospecific proteins having at least two covalently linked polypeptide chains, A and B, where chain A comprises the </w:t>
      </w:r>
      <w:r>
        <w:rPr>
          <w:rFonts w:ascii="Arial" w:cs="Arial" w:eastAsia="Arial" w:hAnsi="Arial"/>
          <w:sz w:val="12"/>
          <w:szCs w:val="12"/>
          <w:b w:val="1"/>
          <w:bCs w:val="1"/>
          <w:color w:val="auto"/>
        </w:rPr>
        <w:t>***</w:t>
      </w:r>
      <w:r>
        <w:rPr>
          <w:rFonts w:ascii="Arial" w:cs="Arial" w:eastAsia="Arial" w:hAnsi="Arial"/>
          <w:sz w:val="12"/>
          <w:szCs w:val="12"/>
          <w:color w:val="auto"/>
        </w:rPr>
        <w:t xml:space="preserve"> and chain B comprises the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DART Platform proteins include but are not limited to:</w:t>
      </w:r>
    </w:p>
    <w:p>
      <w:pPr>
        <w:spacing w:after="0" w:line="163"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15" w:lineRule="exact"/>
        <w:rPr>
          <w:sz w:val="20"/>
          <w:szCs w:val="20"/>
          <w:color w:val="auto"/>
        </w:rPr>
      </w:pPr>
    </w:p>
    <w:p>
      <w:pPr>
        <w:ind w:left="3840" w:right="1880" w:hanging="1135"/>
        <w:spacing w:after="0" w:line="351" w:lineRule="auto"/>
        <w:tabs>
          <w:tab w:leader="none" w:pos="2944" w:val="left"/>
        </w:tabs>
        <w:numPr>
          <w:ilvl w:val="0"/>
          <w:numId w:val="51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640"/>
          </w:cols>
          <w:pgMar w:left="220" w:top="245" w:right="1039" w:bottom="1440" w:gutter="0" w:footer="0" w:header="0"/>
        </w:sectPr>
      </w:pPr>
    </w:p>
    <w:bookmarkStart w:id="517" w:name="page518"/>
    <w:bookmarkEnd w:id="517"/>
    <w:tbl>
      <w:tblPr>
        <w:tblLayout w:type="fixed"/>
        <w:tblInd w:w="6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Schedule 1.47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4"/>
                <w:szCs w:val="24"/>
                <w:color w:val="auto"/>
              </w:rPr>
            </w:pPr>
          </w:p>
        </w:tc>
        <w:tc>
          <w:tcPr>
            <w:tcW w:w="4600" w:type="dxa"/>
            <w:vAlign w:val="bottom"/>
            <w:gridSpan w:val="3"/>
          </w:tcPr>
          <w:p>
            <w:pPr>
              <w:ind w:left="2140"/>
              <w:spacing w:after="0"/>
              <w:rPr>
                <w:sz w:val="20"/>
                <w:szCs w:val="20"/>
                <w:color w:val="auto"/>
              </w:rPr>
            </w:pPr>
            <w:r>
              <w:rPr>
                <w:rFonts w:ascii="Arial" w:cs="Arial" w:eastAsia="Arial" w:hAnsi="Arial"/>
                <w:sz w:val="14"/>
                <w:szCs w:val="14"/>
                <w:b w:val="1"/>
                <w:bCs w:val="1"/>
                <w:color w:val="auto"/>
                <w:w w:val="98"/>
              </w:rPr>
              <w:t>INITIAL COLLABORATION TARGETS</w:t>
            </w:r>
          </w:p>
        </w:tc>
        <w:tc>
          <w:tcPr>
            <w:tcW w:w="0" w:type="dxa"/>
            <w:vAlign w:val="bottom"/>
          </w:tcPr>
          <w:p>
            <w:pPr>
              <w:spacing w:after="0"/>
              <w:rPr>
                <w:sz w:val="1"/>
                <w:szCs w:val="1"/>
                <w:color w:val="auto"/>
              </w:rPr>
            </w:pPr>
          </w:p>
        </w:tc>
      </w:tr>
      <w:tr>
        <w:trPr>
          <w:trHeight w:val="316"/>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1.***</w:t>
            </w:r>
          </w:p>
        </w:tc>
        <w:tc>
          <w:tcPr>
            <w:tcW w:w="2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2.***</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3.***</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249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4.***</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5.***</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6.***</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78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29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2620" w:right="1479" w:hanging="1135"/>
        <w:spacing w:after="0" w:line="351" w:lineRule="auto"/>
        <w:tabs>
          <w:tab w:leader="none" w:pos="1724" w:val="left"/>
        </w:tabs>
        <w:numPr>
          <w:ilvl w:val="0"/>
          <w:numId w:val="52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29" w:right="1440" w:bottom="1440" w:gutter="0" w:footer="0" w:header="0"/>
        </w:sectPr>
      </w:pPr>
    </w:p>
    <w:bookmarkStart w:id="518" w:name="page519"/>
    <w:bookmarkEnd w:id="518"/>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Schedule 1.50</w:t>
            </w: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DRAFT INVOICE</w:t>
            </w:r>
          </w:p>
        </w:tc>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Invoice To:</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Invoice No.</w:t>
            </w:r>
          </w:p>
        </w:tc>
        <w:tc>
          <w:tcPr>
            <w:tcW w:w="27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40" w:type="dxa"/>
            <w:vAlign w:val="bottom"/>
            <w:gridSpan w:val="3"/>
          </w:tcPr>
          <w:p>
            <w:pPr>
              <w:spacing w:after="0"/>
              <w:rPr>
                <w:sz w:val="20"/>
                <w:szCs w:val="20"/>
                <w:color w:val="auto"/>
              </w:rPr>
            </w:pPr>
            <w:r>
              <w:rPr>
                <w:rFonts w:ascii="Arial" w:cs="Arial" w:eastAsia="Arial" w:hAnsi="Arial"/>
                <w:sz w:val="14"/>
                <w:szCs w:val="14"/>
                <w:color w:val="auto"/>
              </w:rPr>
              <w:t>&lt;&lt;Company name&gt;&gt;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Invoice Date:</w:t>
            </w:r>
          </w:p>
        </w:tc>
        <w:tc>
          <w:tcPr>
            <w:tcW w:w="2880" w:type="dxa"/>
            <w:vAlign w:val="bottom"/>
            <w:gridSpan w:val="2"/>
          </w:tcPr>
          <w:p>
            <w:pPr>
              <w:ind w:left="340"/>
              <w:spacing w:after="0"/>
              <w:rPr>
                <w:sz w:val="20"/>
                <w:szCs w:val="20"/>
                <w:color w:val="auto"/>
              </w:rPr>
            </w:pPr>
            <w:r>
              <w:rPr>
                <w:rFonts w:ascii="Arial" w:cs="Arial" w:eastAsia="Arial" w:hAnsi="Arial"/>
                <w:sz w:val="14"/>
                <w:szCs w:val="14"/>
                <w:b w:val="1"/>
                <w:bCs w:val="1"/>
                <w:color w:val="auto"/>
              </w:rPr>
              <w:t>&lt;&lt;date&gt;&gt;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40" w:type="dxa"/>
            <w:vAlign w:val="bottom"/>
            <w:gridSpan w:val="3"/>
          </w:tcPr>
          <w:p>
            <w:pPr>
              <w:spacing w:after="0"/>
              <w:rPr>
                <w:sz w:val="20"/>
                <w:szCs w:val="20"/>
                <w:color w:val="auto"/>
              </w:rPr>
            </w:pPr>
            <w:r>
              <w:rPr>
                <w:rFonts w:ascii="Arial" w:cs="Arial" w:eastAsia="Arial" w:hAnsi="Arial"/>
                <w:sz w:val="14"/>
                <w:szCs w:val="14"/>
                <w:color w:val="auto"/>
              </w:rPr>
              <w:t>&lt;&lt;address&gt;&gt;</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840" w:type="dxa"/>
            <w:vAlign w:val="bottom"/>
            <w:gridSpan w:val="3"/>
          </w:tcPr>
          <w:p>
            <w:pPr>
              <w:spacing w:after="0"/>
              <w:rPr>
                <w:sz w:val="20"/>
                <w:szCs w:val="20"/>
                <w:color w:val="auto"/>
              </w:rPr>
            </w:pPr>
            <w:r>
              <w:rPr>
                <w:rFonts w:ascii="Arial" w:cs="Arial" w:eastAsia="Arial" w:hAnsi="Arial"/>
                <w:sz w:val="14"/>
                <w:szCs w:val="14"/>
                <w:color w:val="auto"/>
              </w:rPr>
              <w:t>Attention: &lt;&lt;name, title&gt;&gt;</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40" w:type="dxa"/>
            <w:vAlign w:val="bottom"/>
            <w:gridSpan w:val="3"/>
          </w:tcPr>
          <w:p>
            <w:pPr>
              <w:spacing w:after="0"/>
              <w:rPr>
                <w:sz w:val="20"/>
                <w:szCs w:val="20"/>
                <w:color w:val="auto"/>
              </w:rPr>
            </w:pPr>
            <w:r>
              <w:rPr>
                <w:rFonts w:ascii="Arial" w:cs="Arial" w:eastAsia="Arial" w:hAnsi="Arial"/>
                <w:sz w:val="14"/>
                <w:szCs w:val="14"/>
                <w:color w:val="auto"/>
              </w:rPr>
              <w:t>BI Contract No.:</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Invoice From:</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840" w:type="dxa"/>
            <w:vAlign w:val="bottom"/>
            <w:gridSpan w:val="3"/>
          </w:tcPr>
          <w:p>
            <w:pPr>
              <w:spacing w:after="0"/>
              <w:rPr>
                <w:sz w:val="20"/>
                <w:szCs w:val="20"/>
                <w:color w:val="auto"/>
              </w:rPr>
            </w:pPr>
            <w:r>
              <w:rPr>
                <w:rFonts w:ascii="Arial" w:cs="Arial" w:eastAsia="Arial" w:hAnsi="Arial"/>
                <w:sz w:val="14"/>
                <w:szCs w:val="14"/>
                <w:color w:val="auto"/>
              </w:rPr>
              <w:t>&lt;&lt;Company name&gt;&gt;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40" w:type="dxa"/>
            <w:vAlign w:val="bottom"/>
            <w:gridSpan w:val="3"/>
          </w:tcPr>
          <w:p>
            <w:pPr>
              <w:spacing w:after="0"/>
              <w:rPr>
                <w:sz w:val="20"/>
                <w:szCs w:val="20"/>
                <w:color w:val="auto"/>
              </w:rPr>
            </w:pPr>
            <w:r>
              <w:rPr>
                <w:rFonts w:ascii="Arial" w:cs="Arial" w:eastAsia="Arial" w:hAnsi="Arial"/>
                <w:sz w:val="14"/>
                <w:szCs w:val="14"/>
                <w:color w:val="auto"/>
              </w:rPr>
              <w:t>&lt;&lt;address&gt;&gt;</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95"/>
              </w:rPr>
              <w:t>Description</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138"/>
        </w:trPr>
        <w:tc>
          <w:tcPr>
            <w:tcW w:w="2840" w:type="dxa"/>
            <w:vAlign w:val="bottom"/>
            <w:tcBorders>
              <w:top w:val="single" w:sz="8" w:color="CCEEFF"/>
            </w:tcBorders>
            <w:gridSpan w:val="3"/>
            <w:shd w:val="clear" w:color="auto" w:fill="CCEEFF"/>
          </w:tcPr>
          <w:p>
            <w:pPr>
              <w:spacing w:after="0" w:line="138" w:lineRule="exact"/>
              <w:rPr>
                <w:sz w:val="20"/>
                <w:szCs w:val="20"/>
                <w:color w:val="auto"/>
              </w:rPr>
            </w:pPr>
            <w:r>
              <w:rPr>
                <w:rFonts w:ascii="Arial" w:cs="Arial" w:eastAsia="Arial" w:hAnsi="Arial"/>
                <w:sz w:val="14"/>
                <w:szCs w:val="14"/>
                <w:color w:val="auto"/>
                <w:w w:val="95"/>
              </w:rPr>
              <w:t>Pursuant to &lt;&lt;contract and section reference&gt;&gt;</w:t>
            </w:r>
          </w:p>
        </w:tc>
        <w:tc>
          <w:tcPr>
            <w:tcW w:w="14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27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40" w:type="dxa"/>
            <w:vAlign w:val="bottom"/>
            <w:gridSpan w:val="3"/>
          </w:tcPr>
          <w:p>
            <w:pPr>
              <w:ind w:left="340"/>
              <w:spacing w:after="0"/>
              <w:rPr>
                <w:sz w:val="20"/>
                <w:szCs w:val="20"/>
                <w:color w:val="auto"/>
              </w:rPr>
            </w:pPr>
            <w:r>
              <w:rPr>
                <w:rFonts w:ascii="Arial" w:cs="Arial" w:eastAsia="Arial" w:hAnsi="Arial"/>
                <w:sz w:val="14"/>
                <w:szCs w:val="14"/>
                <w:color w:val="auto"/>
              </w:rPr>
              <w:t>&lt;&lt;payment type&gt;&gt;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(i)</w:t>
            </w: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gridSpan w:val="2"/>
          </w:tcPr>
          <w:p>
            <w:pPr>
              <w:ind w:left="960"/>
              <w:spacing w:after="0"/>
              <w:rPr>
                <w:sz w:val="20"/>
                <w:szCs w:val="20"/>
                <w:color w:val="auto"/>
              </w:rPr>
            </w:pPr>
            <w:r>
              <w:rPr>
                <w:rFonts w:ascii="Arial" w:cs="Arial" w:eastAsia="Arial" w:hAnsi="Arial"/>
                <w:sz w:val="14"/>
                <w:szCs w:val="14"/>
                <w:color w:val="auto"/>
              </w:rPr>
              <w:t>(ii)</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1240" w:type="dxa"/>
            <w:vAlign w:val="bottom"/>
          </w:tcPr>
          <w:p>
            <w:pPr>
              <w:spacing w:after="0"/>
              <w:rPr>
                <w:sz w:val="14"/>
                <w:szCs w:val="14"/>
                <w:color w:val="auto"/>
              </w:rPr>
            </w:pPr>
          </w:p>
        </w:tc>
        <w:tc>
          <w:tcPr>
            <w:tcW w:w="2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68"/>
        </w:trPr>
        <w:tc>
          <w:tcPr>
            <w:tcW w:w="28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Payment Due</w:t>
            </w:r>
          </w:p>
        </w:tc>
        <w:tc>
          <w:tcPr>
            <w:tcW w:w="1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gridSpan w:val="2"/>
            <w:vMerge w:val="restart"/>
          </w:tcPr>
          <w:p>
            <w:pPr>
              <w:ind w:left="960"/>
              <w:spacing w:after="0"/>
              <w:rPr>
                <w:sz w:val="20"/>
                <w:szCs w:val="20"/>
                <w:color w:val="auto"/>
              </w:rPr>
            </w:pPr>
            <w:r>
              <w:rPr>
                <w:rFonts w:ascii="Arial" w:cs="Arial" w:eastAsia="Arial" w:hAnsi="Arial"/>
                <w:sz w:val="14"/>
                <w:szCs w:val="14"/>
                <w:color w:val="auto"/>
              </w:rPr>
              <w:t>(iii)</w:t>
            </w: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Wire Instructions:</w:t>
            </w:r>
          </w:p>
        </w:tc>
        <w:tc>
          <w:tcPr>
            <w:tcW w:w="176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840" w:type="dxa"/>
            <w:vAlign w:val="bottom"/>
            <w:gridSpan w:val="3"/>
          </w:tcPr>
          <w:p>
            <w:pPr>
              <w:spacing w:after="0"/>
              <w:rPr>
                <w:sz w:val="20"/>
                <w:szCs w:val="20"/>
                <w:color w:val="auto"/>
              </w:rPr>
            </w:pPr>
            <w:r>
              <w:rPr>
                <w:rFonts w:ascii="Arial" w:cs="Arial" w:eastAsia="Arial" w:hAnsi="Arial"/>
                <w:sz w:val="14"/>
                <w:szCs w:val="14"/>
                <w:color w:val="auto"/>
              </w:rPr>
              <w:t>Bank Name:</w:t>
            </w:r>
          </w:p>
        </w:tc>
        <w:tc>
          <w:tcPr>
            <w:tcW w:w="14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840" w:type="dxa"/>
            <w:vAlign w:val="bottom"/>
            <w:gridSpan w:val="3"/>
          </w:tcPr>
          <w:p>
            <w:pPr>
              <w:spacing w:after="0"/>
              <w:rPr>
                <w:sz w:val="20"/>
                <w:szCs w:val="20"/>
                <w:color w:val="auto"/>
              </w:rPr>
            </w:pPr>
            <w:r>
              <w:rPr>
                <w:rFonts w:ascii="Arial" w:cs="Arial" w:eastAsia="Arial" w:hAnsi="Arial"/>
                <w:sz w:val="14"/>
                <w:szCs w:val="14"/>
                <w:color w:val="auto"/>
              </w:rPr>
              <w:t>Bank Address:</w:t>
            </w:r>
          </w:p>
        </w:tc>
        <w:tc>
          <w:tcPr>
            <w:tcW w:w="1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40" w:type="dxa"/>
            <w:vAlign w:val="bottom"/>
            <w:gridSpan w:val="3"/>
            <w:vMerge w:val="restart"/>
          </w:tcPr>
          <w:p>
            <w:pPr>
              <w:spacing w:after="0"/>
              <w:rPr>
                <w:sz w:val="20"/>
                <w:szCs w:val="20"/>
                <w:color w:val="auto"/>
              </w:rPr>
            </w:pPr>
            <w:r>
              <w:rPr>
                <w:rFonts w:ascii="Arial" w:cs="Arial" w:eastAsia="Arial" w:hAnsi="Arial"/>
                <w:sz w:val="14"/>
                <w:szCs w:val="14"/>
                <w:color w:val="auto"/>
              </w:rPr>
              <w:t>Bank Contact:</w:t>
            </w:r>
          </w:p>
        </w:tc>
        <w:tc>
          <w:tcPr>
            <w:tcW w:w="1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40" w:type="dxa"/>
            <w:vAlign w:val="bottom"/>
            <w:gridSpan w:val="3"/>
            <w:vMerge w:val="continue"/>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3"/>
          </w:tcPr>
          <w:p>
            <w:pPr>
              <w:spacing w:after="0"/>
              <w:rPr>
                <w:sz w:val="20"/>
                <w:szCs w:val="20"/>
                <w:color w:val="auto"/>
              </w:rPr>
            </w:pPr>
            <w:r>
              <w:rPr>
                <w:rFonts w:ascii="Arial" w:cs="Arial" w:eastAsia="Arial" w:hAnsi="Arial"/>
                <w:sz w:val="14"/>
                <w:szCs w:val="14"/>
                <w:color w:val="auto"/>
              </w:rPr>
              <w:t>Routing/transit:</w:t>
            </w:r>
          </w:p>
        </w:tc>
        <w:tc>
          <w:tcPr>
            <w:tcW w:w="1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gridSpan w:val="3"/>
          </w:tcPr>
          <w:p>
            <w:pPr>
              <w:spacing w:after="0"/>
              <w:rPr>
                <w:sz w:val="20"/>
                <w:szCs w:val="20"/>
                <w:color w:val="auto"/>
              </w:rPr>
            </w:pPr>
            <w:r>
              <w:rPr>
                <w:rFonts w:ascii="Arial" w:cs="Arial" w:eastAsia="Arial" w:hAnsi="Arial"/>
                <w:sz w:val="14"/>
                <w:szCs w:val="14"/>
                <w:color w:val="auto"/>
              </w:rPr>
              <w:t>Beneficiary:</w:t>
            </w:r>
          </w:p>
        </w:tc>
        <w:tc>
          <w:tcPr>
            <w:tcW w:w="1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gridSpan w:val="3"/>
          </w:tcPr>
          <w:p>
            <w:pPr>
              <w:spacing w:after="0"/>
              <w:rPr>
                <w:sz w:val="20"/>
                <w:szCs w:val="20"/>
                <w:color w:val="auto"/>
              </w:rPr>
            </w:pPr>
            <w:r>
              <w:rPr>
                <w:rFonts w:ascii="Arial" w:cs="Arial" w:eastAsia="Arial" w:hAnsi="Arial"/>
                <w:sz w:val="14"/>
                <w:szCs w:val="14"/>
                <w:color w:val="auto"/>
              </w:rPr>
              <w:t>Beneficiary Account #:</w:t>
            </w:r>
          </w:p>
        </w:tc>
        <w:tc>
          <w:tcPr>
            <w:tcW w:w="1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080" w:type="dxa"/>
            <w:vAlign w:val="bottom"/>
          </w:tcPr>
          <w:p>
            <w:pPr>
              <w:spacing w:after="0"/>
              <w:rPr>
                <w:sz w:val="24"/>
                <w:szCs w:val="24"/>
                <w:color w:val="auto"/>
              </w:rPr>
            </w:pPr>
          </w:p>
        </w:tc>
        <w:tc>
          <w:tcPr>
            <w:tcW w:w="1760" w:type="dxa"/>
            <w:vAlign w:val="bottom"/>
            <w:gridSpan w:val="2"/>
          </w:tcPr>
          <w:p>
            <w:pPr>
              <w:ind w:left="880"/>
              <w:spacing w:after="0"/>
              <w:rPr>
                <w:sz w:val="20"/>
                <w:szCs w:val="20"/>
                <w:color w:val="auto"/>
              </w:rPr>
            </w:pPr>
            <w:r>
              <w:rPr>
                <w:rFonts w:ascii="Arial" w:cs="Arial" w:eastAsia="Arial" w:hAnsi="Arial"/>
                <w:sz w:val="14"/>
                <w:szCs w:val="14"/>
                <w:b w:val="1"/>
                <w:bCs w:val="1"/>
                <w:color w:val="auto"/>
                <w:w w:val="92"/>
              </w:rPr>
              <w:t>Payment Due:</w:t>
            </w:r>
          </w:p>
        </w:tc>
        <w:tc>
          <w:tcPr>
            <w:tcW w:w="2900" w:type="dxa"/>
            <w:vAlign w:val="bottom"/>
            <w:gridSpan w:val="3"/>
          </w:tcPr>
          <w:p>
            <w:pPr>
              <w:ind w:left="660"/>
              <w:spacing w:after="0"/>
              <w:rPr>
                <w:sz w:val="20"/>
                <w:szCs w:val="20"/>
                <w:color w:val="auto"/>
              </w:rPr>
            </w:pPr>
            <w:r>
              <w:rPr>
                <w:rFonts w:ascii="Arial" w:cs="Arial" w:eastAsia="Arial" w:hAnsi="Arial"/>
                <w:sz w:val="14"/>
                <w:szCs w:val="14"/>
                <w:b w:val="1"/>
                <w:bCs w:val="1"/>
                <w:color w:val="auto"/>
              </w:rPr>
              <w:t>&lt;&lt;contract payment terms&gt;&gt;</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3840" w:right="2700" w:hanging="1135"/>
        <w:spacing w:after="0" w:line="351" w:lineRule="auto"/>
        <w:tabs>
          <w:tab w:leader="none" w:pos="2944" w:val="left"/>
        </w:tabs>
        <w:numPr>
          <w:ilvl w:val="0"/>
          <w:numId w:val="52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29" w:right="219" w:bottom="1440" w:gutter="0" w:footer="0" w:header="0"/>
        </w:sectPr>
      </w:pPr>
    </w:p>
    <w:bookmarkStart w:id="519" w:name="page520"/>
    <w:bookmarkEnd w:id="519"/>
    <w:p>
      <w:pPr>
        <w:jc w:val="center"/>
        <w:ind w:right="-43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1.58</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MACROGENICS PATENT RIGHTS</w:t>
      </w:r>
    </w:p>
    <w:p>
      <w:pPr>
        <w:spacing w:after="0" w:line="153" w:lineRule="exact"/>
        <w:rPr>
          <w:sz w:val="20"/>
          <w:szCs w:val="20"/>
          <w:color w:val="auto"/>
        </w:rPr>
      </w:pPr>
    </w:p>
    <w:tbl>
      <w:tblPr>
        <w:tblLayout w:type="fixed"/>
        <w:tblInd w:w="470" w:type="dxa"/>
        <w:tblCellMar>
          <w:top w:w="0" w:type="dxa"/>
          <w:left w:w="0" w:type="dxa"/>
          <w:bottom w:w="0" w:type="dxa"/>
          <w:right w:w="0" w:type="dxa"/>
        </w:tblCellMar>
      </w:tblPr>
      <w:tr>
        <w:trPr>
          <w:trHeight w:val="114"/>
        </w:trPr>
        <w:tc>
          <w:tcPr>
            <w:tcW w:w="2240" w:type="dxa"/>
            <w:vAlign w:val="bottom"/>
            <w:tcBorders>
              <w:top w:val="single" w:sz="8" w:color="auto"/>
              <w:left w:val="single" w:sz="8" w:color="auto"/>
              <w:right w:val="single" w:sz="8" w:color="auto"/>
            </w:tcBorders>
          </w:tcPr>
          <w:p>
            <w:pPr>
              <w:spacing w:after="0"/>
              <w:rPr>
                <w:sz w:val="9"/>
                <w:szCs w:val="9"/>
                <w:color w:val="auto"/>
              </w:rPr>
            </w:pPr>
          </w:p>
        </w:tc>
        <w:tc>
          <w:tcPr>
            <w:tcW w:w="2120" w:type="dxa"/>
            <w:vAlign w:val="bottom"/>
            <w:tcBorders>
              <w:top w:val="single" w:sz="8" w:color="auto"/>
              <w:right w:val="single" w:sz="8" w:color="auto"/>
            </w:tcBorders>
          </w:tcPr>
          <w:p>
            <w:pPr>
              <w:jc w:val="right"/>
              <w:ind w:right="493"/>
              <w:spacing w:after="0"/>
              <w:rPr>
                <w:sz w:val="20"/>
                <w:szCs w:val="20"/>
                <w:color w:val="auto"/>
              </w:rPr>
            </w:pPr>
            <w:r>
              <w:rPr>
                <w:rFonts w:ascii="Arial" w:cs="Arial" w:eastAsia="Arial" w:hAnsi="Arial"/>
                <w:sz w:val="10"/>
                <w:szCs w:val="10"/>
                <w:b w:val="1"/>
                <w:bCs w:val="1"/>
                <w:color w:val="auto"/>
              </w:rPr>
              <w:t>Application Serial</w:t>
            </w:r>
          </w:p>
        </w:tc>
        <w:tc>
          <w:tcPr>
            <w:tcW w:w="2100" w:type="dxa"/>
            <w:vAlign w:val="bottom"/>
            <w:tcBorders>
              <w:top w:val="single" w:sz="8" w:color="auto"/>
              <w:right w:val="single" w:sz="8" w:color="auto"/>
            </w:tcBorders>
          </w:tcPr>
          <w:p>
            <w:pPr>
              <w:spacing w:after="0"/>
              <w:rPr>
                <w:sz w:val="9"/>
                <w:szCs w:val="9"/>
                <w:color w:val="auto"/>
              </w:rPr>
            </w:pPr>
          </w:p>
        </w:tc>
        <w:tc>
          <w:tcPr>
            <w:tcW w:w="2100" w:type="dxa"/>
            <w:vAlign w:val="bottom"/>
            <w:tcBorders>
              <w:top w:val="single" w:sz="8" w:color="auto"/>
              <w:right w:val="single" w:sz="8" w:color="auto"/>
            </w:tcBorders>
          </w:tcPr>
          <w:p>
            <w:pPr>
              <w:spacing w:after="0"/>
              <w:rPr>
                <w:sz w:val="9"/>
                <w:szCs w:val="9"/>
                <w:color w:val="auto"/>
              </w:rPr>
            </w:pPr>
          </w:p>
        </w:tc>
        <w:tc>
          <w:tcPr>
            <w:tcW w:w="2000" w:type="dxa"/>
            <w:vAlign w:val="bottom"/>
            <w:tcBorders>
              <w:top w:val="single" w:sz="8" w:color="auto"/>
              <w:right w:val="single" w:sz="8" w:color="auto"/>
            </w:tcBorders>
          </w:tcPr>
          <w:p>
            <w:pPr>
              <w:spacing w:after="0"/>
              <w:rPr>
                <w:sz w:val="9"/>
                <w:szCs w:val="9"/>
                <w:color w:val="auto"/>
              </w:rPr>
            </w:pPr>
          </w:p>
        </w:tc>
      </w:tr>
      <w:tr>
        <w:trPr>
          <w:trHeight w:val="127"/>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0"/>
                <w:szCs w:val="10"/>
                <w:b w:val="1"/>
                <w:bCs w:val="1"/>
                <w:color w:val="auto"/>
              </w:rPr>
              <w:t>Country</w:t>
            </w:r>
          </w:p>
        </w:tc>
        <w:tc>
          <w:tcPr>
            <w:tcW w:w="2120" w:type="dxa"/>
            <w:vAlign w:val="bottom"/>
            <w:tcBorders>
              <w:bottom w:val="single" w:sz="8" w:color="auto"/>
              <w:right w:val="single" w:sz="8" w:color="auto"/>
            </w:tcBorders>
          </w:tcPr>
          <w:p>
            <w:pPr>
              <w:jc w:val="right"/>
              <w:ind w:right="833"/>
              <w:spacing w:after="0"/>
              <w:rPr>
                <w:sz w:val="20"/>
                <w:szCs w:val="20"/>
                <w:color w:val="auto"/>
              </w:rPr>
            </w:pPr>
            <w:r>
              <w:rPr>
                <w:rFonts w:ascii="Arial" w:cs="Arial" w:eastAsia="Arial" w:hAnsi="Arial"/>
                <w:sz w:val="10"/>
                <w:szCs w:val="10"/>
                <w:b w:val="1"/>
                <w:bCs w:val="1"/>
                <w:color w:val="auto"/>
              </w:rPr>
              <w:t>No.</w:t>
            </w:r>
          </w:p>
        </w:tc>
        <w:tc>
          <w:tcPr>
            <w:tcW w:w="2100" w:type="dxa"/>
            <w:vAlign w:val="bottom"/>
            <w:tcBorders>
              <w:bottom w:val="single" w:sz="8" w:color="auto"/>
              <w:right w:val="single" w:sz="8" w:color="auto"/>
            </w:tcBorders>
          </w:tcPr>
          <w:p>
            <w:pPr>
              <w:jc w:val="right"/>
              <w:ind w:right="653"/>
              <w:spacing w:after="0"/>
              <w:rPr>
                <w:sz w:val="20"/>
                <w:szCs w:val="20"/>
                <w:color w:val="auto"/>
              </w:rPr>
            </w:pPr>
            <w:r>
              <w:rPr>
                <w:rFonts w:ascii="Arial" w:cs="Arial" w:eastAsia="Arial" w:hAnsi="Arial"/>
                <w:sz w:val="10"/>
                <w:szCs w:val="10"/>
                <w:b w:val="1"/>
                <w:bCs w:val="1"/>
                <w:color w:val="auto"/>
              </w:rPr>
              <w:t>Date Filed</w:t>
            </w:r>
          </w:p>
        </w:tc>
        <w:tc>
          <w:tcPr>
            <w:tcW w:w="2100" w:type="dxa"/>
            <w:vAlign w:val="bottom"/>
            <w:tcBorders>
              <w:bottom w:val="single" w:sz="8" w:color="auto"/>
              <w:right w:val="single" w:sz="8" w:color="auto"/>
            </w:tcBorders>
          </w:tcPr>
          <w:p>
            <w:pPr>
              <w:jc w:val="right"/>
              <w:ind w:right="553"/>
              <w:spacing w:after="0"/>
              <w:rPr>
                <w:sz w:val="20"/>
                <w:szCs w:val="20"/>
                <w:color w:val="auto"/>
              </w:rPr>
            </w:pPr>
            <w:r>
              <w:rPr>
                <w:rFonts w:ascii="Arial" w:cs="Arial" w:eastAsia="Arial" w:hAnsi="Arial"/>
                <w:sz w:val="10"/>
                <w:szCs w:val="10"/>
                <w:b w:val="1"/>
                <w:bCs w:val="1"/>
                <w:color w:val="auto"/>
              </w:rPr>
              <w:t>Publication No.</w:t>
            </w:r>
          </w:p>
        </w:tc>
        <w:tc>
          <w:tcPr>
            <w:tcW w:w="2000" w:type="dxa"/>
            <w:vAlign w:val="bottom"/>
            <w:tcBorders>
              <w:bottom w:val="single" w:sz="8" w:color="auto"/>
              <w:right w:val="single" w:sz="8" w:color="auto"/>
            </w:tcBorders>
          </w:tcPr>
          <w:p>
            <w:pPr>
              <w:jc w:val="right"/>
              <w:ind w:right="753"/>
              <w:spacing w:after="0"/>
              <w:rPr>
                <w:sz w:val="20"/>
                <w:szCs w:val="20"/>
                <w:color w:val="auto"/>
              </w:rPr>
            </w:pPr>
            <w:r>
              <w:rPr>
                <w:rFonts w:ascii="Arial" w:cs="Arial" w:eastAsia="Arial" w:hAnsi="Arial"/>
                <w:sz w:val="10"/>
                <w:szCs w:val="10"/>
                <w:b w:val="1"/>
                <w:bCs w:val="1"/>
                <w:color w:val="auto"/>
              </w:rPr>
              <w:t>Status</w:t>
            </w:r>
          </w:p>
        </w:tc>
      </w:tr>
      <w:tr>
        <w:trPr>
          <w:trHeight w:val="354"/>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r>
        <w:trPr>
          <w:trHeight w:val="346"/>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right"/>
              <w:ind w:right="165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right w:val="single" w:sz="8" w:color="auto"/>
            </w:tcBorders>
          </w:tcPr>
          <w:p>
            <w:pPr>
              <w:jc w:val="right"/>
              <w:ind w:right="1533"/>
              <w:spacing w:after="0"/>
              <w:rPr>
                <w:sz w:val="20"/>
                <w:szCs w:val="20"/>
                <w:color w:val="auto"/>
              </w:rPr>
            </w:pPr>
            <w:r>
              <w:rPr>
                <w:rFonts w:ascii="Arial" w:cs="Arial" w:eastAsia="Arial" w:hAnsi="Arial"/>
                <w:sz w:val="14"/>
                <w:szCs w:val="14"/>
                <w:color w:val="auto"/>
              </w:rPr>
              <w:t>***</w:t>
            </w:r>
          </w:p>
        </w:tc>
      </w:tr>
    </w:tbl>
    <w:p>
      <w:pPr>
        <w:spacing w:after="0" w:line="107" w:lineRule="exact"/>
        <w:rPr>
          <w:sz w:val="20"/>
          <w:szCs w:val="20"/>
          <w:color w:val="auto"/>
        </w:rPr>
      </w:pPr>
    </w:p>
    <w:p>
      <w:pPr>
        <w:ind w:left="3840" w:right="2260" w:hanging="1135"/>
        <w:spacing w:after="0" w:line="351" w:lineRule="auto"/>
        <w:tabs>
          <w:tab w:leader="none" w:pos="2944" w:val="left"/>
        </w:tabs>
        <w:numPr>
          <w:ilvl w:val="0"/>
          <w:numId w:val="52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20"/>
          </w:cols>
          <w:pgMar w:left="220" w:top="245" w:right="659" w:bottom="1440" w:gutter="0" w:footer="0" w:header="0"/>
        </w:sectPr>
      </w:pPr>
    </w:p>
    <w:bookmarkStart w:id="520" w:name="page521"/>
    <w:bookmarkEnd w:id="520"/>
    <w:tbl>
      <w:tblPr>
        <w:tblLayout w:type="fixed"/>
        <w:tblInd w:w="1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Schedule 1.77</w:t>
            </w:r>
          </w:p>
        </w:tc>
        <w:tc>
          <w:tcPr>
            <w:tcW w:w="2600" w:type="dxa"/>
            <w:vAlign w:val="bottom"/>
            <w:gridSpan w:val="2"/>
          </w:tcPr>
          <w:p>
            <w:pPr>
              <w:spacing w:after="0"/>
              <w:rPr>
                <w:sz w:val="14"/>
                <w:szCs w:val="14"/>
                <w:color w:val="auto"/>
              </w:rPr>
            </w:pPr>
          </w:p>
        </w:tc>
        <w:tc>
          <w:tcPr>
            <w:tcW w:w="2740" w:type="dxa"/>
            <w:vAlign w:val="bottom"/>
          </w:tcPr>
          <w:p>
            <w:pPr>
              <w:spacing w:after="0"/>
              <w:rPr>
                <w:sz w:val="14"/>
                <w:szCs w:val="14"/>
                <w:color w:val="auto"/>
              </w:rPr>
            </w:pPr>
          </w:p>
        </w:tc>
      </w:tr>
      <w:tr>
        <w:trPr>
          <w:trHeight w:val="273"/>
        </w:trPr>
        <w:tc>
          <w:tcPr>
            <w:tcW w:w="3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60" w:type="dxa"/>
            <w:vAlign w:val="bottom"/>
            <w:gridSpan w:val="6"/>
          </w:tcPr>
          <w:p>
            <w:pPr>
              <w:jc w:val="center"/>
              <w:ind w:right="1340"/>
              <w:spacing w:after="0"/>
              <w:rPr>
                <w:sz w:val="20"/>
                <w:szCs w:val="20"/>
                <w:color w:val="auto"/>
              </w:rPr>
            </w:pPr>
            <w:r>
              <w:rPr>
                <w:rFonts w:ascii="Arial" w:cs="Arial" w:eastAsia="Arial" w:hAnsi="Arial"/>
                <w:sz w:val="14"/>
                <w:szCs w:val="14"/>
                <w:b w:val="1"/>
                <w:bCs w:val="1"/>
                <w:color w:val="auto"/>
                <w:w w:val="99"/>
              </w:rPr>
              <w:t>RTP CRITERIA TEMPLATE</w:t>
            </w:r>
          </w:p>
        </w:tc>
        <w:tc>
          <w:tcPr>
            <w:tcW w:w="2740" w:type="dxa"/>
            <w:vAlign w:val="bottom"/>
          </w:tcPr>
          <w:p>
            <w:pPr>
              <w:spacing w:after="0"/>
              <w:rPr>
                <w:sz w:val="23"/>
                <w:szCs w:val="23"/>
                <w:color w:val="auto"/>
              </w:rPr>
            </w:pPr>
          </w:p>
        </w:tc>
      </w:tr>
      <w:tr>
        <w:trPr>
          <w:trHeight w:val="168"/>
        </w:trPr>
        <w:tc>
          <w:tcPr>
            <w:tcW w:w="3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r>
      <w:tr>
        <w:trPr>
          <w:trHeight w:val="345"/>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346"/>
        </w:trPr>
        <w:tc>
          <w:tcPr>
            <w:tcW w:w="3020" w:type="dxa"/>
            <w:vAlign w:val="bottom"/>
            <w:tcBorders>
              <w:left w:val="single" w:sz="8" w:color="auto"/>
              <w:bottom w:val="single" w:sz="8" w:color="auto"/>
            </w:tcBorders>
          </w:tcPr>
          <w:p>
            <w:pPr>
              <w:jc w:val="right"/>
              <w:ind w:right="265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tcBorders>
          </w:tcPr>
          <w:p>
            <w:pPr>
              <w:jc w:val="right"/>
              <w:ind w:right="265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tcBorders>
          </w:tcPr>
          <w:p>
            <w:pPr>
              <w:jc w:val="right"/>
              <w:ind w:right="265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020" w:type="dxa"/>
            <w:vAlign w:val="bottom"/>
            <w:tcBorders>
              <w:left w:val="single" w:sz="8" w:color="auto"/>
              <w:bottom w:val="single" w:sz="8" w:color="auto"/>
              <w:right w:val="single" w:sz="8" w:color="auto"/>
            </w:tcBorders>
          </w:tcPr>
          <w:p>
            <w:pPr>
              <w:jc w:val="right"/>
              <w:ind w:right="26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3840" w:right="2720" w:hanging="1135"/>
        <w:spacing w:after="0" w:line="351" w:lineRule="auto"/>
        <w:tabs>
          <w:tab w:leader="none" w:pos="2944" w:val="left"/>
        </w:tabs>
        <w:numPr>
          <w:ilvl w:val="0"/>
          <w:numId w:val="52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80"/>
          </w:cols>
          <w:pgMar w:left="220" w:top="229" w:right="199" w:bottom="1440" w:gutter="0" w:footer="0" w:header="0"/>
        </w:sectPr>
      </w:pPr>
    </w:p>
    <w:bookmarkStart w:id="521" w:name="page522"/>
    <w:bookmarkEnd w:id="521"/>
    <w:tbl>
      <w:tblPr>
        <w:tblLayout w:type="fixed"/>
        <w:tblInd w:w="10" w:type="dxa"/>
        <w:tblCellMar>
          <w:top w:w="0" w:type="dxa"/>
          <w:left w:w="0" w:type="dxa"/>
          <w:bottom w:w="0" w:type="dxa"/>
          <w:right w:w="0" w:type="dxa"/>
        </w:tblCellMar>
      </w:tblPr>
      <w:tr>
        <w:trPr>
          <w:trHeight w:val="365"/>
        </w:trPr>
        <w:tc>
          <w:tcPr>
            <w:tcW w:w="1180" w:type="dxa"/>
            <w:vAlign w:val="bottom"/>
            <w:tcBorders>
              <w:top w:val="single" w:sz="8" w:color="auto"/>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right w:val="single" w:sz="8" w:color="auto"/>
            </w:tcBorders>
          </w:tcPr>
          <w:p>
            <w:pPr>
              <w:spacing w:after="0"/>
              <w:rPr>
                <w:sz w:val="24"/>
                <w:szCs w:val="24"/>
                <w:color w:val="auto"/>
              </w:rPr>
            </w:pPr>
          </w:p>
        </w:tc>
        <w:tc>
          <w:tcPr>
            <w:tcW w:w="2940" w:type="dxa"/>
            <w:vAlign w:val="bottom"/>
            <w:tcBorders>
              <w:top w:val="single" w:sz="8" w:color="auto"/>
              <w:bottom w:val="single" w:sz="8" w:color="auto"/>
              <w:right w:val="single" w:sz="8" w:color="auto"/>
            </w:tcBorders>
          </w:tcPr>
          <w:p>
            <w:pPr>
              <w:spacing w:after="0"/>
              <w:rPr>
                <w:sz w:val="24"/>
                <w:szCs w:val="24"/>
                <w:color w:val="auto"/>
              </w:rPr>
            </w:pPr>
          </w:p>
        </w:tc>
        <w:tc>
          <w:tcPr>
            <w:tcW w:w="2720" w:type="dxa"/>
            <w:vAlign w:val="bottom"/>
            <w:tcBorders>
              <w:top w:val="single" w:sz="8" w:color="auto"/>
              <w:bottom w:val="single" w:sz="8" w:color="auto"/>
              <w:right w:val="single" w:sz="8" w:color="auto"/>
            </w:tcBorders>
          </w:tcPr>
          <w:p>
            <w:pPr>
              <w:spacing w:after="0"/>
              <w:rPr>
                <w:sz w:val="24"/>
                <w:szCs w:val="24"/>
                <w:color w:val="auto"/>
              </w:rPr>
            </w:pPr>
          </w:p>
        </w:tc>
        <w:tc>
          <w:tcPr>
            <w:tcW w:w="2600" w:type="dxa"/>
            <w:vAlign w:val="bottom"/>
            <w:tcBorders>
              <w:top w:val="single" w:sz="8" w:color="auto"/>
              <w:bottom w:val="single" w:sz="8" w:color="auto"/>
              <w:right w:val="single" w:sz="8" w:color="auto"/>
            </w:tcBorders>
          </w:tcPr>
          <w:p>
            <w:pPr>
              <w:spacing w:after="0"/>
              <w:rPr>
                <w:sz w:val="24"/>
                <w:szCs w:val="24"/>
                <w:color w:val="auto"/>
              </w:rPr>
            </w:pP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b w:val="1"/>
                <w:bCs w:val="1"/>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b w:val="1"/>
                <w:bCs w:val="1"/>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b w:val="1"/>
                <w:bCs w:val="1"/>
                <w:color w:val="auto"/>
              </w:rPr>
              <w:t>***</w:t>
            </w: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1180" w:type="dxa"/>
            <w:vAlign w:val="bottom"/>
            <w:tcBorders>
              <w:left w:val="single" w:sz="8" w:color="auto"/>
              <w:bottom w:val="single" w:sz="8" w:color="auto"/>
            </w:tcBorders>
            <w:gridSpan w:val="2"/>
          </w:tcPr>
          <w:p>
            <w:pPr>
              <w:jc w:val="right"/>
              <w:ind w:right="8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5"/>
        </w:trPr>
        <w:tc>
          <w:tcPr>
            <w:tcW w:w="1180" w:type="dxa"/>
            <w:vAlign w:val="bottom"/>
            <w:gridSpan w:val="2"/>
          </w:tcPr>
          <w:p>
            <w:pPr>
              <w:jc w:val="right"/>
              <w:ind w:right="852"/>
              <w:spacing w:after="0"/>
              <w:rPr>
                <w:sz w:val="20"/>
                <w:szCs w:val="20"/>
                <w:color w:val="auto"/>
              </w:rPr>
            </w:pPr>
            <w:r>
              <w:rPr>
                <w:rFonts w:ascii="Arial" w:cs="Arial" w:eastAsia="Arial" w:hAnsi="Arial"/>
                <w:sz w:val="14"/>
                <w:szCs w:val="14"/>
                <w:color w:val="auto"/>
                <w:w w:val="85"/>
              </w:rPr>
              <w:t>Key:</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59"/>
        </w:trPr>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160" w:type="dxa"/>
            <w:vAlign w:val="bottom"/>
            <w:tcBorders>
              <w:right w:val="single" w:sz="8" w:color="auto"/>
            </w:tcBorders>
          </w:tcPr>
          <w:p>
            <w:pPr>
              <w:spacing w:after="0"/>
              <w:rPr>
                <w:sz w:val="13"/>
                <w:szCs w:val="13"/>
                <w:color w:val="auto"/>
              </w:rPr>
            </w:pPr>
          </w:p>
        </w:tc>
        <w:tc>
          <w:tcPr>
            <w:tcW w:w="1020" w:type="dxa"/>
            <w:vAlign w:val="bottom"/>
            <w:tcBorders>
              <w:top w:val="single" w:sz="8" w:color="auto"/>
              <w:bottom w:val="single" w:sz="8" w:color="auto"/>
              <w:right w:val="single" w:sz="8" w:color="auto"/>
            </w:tcBorders>
          </w:tcPr>
          <w:p>
            <w:pPr>
              <w:jc w:val="right"/>
              <w:ind w:right="672"/>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right w:val="single" w:sz="8" w:color="auto"/>
            </w:tcBorders>
          </w:tcPr>
          <w:p>
            <w:pPr>
              <w:jc w:val="right"/>
              <w:ind w:right="772"/>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160" w:type="dxa"/>
            <w:vAlign w:val="bottom"/>
            <w:tcBorders>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shd w:val="clear" w:color="auto" w:fill="1EA000"/>
          </w:tcPr>
          <w:p>
            <w:pPr>
              <w:jc w:val="right"/>
              <w:ind w:right="672"/>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772"/>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160" w:type="dxa"/>
            <w:vAlign w:val="bottom"/>
            <w:tcBorders>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shd w:val="clear" w:color="auto" w:fill="EFFF0A"/>
          </w:tcPr>
          <w:p>
            <w:pPr>
              <w:jc w:val="right"/>
              <w:ind w:right="672"/>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772"/>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160" w:type="dxa"/>
            <w:vAlign w:val="bottom"/>
            <w:tcBorders>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shd w:val="clear" w:color="auto" w:fill="FF0200"/>
          </w:tcPr>
          <w:p>
            <w:pPr>
              <w:jc w:val="right"/>
              <w:ind w:right="672"/>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772"/>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720" w:hanging="1135"/>
        <w:spacing w:after="0" w:line="341" w:lineRule="auto"/>
        <w:tabs>
          <w:tab w:leader="none" w:pos="2944" w:val="left"/>
        </w:tabs>
        <w:numPr>
          <w:ilvl w:val="0"/>
          <w:numId w:val="52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80"/>
          </w:cols>
          <w:pgMar w:left="220" w:top="234" w:right="199" w:bottom="1440" w:gutter="0" w:footer="0" w:header="0"/>
        </w:sectPr>
      </w:pPr>
    </w:p>
    <w:bookmarkStart w:id="522" w:name="page523"/>
    <w:bookmarkEnd w:id="522"/>
    <w:tbl>
      <w:tblPr>
        <w:tblLayout w:type="fixed"/>
        <w:tblInd w:w="1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Schedule 1.81</w:t>
            </w:r>
          </w:p>
        </w:tc>
        <w:tc>
          <w:tcPr>
            <w:tcW w:w="2640" w:type="dxa"/>
            <w:vAlign w:val="bottom"/>
            <w:gridSpan w:val="2"/>
          </w:tcPr>
          <w:p>
            <w:pPr>
              <w:spacing w:after="0"/>
              <w:rPr>
                <w:sz w:val="14"/>
                <w:szCs w:val="14"/>
                <w:color w:val="auto"/>
              </w:rPr>
            </w:pPr>
          </w:p>
        </w:tc>
        <w:tc>
          <w:tcPr>
            <w:tcW w:w="2700" w:type="dxa"/>
            <w:vAlign w:val="bottom"/>
          </w:tcPr>
          <w:p>
            <w:pPr>
              <w:spacing w:after="0"/>
              <w:rPr>
                <w:sz w:val="14"/>
                <w:szCs w:val="14"/>
                <w:color w:val="auto"/>
              </w:rPr>
            </w:pPr>
          </w:p>
        </w:tc>
      </w:tr>
      <w:tr>
        <w:trPr>
          <w:trHeight w:val="273"/>
        </w:trPr>
        <w:tc>
          <w:tcPr>
            <w:tcW w:w="3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4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98"/>
              </w:rPr>
              <w:t>SOPD CANDIDATE CRITERIA TEMPLATE</w:t>
            </w:r>
          </w:p>
        </w:tc>
        <w:tc>
          <w:tcPr>
            <w:tcW w:w="2700" w:type="dxa"/>
            <w:vAlign w:val="bottom"/>
          </w:tcPr>
          <w:p>
            <w:pPr>
              <w:spacing w:after="0"/>
              <w:rPr>
                <w:sz w:val="23"/>
                <w:szCs w:val="23"/>
                <w:color w:val="auto"/>
              </w:rPr>
            </w:pPr>
          </w:p>
        </w:tc>
      </w:tr>
      <w:tr>
        <w:trPr>
          <w:trHeight w:val="168"/>
        </w:trPr>
        <w:tc>
          <w:tcPr>
            <w:tcW w:w="3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r>
      <w:tr>
        <w:trPr>
          <w:trHeight w:val="345"/>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1EA000"/>
          </w:tcPr>
          <w:p>
            <w:pPr>
              <w:spacing w:after="0"/>
              <w:rPr>
                <w:sz w:val="24"/>
                <w:szCs w:val="24"/>
                <w:color w:val="auto"/>
              </w:rPr>
            </w:pPr>
          </w:p>
        </w:tc>
        <w:tc>
          <w:tcPr>
            <w:tcW w:w="440" w:type="dxa"/>
            <w:vAlign w:val="bottom"/>
            <w:tcBorders>
              <w:bottom w:val="single" w:sz="8" w:color="auto"/>
            </w:tcBorders>
            <w:shd w:val="clear" w:color="auto" w:fill="1EA000"/>
          </w:tcPr>
          <w:p>
            <w:pPr>
              <w:spacing w:after="0"/>
              <w:rPr>
                <w:sz w:val="24"/>
                <w:szCs w:val="24"/>
                <w:color w:val="auto"/>
              </w:rPr>
            </w:pPr>
          </w:p>
        </w:tc>
        <w:tc>
          <w:tcPr>
            <w:tcW w:w="960" w:type="dxa"/>
            <w:vAlign w:val="bottom"/>
            <w:tcBorders>
              <w:bottom w:val="single" w:sz="8" w:color="auto"/>
            </w:tcBorders>
            <w:shd w:val="clear" w:color="auto" w:fill="1EA000"/>
          </w:tcPr>
          <w:p>
            <w:pPr>
              <w:spacing w:after="0"/>
              <w:rPr>
                <w:sz w:val="24"/>
                <w:szCs w:val="24"/>
                <w:color w:val="auto"/>
              </w:rPr>
            </w:pPr>
          </w:p>
        </w:tc>
        <w:tc>
          <w:tcPr>
            <w:tcW w:w="800" w:type="dxa"/>
            <w:vAlign w:val="bottom"/>
            <w:tcBorders>
              <w:bottom w:val="single" w:sz="8" w:color="auto"/>
              <w:right w:val="single" w:sz="8" w:color="auto"/>
            </w:tcBorders>
            <w:shd w:val="clear" w:color="auto" w:fill="1EA000"/>
          </w:tcPr>
          <w:p>
            <w:pPr>
              <w:spacing w:after="0"/>
              <w:rPr>
                <w:sz w:val="24"/>
                <w:szCs w:val="24"/>
                <w:color w:val="auto"/>
              </w:rPr>
            </w:pPr>
          </w:p>
        </w:tc>
        <w:tc>
          <w:tcPr>
            <w:tcW w:w="940" w:type="dxa"/>
            <w:vAlign w:val="bottom"/>
            <w:tcBorders>
              <w:bottom w:val="single" w:sz="8" w:color="auto"/>
            </w:tcBorders>
            <w:shd w:val="clear" w:color="auto" w:fill="EFFF0A"/>
          </w:tcPr>
          <w:p>
            <w:pPr>
              <w:spacing w:after="0"/>
              <w:rPr>
                <w:sz w:val="24"/>
                <w:szCs w:val="24"/>
                <w:color w:val="auto"/>
              </w:rPr>
            </w:pPr>
          </w:p>
        </w:tc>
        <w:tc>
          <w:tcPr>
            <w:tcW w:w="1700" w:type="dxa"/>
            <w:vAlign w:val="bottom"/>
            <w:tcBorders>
              <w:bottom w:val="single" w:sz="8" w:color="auto"/>
              <w:right w:val="single" w:sz="8" w:color="auto"/>
            </w:tcBorders>
            <w:shd w:val="clear" w:color="auto" w:fill="EFFF0A"/>
          </w:tcPr>
          <w:p>
            <w:pPr>
              <w:spacing w:after="0"/>
              <w:rPr>
                <w:sz w:val="24"/>
                <w:szCs w:val="24"/>
                <w:color w:val="auto"/>
              </w:rPr>
            </w:pPr>
          </w:p>
        </w:tc>
        <w:tc>
          <w:tcPr>
            <w:tcW w:w="2700" w:type="dxa"/>
            <w:vAlign w:val="bottom"/>
            <w:tcBorders>
              <w:bottom w:val="single" w:sz="8" w:color="auto"/>
              <w:right w:val="single" w:sz="8" w:color="auto"/>
            </w:tcBorders>
            <w:shd w:val="clear" w:color="auto" w:fill="FF0200"/>
          </w:tcPr>
          <w:p>
            <w:pPr>
              <w:spacing w:after="0"/>
              <w:rPr>
                <w:sz w:val="24"/>
                <w:szCs w:val="24"/>
                <w:color w:val="auto"/>
              </w:rPr>
            </w:pP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13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13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13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100" w:type="dxa"/>
            <w:vAlign w:val="bottom"/>
            <w:tcBorders>
              <w:left w:val="single" w:sz="8" w:color="auto"/>
              <w:bottom w:val="single" w:sz="8" w:color="auto"/>
            </w:tcBorders>
          </w:tcPr>
          <w:p>
            <w:pPr>
              <w:jc w:val="right"/>
              <w:ind w:right="27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13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r>
        <w:trPr>
          <w:trHeight w:val="346"/>
        </w:trPr>
        <w:tc>
          <w:tcPr>
            <w:tcW w:w="3100" w:type="dxa"/>
            <w:vAlign w:val="bottom"/>
            <w:tcBorders>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color w:val="auto"/>
              </w:rPr>
              <w: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3840" w:right="2720" w:hanging="1135"/>
        <w:spacing w:after="0" w:line="351" w:lineRule="auto"/>
        <w:tabs>
          <w:tab w:leader="none" w:pos="2944" w:val="left"/>
        </w:tabs>
        <w:numPr>
          <w:ilvl w:val="0"/>
          <w:numId w:val="52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80"/>
          </w:cols>
          <w:pgMar w:left="220" w:top="229" w:right="199" w:bottom="1440" w:gutter="0" w:footer="0" w:header="0"/>
        </w:sectPr>
      </w:pPr>
    </w:p>
    <w:bookmarkStart w:id="523" w:name="page524"/>
    <w:bookmarkEnd w:id="523"/>
    <w:tbl>
      <w:tblPr>
        <w:tblLayout w:type="fixed"/>
        <w:tblInd w:w="10" w:type="dxa"/>
        <w:tblCellMar>
          <w:top w:w="0" w:type="dxa"/>
          <w:left w:w="0" w:type="dxa"/>
          <w:bottom w:w="0" w:type="dxa"/>
          <w:right w:w="0" w:type="dxa"/>
        </w:tblCellMar>
      </w:tblPr>
      <w:tr>
        <w:trPr>
          <w:trHeight w:val="365"/>
        </w:trPr>
        <w:tc>
          <w:tcPr>
            <w:tcW w:w="640" w:type="dxa"/>
            <w:vAlign w:val="bottom"/>
            <w:tcBorders>
              <w:top w:val="single" w:sz="8" w:color="auto"/>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580" w:type="dxa"/>
            <w:vAlign w:val="bottom"/>
            <w:tcBorders>
              <w:top w:val="single" w:sz="8" w:color="auto"/>
              <w:bottom w:val="single" w:sz="8" w:color="auto"/>
              <w:right w:val="single" w:sz="8" w:color="auto"/>
            </w:tcBorders>
          </w:tcPr>
          <w:p>
            <w:pPr>
              <w:spacing w:after="0"/>
              <w:rPr>
                <w:sz w:val="24"/>
                <w:szCs w:val="24"/>
                <w:color w:val="auto"/>
              </w:rPr>
            </w:pPr>
          </w:p>
        </w:tc>
        <w:tc>
          <w:tcPr>
            <w:tcW w:w="2940" w:type="dxa"/>
            <w:vAlign w:val="bottom"/>
            <w:tcBorders>
              <w:top w:val="single" w:sz="8" w:color="auto"/>
              <w:bottom w:val="single" w:sz="8" w:color="auto"/>
              <w:right w:val="single" w:sz="8" w:color="auto"/>
            </w:tcBorders>
            <w:shd w:val="clear" w:color="auto" w:fill="1EA000"/>
          </w:tcPr>
          <w:p>
            <w:pPr>
              <w:spacing w:after="0"/>
              <w:rPr>
                <w:sz w:val="24"/>
                <w:szCs w:val="24"/>
                <w:color w:val="auto"/>
              </w:rPr>
            </w:pPr>
          </w:p>
        </w:tc>
        <w:tc>
          <w:tcPr>
            <w:tcW w:w="2720" w:type="dxa"/>
            <w:vAlign w:val="bottom"/>
            <w:tcBorders>
              <w:top w:val="single" w:sz="8" w:color="auto"/>
              <w:bottom w:val="single" w:sz="8" w:color="auto"/>
              <w:right w:val="single" w:sz="8" w:color="auto"/>
            </w:tcBorders>
            <w:shd w:val="clear" w:color="auto" w:fill="EFFF0A"/>
          </w:tcPr>
          <w:p>
            <w:pPr>
              <w:spacing w:after="0"/>
              <w:rPr>
                <w:sz w:val="24"/>
                <w:szCs w:val="24"/>
                <w:color w:val="auto"/>
              </w:rPr>
            </w:pPr>
          </w:p>
        </w:tc>
        <w:tc>
          <w:tcPr>
            <w:tcW w:w="2600" w:type="dxa"/>
            <w:vAlign w:val="bottom"/>
            <w:tcBorders>
              <w:top w:val="single" w:sz="8" w:color="auto"/>
              <w:bottom w:val="single" w:sz="8" w:color="auto"/>
              <w:right w:val="single" w:sz="8" w:color="auto"/>
            </w:tcBorders>
            <w:shd w:val="clear" w:color="auto" w:fill="FF0200"/>
          </w:tcPr>
          <w:p>
            <w:pPr>
              <w:spacing w:after="0"/>
              <w:rPr>
                <w:sz w:val="24"/>
                <w:szCs w:val="24"/>
                <w:color w:val="auto"/>
              </w:rPr>
            </w:pP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346"/>
        </w:trPr>
        <w:tc>
          <w:tcPr>
            <w:tcW w:w="640" w:type="dxa"/>
            <w:vAlign w:val="bottom"/>
            <w:tcBorders>
              <w:left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jc w:val="right"/>
              <w:ind w:right="2472"/>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right"/>
              <w:ind w:right="2232"/>
              <w:spacing w:after="0"/>
              <w:rPr>
                <w:sz w:val="20"/>
                <w:szCs w:val="20"/>
                <w:color w:val="auto"/>
              </w:rPr>
            </w:pPr>
            <w:r>
              <w:rPr>
                <w:rFonts w:ascii="Arial" w:cs="Arial" w:eastAsia="Arial" w:hAnsi="Arial"/>
                <w:sz w:val="14"/>
                <w:szCs w:val="14"/>
                <w:color w:val="auto"/>
              </w:rPr>
              <w:t>***</w:t>
            </w:r>
          </w:p>
        </w:tc>
      </w:tr>
      <w:tr>
        <w:trPr>
          <w:trHeight w:val="282"/>
        </w:trPr>
        <w:tc>
          <w:tcPr>
            <w:tcW w:w="640" w:type="dxa"/>
            <w:vAlign w:val="bottom"/>
          </w:tcPr>
          <w:p>
            <w:pPr>
              <w:jc w:val="right"/>
              <w:ind w:right="312"/>
              <w:spacing w:after="0"/>
              <w:rPr>
                <w:sz w:val="20"/>
                <w:szCs w:val="20"/>
                <w:color w:val="auto"/>
              </w:rPr>
            </w:pPr>
            <w:r>
              <w:rPr>
                <w:rFonts w:ascii="Arial" w:cs="Arial" w:eastAsia="Arial" w:hAnsi="Arial"/>
                <w:sz w:val="14"/>
                <w:szCs w:val="14"/>
                <w:color w:val="auto"/>
                <w:w w:val="85"/>
              </w:rPr>
              <w:t>Key:</w:t>
            </w:r>
          </w:p>
        </w:tc>
        <w:tc>
          <w:tcPr>
            <w:tcW w:w="2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640" w:type="dxa"/>
            <w:vAlign w:val="bottom"/>
            <w:tcBorders>
              <w:left w:val="single" w:sz="8" w:color="auto"/>
              <w:bottom w:val="single" w:sz="8" w:color="auto"/>
              <w:right w:val="single" w:sz="8" w:color="auto"/>
            </w:tcBorders>
          </w:tcPr>
          <w:p>
            <w:pPr>
              <w:jc w:val="right"/>
              <w:ind w:right="272"/>
              <w:spacing w:after="0" w:line="157" w:lineRule="exact"/>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jc w:val="right"/>
              <w:ind w:right="1872"/>
              <w:spacing w:after="0" w:line="157" w:lineRule="exact"/>
              <w:rPr>
                <w:sz w:val="20"/>
                <w:szCs w:val="20"/>
                <w:color w:val="auto"/>
              </w:rPr>
            </w:pPr>
            <w:r>
              <w:rPr>
                <w:rFonts w:ascii="Arial" w:cs="Arial" w:eastAsia="Arial" w:hAnsi="Arial"/>
                <w:sz w:val="14"/>
                <w:szCs w:val="14"/>
                <w:color w:val="auto"/>
              </w:rPr>
              <w:t>***</w:t>
            </w: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640" w:type="dxa"/>
            <w:vAlign w:val="bottom"/>
            <w:tcBorders>
              <w:left w:val="single" w:sz="8" w:color="auto"/>
              <w:bottom w:val="single" w:sz="8" w:color="auto"/>
              <w:right w:val="single" w:sz="8" w:color="auto"/>
            </w:tcBorders>
            <w:shd w:val="clear" w:color="auto" w:fill="1EA000"/>
          </w:tcPr>
          <w:p>
            <w:pPr>
              <w:jc w:val="right"/>
              <w:ind w:right="272"/>
              <w:spacing w:after="0" w:line="157" w:lineRule="exact"/>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jc w:val="right"/>
              <w:ind w:right="1872"/>
              <w:spacing w:after="0" w:line="157" w:lineRule="exact"/>
              <w:rPr>
                <w:sz w:val="20"/>
                <w:szCs w:val="20"/>
                <w:color w:val="auto"/>
              </w:rPr>
            </w:pPr>
            <w:r>
              <w:rPr>
                <w:rFonts w:ascii="Arial" w:cs="Arial" w:eastAsia="Arial" w:hAnsi="Arial"/>
                <w:sz w:val="14"/>
                <w:szCs w:val="14"/>
                <w:color w:val="auto"/>
              </w:rPr>
              <w:t>***</w:t>
            </w: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640" w:type="dxa"/>
            <w:vAlign w:val="bottom"/>
            <w:tcBorders>
              <w:left w:val="single" w:sz="8" w:color="auto"/>
              <w:bottom w:val="single" w:sz="8" w:color="auto"/>
              <w:right w:val="single" w:sz="8" w:color="auto"/>
            </w:tcBorders>
            <w:shd w:val="clear" w:color="auto" w:fill="EFFF0A"/>
          </w:tcPr>
          <w:p>
            <w:pPr>
              <w:jc w:val="right"/>
              <w:ind w:right="272"/>
              <w:spacing w:after="0" w:line="157" w:lineRule="exact"/>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jc w:val="right"/>
              <w:ind w:right="1872"/>
              <w:spacing w:after="0" w:line="157" w:lineRule="exact"/>
              <w:rPr>
                <w:sz w:val="20"/>
                <w:szCs w:val="20"/>
                <w:color w:val="auto"/>
              </w:rPr>
            </w:pPr>
            <w:r>
              <w:rPr>
                <w:rFonts w:ascii="Arial" w:cs="Arial" w:eastAsia="Arial" w:hAnsi="Arial"/>
                <w:sz w:val="14"/>
                <w:szCs w:val="14"/>
                <w:color w:val="auto"/>
              </w:rPr>
              <w:t>***</w:t>
            </w: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640" w:type="dxa"/>
            <w:vAlign w:val="bottom"/>
            <w:tcBorders>
              <w:left w:val="single" w:sz="8" w:color="auto"/>
              <w:bottom w:val="single" w:sz="8" w:color="auto"/>
              <w:right w:val="single" w:sz="8" w:color="auto"/>
            </w:tcBorders>
            <w:shd w:val="clear" w:color="auto" w:fill="FF0200"/>
          </w:tcPr>
          <w:p>
            <w:pPr>
              <w:jc w:val="right"/>
              <w:ind w:right="272"/>
              <w:spacing w:after="0" w:line="157" w:lineRule="exact"/>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jc w:val="right"/>
              <w:ind w:right="1872"/>
              <w:spacing w:after="0" w:line="157" w:lineRule="exact"/>
              <w:rPr>
                <w:sz w:val="20"/>
                <w:szCs w:val="20"/>
                <w:color w:val="auto"/>
              </w:rPr>
            </w:pPr>
            <w:r>
              <w:rPr>
                <w:rFonts w:ascii="Arial" w:cs="Arial" w:eastAsia="Arial" w:hAnsi="Arial"/>
                <w:sz w:val="14"/>
                <w:szCs w:val="14"/>
                <w:color w:val="auto"/>
              </w:rPr>
              <w:t>***</w:t>
            </w:r>
          </w:p>
        </w:tc>
        <w:tc>
          <w:tcPr>
            <w:tcW w:w="2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720" w:hanging="1135"/>
        <w:spacing w:after="0" w:line="341" w:lineRule="auto"/>
        <w:tabs>
          <w:tab w:leader="none" w:pos="2944" w:val="left"/>
        </w:tabs>
        <w:numPr>
          <w:ilvl w:val="0"/>
          <w:numId w:val="52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80"/>
          </w:cols>
          <w:pgMar w:left="220" w:top="234" w:right="199" w:bottom="1440" w:gutter="0" w:footer="0" w:header="0"/>
        </w:sectPr>
      </w:pPr>
    </w:p>
    <w:bookmarkStart w:id="524" w:name="page525"/>
    <w:bookmarkEnd w:id="524"/>
    <w:p>
      <w:pPr>
        <w:jc w:val="center"/>
        <w:ind w:right="-12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4.5(b)I</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CO-PROMOTION TERMS AND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52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4" w:right="1440" w:bottom="1440" w:gutter="0" w:footer="0" w:header="0"/>
        </w:sectPr>
      </w:pPr>
    </w:p>
    <w:bookmarkStart w:id="525" w:name="page526"/>
    <w:bookmarkEnd w:id="525"/>
    <w:p>
      <w:pPr>
        <w:jc w:val="center"/>
        <w:ind w:right="-12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4.5(b)II</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DISPUTE RESOLUTION PROCEDURES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52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4" w:right="1440"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8.4</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835660" cy="4641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35660" cy="46418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135890</wp:posOffset>
            </wp:positionV>
            <wp:extent cx="1266825" cy="4381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6682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Boehringer Ingelheim and MacroGenics Announce Global Alliance to Discover,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Develop and Commercialize DART™-Based Antibody Therapeutics</w:t>
      </w:r>
    </w:p>
    <w:p>
      <w:pPr>
        <w:spacing w:after="0" w:line="124" w:lineRule="exact"/>
        <w:rPr>
          <w:sz w:val="20"/>
          <w:szCs w:val="20"/>
          <w:color w:val="auto"/>
        </w:rPr>
      </w:pPr>
    </w:p>
    <w:p>
      <w:pPr>
        <w:spacing w:after="0"/>
        <w:tabs>
          <w:tab w:leader="none" w:pos="3640" w:val="left"/>
        </w:tabs>
        <w:rPr>
          <w:sz w:val="20"/>
          <w:szCs w:val="20"/>
          <w:color w:val="auto"/>
        </w:rPr>
      </w:pPr>
      <w:r>
        <w:rPr>
          <w:rFonts w:ascii="Arial" w:cs="Arial" w:eastAsia="Arial" w:hAnsi="Arial"/>
          <w:sz w:val="14"/>
          <w:szCs w:val="14"/>
          <w:b w:val="1"/>
          <w:bCs w:val="1"/>
          <w:color w:val="auto"/>
        </w:rPr>
        <w:t>INGELHEIM, Germany and ROCKVILLE, MD, USA,</w:t>
      </w:r>
      <w:r>
        <w:rPr>
          <w:sz w:val="20"/>
          <w:szCs w:val="20"/>
          <w:color w:val="auto"/>
        </w:rPr>
        <w:tab/>
      </w:r>
      <w:r>
        <w:rPr>
          <w:rFonts w:ascii="Arial" w:cs="Arial" w:eastAsia="Arial" w:hAnsi="Arial"/>
          <w:sz w:val="12"/>
          <w:szCs w:val="12"/>
          <w:b w:val="1"/>
          <w:bCs w:val="1"/>
          <w:color w:val="auto"/>
        </w:rPr>
        <w:t xml:space="preserve">, 2010 </w:t>
      </w:r>
      <w:r>
        <w:rPr>
          <w:rFonts w:ascii="Arial" w:cs="Arial" w:eastAsia="Arial" w:hAnsi="Arial"/>
          <w:sz w:val="12"/>
          <w:szCs w:val="12"/>
          <w:color w:val="auto"/>
        </w:rPr>
        <w:t>— Boehringer Ingelheim and MacroGenics today jointly announced that they have entered into a global alliance to discover, develop</w:t>
      </w:r>
    </w:p>
    <w:p>
      <w:pPr>
        <w:spacing w:after="0" w:line="14" w:lineRule="exact"/>
        <w:rPr>
          <w:sz w:val="20"/>
          <w:szCs w:val="20"/>
          <w:color w:val="auto"/>
        </w:rPr>
      </w:pPr>
    </w:p>
    <w:p>
      <w:pPr>
        <w:ind w:right="260"/>
        <w:spacing w:after="0" w:line="341" w:lineRule="auto"/>
        <w:rPr>
          <w:sz w:val="20"/>
          <w:szCs w:val="20"/>
          <w:color w:val="auto"/>
        </w:rPr>
      </w:pPr>
      <w:r>
        <w:rPr>
          <w:rFonts w:ascii="Arial" w:cs="Arial" w:eastAsia="Arial" w:hAnsi="Arial"/>
          <w:sz w:val="12"/>
          <w:szCs w:val="12"/>
          <w:color w:val="auto"/>
        </w:rPr>
        <w:t>and commercialize antibody-based therapeutics which may span multiple therapeutic areas, including immunology, oncology, respiratory, cardiometabolic and infectious diseases. These developmental drug candidates will be based on MacroGenics’ Dual-Affinity Re-Targeting (DART™) platform and will be directed against up to ten combinations of molecular targets.</w:t>
      </w:r>
    </w:p>
    <w:p>
      <w:pPr>
        <w:spacing w:after="0" w:line="62" w:lineRule="exact"/>
        <w:rPr>
          <w:sz w:val="20"/>
          <w:szCs w:val="20"/>
          <w:color w:val="auto"/>
        </w:rPr>
      </w:pPr>
    </w:p>
    <w:p>
      <w:pPr>
        <w:ind w:right="200"/>
        <w:spacing w:after="0" w:line="351" w:lineRule="auto"/>
        <w:rPr>
          <w:sz w:val="20"/>
          <w:szCs w:val="20"/>
          <w:color w:val="auto"/>
        </w:rPr>
      </w:pPr>
      <w:r>
        <w:rPr>
          <w:rFonts w:ascii="Arial" w:cs="Arial" w:eastAsia="Arial" w:hAnsi="Arial"/>
          <w:sz w:val="12"/>
          <w:szCs w:val="12"/>
          <w:color w:val="auto"/>
        </w:rPr>
        <w:t>“This alliance represents the largest external commitment to our DART platform to date and the latest validation of our ongoing efforts” said Dr. Scott Koenig, MacroGenics’ President and Chief Executive Officer. “We are very pleased to be collaborating with the global pharmaceutical research-driven company Boehringer Ingelheim toward the goal of developing next-generation, antibody-based therapeutics.”</w:t>
      </w:r>
    </w:p>
    <w:p>
      <w:pPr>
        <w:spacing w:after="0" w:line="56"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“Combining MacroGenics’ innovative DART-based antibody platform with our experience and capabilities in drug discovery and development has the potential to generate breakthrough medicines that will help patients with a range of diseases which cannot be adequately treated at present,” said Prof Wolfgang Rettig, Senior Vice President Corporate Research of Boehringer Ingelheim.</w:t>
      </w:r>
    </w:p>
    <w:p>
      <w:pPr>
        <w:spacing w:after="0" w:line="56" w:lineRule="exact"/>
        <w:rPr>
          <w:sz w:val="20"/>
          <w:szCs w:val="20"/>
          <w:color w:val="auto"/>
        </w:rPr>
      </w:pPr>
    </w:p>
    <w:p>
      <w:pPr>
        <w:ind w:right="480"/>
        <w:spacing w:after="0" w:line="267" w:lineRule="auto"/>
        <w:rPr>
          <w:sz w:val="20"/>
          <w:szCs w:val="20"/>
          <w:color w:val="auto"/>
        </w:rPr>
      </w:pPr>
      <w:r>
        <w:rPr>
          <w:rFonts w:ascii="Arial" w:cs="Arial" w:eastAsia="Arial" w:hAnsi="Arial"/>
          <w:sz w:val="14"/>
          <w:szCs w:val="14"/>
          <w:color w:val="auto"/>
        </w:rPr>
        <w:t>Both companies will share responsibility for discovery and certain preclinical activities. In addition, Boehringer Ingelheim will have sole responsibility for all subsequent preclinical, clinical, regulatory, commercial and manufacturing activities for any DART-based product resulting from the collaboration.</w:t>
      </w:r>
    </w:p>
    <w:p>
      <w:pPr>
        <w:spacing w:after="0" w:line="101" w:lineRule="exact"/>
        <w:rPr>
          <w:sz w:val="20"/>
          <w:szCs w:val="20"/>
          <w:color w:val="auto"/>
        </w:rPr>
      </w:pPr>
    </w:p>
    <w:p>
      <w:pPr>
        <w:jc w:val="both"/>
        <w:ind w:right="60"/>
        <w:spacing w:after="0" w:line="321" w:lineRule="auto"/>
        <w:rPr>
          <w:sz w:val="20"/>
          <w:szCs w:val="20"/>
          <w:color w:val="auto"/>
        </w:rPr>
      </w:pPr>
      <w:r>
        <w:rPr>
          <w:rFonts w:ascii="Arial" w:cs="Arial" w:eastAsia="Arial" w:hAnsi="Arial"/>
          <w:sz w:val="12"/>
          <w:szCs w:val="12"/>
          <w:color w:val="auto"/>
        </w:rPr>
        <w:t>During the first three years of the collaboration, MacroGenics expects to receive payments of about $60 million, which includes an upfront cash payment, annual maintenance fees, R&amp;D funding, and near-term research-based milestones. Boehringer Ingelheim also expects to make a future equity investment in MacroGenics. In addition, MacroGenics may be eligible to receive development, regulatory and commercial milestone payments that can reach up to $210 million for each of the ten DART programs in case of full commercial success of multiple DART</w:t>
      </w:r>
    </w:p>
    <w:p>
      <w:pPr>
        <w:spacing w:after="0" w:line="63" w:lineRule="exact"/>
        <w:rPr>
          <w:sz w:val="20"/>
          <w:szCs w:val="20"/>
          <w:color w:val="auto"/>
        </w:rPr>
      </w:pPr>
    </w:p>
    <w:p>
      <w:pPr>
        <w:ind w:left="3840" w:right="2680" w:hanging="1135"/>
        <w:spacing w:after="0" w:line="351" w:lineRule="auto"/>
        <w:tabs>
          <w:tab w:leader="none" w:pos="2944" w:val="left"/>
        </w:tabs>
        <w:numPr>
          <w:ilvl w:val="0"/>
          <w:numId w:val="52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5" w:right="239" w:bottom="1440" w:gutter="0" w:footer="0" w:header="0"/>
        </w:sectPr>
      </w:pPr>
    </w:p>
    <w:bookmarkStart w:id="527" w:name="page528"/>
    <w:bookmarkEnd w:id="52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products. MacroGenics may also receive tiered royalties on net product sales. MacroGenics has the option to co-promote certain DART products in the United States. Further financial details were not disclosed.</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DART Background</w:t>
      </w:r>
    </w:p>
    <w:p>
      <w:pPr>
        <w:spacing w:after="0" w:line="71" w:lineRule="exact"/>
        <w:rPr>
          <w:sz w:val="20"/>
          <w:szCs w:val="20"/>
          <w:color w:val="auto"/>
        </w:rPr>
      </w:pPr>
    </w:p>
    <w:p>
      <w:pPr>
        <w:ind w:right="540"/>
        <w:spacing w:after="0" w:line="321" w:lineRule="auto"/>
        <w:rPr>
          <w:sz w:val="20"/>
          <w:szCs w:val="20"/>
          <w:color w:val="auto"/>
        </w:rPr>
      </w:pPr>
      <w:r>
        <w:rPr>
          <w:rFonts w:ascii="Arial" w:cs="Arial" w:eastAsia="Arial" w:hAnsi="Arial"/>
          <w:sz w:val="12"/>
          <w:szCs w:val="12"/>
          <w:color w:val="auto"/>
        </w:rPr>
        <w:t>The DART platform is a bispecific antibody technology that enables the generation of highly stable antibody-based therapeutic molecules that can simultaneously target two different antigens. DART therapeutics can accommodate virtually any variable region sequence in a “plug-and-play” fashion and have very favorable manufacturing properties. DART proteins are available in both bacterial and mammalian expression systems. DARTs have also been engineered with an Fc domain, which confers them with additional properties, such as Fc receptor binding and extended half-life.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MacroGenics</w:t>
      </w:r>
    </w:p>
    <w:p>
      <w:pPr>
        <w:spacing w:after="0" w:line="71" w:lineRule="exact"/>
        <w:rPr>
          <w:sz w:val="20"/>
          <w:szCs w:val="20"/>
          <w:color w:val="auto"/>
        </w:rPr>
      </w:pPr>
    </w:p>
    <w:p>
      <w:pPr>
        <w:ind w:right="60"/>
        <w:spacing w:after="0" w:line="305" w:lineRule="auto"/>
        <w:rPr>
          <w:sz w:val="20"/>
          <w:szCs w:val="20"/>
          <w:color w:val="auto"/>
        </w:rPr>
      </w:pPr>
      <w:r>
        <w:rPr>
          <w:rFonts w:ascii="Arial" w:cs="Arial" w:eastAsia="Arial" w:hAnsi="Arial"/>
          <w:sz w:val="12"/>
          <w:szCs w:val="12"/>
          <w:color w:val="auto"/>
        </w:rPr>
        <w:t>MacroGenics is a private, venture-backed biotechnology company that focuses on the discovery, development and delivery to patients of novel biologics for autoimmune disorders, cancer and infectious diseases. Since its founding in 2000, the company has built a fully-integrated set of capabilities in antibody-based product development. The company has generated a proprietary pipeline of innovative product candidates by leveraging its three core technology platforms. These proprietary platforms include: (1) cancer stem-like cells; (2) DART technology, which allows the company to incorporate multiple specificities within a single molecule; and (3) Fc optimization, which enhances antibody-dependent effector functions. The company’s lead program, teplizumab, is an anti-CD3 antibody. Teplizumab is being investigated in Phase 3 trials for the treatment of autoimmune diseases in collaboration with Eli Lilly and Company. For more information about MacroGenics, please visit www.macrogenics.com.</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Boehringer Ingelheim</w:t>
      </w:r>
    </w:p>
    <w:p>
      <w:pPr>
        <w:spacing w:after="0" w:line="7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Boehringer Ingelheim group is one of the world’s 20 leading pharmaceutical companies. Headquartered in Ingelheim, Germany, it operates globally with 142 affiliates in 50 countries and more than 41,500 employees. Since it was founded in 1885, the family-owned company has been committed to researching, developing, manufacturing and marketing novel products of high therapeutic value for human and veterinary medicine.</w:t>
      </w:r>
    </w:p>
    <w:p>
      <w:pPr>
        <w:spacing w:after="0" w:line="108"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In 2009, Boehringer Ingelheim posted net sales of 12.7 billion euro while spending 21% of net sales in its largest business segment Prescription Medicines on research and development. For more information about Boehringer Ingelheim, please visit www.boehringer-ingelheim.com.</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3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28" w:name="page529"/>
    <w:bookmarkEnd w:id="528"/>
    <w:p>
      <w:pPr>
        <w:spacing w:after="0" w:line="305"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Statements made in this news release that are not historical facts are forward-looking statements within the meaning of the Private Securities Litigation Reform Act of 1995. Words such as “expects,” “believes,” “intends,” and similar expressions are intended to identify forward-looking statements. Actual results may differ materially from those projected in any forward-looking statement. Specifically, there are a number of important factors that could cause actual results to differ materially from those anticipated, such as MacroGenics’ ability to raise additional capital, and risks related to MacroGenics’ and Boehringer Ingelheim’s ability to initiate, and enroll patients in, planned clinical trials. You should not place undue reliance on any forward-looking statements. Neither MacroGenics nor Boehringer Ingelheim assume any obligation to update any forward-looking statements as a result of new information, future events or developments, except as required by law.</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w:t>
      </w:r>
    </w:p>
    <w:p>
      <w:pPr>
        <w:sectPr>
          <w:pgSz w:w="11900" w:h="16838" w:orient="portrait"/>
          <w:cols w:equalWidth="0" w:num="1">
            <w:col w:w="11460"/>
          </w:cols>
          <w:pgMar w:left="220" w:top="247" w:right="21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MacroGenics: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Scott Koenig, M.D., Ph.D., President and CEO</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or Jim Karrels, Vice President, CFO</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+1-301-251-5172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info@macrogenics.com</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Boehringer Ingelheim GmbH:</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Director Corporate Communications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Julia Meyer-Kleinmann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+49/6132/77 82 71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press@boehringer-ingelheim.com</w:t>
      </w:r>
    </w:p>
    <w:p>
      <w:pPr>
        <w:spacing w:after="0" w:line="149" w:lineRule="exact"/>
        <w:rPr>
          <w:sz w:val="20"/>
          <w:szCs w:val="20"/>
          <w:color w:val="auto"/>
        </w:rPr>
      </w:pPr>
    </w:p>
    <w:p>
      <w:pPr>
        <w:sectPr>
          <w:pgSz w:w="11900" w:h="16838" w:orient="portrait"/>
          <w:cols w:equalWidth="0" w:num="2">
            <w:col w:w="5180" w:space="720"/>
            <w:col w:w="5560"/>
          </w:cols>
          <w:pgMar w:left="220" w:top="247"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460"/>
          </w:cols>
          <w:pgMar w:left="220" w:top="247" w:right="219"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3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type w:val="continuous"/>
        </w:sectPr>
      </w:pPr>
    </w:p>
    <w:bookmarkStart w:id="529" w:name="page530"/>
    <w:bookmarkEnd w:id="529"/>
    <w:p>
      <w:pPr>
        <w:jc w:val="right"/>
        <w:spacing w:after="0"/>
        <w:rPr>
          <w:sz w:val="20"/>
          <w:szCs w:val="20"/>
          <w:color w:val="auto"/>
        </w:rPr>
      </w:pPr>
      <w:r>
        <w:rPr>
          <w:rFonts w:ascii="Arial" w:cs="Arial" w:eastAsia="Arial" w:hAnsi="Arial"/>
          <w:sz w:val="14"/>
          <w:szCs w:val="14"/>
          <w:b w:val="1"/>
          <w:bCs w:val="1"/>
          <w:color w:val="auto"/>
        </w:rPr>
        <w:t>Exhibit 10.16</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EXECUTION COPY</w:t>
      </w:r>
    </w:p>
    <w:p>
      <w:pPr>
        <w:spacing w:after="0" w:line="134" w:lineRule="exact"/>
        <w:rPr>
          <w:sz w:val="20"/>
          <w:szCs w:val="20"/>
          <w:color w:val="auto"/>
        </w:rPr>
      </w:pPr>
    </w:p>
    <w:p>
      <w:pPr>
        <w:jc w:val="center"/>
        <w:ind w:right="1200"/>
        <w:spacing w:after="0"/>
        <w:rPr>
          <w:sz w:val="20"/>
          <w:szCs w:val="20"/>
          <w:color w:val="auto"/>
        </w:rPr>
      </w:pPr>
      <w:r>
        <w:rPr>
          <w:rFonts w:ascii="Arial" w:cs="Arial" w:eastAsia="Arial" w:hAnsi="Arial"/>
          <w:sz w:val="11"/>
          <w:szCs w:val="11"/>
          <w:b w:val="1"/>
          <w:bCs w:val="1"/>
          <w:i w:val="1"/>
          <w:iCs w:val="1"/>
          <w:color w:val="auto"/>
        </w:rPr>
        <w:t>Confidential Materials omitted and filed separately with the Securities and Exchange Commission.</w:t>
      </w:r>
    </w:p>
    <w:p>
      <w:pPr>
        <w:spacing w:after="0" w:line="4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LICENSE AGREEMENT</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BY AND BETWEEN</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GILEAD SCIENCES, INC.</w:t>
      </w:r>
    </w:p>
    <w:p>
      <w:pPr>
        <w:sectPr>
          <w:pgSz w:w="11900" w:h="16838" w:orient="portrait"/>
          <w:cols w:equalWidth="0" w:num="1">
            <w:col w:w="10240"/>
          </w:cols>
          <w:pgMar w:left="1440" w:top="130" w:right="219" w:bottom="1440" w:gutter="0" w:footer="0" w:header="0"/>
        </w:sectPr>
      </w:pPr>
    </w:p>
    <w:bookmarkStart w:id="530" w:name="page531"/>
    <w:bookmarkEnd w:id="530"/>
    <w:tbl>
      <w:tblPr>
        <w:tblLayout w:type="fixed"/>
        <w:tblInd w:w="0" w:type="dxa"/>
        <w:tblCellMar>
          <w:top w:w="0" w:type="dxa"/>
          <w:left w:w="0" w:type="dxa"/>
          <w:bottom w:w="0" w:type="dxa"/>
          <w:right w:w="0" w:type="dxa"/>
        </w:tblCellMar>
      </w:tblPr>
      <w:tr>
        <w:trPr>
          <w:trHeight w:val="175"/>
        </w:trPr>
        <w:tc>
          <w:tcPr>
            <w:tcW w:w="9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420" w:type="dxa"/>
            <w:vAlign w:val="bottom"/>
          </w:tcPr>
          <w:p>
            <w:pPr>
              <w:jc w:val="right"/>
              <w:ind w:right="5093"/>
              <w:spacing w:after="0"/>
              <w:rPr>
                <w:sz w:val="20"/>
                <w:szCs w:val="20"/>
                <w:color w:val="auto"/>
              </w:rPr>
            </w:pPr>
            <w:r>
              <w:rPr>
                <w:rFonts w:ascii="Arial" w:cs="Arial" w:eastAsia="Arial" w:hAnsi="Arial"/>
                <w:sz w:val="14"/>
                <w:szCs w:val="14"/>
                <w:b w:val="1"/>
                <w:bCs w:val="1"/>
                <w:color w:val="auto"/>
              </w:rPr>
              <w:t>Table of Contents</w:t>
            </w:r>
          </w:p>
        </w:tc>
      </w:tr>
      <w:tr>
        <w:trPr>
          <w:trHeight w:val="283"/>
        </w:trPr>
        <w:tc>
          <w:tcPr>
            <w:tcW w:w="9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0"/>
                <w:szCs w:val="10"/>
                <w:color w:val="auto"/>
              </w:rPr>
              <w:t>Page</w:t>
            </w:r>
          </w:p>
        </w:tc>
      </w:tr>
      <w:tr>
        <w:trPr>
          <w:trHeight w:val="240"/>
        </w:trPr>
        <w:tc>
          <w:tcPr>
            <w:tcW w:w="980" w:type="dxa"/>
            <w:vAlign w:val="bottom"/>
          </w:tcPr>
          <w:p>
            <w:pPr>
              <w:spacing w:after="0"/>
              <w:rPr>
                <w:sz w:val="20"/>
                <w:szCs w:val="20"/>
                <w:color w:val="auto"/>
              </w:rPr>
            </w:pPr>
            <w:r>
              <w:rPr>
                <w:rFonts w:ascii="Arial" w:cs="Arial" w:eastAsia="Arial" w:hAnsi="Arial"/>
                <w:sz w:val="14"/>
                <w:szCs w:val="14"/>
                <w:color w:val="auto"/>
              </w:rPr>
              <w:t>ARTICLE 1</w:t>
            </w:r>
          </w:p>
        </w:tc>
        <w:tc>
          <w:tcPr>
            <w:tcW w:w="4000" w:type="dxa"/>
            <w:vAlign w:val="bottom"/>
          </w:tcPr>
          <w:p>
            <w:pPr>
              <w:ind w:left="260"/>
              <w:spacing w:after="0"/>
              <w:rPr>
                <w:sz w:val="20"/>
                <w:szCs w:val="20"/>
                <w:color w:val="auto"/>
              </w:rPr>
            </w:pPr>
            <w:r>
              <w:rPr>
                <w:rFonts w:ascii="Arial" w:cs="Arial" w:eastAsia="Arial" w:hAnsi="Arial"/>
                <w:sz w:val="14"/>
                <w:szCs w:val="14"/>
                <w:color w:val="auto"/>
              </w:rPr>
              <w:t>DEFINITIONS</w:t>
            </w:r>
          </w:p>
        </w:tc>
        <w:tc>
          <w:tcPr>
            <w:tcW w:w="64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2</w:t>
            </w:r>
          </w:p>
        </w:tc>
        <w:tc>
          <w:tcPr>
            <w:tcW w:w="4000" w:type="dxa"/>
            <w:vAlign w:val="bottom"/>
          </w:tcPr>
          <w:p>
            <w:pPr>
              <w:ind w:left="260"/>
              <w:spacing w:after="0"/>
              <w:rPr>
                <w:sz w:val="20"/>
                <w:szCs w:val="20"/>
                <w:color w:val="auto"/>
              </w:rPr>
            </w:pPr>
            <w:r>
              <w:rPr>
                <w:rFonts w:ascii="Arial" w:cs="Arial" w:eastAsia="Arial" w:hAnsi="Arial"/>
                <w:sz w:val="14"/>
                <w:szCs w:val="14"/>
                <w:color w:val="auto"/>
              </w:rPr>
              <w:t>GOVERNANCE</w:t>
            </w:r>
          </w:p>
        </w:tc>
        <w:tc>
          <w:tcPr>
            <w:tcW w:w="64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3</w:t>
            </w:r>
          </w:p>
        </w:tc>
        <w:tc>
          <w:tcPr>
            <w:tcW w:w="4000" w:type="dxa"/>
            <w:vAlign w:val="bottom"/>
          </w:tcPr>
          <w:p>
            <w:pPr>
              <w:ind w:left="260"/>
              <w:spacing w:after="0"/>
              <w:rPr>
                <w:sz w:val="20"/>
                <w:szCs w:val="20"/>
                <w:color w:val="auto"/>
              </w:rPr>
            </w:pPr>
            <w:r>
              <w:rPr>
                <w:rFonts w:ascii="Arial" w:cs="Arial" w:eastAsia="Arial" w:hAnsi="Arial"/>
                <w:sz w:val="14"/>
                <w:szCs w:val="14"/>
                <w:color w:val="auto"/>
              </w:rPr>
              <w:t>RESEARCH PROGRAMS</w:t>
            </w:r>
          </w:p>
        </w:tc>
        <w:tc>
          <w:tcPr>
            <w:tcW w:w="64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4</w:t>
            </w:r>
          </w:p>
        </w:tc>
        <w:tc>
          <w:tcPr>
            <w:tcW w:w="4000" w:type="dxa"/>
            <w:vAlign w:val="bottom"/>
          </w:tcPr>
          <w:p>
            <w:pPr>
              <w:ind w:left="260"/>
              <w:spacing w:after="0"/>
              <w:rPr>
                <w:sz w:val="20"/>
                <w:szCs w:val="20"/>
                <w:color w:val="auto"/>
              </w:rPr>
            </w:pPr>
            <w:r>
              <w:rPr>
                <w:rFonts w:ascii="Arial" w:cs="Arial" w:eastAsia="Arial" w:hAnsi="Arial"/>
                <w:sz w:val="14"/>
                <w:szCs w:val="14"/>
                <w:color w:val="auto"/>
              </w:rPr>
              <w:t>GRANT OF RIGHTS; EXCLUSIVITY</w:t>
            </w:r>
          </w:p>
        </w:tc>
        <w:tc>
          <w:tcPr>
            <w:tcW w:w="64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5</w:t>
            </w:r>
          </w:p>
        </w:tc>
        <w:tc>
          <w:tcPr>
            <w:tcW w:w="4000" w:type="dxa"/>
            <w:vAlign w:val="bottom"/>
          </w:tcPr>
          <w:p>
            <w:pPr>
              <w:ind w:left="260"/>
              <w:spacing w:after="0"/>
              <w:rPr>
                <w:sz w:val="20"/>
                <w:szCs w:val="20"/>
                <w:color w:val="auto"/>
              </w:rPr>
            </w:pPr>
            <w:r>
              <w:rPr>
                <w:rFonts w:ascii="Arial" w:cs="Arial" w:eastAsia="Arial" w:hAnsi="Arial"/>
                <w:sz w:val="14"/>
                <w:szCs w:val="14"/>
                <w:color w:val="auto"/>
              </w:rPr>
              <w:t>DEVELOPMENT</w:t>
            </w:r>
          </w:p>
        </w:tc>
        <w:tc>
          <w:tcPr>
            <w:tcW w:w="64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6</w:t>
            </w:r>
          </w:p>
        </w:tc>
        <w:tc>
          <w:tcPr>
            <w:tcW w:w="4000" w:type="dxa"/>
            <w:vAlign w:val="bottom"/>
          </w:tcPr>
          <w:p>
            <w:pPr>
              <w:ind w:left="260"/>
              <w:spacing w:after="0"/>
              <w:rPr>
                <w:sz w:val="20"/>
                <w:szCs w:val="20"/>
                <w:color w:val="auto"/>
              </w:rPr>
            </w:pPr>
            <w:r>
              <w:rPr>
                <w:rFonts w:ascii="Arial" w:cs="Arial" w:eastAsia="Arial" w:hAnsi="Arial"/>
                <w:sz w:val="14"/>
                <w:szCs w:val="14"/>
                <w:color w:val="auto"/>
              </w:rPr>
              <w:t>REGULATORY MATTERS</w:t>
            </w:r>
          </w:p>
        </w:tc>
        <w:tc>
          <w:tcPr>
            <w:tcW w:w="64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7</w:t>
            </w:r>
          </w:p>
        </w:tc>
        <w:tc>
          <w:tcPr>
            <w:tcW w:w="4000" w:type="dxa"/>
            <w:vAlign w:val="bottom"/>
          </w:tcPr>
          <w:p>
            <w:pPr>
              <w:ind w:left="260"/>
              <w:spacing w:after="0"/>
              <w:rPr>
                <w:sz w:val="20"/>
                <w:szCs w:val="20"/>
                <w:color w:val="auto"/>
              </w:rPr>
            </w:pPr>
            <w:r>
              <w:rPr>
                <w:rFonts w:ascii="Arial" w:cs="Arial" w:eastAsia="Arial" w:hAnsi="Arial"/>
                <w:sz w:val="14"/>
                <w:szCs w:val="14"/>
                <w:color w:val="auto"/>
              </w:rPr>
              <w:t>COMMERCIALIZATION</w:t>
            </w:r>
          </w:p>
        </w:tc>
        <w:tc>
          <w:tcPr>
            <w:tcW w:w="64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8</w:t>
            </w:r>
          </w:p>
        </w:tc>
        <w:tc>
          <w:tcPr>
            <w:tcW w:w="4000" w:type="dxa"/>
            <w:vAlign w:val="bottom"/>
          </w:tcPr>
          <w:p>
            <w:pPr>
              <w:ind w:left="260"/>
              <w:spacing w:after="0"/>
              <w:rPr>
                <w:sz w:val="20"/>
                <w:szCs w:val="20"/>
                <w:color w:val="auto"/>
              </w:rPr>
            </w:pPr>
            <w:r>
              <w:rPr>
                <w:rFonts w:ascii="Arial" w:cs="Arial" w:eastAsia="Arial" w:hAnsi="Arial"/>
                <w:sz w:val="14"/>
                <w:szCs w:val="14"/>
                <w:color w:val="auto"/>
              </w:rPr>
              <w:t>PAYMENTS</w:t>
            </w:r>
          </w:p>
        </w:tc>
        <w:tc>
          <w:tcPr>
            <w:tcW w:w="64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9</w:t>
            </w:r>
          </w:p>
        </w:tc>
        <w:tc>
          <w:tcPr>
            <w:tcW w:w="4000" w:type="dxa"/>
            <w:vAlign w:val="bottom"/>
          </w:tcPr>
          <w:p>
            <w:pPr>
              <w:ind w:left="260"/>
              <w:spacing w:after="0"/>
              <w:rPr>
                <w:sz w:val="20"/>
                <w:szCs w:val="20"/>
                <w:color w:val="auto"/>
              </w:rPr>
            </w:pPr>
            <w:r>
              <w:rPr>
                <w:rFonts w:ascii="Arial" w:cs="Arial" w:eastAsia="Arial" w:hAnsi="Arial"/>
                <w:sz w:val="14"/>
                <w:szCs w:val="14"/>
                <w:color w:val="auto"/>
              </w:rPr>
              <w:t>OWNERSHIP OF INTELLECTUAL PROPERTY RIGHTS</w:t>
            </w:r>
          </w:p>
        </w:tc>
        <w:tc>
          <w:tcPr>
            <w:tcW w:w="64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10</w:t>
            </w:r>
          </w:p>
        </w:tc>
        <w:tc>
          <w:tcPr>
            <w:tcW w:w="4000" w:type="dxa"/>
            <w:vAlign w:val="bottom"/>
          </w:tcPr>
          <w:p>
            <w:pPr>
              <w:ind w:left="260"/>
              <w:spacing w:after="0"/>
              <w:rPr>
                <w:sz w:val="20"/>
                <w:szCs w:val="20"/>
                <w:color w:val="auto"/>
              </w:rPr>
            </w:pPr>
            <w:r>
              <w:rPr>
                <w:rFonts w:ascii="Arial" w:cs="Arial" w:eastAsia="Arial" w:hAnsi="Arial"/>
                <w:sz w:val="14"/>
                <w:szCs w:val="14"/>
                <w:color w:val="auto"/>
              </w:rPr>
              <w:t>CONFIDENTIALITY</w:t>
            </w:r>
          </w:p>
        </w:tc>
        <w:tc>
          <w:tcPr>
            <w:tcW w:w="64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11</w:t>
            </w:r>
          </w:p>
        </w:tc>
        <w:tc>
          <w:tcPr>
            <w:tcW w:w="4000" w:type="dxa"/>
            <w:vAlign w:val="bottom"/>
          </w:tcPr>
          <w:p>
            <w:pPr>
              <w:ind w:left="260"/>
              <w:spacing w:after="0"/>
              <w:rPr>
                <w:sz w:val="20"/>
                <w:szCs w:val="20"/>
                <w:color w:val="auto"/>
              </w:rPr>
            </w:pPr>
            <w:r>
              <w:rPr>
                <w:rFonts w:ascii="Arial" w:cs="Arial" w:eastAsia="Arial" w:hAnsi="Arial"/>
                <w:sz w:val="14"/>
                <w:szCs w:val="14"/>
                <w:color w:val="auto"/>
              </w:rPr>
              <w:t>REPRESENTATIONS AND WARRANTIES</w:t>
            </w:r>
          </w:p>
        </w:tc>
        <w:tc>
          <w:tcPr>
            <w:tcW w:w="64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12</w:t>
            </w:r>
          </w:p>
        </w:tc>
        <w:tc>
          <w:tcPr>
            <w:tcW w:w="4000" w:type="dxa"/>
            <w:vAlign w:val="bottom"/>
          </w:tcPr>
          <w:p>
            <w:pPr>
              <w:ind w:left="260"/>
              <w:spacing w:after="0"/>
              <w:rPr>
                <w:sz w:val="20"/>
                <w:szCs w:val="20"/>
                <w:color w:val="auto"/>
              </w:rPr>
            </w:pPr>
            <w:r>
              <w:rPr>
                <w:rFonts w:ascii="Arial" w:cs="Arial" w:eastAsia="Arial" w:hAnsi="Arial"/>
                <w:sz w:val="14"/>
                <w:szCs w:val="14"/>
                <w:color w:val="auto"/>
              </w:rPr>
              <w:t>INDEMNIFICATION AND INSURANCE</w:t>
            </w:r>
          </w:p>
        </w:tc>
        <w:tc>
          <w:tcPr>
            <w:tcW w:w="64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13</w:t>
            </w:r>
          </w:p>
        </w:tc>
        <w:tc>
          <w:tcPr>
            <w:tcW w:w="4000" w:type="dxa"/>
            <w:vAlign w:val="bottom"/>
          </w:tcPr>
          <w:p>
            <w:pPr>
              <w:ind w:left="260"/>
              <w:spacing w:after="0"/>
              <w:rPr>
                <w:sz w:val="20"/>
                <w:szCs w:val="20"/>
                <w:color w:val="auto"/>
              </w:rPr>
            </w:pPr>
            <w:r>
              <w:rPr>
                <w:rFonts w:ascii="Arial" w:cs="Arial" w:eastAsia="Arial" w:hAnsi="Arial"/>
                <w:sz w:val="14"/>
                <w:szCs w:val="14"/>
                <w:color w:val="auto"/>
              </w:rPr>
              <w:t>TERM AND TERMINATION</w:t>
            </w:r>
          </w:p>
        </w:tc>
        <w:tc>
          <w:tcPr>
            <w:tcW w:w="64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14</w:t>
            </w:r>
          </w:p>
        </w:tc>
        <w:tc>
          <w:tcPr>
            <w:tcW w:w="4000" w:type="dxa"/>
            <w:vAlign w:val="bottom"/>
          </w:tcPr>
          <w:p>
            <w:pPr>
              <w:ind w:left="260"/>
              <w:spacing w:after="0"/>
              <w:rPr>
                <w:sz w:val="20"/>
                <w:szCs w:val="20"/>
                <w:color w:val="auto"/>
              </w:rPr>
            </w:pPr>
            <w:r>
              <w:rPr>
                <w:rFonts w:ascii="Arial" w:cs="Arial" w:eastAsia="Arial" w:hAnsi="Arial"/>
                <w:sz w:val="14"/>
                <w:szCs w:val="14"/>
                <w:color w:val="auto"/>
              </w:rPr>
              <w:t>STANDSTILL</w:t>
            </w:r>
          </w:p>
        </w:tc>
        <w:tc>
          <w:tcPr>
            <w:tcW w:w="64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51"/>
        </w:trPr>
        <w:tc>
          <w:tcPr>
            <w:tcW w:w="980" w:type="dxa"/>
            <w:vAlign w:val="bottom"/>
          </w:tcPr>
          <w:p>
            <w:pPr>
              <w:spacing w:after="0"/>
              <w:rPr>
                <w:sz w:val="20"/>
                <w:szCs w:val="20"/>
                <w:color w:val="auto"/>
              </w:rPr>
            </w:pPr>
            <w:r>
              <w:rPr>
                <w:rFonts w:ascii="Arial" w:cs="Arial" w:eastAsia="Arial" w:hAnsi="Arial"/>
                <w:sz w:val="14"/>
                <w:szCs w:val="14"/>
                <w:color w:val="auto"/>
              </w:rPr>
              <w:t>ARTICLE 15</w:t>
            </w:r>
          </w:p>
        </w:tc>
        <w:tc>
          <w:tcPr>
            <w:tcW w:w="4000" w:type="dxa"/>
            <w:vAlign w:val="bottom"/>
          </w:tcPr>
          <w:p>
            <w:pPr>
              <w:ind w:left="260"/>
              <w:spacing w:after="0"/>
              <w:rPr>
                <w:sz w:val="20"/>
                <w:szCs w:val="20"/>
                <w:color w:val="auto"/>
              </w:rPr>
            </w:pPr>
            <w:r>
              <w:rPr>
                <w:rFonts w:ascii="Arial" w:cs="Arial" w:eastAsia="Arial" w:hAnsi="Arial"/>
                <w:sz w:val="14"/>
                <w:szCs w:val="14"/>
                <w:color w:val="auto"/>
              </w:rPr>
              <w:t>MISCELLANEOUS</w:t>
            </w:r>
          </w:p>
        </w:tc>
        <w:tc>
          <w:tcPr>
            <w:tcW w:w="64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334"/>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Exhibits:</w:t>
            </w:r>
          </w:p>
        </w:tc>
        <w:tc>
          <w:tcPr>
            <w:tcW w:w="400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4"/>
                <w:szCs w:val="14"/>
                <w:color w:val="auto"/>
              </w:rPr>
              <w:t>Exhibit A</w:t>
            </w:r>
          </w:p>
        </w:tc>
        <w:tc>
          <w:tcPr>
            <w:tcW w:w="4000" w:type="dxa"/>
            <w:vAlign w:val="bottom"/>
          </w:tcPr>
          <w:p>
            <w:pPr>
              <w:ind w:left="260"/>
              <w:spacing w:after="0"/>
              <w:rPr>
                <w:sz w:val="20"/>
                <w:szCs w:val="20"/>
                <w:color w:val="auto"/>
              </w:rPr>
            </w:pPr>
            <w:r>
              <w:rPr>
                <w:rFonts w:ascii="Arial" w:cs="Arial" w:eastAsia="Arial" w:hAnsi="Arial"/>
                <w:sz w:val="14"/>
                <w:szCs w:val="14"/>
                <w:color w:val="auto"/>
              </w:rPr>
              <w:t>Access Territory as of the Effective Date</w:t>
            </w:r>
          </w:p>
        </w:tc>
        <w:tc>
          <w:tcPr>
            <w:tcW w:w="6420" w:type="dxa"/>
            <w:vAlign w:val="bottom"/>
          </w:tcPr>
          <w:p>
            <w:pPr>
              <w:spacing w:after="0"/>
              <w:rPr>
                <w:sz w:val="21"/>
                <w:szCs w:val="21"/>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4"/>
                <w:szCs w:val="14"/>
                <w:color w:val="auto"/>
              </w:rPr>
              <w:t>Exhibit B</w:t>
            </w:r>
          </w:p>
        </w:tc>
        <w:tc>
          <w:tcPr>
            <w:tcW w:w="4000" w:type="dxa"/>
            <w:vAlign w:val="bottom"/>
          </w:tcPr>
          <w:p>
            <w:pPr>
              <w:ind w:left="260"/>
              <w:spacing w:after="0"/>
              <w:rPr>
                <w:sz w:val="20"/>
                <w:szCs w:val="20"/>
                <w:color w:val="auto"/>
              </w:rPr>
            </w:pPr>
            <w:r>
              <w:rPr>
                <w:rFonts w:ascii="Arial" w:cs="Arial" w:eastAsia="Arial" w:hAnsi="Arial"/>
                <w:sz w:val="14"/>
                <w:szCs w:val="14"/>
                <w:color w:val="auto"/>
              </w:rPr>
              <w:t>DART Platform</w:t>
            </w:r>
          </w:p>
        </w:tc>
        <w:tc>
          <w:tcPr>
            <w:tcW w:w="6420" w:type="dxa"/>
            <w:vAlign w:val="bottom"/>
          </w:tcPr>
          <w:p>
            <w:pPr>
              <w:spacing w:after="0"/>
              <w:rPr>
                <w:sz w:val="14"/>
                <w:szCs w:val="14"/>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4"/>
                <w:szCs w:val="14"/>
                <w:color w:val="auto"/>
              </w:rPr>
              <w:t>Exhibit C</w:t>
            </w:r>
          </w:p>
        </w:tc>
        <w:tc>
          <w:tcPr>
            <w:tcW w:w="4000" w:type="dxa"/>
            <w:vAlign w:val="bottom"/>
          </w:tcPr>
          <w:p>
            <w:pPr>
              <w:ind w:left="260"/>
              <w:spacing w:after="0"/>
              <w:rPr>
                <w:sz w:val="20"/>
                <w:szCs w:val="20"/>
                <w:color w:val="auto"/>
              </w:rPr>
            </w:pPr>
            <w:r>
              <w:rPr>
                <w:rFonts w:ascii="Arial" w:cs="Arial" w:eastAsia="Arial" w:hAnsi="Arial"/>
                <w:sz w:val="14"/>
                <w:szCs w:val="14"/>
                <w:color w:val="auto"/>
              </w:rPr>
              <w:t>MacroGenics Patents</w:t>
            </w:r>
          </w:p>
        </w:tc>
        <w:tc>
          <w:tcPr>
            <w:tcW w:w="6420" w:type="dxa"/>
            <w:vAlign w:val="bottom"/>
          </w:tcPr>
          <w:p>
            <w:pPr>
              <w:spacing w:after="0"/>
              <w:rPr>
                <w:sz w:val="14"/>
                <w:szCs w:val="14"/>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4"/>
                <w:szCs w:val="14"/>
                <w:color w:val="auto"/>
              </w:rPr>
              <w:t>Exhibit D</w:t>
            </w:r>
          </w:p>
        </w:tc>
        <w:tc>
          <w:tcPr>
            <w:tcW w:w="4000" w:type="dxa"/>
            <w:vAlign w:val="bottom"/>
          </w:tcPr>
          <w:p>
            <w:pPr>
              <w:ind w:left="260"/>
              <w:spacing w:after="0"/>
              <w:rPr>
                <w:sz w:val="20"/>
                <w:szCs w:val="20"/>
                <w:color w:val="auto"/>
              </w:rPr>
            </w:pPr>
            <w:r>
              <w:rPr>
                <w:rFonts w:ascii="Arial" w:cs="Arial" w:eastAsia="Arial" w:hAnsi="Arial"/>
                <w:sz w:val="14"/>
                <w:szCs w:val="14"/>
                <w:color w:val="auto"/>
                <w:w w:val="94"/>
              </w:rPr>
              <w:t>Content of Pre-Clinical Data Package for *** Research Program</w:t>
            </w:r>
          </w:p>
        </w:tc>
        <w:tc>
          <w:tcPr>
            <w:tcW w:w="6420" w:type="dxa"/>
            <w:vAlign w:val="bottom"/>
          </w:tcPr>
          <w:p>
            <w:pPr>
              <w:spacing w:after="0"/>
              <w:rPr>
                <w:sz w:val="14"/>
                <w:szCs w:val="14"/>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4"/>
                <w:szCs w:val="14"/>
                <w:color w:val="auto"/>
              </w:rPr>
              <w:t>Exhibit E</w:t>
            </w:r>
          </w:p>
        </w:tc>
        <w:tc>
          <w:tcPr>
            <w:tcW w:w="4000" w:type="dxa"/>
            <w:vAlign w:val="bottom"/>
          </w:tcPr>
          <w:p>
            <w:pPr>
              <w:ind w:left="260"/>
              <w:spacing w:after="0"/>
              <w:rPr>
                <w:sz w:val="20"/>
                <w:szCs w:val="20"/>
                <w:color w:val="auto"/>
              </w:rPr>
            </w:pPr>
            <w:r>
              <w:rPr>
                <w:rFonts w:ascii="Arial" w:cs="Arial" w:eastAsia="Arial" w:hAnsi="Arial"/>
                <w:sz w:val="14"/>
                <w:szCs w:val="14"/>
                <w:color w:val="auto"/>
              </w:rPr>
              <w:t>Research Plan for the *** Research Program</w:t>
            </w:r>
          </w:p>
        </w:tc>
        <w:tc>
          <w:tcPr>
            <w:tcW w:w="6420" w:type="dxa"/>
            <w:vAlign w:val="bottom"/>
          </w:tcPr>
          <w:p>
            <w:pPr>
              <w:spacing w:after="0"/>
              <w:rPr>
                <w:sz w:val="14"/>
                <w:szCs w:val="14"/>
                <w:color w:val="auto"/>
              </w:rPr>
            </w:pPr>
          </w:p>
        </w:tc>
      </w:tr>
      <w:tr>
        <w:trPr>
          <w:trHeight w:val="173"/>
        </w:trPr>
        <w:tc>
          <w:tcPr>
            <w:tcW w:w="980" w:type="dxa"/>
            <w:vAlign w:val="bottom"/>
          </w:tcPr>
          <w:p>
            <w:pPr>
              <w:spacing w:after="0"/>
              <w:rPr>
                <w:sz w:val="20"/>
                <w:szCs w:val="20"/>
                <w:color w:val="auto"/>
              </w:rPr>
            </w:pPr>
            <w:r>
              <w:rPr>
                <w:rFonts w:ascii="Arial" w:cs="Arial" w:eastAsia="Arial" w:hAnsi="Arial"/>
                <w:sz w:val="14"/>
                <w:szCs w:val="14"/>
                <w:color w:val="auto"/>
              </w:rPr>
              <w:t>Exhibit F</w:t>
            </w:r>
          </w:p>
        </w:tc>
        <w:tc>
          <w:tcPr>
            <w:tcW w:w="4000" w:type="dxa"/>
            <w:vAlign w:val="bottom"/>
          </w:tcPr>
          <w:p>
            <w:pPr>
              <w:ind w:left="260"/>
              <w:spacing w:after="0"/>
              <w:rPr>
                <w:sz w:val="20"/>
                <w:szCs w:val="20"/>
                <w:color w:val="auto"/>
              </w:rPr>
            </w:pPr>
            <w:r>
              <w:rPr>
                <w:rFonts w:ascii="Arial" w:cs="Arial" w:eastAsia="Arial" w:hAnsi="Arial"/>
                <w:sz w:val="14"/>
                <w:szCs w:val="14"/>
                <w:color w:val="auto"/>
              </w:rPr>
              <w:t>Press Release</w:t>
            </w:r>
          </w:p>
        </w:tc>
        <w:tc>
          <w:tcPr>
            <w:tcW w:w="6420" w:type="dxa"/>
            <w:vAlign w:val="bottom"/>
          </w:tcPr>
          <w:p>
            <w:pPr>
              <w:spacing w:after="0"/>
              <w:rPr>
                <w:sz w:val="15"/>
                <w:szCs w:val="15"/>
                <w:color w:val="auto"/>
              </w:rPr>
            </w:pP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Schedules: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Schedule 11.2.3</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w:t>
      </w:r>
    </w:p>
    <w:p>
      <w:pPr>
        <w:spacing w:after="0" w:line="12" w:lineRule="exact"/>
        <w:rPr>
          <w:sz w:val="20"/>
          <w:szCs w:val="20"/>
          <w:color w:val="auto"/>
        </w:rPr>
      </w:pPr>
    </w:p>
    <w:p>
      <w:pPr>
        <w:ind w:left="3840" w:right="2640" w:hanging="1135"/>
        <w:spacing w:after="0" w:line="341" w:lineRule="auto"/>
        <w:tabs>
          <w:tab w:leader="none" w:pos="2944" w:val="left"/>
        </w:tabs>
        <w:numPr>
          <w:ilvl w:val="0"/>
          <w:numId w:val="53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531" w:name="page532"/>
    <w:bookmarkEnd w:id="531"/>
    <w:p>
      <w:pPr>
        <w:jc w:val="center"/>
        <w:ind w:right="-3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LICENSE AGREEMENT</w:t>
      </w:r>
    </w:p>
    <w:p>
      <w:pPr>
        <w:spacing w:after="0" w:line="132" w:lineRule="exact"/>
        <w:rPr>
          <w:sz w:val="20"/>
          <w:szCs w:val="20"/>
          <w:color w:val="auto"/>
        </w:rPr>
      </w:pPr>
    </w:p>
    <w:p>
      <w:pPr>
        <w:jc w:val="both"/>
        <w:ind w:right="60" w:firstLine="458"/>
        <w:spacing w:after="0" w:line="255" w:lineRule="auto"/>
        <w:rPr>
          <w:sz w:val="20"/>
          <w:szCs w:val="20"/>
          <w:color w:val="auto"/>
        </w:rPr>
      </w:pPr>
      <w:r>
        <w:rPr>
          <w:rFonts w:ascii="Arial" w:cs="Arial" w:eastAsia="Arial" w:hAnsi="Arial"/>
          <w:sz w:val="14"/>
          <w:szCs w:val="14"/>
          <w:color w:val="auto"/>
        </w:rPr>
        <w:t>This License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and made effective as of the 3</w:t>
      </w:r>
      <w:r>
        <w:rPr>
          <w:rFonts w:ascii="Arial" w:cs="Arial" w:eastAsia="Arial" w:hAnsi="Arial"/>
          <w:sz w:val="8"/>
          <w:szCs w:val="8"/>
          <w:color w:val="auto"/>
        </w:rPr>
        <w:t>rd</w:t>
      </w:r>
      <w:r>
        <w:rPr>
          <w:rFonts w:ascii="Arial" w:cs="Arial" w:eastAsia="Arial" w:hAnsi="Arial"/>
          <w:sz w:val="14"/>
          <w:szCs w:val="14"/>
          <w:color w:val="auto"/>
        </w:rPr>
        <w:t xml:space="preserve"> day of January, 2013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MacroGenics, Inc., a corporation organized and existing under the laws of the State of Delaware, having a principal office located at 9640 Medical Center Drive, Rockville, MD 20850, USA (“</w:t>
      </w:r>
      <w:r>
        <w:rPr>
          <w:rFonts w:ascii="Arial" w:cs="Arial" w:eastAsia="Arial" w:hAnsi="Arial"/>
          <w:sz w:val="14"/>
          <w:szCs w:val="14"/>
          <w:u w:val="single" w:color="auto"/>
          <w:color w:val="auto"/>
        </w:rPr>
        <w:t>MacroGenics</w:t>
      </w:r>
      <w:r>
        <w:rPr>
          <w:rFonts w:ascii="Arial" w:cs="Arial" w:eastAsia="Arial" w:hAnsi="Arial"/>
          <w:sz w:val="14"/>
          <w:szCs w:val="14"/>
          <w:color w:val="auto"/>
        </w:rPr>
        <w:t>”), and Gilead Sciences, Inc., a company organized and existing under the laws of the State of Delaware, having a principal office located at 333 Lakeside Drive, Foster City, CA 94404 (“</w:t>
      </w:r>
      <w:r>
        <w:rPr>
          <w:rFonts w:ascii="Arial" w:cs="Arial" w:eastAsia="Arial" w:hAnsi="Arial"/>
          <w:sz w:val="14"/>
          <w:szCs w:val="14"/>
          <w:u w:val="single" w:color="auto"/>
          <w:color w:val="auto"/>
        </w:rPr>
        <w:t>Gilead</w:t>
      </w:r>
      <w:r>
        <w:rPr>
          <w:rFonts w:ascii="Arial" w:cs="Arial" w:eastAsia="Arial" w:hAnsi="Arial"/>
          <w:sz w:val="14"/>
          <w:szCs w:val="14"/>
          <w:color w:val="auto"/>
        </w:rPr>
        <w:t>”). MacroGenics and Gilead are each referred to herein by name or as a “</w:t>
      </w:r>
      <w:r>
        <w:rPr>
          <w:rFonts w:ascii="Arial" w:cs="Arial" w:eastAsia="Arial" w:hAnsi="Arial"/>
          <w:sz w:val="14"/>
          <w:szCs w:val="14"/>
          <w:u w:val="single" w:color="auto"/>
          <w:color w:val="auto"/>
        </w:rPr>
        <w:t>Party</w:t>
      </w:r>
      <w:r>
        <w:rPr>
          <w:rFonts w:ascii="Arial" w:cs="Arial" w:eastAsia="Arial" w:hAnsi="Arial"/>
          <w:sz w:val="14"/>
          <w:szCs w:val="14"/>
          <w:color w:val="auto"/>
        </w:rPr>
        <w:t>” or, collectively, as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233"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RECITALS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Gilead possesses expertise in the Research, Development, Manufacturing and Commercialization (each as defined below) of pharmaceutical products;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WHEREAS, MacroGenics controls certain intellectual property related to DARTs (as defined below) generally, as well as certain DARTs targeting </w:t>
      </w:r>
      <w:r>
        <w:rPr>
          <w:rFonts w:ascii="Arial" w:cs="Arial" w:eastAsia="Arial" w:hAnsi="Arial"/>
          <w:sz w:val="12"/>
          <w:szCs w:val="12"/>
          <w:b w:val="1"/>
          <w:bCs w:val="1"/>
          <w:color w:val="auto"/>
        </w:rPr>
        <w:t>***</w:t>
      </w:r>
      <w:r>
        <w:rPr>
          <w:rFonts w:ascii="Arial" w:cs="Arial" w:eastAsia="Arial" w:hAnsi="Arial"/>
          <w:sz w:val="12"/>
          <w:szCs w:val="12"/>
          <w:color w:val="auto"/>
        </w:rPr>
        <w:t xml:space="preserve"> (as defined below) and certain DARTs targeting</w:t>
      </w:r>
    </w:p>
    <w:p>
      <w:pPr>
        <w:spacing w:after="0" w:line="37" w:lineRule="exact"/>
        <w:rPr>
          <w:sz w:val="20"/>
          <w:szCs w:val="20"/>
          <w:color w:val="auto"/>
        </w:rPr>
      </w:pPr>
    </w:p>
    <w:p>
      <w:pPr>
        <w:ind w:left="240" w:hanging="236"/>
        <w:spacing w:after="0"/>
        <w:tabs>
          <w:tab w:leader="none" w:pos="240" w:val="left"/>
        </w:tabs>
        <w:numPr>
          <w:ilvl w:val="0"/>
          <w:numId w:val="533"/>
        </w:numPr>
        <w:rPr>
          <w:rFonts w:ascii="Arial" w:cs="Arial" w:eastAsia="Arial" w:hAnsi="Arial"/>
          <w:sz w:val="14"/>
          <w:szCs w:val="14"/>
          <w:b w:val="1"/>
          <w:bCs w:val="1"/>
          <w:color w:val="auto"/>
        </w:rPr>
      </w:pPr>
      <w:r>
        <w:rPr>
          <w:rFonts w:ascii="Arial" w:cs="Arial" w:eastAsia="Arial" w:hAnsi="Arial"/>
          <w:sz w:val="14"/>
          <w:szCs w:val="14"/>
          <w:color w:val="auto"/>
        </w:rPr>
        <w:t>(as defined below);</w:t>
      </w:r>
    </w:p>
    <w:p>
      <w:pPr>
        <w:spacing w:after="0" w:line="124"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4"/>
          <w:szCs w:val="14"/>
          <w:color w:val="auto"/>
        </w:rPr>
        <w:t xml:space="preserve">WHEREAS, Gilead is interested in receiving exclusive licenses under which it may further Research, Develop, Manufacture and Commercialize DARTs targeting </w:t>
      </w:r>
      <w:r>
        <w:rPr>
          <w:rFonts w:ascii="Arial" w:cs="Arial" w:eastAsia="Arial" w:hAnsi="Arial"/>
          <w:sz w:val="14"/>
          <w:szCs w:val="14"/>
          <w:b w:val="1"/>
          <w:bCs w:val="1"/>
          <w:color w:val="auto"/>
        </w:rPr>
        <w:t>***</w:t>
      </w:r>
      <w:r>
        <w:rPr>
          <w:rFonts w:ascii="Arial" w:cs="Arial" w:eastAsia="Arial" w:hAnsi="Arial"/>
          <w:sz w:val="14"/>
          <w:szCs w:val="14"/>
          <w:color w:val="auto"/>
        </w:rPr>
        <w:t>selected by Gilead, in each case in the Gilead Territory (as defined below), and, to the extent provided herein, in the MacroGenics Territory (as defined below), and MacroGenics is willing to grant Gilead such licenses on the terms and conditions set forth in this Agreement; and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WHEREAS the Parties desire to set forth herein the terms and conditions of exclusive licenses to enable Gilead to Research, Develop, Manufacture and Commercialize the above mentioned DARTs.</w:t>
      </w:r>
    </w:p>
    <w:p>
      <w:pPr>
        <w:spacing w:after="0" w:line="155" w:lineRule="exact"/>
        <w:rPr>
          <w:sz w:val="20"/>
          <w:szCs w:val="20"/>
          <w:color w:val="auto"/>
        </w:rPr>
      </w:pPr>
    </w:p>
    <w:p>
      <w:pPr>
        <w:ind w:right="660" w:firstLine="458"/>
        <w:spacing w:after="0" w:line="267" w:lineRule="auto"/>
        <w:rPr>
          <w:sz w:val="20"/>
          <w:szCs w:val="20"/>
          <w:color w:val="auto"/>
        </w:rPr>
      </w:pPr>
      <w:r>
        <w:rPr>
          <w:rFonts w:ascii="Arial" w:cs="Arial" w:eastAsia="Arial" w:hAnsi="Arial"/>
          <w:sz w:val="14"/>
          <w:szCs w:val="14"/>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DEFINITIONS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used in this Agreement, the following terms will have the meanings set forth in this ARTICLE 1 unless context dictates otherwise:</w:t>
      </w:r>
    </w:p>
    <w:p>
      <w:pPr>
        <w:spacing w:after="0" w:line="130" w:lineRule="exact"/>
        <w:rPr>
          <w:sz w:val="20"/>
          <w:szCs w:val="20"/>
          <w:color w:val="auto"/>
        </w:rPr>
      </w:pPr>
    </w:p>
    <w:p>
      <w:pPr>
        <w:ind w:right="100" w:firstLine="458"/>
        <w:spacing w:after="0" w:line="322" w:lineRule="auto"/>
        <w:rPr>
          <w:sz w:val="20"/>
          <w:szCs w:val="20"/>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Access Territory</w:t>
      </w:r>
      <w:r>
        <w:rPr>
          <w:rFonts w:ascii="Arial" w:cs="Arial" w:eastAsia="Arial" w:hAnsi="Arial"/>
          <w:sz w:val="12"/>
          <w:szCs w:val="12"/>
          <w:color w:val="auto"/>
        </w:rPr>
        <w:t xml:space="preserve">” means, with respect to a Licensed Product (other than a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any and all countries and territories where Gilead (itself or through its Affiliates) has publicly announced a policy to generally sell or otherwise make available such Licensed Product and one or more other Gilead products at a significantly discounted price to patients in such countries or territories. The list of countries and territories included in the Access Territory as of the Effective Date is set forth in Exhibit A, which list shall be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3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32" w:name="page533"/>
    <w:bookmarkEnd w:id="532"/>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1.2 “</w:t>
      </w:r>
      <w:r>
        <w:rPr>
          <w:rFonts w:ascii="Arial" w:cs="Arial" w:eastAsia="Arial" w:hAnsi="Arial"/>
          <w:sz w:val="14"/>
          <w:szCs w:val="14"/>
          <w:u w:val="single" w:color="auto"/>
          <w:color w:val="auto"/>
        </w:rPr>
        <w:t>Accounting Standards</w:t>
      </w:r>
      <w:r>
        <w:rPr>
          <w:rFonts w:ascii="Arial" w:cs="Arial" w:eastAsia="Arial" w:hAnsi="Arial"/>
          <w:sz w:val="14"/>
          <w:szCs w:val="14"/>
          <w:color w:val="auto"/>
        </w:rPr>
        <w:t>” means generally accepted accounting principles as practiced in the United States.</w:t>
      </w:r>
    </w:p>
    <w:p>
      <w:pPr>
        <w:spacing w:after="0" w:line="132"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1.3 “</w:t>
      </w:r>
      <w:r>
        <w:rPr>
          <w:rFonts w:ascii="Arial" w:cs="Arial" w:eastAsia="Arial" w:hAnsi="Arial"/>
          <w:sz w:val="14"/>
          <w:szCs w:val="14"/>
          <w:u w:val="single" w:color="auto"/>
          <w:color w:val="auto"/>
        </w:rPr>
        <w:t>Active Research Program</w:t>
      </w:r>
      <w:r>
        <w:rPr>
          <w:rFonts w:ascii="Arial" w:cs="Arial" w:eastAsia="Arial" w:hAnsi="Arial"/>
          <w:sz w:val="14"/>
          <w:szCs w:val="14"/>
          <w:color w:val="auto"/>
        </w:rPr>
        <w:t>” means an active program to develop products that bind a Target, in which MacroGenics has generated or is actively engaged in generating antibodies directed against such Target.</w:t>
      </w:r>
    </w:p>
    <w:p>
      <w:pPr>
        <w:spacing w:after="0" w:line="101" w:lineRule="exact"/>
        <w:rPr>
          <w:sz w:val="20"/>
          <w:szCs w:val="20"/>
          <w:color w:val="auto"/>
        </w:rPr>
      </w:pPr>
    </w:p>
    <w:p>
      <w:pPr>
        <w:ind w:right="320" w:firstLine="458"/>
        <w:spacing w:after="0" w:line="253" w:lineRule="auto"/>
        <w:rPr>
          <w:sz w:val="20"/>
          <w:szCs w:val="20"/>
          <w:color w:val="auto"/>
        </w:rPr>
      </w:pPr>
      <w:r>
        <w:rPr>
          <w:rFonts w:ascii="Arial" w:cs="Arial" w:eastAsia="Arial" w:hAnsi="Arial"/>
          <w:sz w:val="14"/>
          <w:szCs w:val="14"/>
          <w:color w:val="auto"/>
        </w:rPr>
        <w:t>1.4 “</w:t>
      </w:r>
      <w:r>
        <w:rPr>
          <w:rFonts w:ascii="Arial" w:cs="Arial" w:eastAsia="Arial" w:hAnsi="Arial"/>
          <w:sz w:val="14"/>
          <w:szCs w:val="14"/>
          <w:u w:val="single" w:color="auto"/>
          <w:color w:val="auto"/>
        </w:rPr>
        <w:t>Affiliate</w:t>
      </w:r>
      <w:r>
        <w:rPr>
          <w:rFonts w:ascii="Arial" w:cs="Arial" w:eastAsia="Arial" w:hAnsi="Arial"/>
          <w:sz w:val="14"/>
          <w:szCs w:val="14"/>
          <w:color w:val="auto"/>
        </w:rPr>
        <w:t>” means, as to a Person, any other Person that, directly or indirectly through one or more intermediaries, controls, is controlled by or is under common control with said first Person, regardless of whether such Affiliate is an Affiliate on the Effective Date or becomes an Affiliate after the Effective Date. A Person shall be deemed to “control” another Person if it (a) owns, directly or indirectly, beneficially or legally, more than fifty percent (50%) of the outstanding voting securities or capital stock (or such lesser percentage which is the maximum allowed to be owned by a Person in a particular jurisdiction) of such other Person, or has other comparable ownership interest with respect to any Person other than a corporation; or (b) has the power, whether pursuant to contract, ownership of securities or otherwise, to direct the management and policies of the Person.</w:t>
      </w:r>
    </w:p>
    <w:p>
      <w:pPr>
        <w:spacing w:after="0" w:line="111" w:lineRule="exact"/>
        <w:rPr>
          <w:sz w:val="20"/>
          <w:szCs w:val="20"/>
          <w:color w:val="auto"/>
        </w:rPr>
      </w:pPr>
    </w:p>
    <w:p>
      <w:pPr>
        <w:ind w:right="80" w:firstLine="458"/>
        <w:spacing w:after="0" w:line="259" w:lineRule="auto"/>
        <w:rPr>
          <w:sz w:val="20"/>
          <w:szCs w:val="20"/>
          <w:color w:val="auto"/>
        </w:rPr>
      </w:pPr>
      <w:r>
        <w:rPr>
          <w:rFonts w:ascii="Arial" w:cs="Arial" w:eastAsia="Arial" w:hAnsi="Arial"/>
          <w:sz w:val="14"/>
          <w:szCs w:val="14"/>
          <w:color w:val="auto"/>
        </w:rPr>
        <w:t>1.5 “</w:t>
      </w:r>
      <w:r>
        <w:rPr>
          <w:rFonts w:ascii="Arial" w:cs="Arial" w:eastAsia="Arial" w:hAnsi="Arial"/>
          <w:sz w:val="14"/>
          <w:szCs w:val="14"/>
          <w:u w:val="single" w:color="auto"/>
          <w:color w:val="auto"/>
        </w:rPr>
        <w:t>Affordable Basis</w:t>
      </w:r>
      <w:r>
        <w:rPr>
          <w:rFonts w:ascii="Arial" w:cs="Arial" w:eastAsia="Arial" w:hAnsi="Arial"/>
          <w:sz w:val="14"/>
          <w:szCs w:val="14"/>
          <w:color w:val="auto"/>
        </w:rPr>
        <w:t xml:space="preserve">” means, with respect to a Licensed Product (other than a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 in the Access Territory, selling or otherwise making such Licensed Product available to patients at a cost no more than the sum of (a) </w:t>
      </w:r>
      <w:r>
        <w:rPr>
          <w:rFonts w:ascii="Arial" w:cs="Arial" w:eastAsia="Arial" w:hAnsi="Arial"/>
          <w:sz w:val="14"/>
          <w:szCs w:val="14"/>
          <w:b w:val="1"/>
          <w:bCs w:val="1"/>
          <w:color w:val="auto"/>
        </w:rPr>
        <w:t>***</w:t>
      </w:r>
      <w:r>
        <w:rPr>
          <w:rFonts w:ascii="Arial" w:cs="Arial" w:eastAsia="Arial" w:hAnsi="Arial"/>
          <w:sz w:val="14"/>
          <w:szCs w:val="14"/>
          <w:color w:val="auto"/>
        </w:rPr>
        <w:t xml:space="preserve"> plus (b) an additional amount not to exceed all costs and expenses of Gilead or its Affiliates’ Commercialization activities with respect to such Licensed Product in the Access Territory.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 “</w:t>
      </w:r>
      <w:r>
        <w:rPr>
          <w:rFonts w:ascii="Arial" w:cs="Arial" w:eastAsia="Arial" w:hAnsi="Arial"/>
          <w:sz w:val="14"/>
          <w:szCs w:val="14"/>
          <w:u w:val="single" w:color="auto"/>
          <w:color w:val="auto"/>
        </w:rPr>
        <w:t>Agreement Term</w:t>
      </w:r>
      <w:r>
        <w:rPr>
          <w:rFonts w:ascii="Arial" w:cs="Arial" w:eastAsia="Arial" w:hAnsi="Arial"/>
          <w:sz w:val="14"/>
          <w:szCs w:val="14"/>
          <w:color w:val="auto"/>
        </w:rPr>
        <w:t>” means the period commencing on the Effective Date and ending on the expiration or earlier termination of this Agreement in its entirety.</w:t>
      </w:r>
    </w:p>
    <w:p>
      <w:pPr>
        <w:spacing w:after="0" w:line="132"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1.7 “</w:t>
      </w:r>
      <w:r>
        <w:rPr>
          <w:rFonts w:ascii="Arial" w:cs="Arial" w:eastAsia="Arial" w:hAnsi="Arial"/>
          <w:sz w:val="14"/>
          <w:szCs w:val="14"/>
          <w:u w:val="single" w:color="auto"/>
          <w:color w:val="auto"/>
        </w:rPr>
        <w:t>Annual Net Sales</w:t>
      </w:r>
      <w:r>
        <w:rPr>
          <w:rFonts w:ascii="Arial" w:cs="Arial" w:eastAsia="Arial" w:hAnsi="Arial"/>
          <w:sz w:val="14"/>
          <w:szCs w:val="14"/>
          <w:color w:val="auto"/>
        </w:rPr>
        <w:t>” means, for any Licensed Product in any Calendar Year, aggregate Net Sales of such Licensed Product in such Calendar Year (or, in the first year of the Royalty Term, the portion of such Calendar Year during which the Royalty Term is in effect).</w:t>
      </w:r>
    </w:p>
    <w:p>
      <w:pPr>
        <w:spacing w:after="0" w:line="101" w:lineRule="exact"/>
        <w:rPr>
          <w:sz w:val="20"/>
          <w:szCs w:val="20"/>
          <w:color w:val="auto"/>
        </w:rPr>
      </w:pPr>
    </w:p>
    <w:p>
      <w:pPr>
        <w:ind w:firstLine="458"/>
        <w:spacing w:after="0" w:line="258" w:lineRule="auto"/>
        <w:rPr>
          <w:sz w:val="20"/>
          <w:szCs w:val="20"/>
          <w:color w:val="auto"/>
        </w:rPr>
      </w:pPr>
      <w:r>
        <w:rPr>
          <w:rFonts w:ascii="Arial" w:cs="Arial" w:eastAsia="Arial" w:hAnsi="Arial"/>
          <w:sz w:val="14"/>
          <w:szCs w:val="14"/>
          <w:color w:val="auto"/>
        </w:rPr>
        <w:t>1.8 “</w:t>
      </w:r>
      <w:r>
        <w:rPr>
          <w:rFonts w:ascii="Arial" w:cs="Arial" w:eastAsia="Arial" w:hAnsi="Arial"/>
          <w:sz w:val="14"/>
          <w:szCs w:val="14"/>
          <w:u w:val="single" w:color="auto"/>
          <w:color w:val="auto"/>
        </w:rPr>
        <w:t>BLA</w:t>
      </w:r>
      <w:r>
        <w:rPr>
          <w:rFonts w:ascii="Arial" w:cs="Arial" w:eastAsia="Arial" w:hAnsi="Arial"/>
          <w:sz w:val="14"/>
          <w:szCs w:val="14"/>
          <w:color w:val="auto"/>
        </w:rPr>
        <w:t>” means a Biologics License Application and any amendments or supplements thereto filed with the FDA pursuant to 21 C.F.R. Part 601 or any other application that is required for the purpose of marketing and selling a biological product and is filed with a Regulatory Authority outside the United States, including with respect to the EU a Product License Application, Marketing Authorization Application and/or manufacturing and importation license.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Business Day</w:t>
      </w:r>
      <w:r>
        <w:rPr>
          <w:rFonts w:ascii="Arial" w:cs="Arial" w:eastAsia="Arial" w:hAnsi="Arial"/>
          <w:sz w:val="14"/>
          <w:szCs w:val="14"/>
          <w:color w:val="auto"/>
        </w:rPr>
        <w:t>” means a day on which banking institutions in Washington, D.C. and San Francisco, CA are open for business, excluding any Saturday or Sunday.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 “</w:t>
      </w:r>
      <w:r>
        <w:rPr>
          <w:rFonts w:ascii="Arial" w:cs="Arial" w:eastAsia="Arial" w:hAnsi="Arial"/>
          <w:sz w:val="14"/>
          <w:szCs w:val="14"/>
          <w:u w:val="single" w:color="auto"/>
          <w:color w:val="auto"/>
        </w:rPr>
        <w:t>Calendar Quarter</w:t>
      </w:r>
      <w:r>
        <w:rPr>
          <w:rFonts w:ascii="Arial" w:cs="Arial" w:eastAsia="Arial" w:hAnsi="Arial"/>
          <w:sz w:val="14"/>
          <w:szCs w:val="14"/>
          <w:color w:val="auto"/>
        </w:rPr>
        <w:t>” means a period of three (3) consecutive months ending on the last day of March, June, September, or December, respectively.</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1.11 “</w:t>
      </w:r>
      <w:r>
        <w:rPr>
          <w:rFonts w:ascii="Arial" w:cs="Arial" w:eastAsia="Arial" w:hAnsi="Arial"/>
          <w:sz w:val="14"/>
          <w:szCs w:val="14"/>
          <w:u w:val="single" w:color="auto"/>
          <w:color w:val="auto"/>
        </w:rPr>
        <w:t>Calendar Year</w:t>
      </w:r>
      <w:r>
        <w:rPr>
          <w:rFonts w:ascii="Arial" w:cs="Arial" w:eastAsia="Arial" w:hAnsi="Arial"/>
          <w:sz w:val="14"/>
          <w:szCs w:val="14"/>
          <w:color w:val="auto"/>
        </w:rPr>
        <w:t>” means a period of time commencing on January 1 and ending on the following December 31.</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3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33" w:name="page534"/>
    <w:bookmarkEnd w:id="533"/>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1.12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means the Target </w:t>
      </w:r>
      <w:r>
        <w:rPr>
          <w:rFonts w:ascii="Arial" w:cs="Arial" w:eastAsia="Arial" w:hAnsi="Arial"/>
          <w:sz w:val="14"/>
          <w:szCs w:val="14"/>
          <w:b w:val="1"/>
          <w:bCs w:val="1"/>
          <w:color w:val="auto"/>
        </w:rPr>
        <w:t>***</w:t>
      </w:r>
      <w:r>
        <w:rPr>
          <w:rFonts w:ascii="Arial" w:cs="Arial" w:eastAsia="Arial" w:hAnsi="Arial"/>
          <w:sz w:val="14"/>
          <w:szCs w:val="14"/>
          <w:color w:val="auto"/>
        </w:rPr>
        <w:t xml:space="preserve"> comprising the </w:t>
      </w:r>
      <w:r>
        <w:rPr>
          <w:rFonts w:ascii="Arial" w:cs="Arial" w:eastAsia="Arial" w:hAnsi="Arial"/>
          <w:sz w:val="14"/>
          <w:szCs w:val="14"/>
          <w:b w:val="1"/>
          <w:bCs w:val="1"/>
          <w:color w:val="auto"/>
        </w:rPr>
        <w:t>***</w:t>
      </w:r>
      <w:r>
        <w:rPr>
          <w:rFonts w:ascii="Arial" w:cs="Arial" w:eastAsia="Arial" w:hAnsi="Arial"/>
          <w:sz w:val="14"/>
          <w:szCs w:val="14"/>
          <w:color w:val="auto"/>
        </w:rPr>
        <w:t xml:space="preserve"> identified by Entrez Gene </w:t>
      </w:r>
      <w:r>
        <w:rPr>
          <w:rFonts w:ascii="Arial" w:cs="Arial" w:eastAsia="Arial" w:hAnsi="Arial"/>
          <w:sz w:val="14"/>
          <w:szCs w:val="14"/>
          <w:b w:val="1"/>
          <w:bCs w:val="1"/>
          <w:color w:val="auto"/>
        </w:rPr>
        <w:t>***</w:t>
      </w:r>
      <w:r>
        <w:rPr>
          <w:rFonts w:ascii="Arial" w:cs="Arial" w:eastAsia="Arial" w:hAnsi="Arial"/>
          <w:sz w:val="14"/>
          <w:szCs w:val="14"/>
          <w:color w:val="auto"/>
        </w:rPr>
        <w:t>, respectively (including any subtypes, alleles, and splice variants).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means the Target referred to as </w:t>
      </w:r>
      <w:r>
        <w:rPr>
          <w:rFonts w:ascii="Arial" w:cs="Arial" w:eastAsia="Arial" w:hAnsi="Arial"/>
          <w:sz w:val="14"/>
          <w:szCs w:val="14"/>
          <w:b w:val="1"/>
          <w:bCs w:val="1"/>
          <w:color w:val="auto"/>
        </w:rPr>
        <w:t>***</w:t>
      </w:r>
      <w:r>
        <w:rPr>
          <w:rFonts w:ascii="Arial" w:cs="Arial" w:eastAsia="Arial" w:hAnsi="Arial"/>
          <w:sz w:val="14"/>
          <w:szCs w:val="14"/>
          <w:color w:val="auto"/>
        </w:rPr>
        <w:t xml:space="preserve"> (including any subtypes, alleles, and splice variants).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Program</w:t>
      </w:r>
      <w:r>
        <w:rPr>
          <w:rFonts w:ascii="Arial" w:cs="Arial" w:eastAsia="Arial" w:hAnsi="Arial"/>
          <w:sz w:val="14"/>
          <w:szCs w:val="14"/>
          <w:color w:val="auto"/>
        </w:rPr>
        <w:t xml:space="preserve">” means the Licensed Program directed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and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1.15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Territory</w:t>
      </w:r>
      <w:r>
        <w:rPr>
          <w:rFonts w:ascii="Arial" w:cs="Arial" w:eastAsia="Arial" w:hAnsi="Arial"/>
          <w:sz w:val="14"/>
          <w:szCs w:val="14"/>
          <w:color w:val="auto"/>
        </w:rPr>
        <w:t>” means the entire world.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1.16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Research Program</w:t>
      </w:r>
      <w:r>
        <w:rPr>
          <w:rFonts w:ascii="Arial" w:cs="Arial" w:eastAsia="Arial" w:hAnsi="Arial"/>
          <w:sz w:val="14"/>
          <w:szCs w:val="14"/>
          <w:color w:val="auto"/>
        </w:rPr>
        <w:t xml:space="preserve">” means the Research Program directed to the </w:t>
      </w:r>
      <w:r>
        <w:rPr>
          <w:rFonts w:ascii="Arial" w:cs="Arial" w:eastAsia="Arial" w:hAnsi="Arial"/>
          <w:sz w:val="14"/>
          <w:szCs w:val="14"/>
          <w:b w:val="1"/>
          <w:bCs w:val="1"/>
          <w:color w:val="auto"/>
        </w:rPr>
        <w:t>*** ***</w:t>
      </w:r>
      <w:r>
        <w:rPr>
          <w:rFonts w:ascii="Arial" w:cs="Arial" w:eastAsia="Arial" w:hAnsi="Arial"/>
          <w:sz w:val="14"/>
          <w:szCs w:val="14"/>
          <w:color w:val="auto"/>
        </w:rPr>
        <w:t xml:space="preserve"> Targets.</w:t>
      </w:r>
    </w:p>
    <w:p>
      <w:pPr>
        <w:spacing w:after="0" w:line="134" w:lineRule="exact"/>
        <w:rPr>
          <w:sz w:val="20"/>
          <w:szCs w:val="20"/>
          <w:color w:val="auto"/>
        </w:rPr>
      </w:pPr>
    </w:p>
    <w:p>
      <w:pPr>
        <w:ind w:firstLine="458"/>
        <w:spacing w:after="0" w:line="300"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 a transaction or series of related transactions that results in the sale or other disposition of all or substantially all of MacroGenics’ assets; or (b) a merger or consolidation in which the shareholders of MacroGenics immediately prior to the consummation of such merger or consolidation do not, immediately after consummation of such merger or consolidation, own stock or other securities of the surviving corporation that possess a majority of the voting power of all of the surviving corporation’s outstanding stock and other securities and the power to elect a majority of the members of the surviving corporation’s board of directors; or (c) a transaction or series of related transactions (which may include without limitation a tender offer for MacroGenics’ stock or the issuance, sale or exchange of stock of MacroGenics), excluding any public offering of MacroGenics’ equity securities pursuant to a registration statement under the Securities Act of 1933, as amended, if the shareholders of MacroGenics immediately prior to the initial such transaction do not, immediately after consummation of such transaction or any of such related transactions, own stock or other securities of MacroGenics that possess a majority of the voting power of all of the MacroGenics’ outstanding stock and other securities and the power to elect a majority of the members of MacroGenics’ board of directors.</w:t>
      </w:r>
    </w:p>
    <w:p>
      <w:pPr>
        <w:spacing w:after="0" w:line="86" w:lineRule="exact"/>
        <w:rPr>
          <w:sz w:val="20"/>
          <w:szCs w:val="20"/>
          <w:color w:val="auto"/>
        </w:rPr>
      </w:pPr>
    </w:p>
    <w:p>
      <w:pPr>
        <w:ind w:right="80" w:firstLine="458"/>
        <w:spacing w:after="0" w:line="306" w:lineRule="auto"/>
        <w:rPr>
          <w:sz w:val="20"/>
          <w:szCs w:val="20"/>
          <w:color w:val="auto"/>
        </w:rPr>
      </w:pPr>
      <w:r>
        <w:rPr>
          <w:rFonts w:ascii="Arial" w:cs="Arial" w:eastAsia="Arial" w:hAnsi="Arial"/>
          <w:sz w:val="12"/>
          <w:szCs w:val="12"/>
          <w:color w:val="auto"/>
        </w:rPr>
        <w:t>1.18 “</w:t>
      </w:r>
      <w:r>
        <w:rPr>
          <w:rFonts w:ascii="Arial" w:cs="Arial" w:eastAsia="Arial" w:hAnsi="Arial"/>
          <w:sz w:val="12"/>
          <w:szCs w:val="12"/>
          <w:u w:val="single" w:color="auto"/>
          <w:color w:val="auto"/>
        </w:rPr>
        <w:t>Clearance Date</w:t>
      </w:r>
      <w:r>
        <w:rPr>
          <w:rFonts w:ascii="Arial" w:cs="Arial" w:eastAsia="Arial" w:hAnsi="Arial"/>
          <w:sz w:val="12"/>
          <w:szCs w:val="12"/>
          <w:color w:val="auto"/>
        </w:rPr>
        <w:t xml:space="preserve">” means, for each of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and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(a) if Gilead notifies MacroGenics pursuant to Section 3.2.2(c) that Gilead has determined in good faith that no HSR Filing is required with respect to such Licensed Program, the date on which Gilead delivers the Research Program Initiation Notice for such Licensed Program; and (b) if Gilead notifies MacroGenics pursuant to Section 3.2.2(c) that Gilead has determined in good faith that an HSR Filing is required with respect to such Licensed Program, the date on which the Parties have actual knowledge that all applicable waiting periods under the HSR Act with respect to the exclusive license grants contemplated under this Agreement relating to such Licensed Program (after giving effect to Gilead’s delivery of the Research Program Initiation Notice for such Licensed Program) have expired or have been terminated.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1.19 “</w:t>
      </w:r>
      <w:r>
        <w:rPr>
          <w:rFonts w:ascii="Arial" w:cs="Arial" w:eastAsia="Arial" w:hAnsi="Arial"/>
          <w:sz w:val="14"/>
          <w:szCs w:val="14"/>
          <w:u w:val="single" w:color="auto"/>
          <w:color w:val="auto"/>
        </w:rPr>
        <w:t>Clinical Trial(s)</w:t>
      </w:r>
      <w:r>
        <w:rPr>
          <w:rFonts w:ascii="Arial" w:cs="Arial" w:eastAsia="Arial" w:hAnsi="Arial"/>
          <w:sz w:val="14"/>
          <w:szCs w:val="14"/>
          <w:color w:val="auto"/>
        </w:rPr>
        <w:t>” means individually and collectively a Phase 1 Clinical Trial, Phase 2 Clinical Trial, a Phase 3 Clinical Trial, a Phase 4 Study and a Post Approval Study.</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3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5" w:right="239" w:bottom="1440" w:gutter="0" w:footer="0" w:header="0"/>
        </w:sectPr>
      </w:pPr>
    </w:p>
    <w:bookmarkStart w:id="534" w:name="page535"/>
    <w:bookmarkEnd w:id="534"/>
    <w:p>
      <w:pPr>
        <w:ind w:right="10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1.20 “</w:t>
      </w:r>
      <w:r>
        <w:rPr>
          <w:rFonts w:ascii="Arial" w:cs="Arial" w:eastAsia="Arial" w:hAnsi="Arial"/>
          <w:sz w:val="14"/>
          <w:szCs w:val="14"/>
          <w:u w:val="single" w:color="auto"/>
          <w:color w:val="auto"/>
        </w:rPr>
        <w:t>Commercialization</w:t>
      </w:r>
      <w:r>
        <w:rPr>
          <w:rFonts w:ascii="Arial" w:cs="Arial" w:eastAsia="Arial" w:hAnsi="Arial"/>
          <w:sz w:val="14"/>
          <w:szCs w:val="14"/>
          <w:color w:val="auto"/>
        </w:rPr>
        <w:t>” or “</w:t>
      </w:r>
      <w:r>
        <w:rPr>
          <w:rFonts w:ascii="Arial" w:cs="Arial" w:eastAsia="Arial" w:hAnsi="Arial"/>
          <w:sz w:val="14"/>
          <w:szCs w:val="14"/>
          <w:u w:val="single" w:color="auto"/>
          <w:color w:val="auto"/>
        </w:rPr>
        <w:t>Commercialize</w:t>
      </w:r>
      <w:r>
        <w:rPr>
          <w:rFonts w:ascii="Arial" w:cs="Arial" w:eastAsia="Arial" w:hAnsi="Arial"/>
          <w:sz w:val="14"/>
          <w:szCs w:val="14"/>
          <w:color w:val="auto"/>
        </w:rPr>
        <w:t>” means any activities directed to obtaining pricing and/or reimbursement approvals, marketing, promoting, distributing, importing, offering to sell, and/or selling a product, including promotional activities conducted at scientific conferences or similar events.</w:t>
      </w:r>
    </w:p>
    <w:p>
      <w:pPr>
        <w:spacing w:after="0" w:line="99" w:lineRule="exact"/>
        <w:rPr>
          <w:sz w:val="20"/>
          <w:szCs w:val="20"/>
          <w:color w:val="auto"/>
        </w:rPr>
      </w:pPr>
    </w:p>
    <w:p>
      <w:pPr>
        <w:ind w:right="40" w:firstLine="458"/>
        <w:spacing w:after="0" w:line="306" w:lineRule="auto"/>
        <w:rPr>
          <w:sz w:val="20"/>
          <w:szCs w:val="20"/>
          <w:color w:val="auto"/>
        </w:rPr>
      </w:pPr>
      <w:r>
        <w:rPr>
          <w:rFonts w:ascii="Arial" w:cs="Arial" w:eastAsia="Arial" w:hAnsi="Arial"/>
          <w:sz w:val="12"/>
          <w:szCs w:val="12"/>
          <w:color w:val="auto"/>
        </w:rPr>
        <w:t>1.21 “</w:t>
      </w:r>
      <w:r>
        <w:rPr>
          <w:rFonts w:ascii="Arial" w:cs="Arial" w:eastAsia="Arial" w:hAnsi="Arial"/>
          <w:sz w:val="12"/>
          <w:szCs w:val="12"/>
          <w:u w:val="single" w:color="auto"/>
          <w:color w:val="auto"/>
        </w:rPr>
        <w:t>Commercially Reasonable Efforts</w:t>
      </w:r>
      <w:r>
        <w:rPr>
          <w:rFonts w:ascii="Arial" w:cs="Arial" w:eastAsia="Arial" w:hAnsi="Arial"/>
          <w:sz w:val="12"/>
          <w:szCs w:val="12"/>
          <w:color w:val="auto"/>
        </w:rPr>
        <w:t xml:space="preserve">” means, with respect to a Party, such level of efforts required to carry out an obligation in a sustained manner consistent with the efforts normally used </w:t>
      </w:r>
      <w:r>
        <w:rPr>
          <w:rFonts w:ascii="Arial" w:cs="Arial" w:eastAsia="Arial" w:hAnsi="Arial"/>
          <w:sz w:val="12"/>
          <w:szCs w:val="12"/>
          <w:b w:val="1"/>
          <w:bCs w:val="1"/>
          <w:color w:val="auto"/>
        </w:rPr>
        <w:t>***</w:t>
      </w:r>
      <w:r>
        <w:rPr>
          <w:rFonts w:ascii="Arial" w:cs="Arial" w:eastAsia="Arial" w:hAnsi="Arial"/>
          <w:sz w:val="12"/>
          <w:szCs w:val="12"/>
          <w:color w:val="auto"/>
        </w:rPr>
        <w:t>, for a similar activity with respect to the Research, Development and Commercialization of products (a) that are at a similar stage in their Research, Development, Commercialization or product life as the relevant Program DART or Licensed Product; (b) that have commercial and market potential similar to the relevant Program DART or Licensed Product, taking into account issues of intellectual property scope, subject matter and coverage, safety and efficacy, product profile, competitiveness with respect to Third Party products in the marketplace, and profitability (including pricing and reimbursement status achieved or likely to be achieved); and (c) solely owned by them or to which they have exclusive rights (but excluding from consideration any financial obligations owed to a Third Party with respect to such rights).</w:t>
      </w:r>
    </w:p>
    <w:p>
      <w:pPr>
        <w:spacing w:after="0" w:line="8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1.22 “</w:t>
      </w:r>
      <w:r>
        <w:rPr>
          <w:rFonts w:ascii="Arial" w:cs="Arial" w:eastAsia="Arial" w:hAnsi="Arial"/>
          <w:sz w:val="14"/>
          <w:szCs w:val="14"/>
          <w:u w:val="single" w:color="auto"/>
          <w:color w:val="auto"/>
        </w:rPr>
        <w:t>Combination Product</w:t>
      </w:r>
      <w:r>
        <w:rPr>
          <w:rFonts w:ascii="Arial" w:cs="Arial" w:eastAsia="Arial" w:hAnsi="Arial"/>
          <w:sz w:val="14"/>
          <w:szCs w:val="14"/>
          <w:color w:val="auto"/>
        </w:rPr>
        <w:t>” means a Licensed Product that (a) includes a Program DART as an active pharmaceutical ingredient, together with one or more other active ingredients, and (b) is sold either as a fixed dose or with separate doses in a single package.</w:t>
      </w:r>
    </w:p>
    <w:p>
      <w:pPr>
        <w:spacing w:after="0" w:line="101" w:lineRule="exact"/>
        <w:rPr>
          <w:sz w:val="20"/>
          <w:szCs w:val="20"/>
          <w:color w:val="auto"/>
        </w:rPr>
      </w:pPr>
    </w:p>
    <w:p>
      <w:pPr>
        <w:ind w:right="20" w:firstLine="458"/>
        <w:spacing w:after="0" w:line="255" w:lineRule="auto"/>
        <w:rPr>
          <w:sz w:val="20"/>
          <w:szCs w:val="20"/>
          <w:color w:val="auto"/>
        </w:rPr>
      </w:pPr>
      <w:r>
        <w:rPr>
          <w:rFonts w:ascii="Arial" w:cs="Arial" w:eastAsia="Arial" w:hAnsi="Arial"/>
          <w:sz w:val="14"/>
          <w:szCs w:val="14"/>
          <w:color w:val="auto"/>
        </w:rPr>
        <w:t>1.23 “</w:t>
      </w:r>
      <w:r>
        <w:rPr>
          <w:rFonts w:ascii="Arial" w:cs="Arial" w:eastAsia="Arial" w:hAnsi="Arial"/>
          <w:sz w:val="14"/>
          <w:szCs w:val="14"/>
          <w:u w:val="single" w:color="auto"/>
          <w:color w:val="auto"/>
        </w:rPr>
        <w:t>Competing Product</w:t>
      </w:r>
      <w:r>
        <w:rPr>
          <w:rFonts w:ascii="Arial" w:cs="Arial" w:eastAsia="Arial" w:hAnsi="Arial"/>
          <w:sz w:val="14"/>
          <w:szCs w:val="14"/>
          <w:color w:val="auto"/>
        </w:rPr>
        <w:t>” means any therapeutic or prophylactic product that comprises or incorporates, as an active pharmaceutical ingredient alone or in combination with one or more other active pharmaceutical ingredients, a bispecific molecule that binds both Target members of any Program Target. Upon a Change of Control of MacroGenics, a Competing Product means any therapeutic or prophylactic product that comprises or incorporates, as an active pharmaceutical ingredient alone or in combination with one or more other active pharmaceutical ingredients, any DART that binds both Target members of any Program Target.</w:t>
      </w:r>
    </w:p>
    <w:p>
      <w:pPr>
        <w:spacing w:after="0" w:line="110"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1.24 “</w:t>
      </w:r>
      <w:r>
        <w:rPr>
          <w:rFonts w:ascii="Arial" w:cs="Arial" w:eastAsia="Arial" w:hAnsi="Arial"/>
          <w:sz w:val="14"/>
          <w:szCs w:val="14"/>
          <w:u w:val="single" w:color="auto"/>
          <w:color w:val="auto"/>
        </w:rPr>
        <w:t>Competitive Infringement</w:t>
      </w:r>
      <w:r>
        <w:rPr>
          <w:rFonts w:ascii="Arial" w:cs="Arial" w:eastAsia="Arial" w:hAnsi="Arial"/>
          <w:sz w:val="14"/>
          <w:szCs w:val="14"/>
          <w:color w:val="auto"/>
        </w:rPr>
        <w:t>” means any infringement or misappropriation that involves the Development, Manufacture, use or Commercialization of a product or product candidate that binds to the same Program Target as a Program DART or Licensed Product.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1.25 “</w:t>
      </w:r>
      <w:r>
        <w:rPr>
          <w:rFonts w:ascii="Arial" w:cs="Arial" w:eastAsia="Arial" w:hAnsi="Arial"/>
          <w:sz w:val="12"/>
          <w:szCs w:val="12"/>
          <w:u w:val="single" w:color="auto"/>
          <w:color w:val="auto"/>
        </w:rPr>
        <w:t>Complete</w:t>
      </w:r>
      <w:r>
        <w:rPr>
          <w:rFonts w:ascii="Arial" w:cs="Arial" w:eastAsia="Arial" w:hAnsi="Arial"/>
          <w:sz w:val="12"/>
          <w:szCs w:val="12"/>
          <w:color w:val="auto"/>
        </w:rPr>
        <w:t>” or “</w:t>
      </w:r>
      <w:r>
        <w:rPr>
          <w:rFonts w:ascii="Arial" w:cs="Arial" w:eastAsia="Arial" w:hAnsi="Arial"/>
          <w:sz w:val="12"/>
          <w:szCs w:val="12"/>
          <w:u w:val="single" w:color="auto"/>
          <w:color w:val="auto"/>
        </w:rPr>
        <w:t>Completing</w:t>
      </w:r>
      <w:r>
        <w:rPr>
          <w:rFonts w:ascii="Arial" w:cs="Arial" w:eastAsia="Arial" w:hAnsi="Arial"/>
          <w:sz w:val="12"/>
          <w:szCs w:val="12"/>
          <w:color w:val="auto"/>
        </w:rPr>
        <w:t>” means, for a Clinical Trial, the date upon which all patients have completed protocol-defined drug administration and study database lock has occurred.</w:t>
      </w:r>
    </w:p>
    <w:p>
      <w:pPr>
        <w:spacing w:after="0" w:line="155" w:lineRule="exact"/>
        <w:rPr>
          <w:sz w:val="20"/>
          <w:szCs w:val="20"/>
          <w:color w:val="auto"/>
        </w:rPr>
      </w:pPr>
    </w:p>
    <w:p>
      <w:pPr>
        <w:ind w:right="100" w:firstLine="458"/>
        <w:spacing w:after="0" w:line="351" w:lineRule="auto"/>
        <w:rPr>
          <w:sz w:val="20"/>
          <w:szCs w:val="20"/>
          <w:color w:val="auto"/>
        </w:rPr>
      </w:pPr>
      <w:r>
        <w:rPr>
          <w:rFonts w:ascii="Arial" w:cs="Arial" w:eastAsia="Arial" w:hAnsi="Arial"/>
          <w:sz w:val="12"/>
          <w:szCs w:val="12"/>
          <w:color w:val="auto"/>
        </w:rPr>
        <w:t>1.26 “</w:t>
      </w:r>
      <w:r>
        <w:rPr>
          <w:rFonts w:ascii="Arial" w:cs="Arial" w:eastAsia="Arial" w:hAnsi="Arial"/>
          <w:sz w:val="12"/>
          <w:szCs w:val="12"/>
          <w:u w:val="single" w:color="auto"/>
          <w:color w:val="auto"/>
        </w:rPr>
        <w:t>Compulsory Licensee</w:t>
      </w:r>
      <w:r>
        <w:rPr>
          <w:rFonts w:ascii="Arial" w:cs="Arial" w:eastAsia="Arial" w:hAnsi="Arial"/>
          <w:sz w:val="12"/>
          <w:szCs w:val="12"/>
          <w:color w:val="auto"/>
        </w:rPr>
        <w:t xml:space="preserve">” means, with respect to a Licensed Product in a country or territory, a Third Party to whom a governmental agency within such country or territory grants the right to sell or offer for sale such Licensed Product in such country or territory under any patent rights owned or controlled by Gilead or its Affiliates, without direct or indirect authorization from Gilead or its Affiliates,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56"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1.27 “</w:t>
      </w:r>
      <w:r>
        <w:rPr>
          <w:rFonts w:ascii="Arial" w:cs="Arial" w:eastAsia="Arial" w:hAnsi="Arial"/>
          <w:sz w:val="14"/>
          <w:szCs w:val="14"/>
          <w:u w:val="single" w:color="auto"/>
          <w:color w:val="auto"/>
        </w:rPr>
        <w:t>Control</w:t>
      </w:r>
      <w:r>
        <w:rPr>
          <w:rFonts w:ascii="Arial" w:cs="Arial" w:eastAsia="Arial" w:hAnsi="Arial"/>
          <w:sz w:val="14"/>
          <w:szCs w:val="14"/>
          <w:color w:val="auto"/>
        </w:rPr>
        <w:t>,” “</w:t>
      </w:r>
      <w:r>
        <w:rPr>
          <w:rFonts w:ascii="Arial" w:cs="Arial" w:eastAsia="Arial" w:hAnsi="Arial"/>
          <w:sz w:val="14"/>
          <w:szCs w:val="14"/>
          <w:u w:val="single" w:color="auto"/>
          <w:color w:val="auto"/>
        </w:rPr>
        <w:t>Controls</w:t>
      </w:r>
      <w:r>
        <w:rPr>
          <w:rFonts w:ascii="Arial" w:cs="Arial" w:eastAsia="Arial" w:hAnsi="Arial"/>
          <w:sz w:val="14"/>
          <w:szCs w:val="14"/>
          <w:color w:val="auto"/>
        </w:rPr>
        <w:t>,” “</w:t>
      </w:r>
      <w:r>
        <w:rPr>
          <w:rFonts w:ascii="Arial" w:cs="Arial" w:eastAsia="Arial" w:hAnsi="Arial"/>
          <w:sz w:val="14"/>
          <w:szCs w:val="14"/>
          <w:u w:val="single" w:color="auto"/>
          <w:color w:val="auto"/>
        </w:rPr>
        <w:t>Controlled</w:t>
      </w:r>
      <w:r>
        <w:rPr>
          <w:rFonts w:ascii="Arial" w:cs="Arial" w:eastAsia="Arial" w:hAnsi="Arial"/>
          <w:sz w:val="14"/>
          <w:szCs w:val="14"/>
          <w:color w:val="auto"/>
        </w:rPr>
        <w:t>” or “</w:t>
      </w:r>
      <w:r>
        <w:rPr>
          <w:rFonts w:ascii="Arial" w:cs="Arial" w:eastAsia="Arial" w:hAnsi="Arial"/>
          <w:sz w:val="14"/>
          <w:szCs w:val="14"/>
          <w:u w:val="single" w:color="auto"/>
          <w:color w:val="auto"/>
        </w:rPr>
        <w:t>Controlling</w:t>
      </w:r>
      <w:r>
        <w:rPr>
          <w:rFonts w:ascii="Arial" w:cs="Arial" w:eastAsia="Arial" w:hAnsi="Arial"/>
          <w:sz w:val="14"/>
          <w:szCs w:val="14"/>
          <w:color w:val="auto"/>
        </w:rPr>
        <w:t>” means, with respect to any item of Know-How, Patent, Regulatory Documentation or other intellectual property right, the possession (whether by ownership or license, other than pursuant to this Agreement) of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3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35" w:name="page536"/>
    <w:bookmarkEnd w:id="535"/>
    <w:p>
      <w:pPr>
        <w:ind w:right="20"/>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ability of a Party to grant access to, or a license or sublicense under, such item or right as provided for herein without violating the terms of any agreement or other arrangement with any Third Party existing at the time such Party would be required hereunder to grant the other Party such access or license or sublicense;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Know-How, Patent, Regulatory Documentation or other intellectual property right that is licensed or acquired by a Party after the Effective Date that would otherwise be considered to be under the Control of such Party shall not be deemed to be under the Control of such Party if (a) the application of such definition in the context of any licenses or sublicenses granted to the other Party under this Agreement would require the granting Party to make any additional payments or royalties to a Third Party in connection with such license or sublicense grants, unless the other Party agrees to pay the additional payments or royalties to the Third Party and (b) with respect to Know-How, Patents, Regulatory Documentation or any other intellectual property right licensed to or obtained by MacroGenics pursuant to an agreement with a Third Party, unless and until the agreement pursuant to which such rights are obtained becomes a MacroGenics Third Party Agreement pursuant to Section 4.6.</w:t>
      </w:r>
    </w:p>
    <w:p>
      <w:pPr>
        <w:spacing w:after="0" w:line="88" w:lineRule="exact"/>
        <w:rPr>
          <w:sz w:val="20"/>
          <w:szCs w:val="20"/>
          <w:color w:val="auto"/>
        </w:rPr>
      </w:pPr>
    </w:p>
    <w:p>
      <w:pPr>
        <w:ind w:firstLine="458"/>
        <w:spacing w:after="0" w:line="258" w:lineRule="auto"/>
        <w:rPr>
          <w:sz w:val="20"/>
          <w:szCs w:val="20"/>
          <w:color w:val="auto"/>
        </w:rPr>
      </w:pPr>
      <w:r>
        <w:rPr>
          <w:rFonts w:ascii="Arial" w:cs="Arial" w:eastAsia="Arial" w:hAnsi="Arial"/>
          <w:sz w:val="14"/>
          <w:szCs w:val="14"/>
          <w:color w:val="auto"/>
        </w:rPr>
        <w:t>1.28 “</w:t>
      </w:r>
      <w:r>
        <w:rPr>
          <w:rFonts w:ascii="Arial" w:cs="Arial" w:eastAsia="Arial" w:hAnsi="Arial"/>
          <w:sz w:val="14"/>
          <w:szCs w:val="14"/>
          <w:u w:val="single" w:color="auto"/>
          <w:color w:val="auto"/>
        </w:rPr>
        <w:t>Cover</w:t>
      </w:r>
      <w:r>
        <w:rPr>
          <w:rFonts w:ascii="Arial" w:cs="Arial" w:eastAsia="Arial" w:hAnsi="Arial"/>
          <w:sz w:val="14"/>
          <w:szCs w:val="14"/>
          <w:color w:val="auto"/>
        </w:rPr>
        <w:t>”, “</w:t>
      </w:r>
      <w:r>
        <w:rPr>
          <w:rFonts w:ascii="Arial" w:cs="Arial" w:eastAsia="Arial" w:hAnsi="Arial"/>
          <w:sz w:val="14"/>
          <w:szCs w:val="14"/>
          <w:u w:val="single" w:color="auto"/>
          <w:color w:val="auto"/>
        </w:rPr>
        <w:t>Covering</w:t>
      </w:r>
      <w:r>
        <w:rPr>
          <w:rFonts w:ascii="Arial" w:cs="Arial" w:eastAsia="Arial" w:hAnsi="Arial"/>
          <w:sz w:val="14"/>
          <w:szCs w:val="14"/>
          <w:color w:val="auto"/>
        </w:rPr>
        <w:t>” or “</w:t>
      </w:r>
      <w:r>
        <w:rPr>
          <w:rFonts w:ascii="Arial" w:cs="Arial" w:eastAsia="Arial" w:hAnsi="Arial"/>
          <w:sz w:val="14"/>
          <w:szCs w:val="14"/>
          <w:u w:val="single" w:color="auto"/>
          <w:color w:val="auto"/>
        </w:rPr>
        <w:t>Covered</w:t>
      </w:r>
      <w:r>
        <w:rPr>
          <w:rFonts w:ascii="Arial" w:cs="Arial" w:eastAsia="Arial" w:hAnsi="Arial"/>
          <w:sz w:val="14"/>
          <w:szCs w:val="14"/>
          <w:color w:val="auto"/>
        </w:rPr>
        <w:t>” means, with respect to a product, technology, process or method, that, in the absence of ownership of or a license granted under a Valid Claim, the composition, manufacture, use, offer for sale, sale or importation of such product or the practice of such technology, process or method would infringe such Valid Claim (or, in the case of a Valid Claim that has not yet issued, would infringe such Valid Claim if it were to issue).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1.29 “</w:t>
      </w:r>
      <w:r>
        <w:rPr>
          <w:rFonts w:ascii="Arial" w:cs="Arial" w:eastAsia="Arial" w:hAnsi="Arial"/>
          <w:sz w:val="14"/>
          <w:szCs w:val="14"/>
          <w:u w:val="single" w:color="auto"/>
          <w:color w:val="auto"/>
        </w:rPr>
        <w:t>CPI</w:t>
      </w:r>
      <w:r>
        <w:rPr>
          <w:rFonts w:ascii="Arial" w:cs="Arial" w:eastAsia="Arial" w:hAnsi="Arial"/>
          <w:sz w:val="14"/>
          <w:szCs w:val="14"/>
          <w:color w:val="auto"/>
        </w:rPr>
        <w:t>” means the average annual Consumer Price Index for the United States as reported by the United States Bureau of Labor Statistics.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1.30 “</w:t>
      </w:r>
      <w:r>
        <w:rPr>
          <w:rFonts w:ascii="Arial" w:cs="Arial" w:eastAsia="Arial" w:hAnsi="Arial"/>
          <w:sz w:val="14"/>
          <w:szCs w:val="14"/>
          <w:u w:val="single" w:color="auto"/>
          <w:color w:val="auto"/>
        </w:rPr>
        <w:t>DART</w:t>
      </w:r>
      <w:r>
        <w:rPr>
          <w:rFonts w:ascii="Arial" w:cs="Arial" w:eastAsia="Arial" w:hAnsi="Arial"/>
          <w:sz w:val="14"/>
          <w:szCs w:val="14"/>
          <w:color w:val="auto"/>
        </w:rPr>
        <w:t xml:space="preserve">” means a dual affinity bispecific re-targeting molecule as further described in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32"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1.31 “</w:t>
      </w:r>
      <w:r>
        <w:rPr>
          <w:rFonts w:ascii="Arial" w:cs="Arial" w:eastAsia="Arial" w:hAnsi="Arial"/>
          <w:sz w:val="14"/>
          <w:szCs w:val="14"/>
          <w:u w:val="single" w:color="auto"/>
          <w:color w:val="auto"/>
        </w:rPr>
        <w:t>Develop</w:t>
      </w:r>
      <w:r>
        <w:rPr>
          <w:rFonts w:ascii="Arial" w:cs="Arial" w:eastAsia="Arial" w:hAnsi="Arial"/>
          <w:sz w:val="14"/>
          <w:szCs w:val="14"/>
          <w:color w:val="auto"/>
        </w:rPr>
        <w:t>” or “</w:t>
      </w:r>
      <w:r>
        <w:rPr>
          <w:rFonts w:ascii="Arial" w:cs="Arial" w:eastAsia="Arial" w:hAnsi="Arial"/>
          <w:sz w:val="14"/>
          <w:szCs w:val="14"/>
          <w:u w:val="single" w:color="auto"/>
          <w:color w:val="auto"/>
        </w:rPr>
        <w:t>Development</w:t>
      </w:r>
      <w:r>
        <w:rPr>
          <w:rFonts w:ascii="Arial" w:cs="Arial" w:eastAsia="Arial" w:hAnsi="Arial"/>
          <w:sz w:val="14"/>
          <w:szCs w:val="14"/>
          <w:color w:val="auto"/>
        </w:rPr>
        <w:t>” means drug development activities relating to the development of compounds, products, or processes, and submission of information to a Regulatory Authority for the purpose of obtaining Regulatory Approval of a product. Development includes non-clinical activities, pharmacology studies, toxicology studies, formulation, chemical analysis, bioanalytical analysis, material performance studies (such as measurements of stability, physical form, dissolution, or visual or spectroscopic analysis, and the like), pharmacokinetic studies, clinical studies, biomarker and companion diagnostic discovery and development, regulatory affairs activities, and all other activities relating to seeking, obtaining or maintaining any Regulatory Approvals from the FDA or any other applicable Regulatory Authority.</w:t>
      </w:r>
    </w:p>
    <w:p>
      <w:pPr>
        <w:spacing w:after="0" w:line="113" w:lineRule="exact"/>
        <w:rPr>
          <w:sz w:val="20"/>
          <w:szCs w:val="20"/>
          <w:color w:val="auto"/>
        </w:rPr>
      </w:pPr>
    </w:p>
    <w:p>
      <w:pPr>
        <w:ind w:right="40" w:firstLine="458"/>
        <w:spacing w:after="0" w:line="255"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u w:val="single" w:color="auto"/>
          <w:color w:val="auto"/>
        </w:rPr>
        <w:t>Diagnostic</w:t>
      </w:r>
      <w:r>
        <w:rPr>
          <w:rFonts w:ascii="Arial" w:cs="Arial" w:eastAsia="Arial" w:hAnsi="Arial"/>
          <w:sz w:val="14"/>
          <w:szCs w:val="14"/>
          <w:color w:val="auto"/>
        </w:rPr>
        <w:t>” means (a) with respect to Gilead, any diagnostic for a Target included in a Program Target that is used in combination with a Licensed Product if (i) such diagnostic is Covered by a Valid Claim of any MacroGenics Patent or Joint Patent in the country in the Gilead Territory in which it is Manufactured or Commercialized or (ii) the Manufacture or Commercialization of such diagnostic by or on behalf of Gilead in such country would, but for the licenses granted to Gilead under Section 4.1, infringe or misappropriate MacroGenics’ rights in the MacroGenics Know-How or Know-How included in the Joint IP, and (b) with respect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3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36" w:name="page537"/>
    <w:bookmarkEnd w:id="536"/>
    <w:p>
      <w:pPr>
        <w:ind w:right="6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any diagnostic for a Target included in a Program Target that is used in combination with a Licensed Product if (i) such diagnostic is Covered by a Valid Claim of any Gilead Collaboration Patent or Joint Patent in the country in the MacroGenics Territory in which it is Manufactured or Commercialized or (ii) the Manufacture or Commercialization of such diagnostic by or on behalf of MacroGenics in such country would, but for the licenses granted to MacroGenics under Section 4.2, infringe or misappropriate Gilead’s rights in the Gilead Collaboration Know How or Know-How included in the Joint IP.</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1.33 “</w:t>
      </w:r>
      <w:r>
        <w:rPr>
          <w:rFonts w:ascii="Arial" w:cs="Arial" w:eastAsia="Arial" w:hAnsi="Arial"/>
          <w:sz w:val="14"/>
          <w:szCs w:val="14"/>
          <w:u w:val="single" w:color="auto"/>
          <w:color w:val="auto"/>
        </w:rPr>
        <w:t>Dollars</w:t>
      </w:r>
      <w:r>
        <w:rPr>
          <w:rFonts w:ascii="Arial" w:cs="Arial" w:eastAsia="Arial" w:hAnsi="Arial"/>
          <w:sz w:val="14"/>
          <w:szCs w:val="14"/>
          <w:color w:val="auto"/>
        </w:rPr>
        <w:t>” or “</w:t>
      </w:r>
      <w:r>
        <w:rPr>
          <w:rFonts w:ascii="Arial" w:cs="Arial" w:eastAsia="Arial" w:hAnsi="Arial"/>
          <w:sz w:val="14"/>
          <w:szCs w:val="14"/>
          <w:u w:val="single" w:color="auto"/>
          <w:color w:val="auto"/>
        </w:rPr>
        <w:t>$</w:t>
      </w:r>
      <w:r>
        <w:rPr>
          <w:rFonts w:ascii="Arial" w:cs="Arial" w:eastAsia="Arial" w:hAnsi="Arial"/>
          <w:sz w:val="14"/>
          <w:szCs w:val="14"/>
          <w:color w:val="auto"/>
        </w:rPr>
        <w:t>” means the legal tender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1.34 “</w:t>
      </w:r>
      <w:r>
        <w:rPr>
          <w:rFonts w:ascii="Arial" w:cs="Arial" w:eastAsia="Arial" w:hAnsi="Arial"/>
          <w:sz w:val="14"/>
          <w:szCs w:val="14"/>
          <w:u w:val="single" w:color="auto"/>
          <w:color w:val="auto"/>
        </w:rPr>
        <w:t>EMA</w:t>
      </w:r>
      <w:r>
        <w:rPr>
          <w:rFonts w:ascii="Arial" w:cs="Arial" w:eastAsia="Arial" w:hAnsi="Arial"/>
          <w:sz w:val="14"/>
          <w:szCs w:val="14"/>
          <w:color w:val="auto"/>
        </w:rPr>
        <w:t>” means the European Medicines Agency, or any successor entity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1.35 “</w:t>
      </w:r>
      <w:r>
        <w:rPr>
          <w:rFonts w:ascii="Arial" w:cs="Arial" w:eastAsia="Arial" w:hAnsi="Arial"/>
          <w:sz w:val="14"/>
          <w:szCs w:val="14"/>
          <w:u w:val="single" w:color="auto"/>
          <w:color w:val="auto"/>
        </w:rPr>
        <w:t>Emerging Market Countries</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2" w:lineRule="exact"/>
        <w:rPr>
          <w:sz w:val="20"/>
          <w:szCs w:val="20"/>
          <w:color w:val="auto"/>
        </w:rPr>
      </w:pPr>
    </w:p>
    <w:p>
      <w:pPr>
        <w:ind w:right="100" w:firstLine="458"/>
        <w:spacing w:after="0" w:line="256"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u w:val="single" w:color="auto"/>
          <w:color w:val="auto"/>
        </w:rPr>
        <w:t>Evaluation Period</w:t>
      </w:r>
      <w:r>
        <w:rPr>
          <w:rFonts w:ascii="Arial" w:cs="Arial" w:eastAsia="Arial" w:hAnsi="Arial"/>
          <w:sz w:val="14"/>
          <w:szCs w:val="14"/>
          <w:color w:val="auto"/>
        </w:rPr>
        <w:t xml:space="preserve">” means (a)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period beginning on the Effective Date and ending on the later of (i) receipt of the Preclinical Data Package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or (ii) </w:t>
      </w:r>
      <w:r>
        <w:rPr>
          <w:rFonts w:ascii="Arial" w:cs="Arial" w:eastAsia="Arial" w:hAnsi="Arial"/>
          <w:sz w:val="14"/>
          <w:szCs w:val="14"/>
          <w:b w:val="1"/>
          <w:bCs w:val="1"/>
          <w:color w:val="auto"/>
        </w:rPr>
        <w:t>***</w:t>
      </w:r>
      <w:r>
        <w:rPr>
          <w:rFonts w:ascii="Arial" w:cs="Arial" w:eastAsia="Arial" w:hAnsi="Arial"/>
          <w:sz w:val="14"/>
          <w:szCs w:val="14"/>
          <w:color w:val="auto"/>
        </w:rPr>
        <w:t xml:space="preserve"> from the Effective Date, and (b) for each of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and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period beginning on the Clearance Date for such Licensed Program and ending on the later of (i) receipt of the Preclinical Data Package for such Licensed Program or (ii) </w:t>
      </w:r>
      <w:r>
        <w:rPr>
          <w:rFonts w:ascii="Arial" w:cs="Arial" w:eastAsia="Arial" w:hAnsi="Arial"/>
          <w:sz w:val="14"/>
          <w:szCs w:val="14"/>
          <w:b w:val="1"/>
          <w:bCs w:val="1"/>
          <w:color w:val="auto"/>
        </w:rPr>
        <w:t>***</w:t>
      </w:r>
      <w:r>
        <w:rPr>
          <w:rFonts w:ascii="Arial" w:cs="Arial" w:eastAsia="Arial" w:hAnsi="Arial"/>
          <w:sz w:val="14"/>
          <w:szCs w:val="14"/>
          <w:color w:val="auto"/>
        </w:rPr>
        <w:t xml:space="preserve"> from the Effective Date, in each case ((a) and (b)) as such period may be extended pursuant to Section 3.3.2(b).</w:t>
      </w:r>
    </w:p>
    <w:p>
      <w:pPr>
        <w:spacing w:after="0" w:line="109"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1.37 “</w:t>
      </w:r>
      <w:r>
        <w:rPr>
          <w:rFonts w:ascii="Arial" w:cs="Arial" w:eastAsia="Arial" w:hAnsi="Arial"/>
          <w:sz w:val="12"/>
          <w:szCs w:val="12"/>
          <w:u w:val="single" w:color="auto"/>
          <w:color w:val="auto"/>
        </w:rPr>
        <w:t>EU</w:t>
      </w:r>
      <w:r>
        <w:rPr>
          <w:rFonts w:ascii="Arial" w:cs="Arial" w:eastAsia="Arial" w:hAnsi="Arial"/>
          <w:sz w:val="12"/>
          <w:szCs w:val="12"/>
          <w:color w:val="auto"/>
        </w:rPr>
        <w:t>” means the European Union, as its membership may be expanded from time to time, and any successor thereto. Any country that is a member country of the European Union (or any successor thereto) as of the Effective Date or at any time during the term of this Agreement shall be deemed included in the EU for all purposes hereunder even if such country subsequently ceases to be a member country thereof. For clarity, the member countries of the European Union as of the Effective Date are Austria, Belgium, Bulgaria, Cyprus, Czech Republic, Denmark, Estonia, Finland, France, Germany, Greece, Hungary, Ireland, Italy, Latvia, Lithuania, Luxembourg, Malta, Netherlands, Poland, Portugal, Romania, Slovakia, Slovenia, Spain, Sweden, and United Kingdom.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1.38 “</w:t>
      </w:r>
      <w:r>
        <w:rPr>
          <w:rFonts w:ascii="Arial" w:cs="Arial" w:eastAsia="Arial" w:hAnsi="Arial"/>
          <w:sz w:val="14"/>
          <w:szCs w:val="14"/>
          <w:u w:val="single" w:color="auto"/>
          <w:color w:val="auto"/>
        </w:rPr>
        <w:t>Executive Officers</w:t>
      </w:r>
      <w:r>
        <w:rPr>
          <w:rFonts w:ascii="Arial" w:cs="Arial" w:eastAsia="Arial" w:hAnsi="Arial"/>
          <w:sz w:val="14"/>
          <w:szCs w:val="14"/>
          <w:color w:val="auto"/>
        </w:rPr>
        <w:t xml:space="preserve">” means, for each Party, a senior executive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1.39 “</w:t>
      </w:r>
      <w:r>
        <w:rPr>
          <w:rFonts w:ascii="Arial" w:cs="Arial" w:eastAsia="Arial" w:hAnsi="Arial"/>
          <w:sz w:val="14"/>
          <w:szCs w:val="14"/>
          <w:u w:val="single" w:color="auto"/>
          <w:color w:val="auto"/>
        </w:rPr>
        <w:t>FDA</w:t>
      </w:r>
      <w:r>
        <w:rPr>
          <w:rFonts w:ascii="Arial" w:cs="Arial" w:eastAsia="Arial" w:hAnsi="Arial"/>
          <w:sz w:val="14"/>
          <w:szCs w:val="14"/>
          <w:color w:val="auto"/>
        </w:rPr>
        <w:t>” means the U.S. Food and Drug Administration, or any successor entity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1.40 “</w:t>
      </w:r>
      <w:r>
        <w:rPr>
          <w:rFonts w:ascii="Arial" w:cs="Arial" w:eastAsia="Arial" w:hAnsi="Arial"/>
          <w:sz w:val="14"/>
          <w:szCs w:val="14"/>
          <w:u w:val="single" w:color="auto"/>
          <w:color w:val="auto"/>
        </w:rPr>
        <w:t>FD&amp;C Act</w:t>
      </w:r>
      <w:r>
        <w:rPr>
          <w:rFonts w:ascii="Arial" w:cs="Arial" w:eastAsia="Arial" w:hAnsi="Arial"/>
          <w:sz w:val="14"/>
          <w:szCs w:val="14"/>
          <w:color w:val="auto"/>
        </w:rPr>
        <w:t>” means the United States Federal Food, Drug, and Cosmetic Act, as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1.41 “</w:t>
      </w:r>
      <w:r>
        <w:rPr>
          <w:rFonts w:ascii="Arial" w:cs="Arial" w:eastAsia="Arial" w:hAnsi="Arial"/>
          <w:sz w:val="14"/>
          <w:szCs w:val="14"/>
          <w:u w:val="single" w:color="auto"/>
          <w:color w:val="auto"/>
        </w:rPr>
        <w:t>Field</w:t>
      </w:r>
      <w:r>
        <w:rPr>
          <w:rFonts w:ascii="Arial" w:cs="Arial" w:eastAsia="Arial" w:hAnsi="Arial"/>
          <w:sz w:val="14"/>
          <w:szCs w:val="14"/>
          <w:color w:val="auto"/>
        </w:rPr>
        <w:t>” means any use in humans, including diagnosis, prophylaxis and treatment of human disease.</w:t>
      </w:r>
    </w:p>
    <w:p>
      <w:pPr>
        <w:spacing w:after="0" w:line="132" w:lineRule="exact"/>
        <w:rPr>
          <w:sz w:val="20"/>
          <w:szCs w:val="20"/>
          <w:color w:val="auto"/>
        </w:rPr>
      </w:pPr>
    </w:p>
    <w:p>
      <w:pPr>
        <w:ind w:right="60" w:firstLine="458"/>
        <w:spacing w:after="0" w:line="351" w:lineRule="auto"/>
        <w:rPr>
          <w:sz w:val="20"/>
          <w:szCs w:val="20"/>
          <w:color w:val="auto"/>
        </w:rPr>
      </w:pPr>
      <w:r>
        <w:rPr>
          <w:rFonts w:ascii="Arial" w:cs="Arial" w:eastAsia="Arial" w:hAnsi="Arial"/>
          <w:sz w:val="12"/>
          <w:szCs w:val="12"/>
          <w:color w:val="auto"/>
        </w:rPr>
        <w:t>1.42 “</w:t>
      </w:r>
      <w:r>
        <w:rPr>
          <w:rFonts w:ascii="Arial" w:cs="Arial" w:eastAsia="Arial" w:hAnsi="Arial"/>
          <w:sz w:val="12"/>
          <w:szCs w:val="12"/>
          <w:u w:val="single" w:color="auto"/>
          <w:color w:val="auto"/>
        </w:rPr>
        <w:t>First Commercial Sale</w:t>
      </w:r>
      <w:r>
        <w:rPr>
          <w:rFonts w:ascii="Arial" w:cs="Arial" w:eastAsia="Arial" w:hAnsi="Arial"/>
          <w:sz w:val="12"/>
          <w:szCs w:val="12"/>
          <w:color w:val="auto"/>
        </w:rPr>
        <w:t>” means the first sale of a Licensed Product by Gilead, its Affiliates or its Sublicensees for use or consumption of such Licensed Product in a country in the Gilead Territory where Marketing Approval of such Licensed Product has been obtained or such sale is otherwise permitted by the Governmental Authority of such country. Sale of a Licensed</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3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37" w:name="page538"/>
    <w:bookmarkEnd w:id="537"/>
    <w:p>
      <w:pPr>
        <w:ind w:right="2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Product by Gilead to an Affiliate of Gilead or a Sublicensee of Gilead shall not constitute a First Commercial Sale unless such Affiliate or such Sublicensee is the end user of a Licensed Product. In no event shall any sales for premarketing, testing or sampling be deemed a First Commercial Sale.</w:t>
      </w:r>
    </w:p>
    <w:p>
      <w:pPr>
        <w:spacing w:after="0" w:line="101" w:lineRule="exact"/>
        <w:rPr>
          <w:sz w:val="20"/>
          <w:szCs w:val="20"/>
          <w:color w:val="auto"/>
        </w:rPr>
      </w:pPr>
    </w:p>
    <w:p>
      <w:pPr>
        <w:ind w:right="420" w:firstLine="458"/>
        <w:spacing w:after="0" w:line="267"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u w:val="single" w:color="auto"/>
          <w:color w:val="auto"/>
        </w:rPr>
        <w:t>Fourth DART Targets</w:t>
      </w:r>
      <w:r>
        <w:rPr>
          <w:rFonts w:ascii="Arial" w:cs="Arial" w:eastAsia="Arial" w:hAnsi="Arial"/>
          <w:sz w:val="14"/>
          <w:szCs w:val="14"/>
          <w:color w:val="auto"/>
        </w:rPr>
        <w:t>” means a combination of two Targets that are nominated by Gilead pursuant to the second sentence of Section 3.2.1(a) and both accepted by MacroGenics pursuant to Section 3.2.1(b).</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1.44 “</w:t>
      </w:r>
      <w:r>
        <w:rPr>
          <w:rFonts w:ascii="Arial" w:cs="Arial" w:eastAsia="Arial" w:hAnsi="Arial"/>
          <w:sz w:val="14"/>
          <w:szCs w:val="14"/>
          <w:u w:val="single" w:color="auto"/>
          <w:color w:val="auto"/>
        </w:rPr>
        <w:t>Fourth DART Licensed Program</w:t>
      </w:r>
      <w:r>
        <w:rPr>
          <w:rFonts w:ascii="Arial" w:cs="Arial" w:eastAsia="Arial" w:hAnsi="Arial"/>
          <w:sz w:val="14"/>
          <w:szCs w:val="14"/>
          <w:color w:val="auto"/>
        </w:rPr>
        <w:t>” means the Licensed Program directed to the Fourth DART Targets.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1.45 “</w:t>
      </w:r>
      <w:r>
        <w:rPr>
          <w:rFonts w:ascii="Arial" w:cs="Arial" w:eastAsia="Arial" w:hAnsi="Arial"/>
          <w:sz w:val="14"/>
          <w:szCs w:val="14"/>
          <w:u w:val="single" w:color="auto"/>
          <w:color w:val="auto"/>
        </w:rPr>
        <w:t>Fourth DART Licensed Territory</w:t>
      </w:r>
      <w:r>
        <w:rPr>
          <w:rFonts w:ascii="Arial" w:cs="Arial" w:eastAsia="Arial" w:hAnsi="Arial"/>
          <w:sz w:val="14"/>
          <w:szCs w:val="14"/>
          <w:color w:val="auto"/>
        </w:rPr>
        <w:t>” means the entire world.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1.46 “</w:t>
      </w:r>
      <w:r>
        <w:rPr>
          <w:rFonts w:ascii="Arial" w:cs="Arial" w:eastAsia="Arial" w:hAnsi="Arial"/>
          <w:sz w:val="14"/>
          <w:szCs w:val="14"/>
          <w:u w:val="single" w:color="auto"/>
          <w:color w:val="auto"/>
        </w:rPr>
        <w:t>Fourth DART Research Program</w:t>
      </w:r>
      <w:r>
        <w:rPr>
          <w:rFonts w:ascii="Arial" w:cs="Arial" w:eastAsia="Arial" w:hAnsi="Arial"/>
          <w:sz w:val="14"/>
          <w:szCs w:val="14"/>
          <w:color w:val="auto"/>
        </w:rPr>
        <w:t>” means the Research Program directed to the Fourth DART Targets.</w:t>
      </w:r>
    </w:p>
    <w:p>
      <w:pPr>
        <w:spacing w:after="0" w:line="130" w:lineRule="exact"/>
        <w:rPr>
          <w:sz w:val="20"/>
          <w:szCs w:val="20"/>
          <w:color w:val="auto"/>
        </w:rPr>
      </w:pPr>
    </w:p>
    <w:p>
      <w:pPr>
        <w:ind w:right="40" w:firstLine="458"/>
        <w:spacing w:after="0" w:line="259" w:lineRule="auto"/>
        <w:rPr>
          <w:sz w:val="20"/>
          <w:szCs w:val="20"/>
          <w:color w:val="auto"/>
        </w:rPr>
      </w:pPr>
      <w:r>
        <w:rPr>
          <w:rFonts w:ascii="Arial" w:cs="Arial" w:eastAsia="Arial" w:hAnsi="Arial"/>
          <w:sz w:val="14"/>
          <w:szCs w:val="14"/>
          <w:color w:val="auto"/>
        </w:rPr>
        <w:t>1.47 “</w:t>
      </w:r>
      <w:r>
        <w:rPr>
          <w:rFonts w:ascii="Arial" w:cs="Arial" w:eastAsia="Arial" w:hAnsi="Arial"/>
          <w:sz w:val="14"/>
          <w:szCs w:val="14"/>
          <w:u w:val="single" w:color="auto"/>
          <w:color w:val="auto"/>
        </w:rPr>
        <w:t>FTE</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hours of work per Calendar Year devoted to or in support of the Research, Development or Manufacture of Program DARTs and Licensed Products in accordance with a Research Program, that is carried out by one or more qualified scientific or technical employees or contract personnel of MacroGenics or its Affiliates, as such hours are measured in accordance with the relevant Party’s normal time allocation practices.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1.48 “</w:t>
      </w:r>
      <w:r>
        <w:rPr>
          <w:rFonts w:ascii="Arial" w:cs="Arial" w:eastAsia="Arial" w:hAnsi="Arial"/>
          <w:sz w:val="14"/>
          <w:szCs w:val="14"/>
          <w:u w:val="single" w:color="auto"/>
          <w:color w:val="auto"/>
        </w:rPr>
        <w:t>FTE Cost</w:t>
      </w:r>
      <w:r>
        <w:rPr>
          <w:rFonts w:ascii="Arial" w:cs="Arial" w:eastAsia="Arial" w:hAnsi="Arial"/>
          <w:sz w:val="14"/>
          <w:szCs w:val="14"/>
          <w:color w:val="auto"/>
        </w:rPr>
        <w:t>” means, for any period, the FTE Rate multiplied by the number of FTEs in such period.</w:t>
      </w:r>
    </w:p>
    <w:p>
      <w:pPr>
        <w:spacing w:after="0" w:line="130" w:lineRule="exact"/>
        <w:rPr>
          <w:sz w:val="20"/>
          <w:szCs w:val="20"/>
          <w:color w:val="auto"/>
        </w:rPr>
      </w:pPr>
    </w:p>
    <w:p>
      <w:pPr>
        <w:ind w:right="40" w:firstLine="458"/>
        <w:spacing w:after="0" w:line="312" w:lineRule="auto"/>
        <w:rPr>
          <w:sz w:val="20"/>
          <w:szCs w:val="20"/>
          <w:color w:val="auto"/>
        </w:rPr>
      </w:pPr>
      <w:r>
        <w:rPr>
          <w:rFonts w:ascii="Arial" w:cs="Arial" w:eastAsia="Arial" w:hAnsi="Arial"/>
          <w:sz w:val="12"/>
          <w:szCs w:val="12"/>
          <w:color w:val="auto"/>
        </w:rPr>
        <w:t>1.49 “</w:t>
      </w:r>
      <w:r>
        <w:rPr>
          <w:rFonts w:ascii="Arial" w:cs="Arial" w:eastAsia="Arial" w:hAnsi="Arial"/>
          <w:sz w:val="12"/>
          <w:szCs w:val="12"/>
          <w:u w:val="single" w:color="auto"/>
          <w:color w:val="auto"/>
        </w:rPr>
        <w:t>FTE Rate</w:t>
      </w:r>
      <w:r>
        <w:rPr>
          <w:rFonts w:ascii="Arial" w:cs="Arial" w:eastAsia="Arial" w:hAnsi="Arial"/>
          <w:sz w:val="12"/>
          <w:szCs w:val="12"/>
          <w:color w:val="auto"/>
        </w:rPr>
        <w:t xml:space="preserve">” means a rate of </w:t>
      </w:r>
      <w:r>
        <w:rPr>
          <w:rFonts w:ascii="Arial" w:cs="Arial" w:eastAsia="Arial" w:hAnsi="Arial"/>
          <w:sz w:val="12"/>
          <w:szCs w:val="12"/>
          <w:b w:val="1"/>
          <w:bCs w:val="1"/>
          <w:color w:val="auto"/>
        </w:rPr>
        <w:t>***</w:t>
      </w:r>
      <w:r>
        <w:rPr>
          <w:rFonts w:ascii="Arial" w:cs="Arial" w:eastAsia="Arial" w:hAnsi="Arial"/>
          <w:sz w:val="12"/>
          <w:szCs w:val="12"/>
          <w:color w:val="auto"/>
        </w:rPr>
        <w:t xml:space="preserve"> per FTE per Calendar Year (pro-rated for the period beginning on the Effective Date and ending at the end of the first Calendar Year) for personnel engaged in Research, Development and Manufacturing activities. The FTE Rate is “fully burdened” and covers employee salaries and benefits and the cost of facilities, equipment and other materials and services including ordinary laboratory and manufacturing consumables. The FTE Rate will be adjusted annually to reflect any changes in the CPI as of December 31 of the then most recently ended calendar year over the level of the CPI on December 31, 2012 (</w:t>
      </w:r>
      <w:r>
        <w:rPr>
          <w:rFonts w:ascii="Arial" w:cs="Arial" w:eastAsia="Arial" w:hAnsi="Arial"/>
          <w:sz w:val="12"/>
          <w:szCs w:val="12"/>
          <w:i w:val="1"/>
          <w:iCs w:val="1"/>
          <w:color w:val="auto"/>
        </w:rPr>
        <w:t>i.e.</w:t>
      </w:r>
      <w:r>
        <w:rPr>
          <w:rFonts w:ascii="Arial" w:cs="Arial" w:eastAsia="Arial" w:hAnsi="Arial"/>
          <w:sz w:val="12"/>
          <w:szCs w:val="12"/>
          <w:color w:val="auto"/>
        </w:rPr>
        <w:t>, the first such increase or decrease would occur on January 1, 2014).</w:t>
      </w:r>
    </w:p>
    <w:p>
      <w:pPr>
        <w:spacing w:after="0" w:line="78"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1.50 “</w:t>
      </w:r>
      <w:r>
        <w:rPr>
          <w:rFonts w:ascii="Arial" w:cs="Arial" w:eastAsia="Arial" w:hAnsi="Arial"/>
          <w:sz w:val="14"/>
          <w:szCs w:val="14"/>
          <w:u w:val="single" w:color="auto"/>
          <w:color w:val="auto"/>
        </w:rPr>
        <w:t>Generic Licensee</w:t>
      </w:r>
      <w:r>
        <w:rPr>
          <w:rFonts w:ascii="Arial" w:cs="Arial" w:eastAsia="Arial" w:hAnsi="Arial"/>
          <w:sz w:val="14"/>
          <w:szCs w:val="14"/>
          <w:color w:val="auto"/>
        </w:rPr>
        <w:t xml:space="preserve">” means a Third Party licensee of Gilead or any of its Affiliates (or a Third Party sublicensee of any Third Party licensee of Gilead or any of its Affiliates) that (a) has been granted a sublicense by Gilead or such Affiliate (or such other Third Party licensee) which (except as consented to by MacroGenics pursuant to Section 4.3) excludes rights to MacroGenics Know-How and (b) is authorized (i) </w:t>
      </w:r>
      <w:r>
        <w:rPr>
          <w:rFonts w:ascii="Arial" w:cs="Arial" w:eastAsia="Arial" w:hAnsi="Arial"/>
          <w:sz w:val="14"/>
          <w:szCs w:val="14"/>
          <w:b w:val="1"/>
          <w:bCs w:val="1"/>
          <w:color w:val="auto"/>
        </w:rPr>
        <w:t>***</w:t>
      </w:r>
      <w:r>
        <w:rPr>
          <w:rFonts w:ascii="Arial" w:cs="Arial" w:eastAsia="Arial" w:hAnsi="Arial"/>
          <w:sz w:val="14"/>
          <w:szCs w:val="14"/>
          <w:color w:val="auto"/>
        </w:rPr>
        <w:t xml:space="preserve">. “Generic Licensee” shall include </w:t>
      </w:r>
      <w:r>
        <w:rPr>
          <w:rFonts w:ascii="Arial" w:cs="Arial" w:eastAsia="Arial" w:hAnsi="Arial"/>
          <w:sz w:val="14"/>
          <w:szCs w:val="14"/>
          <w:b w:val="1"/>
          <w:bCs w:val="1"/>
          <w:color w:val="auto"/>
        </w:rPr>
        <w:t>***</w:t>
      </w:r>
      <w:r>
        <w:rPr>
          <w:rFonts w:ascii="Arial" w:cs="Arial" w:eastAsia="Arial" w:hAnsi="Arial"/>
          <w:sz w:val="14"/>
          <w:szCs w:val="14"/>
          <w:color w:val="auto"/>
        </w:rPr>
        <w:t xml:space="preserve"> under any license granted to </w:t>
      </w:r>
      <w:r>
        <w:rPr>
          <w:rFonts w:ascii="Arial" w:cs="Arial" w:eastAsia="Arial" w:hAnsi="Arial"/>
          <w:sz w:val="14"/>
          <w:szCs w:val="14"/>
          <w:b w:val="1"/>
          <w:bCs w:val="1"/>
          <w:color w:val="auto"/>
        </w:rPr>
        <w:t>***</w:t>
      </w:r>
      <w:r>
        <w:rPr>
          <w:rFonts w:ascii="Arial" w:cs="Arial" w:eastAsia="Arial" w:hAnsi="Arial"/>
          <w:sz w:val="14"/>
          <w:szCs w:val="14"/>
          <w:color w:val="auto"/>
        </w:rPr>
        <w:t xml:space="preserve"> by Gilead or any of its Affiliates under any intellectual property related to the manufacture or sale of Licensed Products or the active pharmaceutical ingredient therein.</w:t>
      </w:r>
    </w:p>
    <w:p>
      <w:pPr>
        <w:spacing w:after="0" w:line="110"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1.51 “</w:t>
      </w:r>
      <w:r>
        <w:rPr>
          <w:rFonts w:ascii="Arial" w:cs="Arial" w:eastAsia="Arial" w:hAnsi="Arial"/>
          <w:sz w:val="14"/>
          <w:szCs w:val="14"/>
          <w:u w:val="single" w:color="auto"/>
          <w:color w:val="auto"/>
        </w:rPr>
        <w:t>Generic Product</w:t>
      </w:r>
      <w:r>
        <w:rPr>
          <w:rFonts w:ascii="Arial" w:cs="Arial" w:eastAsia="Arial" w:hAnsi="Arial"/>
          <w:sz w:val="14"/>
          <w:szCs w:val="14"/>
          <w:color w:val="auto"/>
        </w:rPr>
        <w:t>” means, with respect to any Licensed Product, a version of such Licensed Product (or a product containing the same or highly similar active pharmaceutical ingredient as such Licensed Product in a comparable dosage form and formulation as such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4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38" w:name="page539"/>
    <w:bookmarkEnd w:id="538"/>
    <w:p>
      <w:pPr>
        <w:ind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Licensed Product (e.g., adult-to-adult and pediatric-to-pediatric)) that has received, under applicable Law in any country in the Access Territory, any required Regulatory Approval analogous to being licensed as a biosimilar or interchangeable biological product by the FDA pursuant to Section 351(k) of the Public Health Service Act (42 U.S.C. § 262(k)), as may be amended, or any subsequent or superseding law, statute or regulations.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1.52 “</w:t>
      </w:r>
      <w:r>
        <w:rPr>
          <w:rFonts w:ascii="Arial" w:cs="Arial" w:eastAsia="Arial" w:hAnsi="Arial"/>
          <w:sz w:val="14"/>
          <w:szCs w:val="14"/>
          <w:u w:val="single" w:color="auto"/>
          <w:color w:val="auto"/>
        </w:rPr>
        <w:t>Gilead Collaboration IP</w:t>
      </w:r>
      <w:r>
        <w:rPr>
          <w:rFonts w:ascii="Arial" w:cs="Arial" w:eastAsia="Arial" w:hAnsi="Arial"/>
          <w:sz w:val="14"/>
          <w:szCs w:val="14"/>
          <w:color w:val="auto"/>
        </w:rPr>
        <w:t>” means the Gilead Collaboration Know-How and the Gilead Collaboration Patents.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1.53 “</w:t>
      </w:r>
      <w:r>
        <w:rPr>
          <w:rFonts w:ascii="Arial" w:cs="Arial" w:eastAsia="Arial" w:hAnsi="Arial"/>
          <w:sz w:val="14"/>
          <w:szCs w:val="14"/>
          <w:u w:val="single" w:color="auto"/>
          <w:color w:val="auto"/>
        </w:rPr>
        <w:t>Gilead Collaboration Know-How</w:t>
      </w:r>
      <w:r>
        <w:rPr>
          <w:rFonts w:ascii="Arial" w:cs="Arial" w:eastAsia="Arial" w:hAnsi="Arial"/>
          <w:sz w:val="14"/>
          <w:szCs w:val="14"/>
          <w:color w:val="auto"/>
        </w:rPr>
        <w:t>” means all Gilead Information and Inventions except to the extent disclosed by published Gilead Collaboration Patents.</w:t>
      </w:r>
    </w:p>
    <w:p>
      <w:pPr>
        <w:spacing w:after="0" w:line="132" w:lineRule="exact"/>
        <w:rPr>
          <w:sz w:val="20"/>
          <w:szCs w:val="20"/>
          <w:color w:val="auto"/>
        </w:rPr>
      </w:pPr>
    </w:p>
    <w:p>
      <w:pPr>
        <w:ind w:right="380" w:firstLine="458"/>
        <w:spacing w:after="0" w:line="267" w:lineRule="auto"/>
        <w:rPr>
          <w:sz w:val="20"/>
          <w:szCs w:val="20"/>
          <w:color w:val="auto"/>
        </w:rPr>
      </w:pPr>
      <w:r>
        <w:rPr>
          <w:rFonts w:ascii="Arial" w:cs="Arial" w:eastAsia="Arial" w:hAnsi="Arial"/>
          <w:sz w:val="14"/>
          <w:szCs w:val="14"/>
          <w:color w:val="auto"/>
        </w:rPr>
        <w:t>1.54 “</w:t>
      </w:r>
      <w:r>
        <w:rPr>
          <w:rFonts w:ascii="Arial" w:cs="Arial" w:eastAsia="Arial" w:hAnsi="Arial"/>
          <w:sz w:val="14"/>
          <w:szCs w:val="14"/>
          <w:u w:val="single" w:color="auto"/>
          <w:color w:val="auto"/>
        </w:rPr>
        <w:t>Gilead Collaboration Patent(s)</w:t>
      </w:r>
      <w:r>
        <w:rPr>
          <w:rFonts w:ascii="Arial" w:cs="Arial" w:eastAsia="Arial" w:hAnsi="Arial"/>
          <w:sz w:val="14"/>
          <w:szCs w:val="14"/>
          <w:color w:val="auto"/>
        </w:rPr>
        <w:t>” means Patents Controlled by Gilead and its Affiliates during the Agreement Term Covering Gilead Information and Inventions. Gilead Collaboration Patents excludes Joint Patents.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1.55 “</w:t>
      </w:r>
      <w:r>
        <w:rPr>
          <w:rFonts w:ascii="Arial" w:cs="Arial" w:eastAsia="Arial" w:hAnsi="Arial"/>
          <w:sz w:val="14"/>
          <w:szCs w:val="14"/>
          <w:u w:val="single" w:color="auto"/>
          <w:color w:val="auto"/>
        </w:rPr>
        <w:t>Gilead Indemnitees</w:t>
      </w:r>
      <w:r>
        <w:rPr>
          <w:rFonts w:ascii="Arial" w:cs="Arial" w:eastAsia="Arial" w:hAnsi="Arial"/>
          <w:sz w:val="14"/>
          <w:szCs w:val="14"/>
          <w:color w:val="auto"/>
        </w:rPr>
        <w:t>” means Gilead, its Affiliates and its Sublicensees and the directors, officers and employees of Gilead, its Affiliates and its Sublicensees.</w:t>
      </w:r>
    </w:p>
    <w:p>
      <w:pPr>
        <w:spacing w:after="0" w:line="132"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1.56 “</w:t>
      </w:r>
      <w:r>
        <w:rPr>
          <w:rFonts w:ascii="Arial" w:cs="Arial" w:eastAsia="Arial" w:hAnsi="Arial"/>
          <w:sz w:val="12"/>
          <w:szCs w:val="12"/>
          <w:u w:val="single" w:color="auto"/>
          <w:color w:val="auto"/>
        </w:rPr>
        <w:t>Gilead Information and Inventions</w:t>
      </w:r>
      <w:r>
        <w:rPr>
          <w:rFonts w:ascii="Arial" w:cs="Arial" w:eastAsia="Arial" w:hAnsi="Arial"/>
          <w:sz w:val="12"/>
          <w:szCs w:val="12"/>
          <w:color w:val="auto"/>
        </w:rPr>
        <w:t>” means Know-How Controlled by Gilead or its Affiliates during the Agreement Term that (a) (i) was created by or on behalf of Gilead or its Affiliates in the course of conducting activities pursuant to this Agreement (including pursuant to Section 3.2.3), including any improvement, modification, enhancement or novel use of a Program DART or Licensed Product, or a Manufacturing process or formulation of a Program DART or Licensed Product or any improvement, modification or enhancement of a Manufacturing process or formulation of a Program DART or Licensed Product or (ii) is used by Gilead or its Affiliates in the Research, Development, Manufacturing or Commercialization of a Program DART or Licensed Product and is disclosed to MacroGenics or its Affiliates by or on behalf of Gilead or its Affiliates pursuant to this Agreement; and (b) is necessary or useful to Research, Develop, Manufacture or Commercialize any Program DART or Licensed Product in the Field. Gilead Information and Inventions excludes Gilead’s interest in the Joint IP and any Know-How that relates solely to any active pharmaceutical ingredient in a Combination Product other than a Program DART.</w:t>
      </w:r>
    </w:p>
    <w:p>
      <w:pPr>
        <w:spacing w:after="0" w:line="84"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1.57 “</w:t>
      </w:r>
      <w:r>
        <w:rPr>
          <w:rFonts w:ascii="Arial" w:cs="Arial" w:eastAsia="Arial" w:hAnsi="Arial"/>
          <w:sz w:val="14"/>
          <w:szCs w:val="14"/>
          <w:u w:val="single" w:color="auto"/>
          <w:color w:val="auto"/>
        </w:rPr>
        <w:t>Gilead Territory</w:t>
      </w:r>
      <w:r>
        <w:rPr>
          <w:rFonts w:ascii="Arial" w:cs="Arial" w:eastAsia="Arial" w:hAnsi="Arial"/>
          <w:sz w:val="14"/>
          <w:szCs w:val="14"/>
          <w:color w:val="auto"/>
        </w:rPr>
        <w:t xml:space="preserve">” means (a)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Territory, (b) </w:t>
      </w:r>
      <w:r>
        <w:rPr>
          <w:rFonts w:ascii="Arial" w:cs="Arial" w:eastAsia="Arial" w:hAnsi="Arial"/>
          <w:sz w:val="14"/>
          <w:szCs w:val="14"/>
          <w:b w:val="1"/>
          <w:bCs w:val="1"/>
          <w:color w:val="auto"/>
        </w:rPr>
        <w:t>***</w:t>
      </w:r>
      <w:r>
        <w:rPr>
          <w:rFonts w:ascii="Arial" w:cs="Arial" w:eastAsia="Arial" w:hAnsi="Arial"/>
          <w:sz w:val="14"/>
          <w:szCs w:val="14"/>
          <w:color w:val="auto"/>
        </w:rPr>
        <w:t xml:space="preserve"> (c)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Territory, and (d)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Territory.</w:t>
      </w:r>
    </w:p>
    <w:p>
      <w:pPr>
        <w:spacing w:after="0" w:line="99"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1.58 “</w:t>
      </w:r>
      <w:r>
        <w:rPr>
          <w:rFonts w:ascii="Arial" w:cs="Arial" w:eastAsia="Arial" w:hAnsi="Arial"/>
          <w:sz w:val="12"/>
          <w:szCs w:val="12"/>
          <w:u w:val="single" w:color="auto"/>
          <w:color w:val="auto"/>
        </w:rPr>
        <w:t>Good Clinical Practices</w:t>
      </w:r>
      <w:r>
        <w:rPr>
          <w:rFonts w:ascii="Arial" w:cs="Arial" w:eastAsia="Arial" w:hAnsi="Arial"/>
          <w:sz w:val="12"/>
          <w:szCs w:val="12"/>
          <w:color w:val="auto"/>
        </w:rPr>
        <w:t>” or “</w:t>
      </w:r>
      <w:r>
        <w:rPr>
          <w:rFonts w:ascii="Arial" w:cs="Arial" w:eastAsia="Arial" w:hAnsi="Arial"/>
          <w:sz w:val="12"/>
          <w:szCs w:val="12"/>
          <w:u w:val="single" w:color="auto"/>
          <w:color w:val="auto"/>
        </w:rPr>
        <w:t>GCP</w:t>
      </w:r>
      <w:r>
        <w:rPr>
          <w:rFonts w:ascii="Arial" w:cs="Arial" w:eastAsia="Arial" w:hAnsi="Arial"/>
          <w:sz w:val="12"/>
          <w:szCs w:val="12"/>
          <w:color w:val="auto"/>
        </w:rPr>
        <w:t>” means the then-current standards, practices and procedures (a) promulgated or endorsed by the FDA as set forth in the guidelines entitled “Guidance for Industry E6 Good Clinical Practice: Consolidated Guidance,” including related regulatory requirements imposed by the FDA; (b) set forth in Directive 2001/20/EC of the European Parliament and of the Council of 4 April 2001 and Commission Directive 2005//28/EC of 8 April 2005; (c) ICH Guideline for Good Clinical Practice E6; (d) analogous Laws of an applicable Regulatory Authority; and (e) all additional Regulatory Authority documents or regulations that replace, amend, modify, supplant or complement any of the foregoing.</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4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39" w:name="page540"/>
    <w:bookmarkEnd w:id="539"/>
    <w:p>
      <w:pPr>
        <w:ind w:right="8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1.59 “</w:t>
      </w:r>
      <w:r>
        <w:rPr>
          <w:rFonts w:ascii="Arial" w:cs="Arial" w:eastAsia="Arial" w:hAnsi="Arial"/>
          <w:sz w:val="14"/>
          <w:szCs w:val="14"/>
          <w:u w:val="single" w:color="auto"/>
          <w:color w:val="auto"/>
        </w:rPr>
        <w:t>Good Laboratory Practices</w:t>
      </w:r>
      <w:r>
        <w:rPr>
          <w:rFonts w:ascii="Arial" w:cs="Arial" w:eastAsia="Arial" w:hAnsi="Arial"/>
          <w:sz w:val="14"/>
          <w:szCs w:val="14"/>
          <w:color w:val="auto"/>
        </w:rPr>
        <w:t>” or “</w:t>
      </w:r>
      <w:r>
        <w:rPr>
          <w:rFonts w:ascii="Arial" w:cs="Arial" w:eastAsia="Arial" w:hAnsi="Arial"/>
          <w:sz w:val="14"/>
          <w:szCs w:val="14"/>
          <w:u w:val="single" w:color="auto"/>
          <w:color w:val="auto"/>
        </w:rPr>
        <w:t>GLP</w:t>
      </w:r>
      <w:r>
        <w:rPr>
          <w:rFonts w:ascii="Arial" w:cs="Arial" w:eastAsia="Arial" w:hAnsi="Arial"/>
          <w:sz w:val="14"/>
          <w:szCs w:val="14"/>
          <w:color w:val="auto"/>
        </w:rPr>
        <w:t>” means the then-current good laboratory practice standards promulgated or endorsed by the FDA as defined in 21 C.F.R. Part 58, as such regulations may be amended from time to time, and analogous Laws of an applicable Regulatory Authority.</w:t>
      </w:r>
    </w:p>
    <w:p>
      <w:pPr>
        <w:spacing w:after="0" w:line="101"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1.60 “</w:t>
      </w:r>
      <w:r>
        <w:rPr>
          <w:rFonts w:ascii="Arial" w:cs="Arial" w:eastAsia="Arial" w:hAnsi="Arial"/>
          <w:sz w:val="12"/>
          <w:szCs w:val="12"/>
          <w:u w:val="single" w:color="auto"/>
          <w:color w:val="auto"/>
        </w:rPr>
        <w:t>Good Manufacturing Practices</w:t>
      </w:r>
      <w:r>
        <w:rPr>
          <w:rFonts w:ascii="Arial" w:cs="Arial" w:eastAsia="Arial" w:hAnsi="Arial"/>
          <w:sz w:val="12"/>
          <w:szCs w:val="12"/>
          <w:color w:val="auto"/>
        </w:rPr>
        <w:t>” or “</w:t>
      </w:r>
      <w:r>
        <w:rPr>
          <w:rFonts w:ascii="Arial" w:cs="Arial" w:eastAsia="Arial" w:hAnsi="Arial"/>
          <w:sz w:val="12"/>
          <w:szCs w:val="12"/>
          <w:u w:val="single" w:color="auto"/>
          <w:color w:val="auto"/>
        </w:rPr>
        <w:t>GMP</w:t>
      </w:r>
      <w:r>
        <w:rPr>
          <w:rFonts w:ascii="Arial" w:cs="Arial" w:eastAsia="Arial" w:hAnsi="Arial"/>
          <w:sz w:val="12"/>
          <w:szCs w:val="12"/>
          <w:color w:val="auto"/>
        </w:rPr>
        <w:t>” means then-current standards for the manufacture of pharmaceutical products, pursuant to (a) the FD&amp;C Act (21 U.S.C. 321 et seq.); (b) relevant United States regulations in Title 21 of the United States Code of Federal Regulations (including Parts 11, 210, and 211); (c) European Community Directives 2003/94 and 91/356/EC; (d) the European Community Guide to Good Manufacturing Practice for Medicinal Intermediate Products; (e) ICH Q7A Good Manufacturing Practice Guidance for Active Pharmaceutical Ingredients; (f) analogous Laws of an applicable Regulatory Authority at the time of Manufacture; and (g) all additional Regulatory Authority documents or regulations that replace, amend, modify, supplant or complement any of the foregoing.</w:t>
      </w:r>
    </w:p>
    <w:p>
      <w:pPr>
        <w:spacing w:after="0" w:line="79" w:lineRule="exact"/>
        <w:rPr>
          <w:sz w:val="20"/>
          <w:szCs w:val="20"/>
          <w:color w:val="auto"/>
        </w:rPr>
      </w:pPr>
    </w:p>
    <w:p>
      <w:pPr>
        <w:jc w:val="both"/>
        <w:ind w:right="200" w:firstLine="458"/>
        <w:spacing w:after="0" w:line="258" w:lineRule="auto"/>
        <w:rPr>
          <w:sz w:val="20"/>
          <w:szCs w:val="20"/>
          <w:color w:val="auto"/>
        </w:rPr>
      </w:pPr>
      <w:r>
        <w:rPr>
          <w:rFonts w:ascii="Arial" w:cs="Arial" w:eastAsia="Arial" w:hAnsi="Arial"/>
          <w:sz w:val="14"/>
          <w:szCs w:val="14"/>
          <w:color w:val="auto"/>
        </w:rPr>
        <w:t>1.61 “</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United States federal, state or local or any non-United States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governmental arbitral body.</w:t>
      </w:r>
    </w:p>
    <w:p>
      <w:pPr>
        <w:spacing w:after="0" w:line="108" w:lineRule="exact"/>
        <w:rPr>
          <w:sz w:val="20"/>
          <w:szCs w:val="20"/>
          <w:color w:val="auto"/>
        </w:rPr>
      </w:pPr>
    </w:p>
    <w:p>
      <w:pPr>
        <w:ind w:right="140" w:firstLine="458"/>
        <w:spacing w:after="0" w:line="258" w:lineRule="auto"/>
        <w:rPr>
          <w:sz w:val="20"/>
          <w:szCs w:val="20"/>
          <w:color w:val="auto"/>
        </w:rPr>
      </w:pPr>
      <w:r>
        <w:rPr>
          <w:rFonts w:ascii="Arial" w:cs="Arial" w:eastAsia="Arial" w:hAnsi="Arial"/>
          <w:sz w:val="14"/>
          <w:szCs w:val="14"/>
          <w:color w:val="auto"/>
        </w:rPr>
        <w:t>1.62 “</w:t>
      </w:r>
      <w:r>
        <w:rPr>
          <w:rFonts w:ascii="Arial" w:cs="Arial" w:eastAsia="Arial" w:hAnsi="Arial"/>
          <w:sz w:val="14"/>
          <w:szCs w:val="14"/>
          <w:u w:val="single" w:color="auto"/>
          <w:color w:val="auto"/>
        </w:rPr>
        <w:t>Government or Public Official</w:t>
      </w:r>
      <w:r>
        <w:rPr>
          <w:rFonts w:ascii="Arial" w:cs="Arial" w:eastAsia="Arial" w:hAnsi="Arial"/>
          <w:sz w:val="14"/>
          <w:szCs w:val="14"/>
          <w:color w:val="auto"/>
        </w:rPr>
        <w:t>” means any officer or employee or anyone acting in an official capacity on behalf of: a government or any department or agency thereof; a public international organization (such as the United Nations, the International Monetary Fund, the International Red Cross, and the World Health Organization), or any department, agency or institution thereof; or a government-owned or controlled company, institution, or other entity, including a government-owned hospital or university.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1.63 “</w:t>
      </w:r>
      <w:r>
        <w:rPr>
          <w:rFonts w:ascii="Arial" w:cs="Arial" w:eastAsia="Arial" w:hAnsi="Arial"/>
          <w:sz w:val="14"/>
          <w:szCs w:val="14"/>
          <w:u w:val="single" w:color="auto"/>
          <w:color w:val="auto"/>
        </w:rPr>
        <w:t>HSR Act</w:t>
      </w:r>
      <w:r>
        <w:rPr>
          <w:rFonts w:ascii="Arial" w:cs="Arial" w:eastAsia="Arial" w:hAnsi="Arial"/>
          <w:sz w:val="14"/>
          <w:szCs w:val="14"/>
          <w:color w:val="auto"/>
        </w:rPr>
        <w:t>” means the Hart-Scott-Rodino Antitrust Improvements Act of 1976, as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1.64 “</w:t>
      </w:r>
      <w:r>
        <w:rPr>
          <w:rFonts w:ascii="Arial" w:cs="Arial" w:eastAsia="Arial" w:hAnsi="Arial"/>
          <w:sz w:val="14"/>
          <w:szCs w:val="14"/>
          <w:u w:val="single" w:color="auto"/>
          <w:color w:val="auto"/>
        </w:rPr>
        <w:t>ICH</w:t>
      </w:r>
      <w:r>
        <w:rPr>
          <w:rFonts w:ascii="Arial" w:cs="Arial" w:eastAsia="Arial" w:hAnsi="Arial"/>
          <w:sz w:val="14"/>
          <w:szCs w:val="14"/>
          <w:color w:val="auto"/>
        </w:rPr>
        <w:t>” means the International Conference on Harmonization of Technical Requirements for Registration of Pharmaceuticals for Human Use.</w:t>
      </w:r>
    </w:p>
    <w:p>
      <w:pPr>
        <w:spacing w:after="0" w:line="132"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1.65 “</w:t>
      </w:r>
      <w:r>
        <w:rPr>
          <w:rFonts w:ascii="Arial" w:cs="Arial" w:eastAsia="Arial" w:hAnsi="Arial"/>
          <w:sz w:val="14"/>
          <w:szCs w:val="14"/>
          <w:u w:val="single" w:color="auto"/>
          <w:color w:val="auto"/>
        </w:rPr>
        <w:t>IND</w:t>
      </w:r>
      <w:r>
        <w:rPr>
          <w:rFonts w:ascii="Arial" w:cs="Arial" w:eastAsia="Arial" w:hAnsi="Arial"/>
          <w:sz w:val="14"/>
          <w:szCs w:val="14"/>
          <w:color w:val="auto"/>
        </w:rPr>
        <w:t>” means an Investigational New Drug Application filed with FDA or a similar application filed with an applicable Regulatory Authority outside of the United States such as a clinical trial application (CTA).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1.66 “</w:t>
      </w:r>
      <w:r>
        <w:rPr>
          <w:rFonts w:ascii="Arial" w:cs="Arial" w:eastAsia="Arial" w:hAnsi="Arial"/>
          <w:sz w:val="12"/>
          <w:szCs w:val="12"/>
          <w:u w:val="single" w:color="auto"/>
          <w:color w:val="auto"/>
        </w:rPr>
        <w:t>Indication</w:t>
      </w:r>
      <w:r>
        <w:rPr>
          <w:rFonts w:ascii="Arial" w:cs="Arial" w:eastAsia="Arial" w:hAnsi="Arial"/>
          <w:sz w:val="12"/>
          <w:szCs w:val="12"/>
          <w:color w:val="auto"/>
        </w:rPr>
        <w:t xml:space="preserve">” means a discrete clinically recognized form of a disease or any precursor condition thereof. By way of example, the following diseases shall be considered separate Indications: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57"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1.67 “</w:t>
      </w:r>
      <w:r>
        <w:rPr>
          <w:rFonts w:ascii="Arial" w:cs="Arial" w:eastAsia="Arial" w:hAnsi="Arial"/>
          <w:sz w:val="14"/>
          <w:szCs w:val="14"/>
          <w:u w:val="single" w:color="auto"/>
          <w:color w:val="auto"/>
        </w:rPr>
        <w:t>Insolvency Event</w:t>
      </w:r>
      <w:r>
        <w:rPr>
          <w:rFonts w:ascii="Arial" w:cs="Arial" w:eastAsia="Arial" w:hAnsi="Arial"/>
          <w:sz w:val="14"/>
          <w:szCs w:val="14"/>
          <w:color w:val="auto"/>
        </w:rPr>
        <w:t>” means with respect to a Party, (a) the entry of an order for relief under the Bankruptcy Code or any other bankruptcy, insolvency, reorganization or other similar act or law of any jurisdiction now or hereafter in effect by such Party; (b)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40" w:name="page541"/>
    <w:bookmarkEnd w:id="540"/>
    <w:p>
      <w:pPr>
        <w:ind w:right="4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commencement of an involuntary proceeding under the Bankruptcy Code or any other bankruptcy, insolvency, reorganization or other similar act or law of any jurisdiction now or hereafter in effect against such Party, if not dismissed, bonded or stayed within ninety (90) days after such commencement; (c) the making by such Party of a general assignment for the benefit of creditors; or (d) the appointment of or taking possession by a receiver, liquidator, assignee, custodian, or trustee of all or substantially all of the business or property of such Party.</w:t>
      </w:r>
    </w:p>
    <w:p>
      <w:pPr>
        <w:spacing w:after="0" w:line="73" w:lineRule="exact"/>
        <w:rPr>
          <w:sz w:val="20"/>
          <w:szCs w:val="20"/>
          <w:color w:val="auto"/>
        </w:rPr>
      </w:pPr>
    </w:p>
    <w:p>
      <w:pPr>
        <w:ind w:right="80" w:firstLine="458"/>
        <w:spacing w:after="0" w:line="258" w:lineRule="auto"/>
        <w:rPr>
          <w:sz w:val="20"/>
          <w:szCs w:val="20"/>
          <w:color w:val="auto"/>
        </w:rPr>
      </w:pPr>
      <w:r>
        <w:rPr>
          <w:rFonts w:ascii="Arial" w:cs="Arial" w:eastAsia="Arial" w:hAnsi="Arial"/>
          <w:sz w:val="14"/>
          <w:szCs w:val="14"/>
          <w:color w:val="auto"/>
        </w:rPr>
        <w:t>1.68 “</w:t>
      </w:r>
      <w:r>
        <w:rPr>
          <w:rFonts w:ascii="Arial" w:cs="Arial" w:eastAsia="Arial" w:hAnsi="Arial"/>
          <w:sz w:val="14"/>
          <w:szCs w:val="14"/>
          <w:u w:val="single" w:color="auto"/>
          <w:color w:val="auto"/>
        </w:rPr>
        <w:t>Joint IP</w:t>
      </w:r>
      <w:r>
        <w:rPr>
          <w:rFonts w:ascii="Arial" w:cs="Arial" w:eastAsia="Arial" w:hAnsi="Arial"/>
          <w:sz w:val="14"/>
          <w:szCs w:val="14"/>
          <w:color w:val="auto"/>
        </w:rPr>
        <w:t>” means all inventions and discoveries (and Patents claiming patentable inventions therein) first made or discovered jointly by one or more employees, consultants or agents of MacroGenics or its Affiliates, together with one or more employees, consultants or agents of Gilead or its Affiliates, in the course of the Research, Development, Manufacture or Commercialization of Program DARTs and/or Licensed Products.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1.69 “</w:t>
      </w:r>
      <w:r>
        <w:rPr>
          <w:rFonts w:ascii="Arial" w:cs="Arial" w:eastAsia="Arial" w:hAnsi="Arial"/>
          <w:sz w:val="14"/>
          <w:szCs w:val="14"/>
          <w:u w:val="single" w:color="auto"/>
          <w:color w:val="auto"/>
        </w:rPr>
        <w:t>Joint Patents</w:t>
      </w:r>
      <w:r>
        <w:rPr>
          <w:rFonts w:ascii="Arial" w:cs="Arial" w:eastAsia="Arial" w:hAnsi="Arial"/>
          <w:sz w:val="14"/>
          <w:szCs w:val="14"/>
          <w:color w:val="auto"/>
        </w:rPr>
        <w:t>” means Patents comprising claims Covering patentable inventions included in the Joint IP.</w:t>
      </w:r>
    </w:p>
    <w:p>
      <w:pPr>
        <w:spacing w:after="0" w:line="132" w:lineRule="exact"/>
        <w:rPr>
          <w:sz w:val="20"/>
          <w:szCs w:val="20"/>
          <w:color w:val="auto"/>
        </w:rPr>
      </w:pPr>
    </w:p>
    <w:p>
      <w:pPr>
        <w:ind w:right="40" w:firstLine="458"/>
        <w:spacing w:after="0" w:line="311" w:lineRule="auto"/>
        <w:rPr>
          <w:sz w:val="20"/>
          <w:szCs w:val="20"/>
          <w:color w:val="auto"/>
        </w:rPr>
      </w:pPr>
      <w:r>
        <w:rPr>
          <w:rFonts w:ascii="Arial" w:cs="Arial" w:eastAsia="Arial" w:hAnsi="Arial"/>
          <w:sz w:val="12"/>
          <w:szCs w:val="12"/>
          <w:color w:val="auto"/>
        </w:rPr>
        <w:t>1.70 “</w:t>
      </w:r>
      <w:r>
        <w:rPr>
          <w:rFonts w:ascii="Arial" w:cs="Arial" w:eastAsia="Arial" w:hAnsi="Arial"/>
          <w:sz w:val="12"/>
          <w:szCs w:val="12"/>
          <w:u w:val="single" w:color="auto"/>
          <w:color w:val="auto"/>
        </w:rPr>
        <w:t>Know-How</w:t>
      </w:r>
      <w:r>
        <w:rPr>
          <w:rFonts w:ascii="Arial" w:cs="Arial" w:eastAsia="Arial" w:hAnsi="Arial"/>
          <w:sz w:val="12"/>
          <w:szCs w:val="12"/>
          <w:color w:val="auto"/>
        </w:rPr>
        <w:t>” means all tangible and intangible (a) information, techniques, technology, practices, trade secrets, inventions (whether patentable or not), methods, knowledge, know-how, skill, experience, data, results (including pharmacological, toxicological and non-clinical and clinical test data and results, and Research or Development data, reports and batch records), analytical and quality control data, analytical methods (including applicable reference standards), full batch documentation, packaging records, release, stability, storage and shelf-life data, Manufacturing process information, results and descriptions, and software and algorithms and (b) compositions of matter, cells, cell lines, assays, animal models and physical, biological or chemical material.</w:t>
      </w:r>
    </w:p>
    <w:p>
      <w:pPr>
        <w:spacing w:after="0" w:line="79"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1.71 “</w:t>
      </w:r>
      <w:r>
        <w:rPr>
          <w:rFonts w:ascii="Arial" w:cs="Arial" w:eastAsia="Arial" w:hAnsi="Arial"/>
          <w:sz w:val="14"/>
          <w:szCs w:val="14"/>
          <w:u w:val="single" w:color="auto"/>
          <w:color w:val="auto"/>
        </w:rPr>
        <w:t>Law</w:t>
      </w:r>
      <w:r>
        <w:rPr>
          <w:rFonts w:ascii="Arial" w:cs="Arial" w:eastAsia="Arial" w:hAnsi="Arial"/>
          <w:sz w:val="14"/>
          <w:szCs w:val="14"/>
          <w:color w:val="auto"/>
        </w:rPr>
        <w:t>” or “</w:t>
      </w:r>
      <w:r>
        <w:rPr>
          <w:rFonts w:ascii="Arial" w:cs="Arial" w:eastAsia="Arial" w:hAnsi="Arial"/>
          <w:sz w:val="14"/>
          <w:szCs w:val="14"/>
          <w:u w:val="single" w:color="auto"/>
          <w:color w:val="auto"/>
        </w:rPr>
        <w:t>Laws</w:t>
      </w:r>
      <w:r>
        <w:rPr>
          <w:rFonts w:ascii="Arial" w:cs="Arial" w:eastAsia="Arial" w:hAnsi="Arial"/>
          <w:sz w:val="14"/>
          <w:szCs w:val="14"/>
          <w:color w:val="auto"/>
        </w:rPr>
        <w:t>” means all laws, statutes, rules, regulations, orders, judgments, or ordinances having the effect of law of any federal, national, multinational, state, provincial, county, city or other political subdivision.</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1.72 “</w:t>
      </w:r>
      <w:r>
        <w:rPr>
          <w:rFonts w:ascii="Arial" w:cs="Arial" w:eastAsia="Arial" w:hAnsi="Arial"/>
          <w:sz w:val="14"/>
          <w:szCs w:val="14"/>
          <w:u w:val="single" w:color="auto"/>
          <w:color w:val="auto"/>
        </w:rPr>
        <w:t>Licensed Product</w:t>
      </w:r>
      <w:r>
        <w:rPr>
          <w:rFonts w:ascii="Arial" w:cs="Arial" w:eastAsia="Arial" w:hAnsi="Arial"/>
          <w:sz w:val="14"/>
          <w:szCs w:val="14"/>
          <w:color w:val="auto"/>
        </w:rPr>
        <w:t>” means any therapeutic or prophylactic product that comprises or incorporates a Program DART as an active pharmaceutical ingredient alone or in combination with one or more other active agents. For the avoidance of doubt, Licensed Product excludes any diagnostic products (including Diagnostics).</w:t>
      </w:r>
    </w:p>
    <w:p>
      <w:pPr>
        <w:spacing w:after="0" w:line="101"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1.73 “</w:t>
      </w:r>
      <w:r>
        <w:rPr>
          <w:rFonts w:ascii="Arial" w:cs="Arial" w:eastAsia="Arial" w:hAnsi="Arial"/>
          <w:sz w:val="14"/>
          <w:szCs w:val="14"/>
          <w:u w:val="single" w:color="auto"/>
          <w:color w:val="auto"/>
        </w:rPr>
        <w:t>Licensed Program</w:t>
      </w:r>
      <w:r>
        <w:rPr>
          <w:rFonts w:ascii="Arial" w:cs="Arial" w:eastAsia="Arial" w:hAnsi="Arial"/>
          <w:sz w:val="14"/>
          <w:szCs w:val="14"/>
          <w:color w:val="auto"/>
        </w:rPr>
        <w:t>” means Research, Development, Manufacturing and/or Commercialization activities conducted by or on behalf of Gilead and/or MacroGenics with respect to Program DARTs and/or Licensed Products for a particular Program Target.</w:t>
      </w:r>
    </w:p>
    <w:p>
      <w:pPr>
        <w:spacing w:after="0" w:line="99"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color w:val="auto"/>
        </w:rPr>
        <w:t>1.74 “</w:t>
      </w:r>
      <w:r>
        <w:rPr>
          <w:rFonts w:ascii="Arial" w:cs="Arial" w:eastAsia="Arial" w:hAnsi="Arial"/>
          <w:sz w:val="14"/>
          <w:szCs w:val="14"/>
          <w:u w:val="single" w:color="auto"/>
          <w:color w:val="auto"/>
        </w:rPr>
        <w:t>License Grant Date</w:t>
      </w:r>
      <w:r>
        <w:rPr>
          <w:rFonts w:ascii="Arial" w:cs="Arial" w:eastAsia="Arial" w:hAnsi="Arial"/>
          <w:sz w:val="14"/>
          <w:szCs w:val="14"/>
          <w:color w:val="auto"/>
        </w:rPr>
        <w:t xml:space="preserve">” means (a)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Effective Date and (b)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and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Clearance Date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as applicable.</w:t>
      </w:r>
    </w:p>
    <w:p>
      <w:pPr>
        <w:spacing w:after="0" w:line="9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1.75 “</w:t>
      </w:r>
      <w:r>
        <w:rPr>
          <w:rFonts w:ascii="Arial" w:cs="Arial" w:eastAsia="Arial" w:hAnsi="Arial"/>
          <w:sz w:val="14"/>
          <w:szCs w:val="14"/>
          <w:u w:val="single" w:color="auto"/>
          <w:color w:val="auto"/>
        </w:rPr>
        <w:t>License Term</w:t>
      </w:r>
      <w:r>
        <w:rPr>
          <w:rFonts w:ascii="Arial" w:cs="Arial" w:eastAsia="Arial" w:hAnsi="Arial"/>
          <w:sz w:val="14"/>
          <w:szCs w:val="14"/>
          <w:color w:val="auto"/>
        </w:rPr>
        <w:t>” means, with respect to a Licensed Program, each period commencing upon the License Grant Date for such Licensed Program and ending on the date of expiration or termination of this Agreement with respect to such Licensed Program in accordance with the provisions of ARTICLE 13.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4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41" w:name="page542"/>
    <w:bookmarkEnd w:id="541"/>
    <w:p>
      <w:pPr>
        <w:ind w:firstLine="458"/>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1.76 “</w:t>
      </w:r>
      <w:r>
        <w:rPr>
          <w:rFonts w:ascii="Arial" w:cs="Arial" w:eastAsia="Arial" w:hAnsi="Arial"/>
          <w:sz w:val="12"/>
          <w:szCs w:val="12"/>
          <w:u w:val="single" w:color="auto"/>
          <w:color w:val="auto"/>
        </w:rPr>
        <w:t>MacroGenics Information and Inventions</w:t>
      </w:r>
      <w:r>
        <w:rPr>
          <w:rFonts w:ascii="Arial" w:cs="Arial" w:eastAsia="Arial" w:hAnsi="Arial"/>
          <w:sz w:val="12"/>
          <w:szCs w:val="12"/>
          <w:color w:val="auto"/>
        </w:rPr>
        <w:t>” means Know-How that (a) is Controlled by MacroGenics or its Affiliates on the Effective Date or thereafter during the Agreement Term; (b)(i) is or relates to a Program DART or Licensed Product or an improvement, modification, enhancement or novel use of a Program DART or Licensed Product, or a Manufacturing process or formulation of a Program DART or Licensed Product or any improvement, modification or enhancement of a Manufacturing process or formulation of a Program DART or Licensed Product; or (ii) is used by MacroGenics or its Affiliates in the Research, Development, Manufacturing or Commercialization of a Program DART or Licensed Product and is disclosed to Gilead or its Affiliates by or on behalf of MacroGenics or its Affiliates pursuant to this Agreement; and (c) is necessary or useful to Research, Develop, Manufacture or Commercialize any Program DART or Licensed Product in the Field in the Gilead Territory. MacroGenics Information and Inventions excludes MacroGenics’ interest in the Joint IP and any Know-How that relates solely to any active pharmaceutical ingredient in a Combination Product other than a Program DART.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1.77 “</w:t>
      </w:r>
      <w:r>
        <w:rPr>
          <w:rFonts w:ascii="Arial" w:cs="Arial" w:eastAsia="Arial" w:hAnsi="Arial"/>
          <w:sz w:val="12"/>
          <w:szCs w:val="12"/>
          <w:u w:val="single" w:color="auto"/>
          <w:color w:val="auto"/>
        </w:rPr>
        <w:t>MacroGenics Indemnitees</w:t>
      </w:r>
      <w:r>
        <w:rPr>
          <w:rFonts w:ascii="Arial" w:cs="Arial" w:eastAsia="Arial" w:hAnsi="Arial"/>
          <w:sz w:val="12"/>
          <w:szCs w:val="12"/>
          <w:color w:val="auto"/>
        </w:rPr>
        <w:t>” means MacroGenics, its Affiliates and its Sublicensees and the directors, officers and employees of MacroGenics, its Affiliates and its Sublicensees.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1.78 “</w:t>
      </w:r>
      <w:r>
        <w:rPr>
          <w:rFonts w:ascii="Arial" w:cs="Arial" w:eastAsia="Arial" w:hAnsi="Arial"/>
          <w:sz w:val="14"/>
          <w:szCs w:val="14"/>
          <w:u w:val="single" w:color="auto"/>
          <w:color w:val="auto"/>
        </w:rPr>
        <w:t>MacroGenics IP</w:t>
      </w:r>
      <w:r>
        <w:rPr>
          <w:rFonts w:ascii="Arial" w:cs="Arial" w:eastAsia="Arial" w:hAnsi="Arial"/>
          <w:sz w:val="14"/>
          <w:szCs w:val="14"/>
          <w:color w:val="auto"/>
        </w:rPr>
        <w:t>” means the MacroGenics Know-How and the MacroGenics Patents.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1.79 “</w:t>
      </w:r>
      <w:r>
        <w:rPr>
          <w:rFonts w:ascii="Arial" w:cs="Arial" w:eastAsia="Arial" w:hAnsi="Arial"/>
          <w:sz w:val="14"/>
          <w:szCs w:val="14"/>
          <w:u w:val="single" w:color="auto"/>
          <w:color w:val="auto"/>
        </w:rPr>
        <w:t>MacroGenics Know-How</w:t>
      </w:r>
      <w:r>
        <w:rPr>
          <w:rFonts w:ascii="Arial" w:cs="Arial" w:eastAsia="Arial" w:hAnsi="Arial"/>
          <w:sz w:val="14"/>
          <w:szCs w:val="14"/>
          <w:color w:val="auto"/>
        </w:rPr>
        <w:t>” means all MacroGenics Information and Inventions except to the extent disclosed by published MacroGenics Patents.</w:t>
      </w:r>
    </w:p>
    <w:p>
      <w:pPr>
        <w:spacing w:after="0" w:line="132" w:lineRule="exact"/>
        <w:rPr>
          <w:sz w:val="20"/>
          <w:szCs w:val="20"/>
          <w:color w:val="auto"/>
        </w:rPr>
      </w:pPr>
    </w:p>
    <w:p>
      <w:pPr>
        <w:ind w:right="520" w:firstLine="458"/>
        <w:spacing w:after="0" w:line="267" w:lineRule="auto"/>
        <w:rPr>
          <w:sz w:val="20"/>
          <w:szCs w:val="20"/>
          <w:color w:val="auto"/>
        </w:rPr>
      </w:pPr>
      <w:r>
        <w:rPr>
          <w:rFonts w:ascii="Arial" w:cs="Arial" w:eastAsia="Arial" w:hAnsi="Arial"/>
          <w:sz w:val="14"/>
          <w:szCs w:val="14"/>
          <w:color w:val="auto"/>
        </w:rPr>
        <w:t>1.80 “</w:t>
      </w:r>
      <w:r>
        <w:rPr>
          <w:rFonts w:ascii="Arial" w:cs="Arial" w:eastAsia="Arial" w:hAnsi="Arial"/>
          <w:sz w:val="14"/>
          <w:szCs w:val="14"/>
          <w:u w:val="single" w:color="auto"/>
          <w:color w:val="auto"/>
        </w:rPr>
        <w:t>MacroGenics Patents</w:t>
      </w:r>
      <w:r>
        <w:rPr>
          <w:rFonts w:ascii="Arial" w:cs="Arial" w:eastAsia="Arial" w:hAnsi="Arial"/>
          <w:sz w:val="14"/>
          <w:szCs w:val="14"/>
          <w:color w:val="auto"/>
        </w:rPr>
        <w:t xml:space="preserve">” means Patents Controlled by MacroGenics or its Affiliates on the Effective Date or thereafter during the Agreement Term that Cover MacroGenics Information and Inventions. The MacroGenics Patents existing as of the Effective Date are set forth on </w:t>
      </w:r>
      <w:r>
        <w:rPr>
          <w:rFonts w:ascii="Arial" w:cs="Arial" w:eastAsia="Arial" w:hAnsi="Arial"/>
          <w:sz w:val="14"/>
          <w:szCs w:val="14"/>
          <w:u w:val="single" w:color="auto"/>
          <w:color w:val="auto"/>
        </w:rPr>
        <w:t>Exhibit C</w:t>
      </w:r>
      <w:r>
        <w:rPr>
          <w:rFonts w:ascii="Arial" w:cs="Arial" w:eastAsia="Arial" w:hAnsi="Arial"/>
          <w:sz w:val="14"/>
          <w:szCs w:val="14"/>
          <w:color w:val="auto"/>
        </w:rPr>
        <w:t>. MacroGenics Patents excludes Joint Patents.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1.81 “</w:t>
      </w:r>
      <w:r>
        <w:rPr>
          <w:rFonts w:ascii="Arial" w:cs="Arial" w:eastAsia="Arial" w:hAnsi="Arial"/>
          <w:sz w:val="14"/>
          <w:szCs w:val="14"/>
          <w:u w:val="single" w:color="auto"/>
          <w:color w:val="auto"/>
        </w:rPr>
        <w:t>MacroGenics Territory</w:t>
      </w:r>
      <w:r>
        <w:rPr>
          <w:rFonts w:ascii="Arial" w:cs="Arial" w:eastAsia="Arial" w:hAnsi="Arial"/>
          <w:sz w:val="14"/>
          <w:szCs w:val="14"/>
          <w:color w:val="auto"/>
        </w:rPr>
        <w:t xml:space="preserve">” means,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only, the entire world excluding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Territory.</w:t>
      </w:r>
    </w:p>
    <w:p>
      <w:pPr>
        <w:spacing w:after="0" w:line="134" w:lineRule="exact"/>
        <w:rPr>
          <w:sz w:val="20"/>
          <w:szCs w:val="20"/>
          <w:color w:val="auto"/>
        </w:rPr>
      </w:pPr>
    </w:p>
    <w:p>
      <w:pPr>
        <w:ind w:right="340" w:firstLine="458"/>
        <w:spacing w:after="0" w:line="351" w:lineRule="auto"/>
        <w:rPr>
          <w:sz w:val="20"/>
          <w:szCs w:val="20"/>
          <w:color w:val="auto"/>
        </w:rPr>
      </w:pPr>
      <w:r>
        <w:rPr>
          <w:rFonts w:ascii="Arial" w:cs="Arial" w:eastAsia="Arial" w:hAnsi="Arial"/>
          <w:sz w:val="12"/>
          <w:szCs w:val="12"/>
          <w:color w:val="auto"/>
        </w:rPr>
        <w:t>1.82 “</w:t>
      </w:r>
      <w:r>
        <w:rPr>
          <w:rFonts w:ascii="Arial" w:cs="Arial" w:eastAsia="Arial" w:hAnsi="Arial"/>
          <w:sz w:val="12"/>
          <w:szCs w:val="12"/>
          <w:u w:val="single" w:color="auto"/>
          <w:color w:val="auto"/>
        </w:rPr>
        <w:t>MacroGenics Third Party Agreements</w:t>
      </w:r>
      <w:r>
        <w:rPr>
          <w:rFonts w:ascii="Arial" w:cs="Arial" w:eastAsia="Arial" w:hAnsi="Arial"/>
          <w:sz w:val="12"/>
          <w:szCs w:val="12"/>
          <w:color w:val="auto"/>
        </w:rPr>
        <w:t>” means any agreement (other than this Agreement) (a) pursuant to which MacroGenics in-licenses or otherwise acquires the right to practice Patents or Know-How that relates to the Program DARTs or Licensed Products in the Field in the Gilead Territory and (b) that Gilead accepts pursuant to Section 4.6.</w:t>
      </w:r>
    </w:p>
    <w:p>
      <w:pPr>
        <w:spacing w:after="0" w:line="56"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1.83 “</w:t>
      </w:r>
      <w:r>
        <w:rPr>
          <w:rFonts w:ascii="Arial" w:cs="Arial" w:eastAsia="Arial" w:hAnsi="Arial"/>
          <w:sz w:val="12"/>
          <w:szCs w:val="12"/>
          <w:u w:val="single" w:color="auto"/>
          <w:color w:val="auto"/>
        </w:rPr>
        <w:t>Manufacture</w:t>
      </w:r>
      <w:r>
        <w:rPr>
          <w:rFonts w:ascii="Arial" w:cs="Arial" w:eastAsia="Arial" w:hAnsi="Arial"/>
          <w:sz w:val="12"/>
          <w:szCs w:val="12"/>
          <w:color w:val="auto"/>
        </w:rPr>
        <w:t>” or “</w:t>
      </w:r>
      <w:r>
        <w:rPr>
          <w:rFonts w:ascii="Arial" w:cs="Arial" w:eastAsia="Arial" w:hAnsi="Arial"/>
          <w:sz w:val="12"/>
          <w:szCs w:val="12"/>
          <w:u w:val="single" w:color="auto"/>
          <w:color w:val="auto"/>
        </w:rPr>
        <w:t>Manufacturing</w:t>
      </w:r>
      <w:r>
        <w:rPr>
          <w:rFonts w:ascii="Arial" w:cs="Arial" w:eastAsia="Arial" w:hAnsi="Arial"/>
          <w:sz w:val="12"/>
          <w:szCs w:val="12"/>
          <w:color w:val="auto"/>
        </w:rPr>
        <w:t>” means all activities related to the manufacturing of a DART or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release and stability testing) and release of product or any component or ingredient thereof, and regulatory activities related to all of the foregoing.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4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42" w:name="page543"/>
    <w:bookmarkEnd w:id="542"/>
    <w:p>
      <w:pPr>
        <w:ind w:right="100" w:firstLine="458"/>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1.84 “</w:t>
      </w:r>
      <w:r>
        <w:rPr>
          <w:rFonts w:ascii="Arial" w:cs="Arial" w:eastAsia="Arial" w:hAnsi="Arial"/>
          <w:sz w:val="14"/>
          <w:szCs w:val="14"/>
          <w:u w:val="single" w:color="auto"/>
          <w:color w:val="auto"/>
        </w:rPr>
        <w:t>Marketing Approval</w:t>
      </w:r>
      <w:r>
        <w:rPr>
          <w:rFonts w:ascii="Arial" w:cs="Arial" w:eastAsia="Arial" w:hAnsi="Arial"/>
          <w:sz w:val="14"/>
          <w:szCs w:val="14"/>
          <w:color w:val="auto"/>
        </w:rPr>
        <w:t>” means, for any Licensed Product in any country, all approvals (including pricing and reimbursement approvals), licenses, registrations or authorizations of any federal, state or local regulatory agency, department, bureau or other governmental entity, necessary for the sale of such Licensed Product in such country. If no such approvals, licenses, registrations or authorization are necessary for the sale of a Licensed Product in a particular country, then “Marketing Approval” for such Licensed Product in such country shall be deemed to have occurred on First Commercial Sale of such Licensed Product in such country.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1.85 “</w:t>
      </w:r>
      <w:r>
        <w:rPr>
          <w:rFonts w:ascii="Arial" w:cs="Arial" w:eastAsia="Arial" w:hAnsi="Arial"/>
          <w:sz w:val="14"/>
          <w:szCs w:val="14"/>
          <w:u w:val="single" w:color="auto"/>
          <w:color w:val="auto"/>
        </w:rPr>
        <w:t>Mixed Patent</w:t>
      </w:r>
      <w:r>
        <w:rPr>
          <w:rFonts w:ascii="Arial" w:cs="Arial" w:eastAsia="Arial" w:hAnsi="Arial"/>
          <w:sz w:val="14"/>
          <w:szCs w:val="14"/>
          <w:color w:val="auto"/>
        </w:rPr>
        <w:t xml:space="preserve">” means any Patent that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1.86 ***</w:t>
      </w:r>
    </w:p>
    <w:p>
      <w:pPr>
        <w:spacing w:after="0" w:line="132" w:lineRule="exact"/>
        <w:rPr>
          <w:sz w:val="20"/>
          <w:szCs w:val="20"/>
          <w:color w:val="auto"/>
        </w:rPr>
      </w:pPr>
    </w:p>
    <w:p>
      <w:pPr>
        <w:ind w:firstLine="458"/>
        <w:spacing w:after="0" w:line="258" w:lineRule="auto"/>
        <w:rPr>
          <w:sz w:val="20"/>
          <w:szCs w:val="20"/>
          <w:color w:val="auto"/>
        </w:rPr>
      </w:pPr>
      <w:r>
        <w:rPr>
          <w:rFonts w:ascii="Arial" w:cs="Arial" w:eastAsia="Arial" w:hAnsi="Arial"/>
          <w:sz w:val="14"/>
          <w:szCs w:val="14"/>
          <w:color w:val="auto"/>
        </w:rPr>
        <w:t>1.87 “</w:t>
      </w:r>
      <w:r>
        <w:rPr>
          <w:rFonts w:ascii="Arial" w:cs="Arial" w:eastAsia="Arial" w:hAnsi="Arial"/>
          <w:sz w:val="14"/>
          <w:szCs w:val="14"/>
          <w:u w:val="single" w:color="auto"/>
          <w:color w:val="auto"/>
        </w:rPr>
        <w:t>Net Receipts</w:t>
      </w:r>
      <w:r>
        <w:rPr>
          <w:rFonts w:ascii="Arial" w:cs="Arial" w:eastAsia="Arial" w:hAnsi="Arial"/>
          <w:sz w:val="14"/>
          <w:szCs w:val="14"/>
          <w:color w:val="auto"/>
        </w:rPr>
        <w:t>” means all amounts actually received by Gilead or its Affiliates from any Generic Licensee or Compulsory Licensee in consideration of the sale of a Licensed Product less any withholding tax or other taxes as may be required under Law and actually paid from such payment due to Gilead; provided, however, that if such Licensed Product is sold as a Combination Product, Net Receipts with respect to the Combination Product shall be calculated in a manner consistent with the last paragraph of Section 1.88.</w:t>
      </w:r>
    </w:p>
    <w:p>
      <w:pPr>
        <w:spacing w:after="0" w:line="108" w:lineRule="exact"/>
        <w:rPr>
          <w:sz w:val="20"/>
          <w:szCs w:val="20"/>
          <w:color w:val="auto"/>
        </w:rPr>
      </w:pPr>
    </w:p>
    <w:p>
      <w:pPr>
        <w:ind w:right="20" w:firstLine="458"/>
        <w:spacing w:after="0" w:line="345" w:lineRule="auto"/>
        <w:rPr>
          <w:sz w:val="20"/>
          <w:szCs w:val="20"/>
          <w:color w:val="auto"/>
        </w:rPr>
      </w:pPr>
      <w:r>
        <w:rPr>
          <w:rFonts w:ascii="Arial" w:cs="Arial" w:eastAsia="Arial" w:hAnsi="Arial"/>
          <w:sz w:val="12"/>
          <w:szCs w:val="12"/>
          <w:color w:val="auto"/>
        </w:rPr>
        <w:t>1.88 “</w:t>
      </w:r>
      <w:r>
        <w:rPr>
          <w:rFonts w:ascii="Arial" w:cs="Arial" w:eastAsia="Arial" w:hAnsi="Arial"/>
          <w:sz w:val="12"/>
          <w:szCs w:val="12"/>
          <w:u w:val="single" w:color="auto"/>
          <w:color w:val="auto"/>
        </w:rPr>
        <w:t>Net Sales</w:t>
      </w:r>
      <w:r>
        <w:rPr>
          <w:rFonts w:ascii="Arial" w:cs="Arial" w:eastAsia="Arial" w:hAnsi="Arial"/>
          <w:sz w:val="12"/>
          <w:szCs w:val="12"/>
          <w:color w:val="auto"/>
        </w:rPr>
        <w:t>” means the gross amounts billed or invoiced by Gilead, its Affiliates or its Sublicensees to Third Parties that are not Sublicensees for the sale or other commercial disposition of Licensed Products, less the following deductions, determined in each case in accordance with the Accounting Standards, and only to the extent attributable to Licensed Products:</w:t>
      </w:r>
    </w:p>
    <w:p>
      <w:pPr>
        <w:ind w:left="1680" w:hanging="187"/>
        <w:spacing w:after="0"/>
        <w:tabs>
          <w:tab w:leader="none" w:pos="1680" w:val="left"/>
        </w:tabs>
        <w:numPr>
          <w:ilvl w:val="0"/>
          <w:numId w:val="545"/>
        </w:numPr>
        <w:rPr>
          <w:rFonts w:ascii="Arial" w:cs="Arial" w:eastAsia="Arial" w:hAnsi="Arial"/>
          <w:sz w:val="14"/>
          <w:szCs w:val="14"/>
          <w:color w:val="auto"/>
        </w:rPr>
      </w:pPr>
      <w:r>
        <w:rPr>
          <w:rFonts w:ascii="Arial" w:cs="Arial" w:eastAsia="Arial" w:hAnsi="Arial"/>
          <w:sz w:val="14"/>
          <w:szCs w:val="14"/>
          <w:color w:val="auto"/>
        </w:rPr>
        <w:t>trade, quantity and cash discounts allowed and taken;</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545"/>
        </w:numPr>
        <w:rPr>
          <w:rFonts w:ascii="Arial" w:cs="Arial" w:eastAsia="Arial" w:hAnsi="Arial"/>
          <w:sz w:val="14"/>
          <w:szCs w:val="14"/>
          <w:color w:val="auto"/>
        </w:rPr>
      </w:pPr>
      <w:r>
        <w:rPr>
          <w:rFonts w:ascii="Arial" w:cs="Arial" w:eastAsia="Arial" w:hAnsi="Arial"/>
          <w:sz w:val="14"/>
          <w:szCs w:val="14"/>
          <w:color w:val="auto"/>
        </w:rPr>
        <w:t>refunds, chargebacks and any other allowances given and taken which effectively reduce the gross amounts billed or invoiced;</w:t>
      </w:r>
    </w:p>
    <w:p>
      <w:pPr>
        <w:spacing w:after="0" w:line="131" w:lineRule="exact"/>
        <w:rPr>
          <w:rFonts w:ascii="Arial" w:cs="Arial" w:eastAsia="Arial" w:hAnsi="Arial"/>
          <w:sz w:val="14"/>
          <w:szCs w:val="14"/>
          <w:color w:val="auto"/>
        </w:rPr>
      </w:pPr>
    </w:p>
    <w:p>
      <w:pPr>
        <w:ind w:right="300" w:firstLine="1493"/>
        <w:spacing w:after="0" w:line="267" w:lineRule="auto"/>
        <w:tabs>
          <w:tab w:leader="none" w:pos="1675" w:val="left"/>
        </w:tabs>
        <w:numPr>
          <w:ilvl w:val="0"/>
          <w:numId w:val="545"/>
        </w:numPr>
        <w:rPr>
          <w:rFonts w:ascii="Arial" w:cs="Arial" w:eastAsia="Arial" w:hAnsi="Arial"/>
          <w:sz w:val="14"/>
          <w:szCs w:val="14"/>
          <w:color w:val="auto"/>
        </w:rPr>
      </w:pPr>
      <w:r>
        <w:rPr>
          <w:rFonts w:ascii="Arial" w:cs="Arial" w:eastAsia="Arial" w:hAnsi="Arial"/>
          <w:sz w:val="14"/>
          <w:szCs w:val="14"/>
          <w:color w:val="auto"/>
        </w:rPr>
        <w:t>product returns, credits and allowances and bad debt (provided that if any such bad debt is subsequently collected, such collected amounts shall be included in Net Sales in the period in which they are subsequently collected);</w:t>
      </w:r>
    </w:p>
    <w:p>
      <w:pPr>
        <w:spacing w:after="0" w:line="101" w:lineRule="exact"/>
        <w:rPr>
          <w:rFonts w:ascii="Arial" w:cs="Arial" w:eastAsia="Arial" w:hAnsi="Arial"/>
          <w:sz w:val="14"/>
          <w:szCs w:val="14"/>
          <w:color w:val="auto"/>
        </w:rPr>
      </w:pPr>
    </w:p>
    <w:p>
      <w:pPr>
        <w:ind w:right="180" w:firstLine="1493"/>
        <w:spacing w:after="0" w:line="255" w:lineRule="auto"/>
        <w:tabs>
          <w:tab w:leader="none" w:pos="1682" w:val="left"/>
        </w:tabs>
        <w:numPr>
          <w:ilvl w:val="0"/>
          <w:numId w:val="545"/>
        </w:numPr>
        <w:rPr>
          <w:rFonts w:ascii="Arial" w:cs="Arial" w:eastAsia="Arial" w:hAnsi="Arial"/>
          <w:sz w:val="14"/>
          <w:szCs w:val="14"/>
          <w:color w:val="auto"/>
        </w:rPr>
      </w:pPr>
      <w:r>
        <w:rPr>
          <w:rFonts w:ascii="Arial" w:cs="Arial" w:eastAsia="Arial" w:hAnsi="Arial"/>
          <w:sz w:val="14"/>
          <w:szCs w:val="14"/>
          <w:color w:val="auto"/>
        </w:rPr>
        <w:t>rebates, reimbursements, fees, taxes or similar payments to (i) wholesalers and other distributors, pharmacies and other retailers, buying groups (including group purchasing organizations), health care insurance carriers, pharmacy benefit management companies, health maintenance organizations, governmental entities, or other institutions or health care organizations to the extent actually paid or credited; or (ii) patients and other Third Parties arising in connection with any program that provides low income, uninsured or other patients the opportunity to obtain discounted Licensed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4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43" w:name="page544"/>
    <w:bookmarkEnd w:id="543"/>
    <w:p>
      <w:pPr>
        <w:ind w:left="1680" w:hanging="187"/>
        <w:spacing w:after="0"/>
        <w:tabs>
          <w:tab w:leader="none" w:pos="1680" w:val="left"/>
        </w:tabs>
        <w:numPr>
          <w:ilvl w:val="0"/>
          <w:numId w:val="54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discounts mandated by, or granted to meet the requirements of, applicable state, provincial or federal Law, including required chargebacks and retroactive price reductions;</w:t>
      </w:r>
    </w:p>
    <w:p>
      <w:pPr>
        <w:spacing w:after="0" w:line="154" w:lineRule="exact"/>
        <w:rPr>
          <w:rFonts w:ascii="Arial" w:cs="Arial" w:eastAsia="Arial" w:hAnsi="Arial"/>
          <w:sz w:val="12"/>
          <w:szCs w:val="12"/>
          <w:color w:val="auto"/>
        </w:rPr>
      </w:pPr>
    </w:p>
    <w:p>
      <w:pPr>
        <w:ind w:left="1660" w:hanging="167"/>
        <w:spacing w:after="0"/>
        <w:tabs>
          <w:tab w:leader="none" w:pos="1660" w:val="left"/>
        </w:tabs>
        <w:numPr>
          <w:ilvl w:val="0"/>
          <w:numId w:val="547"/>
        </w:numPr>
        <w:rPr>
          <w:rFonts w:ascii="Arial" w:cs="Arial" w:eastAsia="Arial" w:hAnsi="Arial"/>
          <w:sz w:val="12"/>
          <w:szCs w:val="12"/>
          <w:color w:val="auto"/>
        </w:rPr>
      </w:pPr>
      <w:r>
        <w:rPr>
          <w:rFonts w:ascii="Arial" w:cs="Arial" w:eastAsia="Arial" w:hAnsi="Arial"/>
          <w:sz w:val="12"/>
          <w:szCs w:val="12"/>
          <w:color w:val="auto"/>
        </w:rPr>
        <w:t>transportation, freight, postage charges and other charges such as insurance, relating thereto, in each case included as a specific line item on a bill or an invoice to such Third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Parties; and</w:t>
      </w:r>
    </w:p>
    <w:p>
      <w:pPr>
        <w:spacing w:after="0" w:line="126" w:lineRule="exact"/>
        <w:rPr>
          <w:sz w:val="20"/>
          <w:szCs w:val="20"/>
          <w:color w:val="auto"/>
        </w:rPr>
      </w:pPr>
    </w:p>
    <w:p>
      <w:pPr>
        <w:ind w:right="160" w:firstLine="1493"/>
        <w:spacing w:after="0" w:line="267" w:lineRule="auto"/>
        <w:tabs>
          <w:tab w:leader="none" w:pos="1682" w:val="left"/>
        </w:tabs>
        <w:numPr>
          <w:ilvl w:val="0"/>
          <w:numId w:val="548"/>
        </w:numPr>
        <w:rPr>
          <w:rFonts w:ascii="Arial" w:cs="Arial" w:eastAsia="Arial" w:hAnsi="Arial"/>
          <w:sz w:val="14"/>
          <w:szCs w:val="14"/>
          <w:color w:val="auto"/>
        </w:rPr>
      </w:pPr>
      <w:r>
        <w:rPr>
          <w:rFonts w:ascii="Arial" w:cs="Arial" w:eastAsia="Arial" w:hAnsi="Arial"/>
          <w:sz w:val="14"/>
          <w:szCs w:val="14"/>
          <w:color w:val="auto"/>
        </w:rPr>
        <w:t>taxes, excises or other governmental charges upon or measured by the production, sale, transportation, delivery or use of goods, in each case included as a specific line item on a bill or an invoice to such Third Parties.</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Except as otherwise specified above, any and all set-offs against gross amounts billed or invoiced shall be calculated in accordance with the Accounting Standards. Sales or other commercial dispositions of Licensed Products (1) between Gilead and its Affiliates and/or its Sublicensees (except where such Affiliates or Sublicensees are an end user of the Licensed Product); (2) provided to Third Parties without charge, in connection with research and development, Clinical Trials, compassionate use, humanitarian and charitable donations, or indigent programs or for use, in reasonable and customary quantities, as samples; and (3) provided by Gilead, its Affiliates and/or Sublicensees to government agencies, not-for-profit non-governmental organizations, physicians, pharmacies, other entities, or directly to patients, in each case in the Access Territory on an Affordable Basis, shall in each case, be excluded from the computation of Net Sales, and no payments will be payable on such sales or such other commercial dispositions. For clarity, Net Sales shall exclude Net Receipts and amounts invoiced for Licensed Products by any Generic Licensee or Compulsory Licensee. Notwithstanding anything herein to the contrary, if there are material sales of Licensed Products by Gilead, its Affiliates or Sublicensees to unaffiliated Third Parties at a price in excess of the Affordable Basis in a country or territory in the Access Territory, the Parties shall determine a mechanism to include the amounts invoiced for such sales within Net Sales hereunder.</w:t>
      </w:r>
    </w:p>
    <w:p>
      <w:pPr>
        <w:spacing w:after="0" w:line="87" w:lineRule="exact"/>
        <w:rPr>
          <w:sz w:val="20"/>
          <w:szCs w:val="20"/>
          <w:color w:val="auto"/>
        </w:rPr>
      </w:pPr>
    </w:p>
    <w:p>
      <w:pPr>
        <w:jc w:val="both"/>
        <w:ind w:right="120"/>
        <w:spacing w:after="0" w:line="321" w:lineRule="auto"/>
        <w:rPr>
          <w:sz w:val="20"/>
          <w:szCs w:val="20"/>
          <w:color w:val="auto"/>
        </w:rPr>
      </w:pPr>
      <w:r>
        <w:rPr>
          <w:rFonts w:ascii="Arial" w:cs="Arial" w:eastAsia="Arial" w:hAnsi="Arial"/>
          <w:sz w:val="12"/>
          <w:szCs w:val="12"/>
          <w:color w:val="auto"/>
        </w:rPr>
        <w:t>If a Licensed Product is sold or otherwise commercially disposed of for consideration other than cash or in a transaction that is not at arm’s length between the buyer and the seller, then the gross amount to be included in the calculation of Net Sales shall be the amount that would have been invoiced had the transaction been conducted at arm’s length and for cash. Such amount that would have been invoiced shall be determined, wherever possible, by reference to the average selling price of the relevant Licensed Product in arm’s length transactions in the relevant country.</w:t>
      </w:r>
    </w:p>
    <w:p>
      <w:pPr>
        <w:spacing w:after="0" w:line="73" w:lineRule="exact"/>
        <w:rPr>
          <w:sz w:val="20"/>
          <w:szCs w:val="20"/>
          <w:color w:val="auto"/>
        </w:rPr>
      </w:pPr>
    </w:p>
    <w:p>
      <w:pPr>
        <w:ind w:right="140"/>
        <w:spacing w:after="0" w:line="311" w:lineRule="auto"/>
        <w:rPr>
          <w:sz w:val="20"/>
          <w:szCs w:val="20"/>
          <w:color w:val="auto"/>
        </w:rPr>
      </w:pPr>
      <w:r>
        <w:rPr>
          <w:rFonts w:ascii="Arial" w:cs="Arial" w:eastAsia="Arial" w:hAnsi="Arial"/>
          <w:sz w:val="12"/>
          <w:szCs w:val="12"/>
          <w:color w:val="auto"/>
        </w:rPr>
        <w:t>Notwithstanding the foregoing, to the extent a Licensed Product is sold as a Combination Product, Net Sales with respect to the Combination Product for a particular country shall be calculated by multiplying the actual Net Sales of the Combination Product by the fraction A/(A+B), where A is the total weighted (by sales volume) average Net Sales price of the Licensed Product if sold by Gilead, its Affiliates or Sublicensees separately in a country and B is the total weighted (by sales volume) average Net Sales price of the other active ingredients included in the Combination Product if sold separately in such country. If, on a country-by-country basis, such other active ingredients in the Combination Product are not sold separately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4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44" w:name="page545"/>
    <w:bookmarkEnd w:id="544"/>
    <w:p>
      <w:pPr>
        <w:ind w:right="4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such country, but the Licensed Product component of the Combination Product is sold separately in such country, Net Sales for the purpose of determining royalties due hereunder for the Combination Product will be calculated by multiplying the actual Net Sales of such Combination Product by the fraction A/C, where A is the total weighted (by sales volume) average Net Sales price of such Licensed Product component if sold separately, and C is the total weighted (by sales volume) average Net Sales price of the Combination Product. If, on a country-by-country basis, such Licensed Product component is not sold separately in such country, Net Sales for the purposes of determining royalties due hereunder for the Combination Product will be calculated by multiplying the actual Net Sales of such Combination Product by the fraction D/(D+E), where D is the worldwide average Net Sales price of the portion of the Combination Product that contains the Licensed Product, and E is the worldwide average Net Sales price of the portion of the Combination Product containing the other active ingredients included in such Combination Product.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1.89 “</w:t>
      </w:r>
      <w:r>
        <w:rPr>
          <w:rFonts w:ascii="Arial" w:cs="Arial" w:eastAsia="Arial" w:hAnsi="Arial"/>
          <w:sz w:val="14"/>
          <w:szCs w:val="14"/>
          <w:u w:val="single" w:color="auto"/>
          <w:color w:val="auto"/>
        </w:rPr>
        <w:t>Other Claims</w:t>
      </w:r>
      <w:r>
        <w:rPr>
          <w:rFonts w:ascii="Arial" w:cs="Arial" w:eastAsia="Arial" w:hAnsi="Arial"/>
          <w:sz w:val="14"/>
          <w:szCs w:val="14"/>
          <w:color w:val="auto"/>
        </w:rPr>
        <w:t>” means Patent claims other than Platform Claims and Product Claims.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1.90 “</w:t>
      </w:r>
      <w:r>
        <w:rPr>
          <w:rFonts w:ascii="Arial" w:cs="Arial" w:eastAsia="Arial" w:hAnsi="Arial"/>
          <w:sz w:val="14"/>
          <w:szCs w:val="14"/>
          <w:u w:val="single" w:color="auto"/>
          <w:color w:val="auto"/>
        </w:rPr>
        <w:t>Other Patents</w:t>
      </w:r>
      <w:r>
        <w:rPr>
          <w:rFonts w:ascii="Arial" w:cs="Arial" w:eastAsia="Arial" w:hAnsi="Arial"/>
          <w:sz w:val="14"/>
          <w:szCs w:val="14"/>
          <w:color w:val="auto"/>
        </w:rPr>
        <w:t>” means any Gilead Collaboration Patents, MacroGenics Patents or Joint Patents that (in each case) contain only Other Claims.</w:t>
      </w:r>
    </w:p>
    <w:p>
      <w:pPr>
        <w:spacing w:after="0" w:line="132" w:lineRule="exact"/>
        <w:rPr>
          <w:sz w:val="20"/>
          <w:szCs w:val="20"/>
          <w:color w:val="auto"/>
        </w:rPr>
      </w:pPr>
    </w:p>
    <w:p>
      <w:pPr>
        <w:ind w:right="360" w:firstLine="458"/>
        <w:spacing w:after="0" w:line="267" w:lineRule="auto"/>
        <w:rPr>
          <w:sz w:val="20"/>
          <w:szCs w:val="20"/>
          <w:color w:val="auto"/>
        </w:rPr>
      </w:pPr>
      <w:r>
        <w:rPr>
          <w:rFonts w:ascii="Arial" w:cs="Arial" w:eastAsia="Arial" w:hAnsi="Arial"/>
          <w:sz w:val="14"/>
          <w:szCs w:val="14"/>
          <w:color w:val="auto"/>
        </w:rPr>
        <w:t>1.91 “</w:t>
      </w:r>
      <w:r>
        <w:rPr>
          <w:rFonts w:ascii="Arial" w:cs="Arial" w:eastAsia="Arial" w:hAnsi="Arial"/>
          <w:sz w:val="14"/>
          <w:szCs w:val="14"/>
          <w:u w:val="single" w:color="auto"/>
          <w:color w:val="auto"/>
        </w:rPr>
        <w:t>Out-of-Pocket Costs</w:t>
      </w:r>
      <w:r>
        <w:rPr>
          <w:rFonts w:ascii="Arial" w:cs="Arial" w:eastAsia="Arial" w:hAnsi="Arial"/>
          <w:sz w:val="14"/>
          <w:szCs w:val="14"/>
          <w:color w:val="auto"/>
        </w:rPr>
        <w:t>” means, with respect to certain activities hereunder, direct expenses actually paid by a Party or its Affiliates to Third Parties and specifically identifiable and incurred to conduct such activities for a Licensed Product, but excluding (with respect to MacroGenics’ Research activities) any costs included in the FTE Rate.</w:t>
      </w:r>
    </w:p>
    <w:p>
      <w:pPr>
        <w:spacing w:after="0" w:line="101" w:lineRule="exact"/>
        <w:rPr>
          <w:sz w:val="20"/>
          <w:szCs w:val="20"/>
          <w:color w:val="auto"/>
        </w:rPr>
      </w:pPr>
    </w:p>
    <w:p>
      <w:pPr>
        <w:ind w:right="660" w:firstLine="458"/>
        <w:spacing w:after="0" w:line="351" w:lineRule="auto"/>
        <w:rPr>
          <w:sz w:val="20"/>
          <w:szCs w:val="20"/>
          <w:color w:val="auto"/>
        </w:rPr>
      </w:pPr>
      <w:r>
        <w:rPr>
          <w:rFonts w:ascii="Arial" w:cs="Arial" w:eastAsia="Arial" w:hAnsi="Arial"/>
          <w:sz w:val="12"/>
          <w:szCs w:val="12"/>
          <w:color w:val="auto"/>
        </w:rPr>
        <w:t>1.92 “</w:t>
      </w:r>
      <w:r>
        <w:rPr>
          <w:rFonts w:ascii="Arial" w:cs="Arial" w:eastAsia="Arial" w:hAnsi="Arial"/>
          <w:sz w:val="12"/>
          <w:szCs w:val="12"/>
          <w:u w:val="single" w:color="auto"/>
          <w:color w:val="auto"/>
        </w:rPr>
        <w:t>Patent</w:t>
      </w:r>
      <w:r>
        <w:rPr>
          <w:rFonts w:ascii="Arial" w:cs="Arial" w:eastAsia="Arial" w:hAnsi="Arial"/>
          <w:sz w:val="12"/>
          <w:szCs w:val="12"/>
          <w:color w:val="auto"/>
        </w:rPr>
        <w:t>” means (a) all patents and patent applications in any country or supranational jurisdiction, and (b) any substitutions, divisionals, continuations, continuations-in-part, provisional applications, reissues, renewals, registrations, confirmations, re-examinations, extensions, supplementary protection certificates and the like of any such patents or patent applications.</w:t>
      </w:r>
    </w:p>
    <w:p>
      <w:pPr>
        <w:spacing w:after="0" w:line="56"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1.93 “</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1.94 “</w:t>
      </w:r>
      <w:r>
        <w:rPr>
          <w:rFonts w:ascii="Arial" w:cs="Arial" w:eastAsia="Arial" w:hAnsi="Arial"/>
          <w:sz w:val="14"/>
          <w:szCs w:val="14"/>
          <w:u w:val="single" w:color="auto"/>
          <w:color w:val="auto"/>
        </w:rPr>
        <w:t>Phase 1 Clinical Trial</w:t>
      </w:r>
      <w:r>
        <w:rPr>
          <w:rFonts w:ascii="Arial" w:cs="Arial" w:eastAsia="Arial" w:hAnsi="Arial"/>
          <w:sz w:val="14"/>
          <w:szCs w:val="14"/>
          <w:color w:val="auto"/>
        </w:rPr>
        <w:t>” means a human clinical trial that is intended to initially evaluate the safety and/or pharmacological effect of a product or that would otherwise satisfy the requirements of 21 C.F.R. 312.21(a) or an equivalent clinical trial in a country other than the United States.</w:t>
      </w:r>
    </w:p>
    <w:p>
      <w:pPr>
        <w:spacing w:after="0" w:line="101"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1.95 “</w:t>
      </w:r>
      <w:r>
        <w:rPr>
          <w:rFonts w:ascii="Arial" w:cs="Arial" w:eastAsia="Arial" w:hAnsi="Arial"/>
          <w:sz w:val="14"/>
          <w:szCs w:val="14"/>
          <w:u w:val="single" w:color="auto"/>
          <w:color w:val="auto"/>
        </w:rPr>
        <w:t>Phase 2 Clinical Trial</w:t>
      </w:r>
      <w:r>
        <w:rPr>
          <w:rFonts w:ascii="Arial" w:cs="Arial" w:eastAsia="Arial" w:hAnsi="Arial"/>
          <w:sz w:val="14"/>
          <w:szCs w:val="14"/>
          <w:color w:val="auto"/>
        </w:rPr>
        <w:t>” means a human clinical trial for which the primary endpoints include a determination of dose ranges or an indication of efficacy of a product in patients being studied as described in 21 C.F.R. §312.21(b), or an equivalent clinical trial in a country other than the United States.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5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45" w:name="page546"/>
    <w:bookmarkEnd w:id="545"/>
    <w:p>
      <w:pPr>
        <w:ind w:right="80"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1.96 “</w:t>
      </w:r>
      <w:r>
        <w:rPr>
          <w:rFonts w:ascii="Arial" w:cs="Arial" w:eastAsia="Arial" w:hAnsi="Arial"/>
          <w:sz w:val="14"/>
          <w:szCs w:val="14"/>
          <w:u w:val="single" w:color="auto"/>
          <w:color w:val="auto"/>
        </w:rPr>
        <w:t>Phase 3 Clinical Trial</w:t>
      </w:r>
      <w:r>
        <w:rPr>
          <w:rFonts w:ascii="Arial" w:cs="Arial" w:eastAsia="Arial" w:hAnsi="Arial"/>
          <w:sz w:val="14"/>
          <w:szCs w:val="14"/>
          <w:color w:val="auto"/>
        </w:rPr>
        <w:t>” means a human clinical trial that is prospectively designed to demonstrate statistically whether a product is safe and effective for use in humans in the indication being investigated in a manner sufficient to obtain Regulatory Approval to market such product in patients having the disease or condition being studied as described in 21 C.F.R. §312.21(c), or an equivalent clinical trial in a country other than the United States.</w:t>
      </w:r>
    </w:p>
    <w:p>
      <w:pPr>
        <w:spacing w:after="0" w:line="108" w:lineRule="exact"/>
        <w:rPr>
          <w:sz w:val="20"/>
          <w:szCs w:val="20"/>
          <w:color w:val="auto"/>
        </w:rPr>
      </w:pPr>
    </w:p>
    <w:p>
      <w:pPr>
        <w:ind w:right="240" w:firstLine="458"/>
        <w:spacing w:after="0" w:line="258" w:lineRule="auto"/>
        <w:rPr>
          <w:sz w:val="20"/>
          <w:szCs w:val="20"/>
          <w:color w:val="auto"/>
        </w:rPr>
      </w:pPr>
      <w:r>
        <w:rPr>
          <w:rFonts w:ascii="Arial" w:cs="Arial" w:eastAsia="Arial" w:hAnsi="Arial"/>
          <w:sz w:val="14"/>
          <w:szCs w:val="14"/>
          <w:color w:val="auto"/>
        </w:rPr>
        <w:t>1.97 “</w:t>
      </w:r>
      <w:r>
        <w:rPr>
          <w:rFonts w:ascii="Arial" w:cs="Arial" w:eastAsia="Arial" w:hAnsi="Arial"/>
          <w:sz w:val="14"/>
          <w:szCs w:val="14"/>
          <w:u w:val="single" w:color="auto"/>
          <w:color w:val="auto"/>
        </w:rPr>
        <w:t>Phase 4 Study</w:t>
      </w:r>
      <w:r>
        <w:rPr>
          <w:rFonts w:ascii="Arial" w:cs="Arial" w:eastAsia="Arial" w:hAnsi="Arial"/>
          <w:sz w:val="14"/>
          <w:szCs w:val="14"/>
          <w:color w:val="auto"/>
        </w:rPr>
        <w:t>” means (a) a human clinical trial for a Licensed Product for an Indication that is required by a Regulatory Authority as a condition of (but is not completed before) obtaining the initial Regulatory Approval for such Licensed Product for such Indication and (b) any trial, test or study that is required or requested by a Regulatory Authority as a condition of maintaining the initial Regulatory Approval for a Licensed Product for an Indication, excluding any Post Approval Study.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1.98 “</w:t>
      </w:r>
      <w:r>
        <w:rPr>
          <w:rFonts w:ascii="Arial" w:cs="Arial" w:eastAsia="Arial" w:hAnsi="Arial"/>
          <w:sz w:val="14"/>
          <w:szCs w:val="14"/>
          <w:u w:val="single" w:color="auto"/>
          <w:color w:val="auto"/>
        </w:rPr>
        <w:t>PMDA</w:t>
      </w:r>
      <w:r>
        <w:rPr>
          <w:rFonts w:ascii="Arial" w:cs="Arial" w:eastAsia="Arial" w:hAnsi="Arial"/>
          <w:sz w:val="14"/>
          <w:szCs w:val="14"/>
          <w:color w:val="auto"/>
        </w:rPr>
        <w:t>” means the Japanese Pharmaceuticals and Medical Devices Agency or any successor agency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1.99 “</w:t>
      </w:r>
      <w:r>
        <w:rPr>
          <w:rFonts w:ascii="Arial" w:cs="Arial" w:eastAsia="Arial" w:hAnsi="Arial"/>
          <w:sz w:val="14"/>
          <w:szCs w:val="14"/>
          <w:u w:val="single" w:color="auto"/>
          <w:color w:val="auto"/>
        </w:rPr>
        <w:t>Platform Claims</w:t>
      </w:r>
      <w:r>
        <w:rPr>
          <w:rFonts w:ascii="Arial" w:cs="Arial" w:eastAsia="Arial" w:hAnsi="Arial"/>
          <w:sz w:val="14"/>
          <w:szCs w:val="14"/>
          <w:color w:val="auto"/>
        </w:rPr>
        <w:t xml:space="preserve">” means Patent claims that Cover </w:t>
      </w:r>
      <w:r>
        <w:rPr>
          <w:rFonts w:ascii="Arial" w:cs="Arial" w:eastAsia="Arial" w:hAnsi="Arial"/>
          <w:sz w:val="14"/>
          <w:szCs w:val="14"/>
          <w:b w:val="1"/>
          <w:bCs w:val="1"/>
          <w:color w:val="auto"/>
        </w:rPr>
        <w:t>***</w:t>
      </w:r>
      <w:r>
        <w:rPr>
          <w:rFonts w:ascii="Arial" w:cs="Arial" w:eastAsia="Arial" w:hAnsi="Arial"/>
          <w:sz w:val="14"/>
          <w:szCs w:val="14"/>
          <w:color w:val="auto"/>
        </w:rPr>
        <w:t>, but excluding any Product Claims.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1.100 “</w:t>
      </w:r>
      <w:r>
        <w:rPr>
          <w:rFonts w:ascii="Arial" w:cs="Arial" w:eastAsia="Arial" w:hAnsi="Arial"/>
          <w:sz w:val="14"/>
          <w:szCs w:val="14"/>
          <w:u w:val="single" w:color="auto"/>
          <w:color w:val="auto"/>
        </w:rPr>
        <w:t>Platform IP</w:t>
      </w:r>
      <w:r>
        <w:rPr>
          <w:rFonts w:ascii="Arial" w:cs="Arial" w:eastAsia="Arial" w:hAnsi="Arial"/>
          <w:sz w:val="14"/>
          <w:szCs w:val="14"/>
          <w:color w:val="auto"/>
        </w:rPr>
        <w:t xml:space="preserve">” means (a) Platform Claims and (b) Know-How that relates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(y) relates specifically to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1.101 “</w:t>
      </w:r>
      <w:r>
        <w:rPr>
          <w:rFonts w:ascii="Arial" w:cs="Arial" w:eastAsia="Arial" w:hAnsi="Arial"/>
          <w:sz w:val="14"/>
          <w:szCs w:val="14"/>
          <w:u w:val="single" w:color="auto"/>
          <w:color w:val="auto"/>
        </w:rPr>
        <w:t>Platform Patents</w:t>
      </w:r>
      <w:r>
        <w:rPr>
          <w:rFonts w:ascii="Arial" w:cs="Arial" w:eastAsia="Arial" w:hAnsi="Arial"/>
          <w:sz w:val="14"/>
          <w:szCs w:val="14"/>
          <w:color w:val="auto"/>
        </w:rPr>
        <w:t>” means, subject to Sections 9.3.1(c) and 9.3.2(c), any Gilead Collaboration Patents, MacroGenics Patents or Joint Patents that (in each case) contain at least one Platform Claim but no Product Claims.</w:t>
      </w:r>
    </w:p>
    <w:p>
      <w:pPr>
        <w:spacing w:after="0" w:line="101"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1.102 “</w:t>
      </w:r>
      <w:r>
        <w:rPr>
          <w:rFonts w:ascii="Arial" w:cs="Arial" w:eastAsia="Arial" w:hAnsi="Arial"/>
          <w:sz w:val="14"/>
          <w:szCs w:val="14"/>
          <w:u w:val="single" w:color="auto"/>
          <w:color w:val="auto"/>
        </w:rPr>
        <w:t>Post Approval Study</w:t>
      </w:r>
      <w:r>
        <w:rPr>
          <w:rFonts w:ascii="Arial" w:cs="Arial" w:eastAsia="Arial" w:hAnsi="Arial"/>
          <w:sz w:val="14"/>
          <w:szCs w:val="14"/>
          <w:color w:val="auto"/>
        </w:rPr>
        <w:t>” means any human clinical study or other test or study with respect to a Licensed Product for an Indication that is not required in order to obtain or maintain Regulatory Approval for such Licensed Product for such Indication. For clarity, any human clinical study that is intended to expand the product labeling for such Licensed Product shall be deemed not to be a Post Approval Study. Subject to the foregoing, Post Approval Study may include epidemiological studies, modeling and pharmacoeconomic studies, post-marketing surveillance studies, investigator or company sponsored or initiated studies and health economics studies.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1.103 “</w:t>
      </w:r>
      <w:r>
        <w:rPr>
          <w:rFonts w:ascii="Arial" w:cs="Arial" w:eastAsia="Arial" w:hAnsi="Arial"/>
          <w:sz w:val="12"/>
          <w:szCs w:val="12"/>
          <w:u w:val="single" w:color="auto"/>
          <w:color w:val="auto"/>
        </w:rPr>
        <w:t>Preclinical Data Package</w:t>
      </w:r>
      <w:r>
        <w:rPr>
          <w:rFonts w:ascii="Arial" w:cs="Arial" w:eastAsia="Arial" w:hAnsi="Arial"/>
          <w:sz w:val="12"/>
          <w:szCs w:val="12"/>
          <w:color w:val="auto"/>
        </w:rPr>
        <w:t xml:space="preserve">” means (a)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a written report containing the information and data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and (b) for each of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the</w:t>
      </w:r>
    </w:p>
    <w:p>
      <w:pPr>
        <w:spacing w:after="0" w:line="37" w:lineRule="exact"/>
        <w:rPr>
          <w:sz w:val="20"/>
          <w:szCs w:val="20"/>
          <w:color w:val="auto"/>
        </w:rPr>
      </w:pPr>
    </w:p>
    <w:p>
      <w:pPr>
        <w:ind w:left="460" w:right="1840" w:hanging="456"/>
        <w:spacing w:after="0" w:line="431" w:lineRule="auto"/>
        <w:tabs>
          <w:tab w:leader="none" w:pos="239" w:val="left"/>
        </w:tabs>
        <w:numPr>
          <w:ilvl w:val="0"/>
          <w:numId w:val="551"/>
        </w:numPr>
        <w:rPr>
          <w:rFonts w:ascii="Arial" w:cs="Arial" w:eastAsia="Arial" w:hAnsi="Arial"/>
          <w:sz w:val="14"/>
          <w:szCs w:val="14"/>
          <w:b w:val="1"/>
          <w:bCs w:val="1"/>
          <w:color w:val="auto"/>
        </w:rPr>
      </w:pPr>
      <w:r>
        <w:rPr>
          <w:rFonts w:ascii="Arial" w:cs="Arial" w:eastAsia="Arial" w:hAnsi="Arial"/>
          <w:sz w:val="14"/>
          <w:szCs w:val="14"/>
          <w:color w:val="auto"/>
        </w:rPr>
        <w:t xml:space="preserve">Licensed Program and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a written report containing the information and data to be agreed upon by the Parties in accordance with Section 3.2.2(d). 1.104 “</w:t>
      </w:r>
      <w:r>
        <w:rPr>
          <w:rFonts w:ascii="Arial" w:cs="Arial" w:eastAsia="Arial" w:hAnsi="Arial"/>
          <w:sz w:val="14"/>
          <w:szCs w:val="14"/>
          <w:u w:val="single" w:color="auto"/>
          <w:color w:val="auto"/>
        </w:rPr>
        <w:t>Product Claims</w:t>
      </w:r>
      <w:r>
        <w:rPr>
          <w:rFonts w:ascii="Arial" w:cs="Arial" w:eastAsia="Arial" w:hAnsi="Arial"/>
          <w:sz w:val="14"/>
          <w:szCs w:val="14"/>
          <w:color w:val="auto"/>
        </w:rPr>
        <w:t xml:space="preserve">” means Patent claims that Cover Know-How that (a) relates to aspects of the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color w:val="auto"/>
        </w:rPr>
        <w:t>1.105 “</w:t>
      </w:r>
      <w:r>
        <w:rPr>
          <w:rFonts w:ascii="Arial" w:cs="Arial" w:eastAsia="Arial" w:hAnsi="Arial"/>
          <w:sz w:val="14"/>
          <w:szCs w:val="14"/>
          <w:u w:val="single" w:color="auto"/>
          <w:color w:val="auto"/>
        </w:rPr>
        <w:t>Product Patents</w:t>
      </w:r>
      <w:r>
        <w:rPr>
          <w:rFonts w:ascii="Arial" w:cs="Arial" w:eastAsia="Arial" w:hAnsi="Arial"/>
          <w:sz w:val="14"/>
          <w:szCs w:val="14"/>
          <w:color w:val="auto"/>
        </w:rPr>
        <w:t>” means, subject to Sections 9.3.1(c) and 9.3.2(c), any Gilead Collaboration Patents, MacroGenics Patents or Joint Patents that (in each case) contain at least one Product Claim but no Platform Claims.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5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46" w:name="page547"/>
    <w:bookmarkEnd w:id="546"/>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1.106 “</w:t>
      </w:r>
      <w:r>
        <w:rPr>
          <w:rFonts w:ascii="Arial" w:cs="Arial" w:eastAsia="Arial" w:hAnsi="Arial"/>
          <w:sz w:val="14"/>
          <w:szCs w:val="14"/>
          <w:u w:val="single" w:color="auto"/>
          <w:color w:val="auto"/>
        </w:rPr>
        <w:t>Product Trademarks</w:t>
      </w:r>
      <w:r>
        <w:rPr>
          <w:rFonts w:ascii="Arial" w:cs="Arial" w:eastAsia="Arial" w:hAnsi="Arial"/>
          <w:sz w:val="14"/>
          <w:szCs w:val="14"/>
          <w:color w:val="auto"/>
        </w:rPr>
        <w:t>” means the Gilead Product Trademarks and MacroGenics Product Trademarks.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1.107 “</w:t>
      </w:r>
      <w:r>
        <w:rPr>
          <w:rFonts w:ascii="Arial" w:cs="Arial" w:eastAsia="Arial" w:hAnsi="Arial"/>
          <w:sz w:val="14"/>
          <w:szCs w:val="14"/>
          <w:u w:val="single" w:color="auto"/>
          <w:color w:val="auto"/>
        </w:rPr>
        <w:t>Program DART</w:t>
      </w:r>
      <w:r>
        <w:rPr>
          <w:rFonts w:ascii="Arial" w:cs="Arial" w:eastAsia="Arial" w:hAnsi="Arial"/>
          <w:sz w:val="14"/>
          <w:szCs w:val="14"/>
          <w:color w:val="auto"/>
        </w:rPr>
        <w:t>” means any DART that binds a Program Target.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1.108 “</w:t>
      </w:r>
      <w:r>
        <w:rPr>
          <w:rFonts w:ascii="Arial" w:cs="Arial" w:eastAsia="Arial" w:hAnsi="Arial"/>
          <w:sz w:val="14"/>
          <w:szCs w:val="14"/>
          <w:u w:val="single" w:color="auto"/>
          <w:color w:val="auto"/>
        </w:rPr>
        <w:t>Program Target</w:t>
      </w:r>
      <w:r>
        <w:rPr>
          <w:rFonts w:ascii="Arial" w:cs="Arial" w:eastAsia="Arial" w:hAnsi="Arial"/>
          <w:sz w:val="14"/>
          <w:szCs w:val="14"/>
          <w:color w:val="auto"/>
        </w:rPr>
        <w:t xml:space="preserve">” means any of the following Target pairs: (a) </w:t>
      </w:r>
      <w:r>
        <w:rPr>
          <w:rFonts w:ascii="Arial" w:cs="Arial" w:eastAsia="Arial" w:hAnsi="Arial"/>
          <w:sz w:val="14"/>
          <w:szCs w:val="14"/>
          <w:b w:val="1"/>
          <w:bCs w:val="1"/>
          <w:color w:val="auto"/>
        </w:rPr>
        <w:t>***</w:t>
      </w:r>
      <w:r>
        <w:rPr>
          <w:rFonts w:ascii="Arial" w:cs="Arial" w:eastAsia="Arial" w:hAnsi="Arial"/>
          <w:sz w:val="14"/>
          <w:szCs w:val="14"/>
          <w:color w:val="auto"/>
        </w:rPr>
        <w:t xml:space="preserve"> and </w:t>
      </w:r>
      <w:r>
        <w:rPr>
          <w:rFonts w:ascii="Arial" w:cs="Arial" w:eastAsia="Arial" w:hAnsi="Arial"/>
          <w:sz w:val="14"/>
          <w:szCs w:val="14"/>
          <w:b w:val="1"/>
          <w:bCs w:val="1"/>
          <w:color w:val="auto"/>
        </w:rPr>
        <w:t>***</w:t>
      </w:r>
      <w:r>
        <w:rPr>
          <w:rFonts w:ascii="Arial" w:cs="Arial" w:eastAsia="Arial" w:hAnsi="Arial"/>
          <w:sz w:val="14"/>
          <w:szCs w:val="14"/>
          <w:color w:val="auto"/>
        </w:rPr>
        <w:t xml:space="preserve">; (b) </w:t>
      </w:r>
      <w:r>
        <w:rPr>
          <w:rFonts w:ascii="Arial" w:cs="Arial" w:eastAsia="Arial" w:hAnsi="Arial"/>
          <w:sz w:val="14"/>
          <w:szCs w:val="14"/>
          <w:b w:val="1"/>
          <w:bCs w:val="1"/>
          <w:color w:val="auto"/>
        </w:rPr>
        <w:t>***</w:t>
      </w:r>
      <w:r>
        <w:rPr>
          <w:rFonts w:ascii="Arial" w:cs="Arial" w:eastAsia="Arial" w:hAnsi="Arial"/>
          <w:sz w:val="14"/>
          <w:szCs w:val="14"/>
          <w:color w:val="auto"/>
        </w:rPr>
        <w:t xml:space="preserve"> and </w:t>
      </w:r>
      <w:r>
        <w:rPr>
          <w:rFonts w:ascii="Arial" w:cs="Arial" w:eastAsia="Arial" w:hAnsi="Arial"/>
          <w:sz w:val="14"/>
          <w:szCs w:val="14"/>
          <w:b w:val="1"/>
          <w:bCs w:val="1"/>
          <w:color w:val="auto"/>
        </w:rPr>
        <w:t>***</w:t>
      </w:r>
      <w:r>
        <w:rPr>
          <w:rFonts w:ascii="Arial" w:cs="Arial" w:eastAsia="Arial" w:hAnsi="Arial"/>
          <w:sz w:val="14"/>
          <w:szCs w:val="14"/>
          <w:color w:val="auto"/>
        </w:rPr>
        <w:t xml:space="preserve">; (c)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or (d)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w:t>
      </w:r>
    </w:p>
    <w:p>
      <w:pPr>
        <w:spacing w:after="0" w:line="134" w:lineRule="exact"/>
        <w:rPr>
          <w:sz w:val="20"/>
          <w:szCs w:val="20"/>
          <w:color w:val="auto"/>
        </w:rPr>
      </w:pPr>
    </w:p>
    <w:p>
      <w:pPr>
        <w:ind w:right="40" w:firstLine="458"/>
        <w:spacing w:after="0" w:line="311" w:lineRule="auto"/>
        <w:rPr>
          <w:sz w:val="20"/>
          <w:szCs w:val="20"/>
          <w:color w:val="auto"/>
        </w:rPr>
      </w:pPr>
      <w:r>
        <w:rPr>
          <w:rFonts w:ascii="Arial" w:cs="Arial" w:eastAsia="Arial" w:hAnsi="Arial"/>
          <w:sz w:val="12"/>
          <w:szCs w:val="12"/>
          <w:color w:val="auto"/>
        </w:rPr>
        <w:t>1.109 “</w:t>
      </w:r>
      <w:r>
        <w:rPr>
          <w:rFonts w:ascii="Arial" w:cs="Arial" w:eastAsia="Arial" w:hAnsi="Arial"/>
          <w:sz w:val="12"/>
          <w:szCs w:val="12"/>
          <w:u w:val="single" w:color="auto"/>
          <w:color w:val="auto"/>
        </w:rPr>
        <w:t>Reasonable Research Efforts</w:t>
      </w:r>
      <w:r>
        <w:rPr>
          <w:rFonts w:ascii="Arial" w:cs="Arial" w:eastAsia="Arial" w:hAnsi="Arial"/>
          <w:sz w:val="12"/>
          <w:szCs w:val="12"/>
          <w:color w:val="auto"/>
        </w:rPr>
        <w:t>” means, with respect to a Party, such level of efforts required to carry out an obligation in a sustained manner consistent with the efforts normally used by pharmaceutical or biopharmaceutical companies, as applicable, of comparable size and resources to such Party, for a similar activity with respect to the Research of products (a) that are at a similar stage in their Research as the relevant Program DART or Licensed Product; (b) that have scientific attributes similar to those of the relevant Program DART or Licensed Product; and (c) that are solely owned by them or to which they have exclusive rights (but excluding from consideration any financial obligations owed to a Third Party with respect to such rights).</w:t>
      </w:r>
    </w:p>
    <w:p>
      <w:pPr>
        <w:spacing w:after="0" w:line="79"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1.110 “</w:t>
      </w:r>
      <w:r>
        <w:rPr>
          <w:rFonts w:ascii="Arial" w:cs="Arial" w:eastAsia="Arial" w:hAnsi="Arial"/>
          <w:sz w:val="14"/>
          <w:szCs w:val="14"/>
          <w:u w:val="single" w:color="auto"/>
          <w:color w:val="auto"/>
        </w:rPr>
        <w:t>Regulatory Approval</w:t>
      </w:r>
      <w:r>
        <w:rPr>
          <w:rFonts w:ascii="Arial" w:cs="Arial" w:eastAsia="Arial" w:hAnsi="Arial"/>
          <w:sz w:val="14"/>
          <w:szCs w:val="14"/>
          <w:color w:val="auto"/>
        </w:rPr>
        <w:t>” means all approvals, licenses or authorizations of any applicable Regulatory Authority necessary for Development and/or Commercialization of a Program DART and/or a Licensed Product for a particular Indication in a country.</w:t>
      </w:r>
    </w:p>
    <w:p>
      <w:pPr>
        <w:spacing w:after="0" w:line="101" w:lineRule="exact"/>
        <w:rPr>
          <w:sz w:val="20"/>
          <w:szCs w:val="20"/>
          <w:color w:val="auto"/>
        </w:rPr>
      </w:pPr>
    </w:p>
    <w:p>
      <w:pPr>
        <w:ind w:right="620" w:firstLine="458"/>
        <w:spacing w:after="0" w:line="351" w:lineRule="auto"/>
        <w:rPr>
          <w:sz w:val="20"/>
          <w:szCs w:val="20"/>
          <w:color w:val="auto"/>
        </w:rPr>
      </w:pPr>
      <w:r>
        <w:rPr>
          <w:rFonts w:ascii="Arial" w:cs="Arial" w:eastAsia="Arial" w:hAnsi="Arial"/>
          <w:sz w:val="12"/>
          <w:szCs w:val="12"/>
          <w:color w:val="auto"/>
        </w:rPr>
        <w:t>1.111 “</w:t>
      </w:r>
      <w:r>
        <w:rPr>
          <w:rFonts w:ascii="Arial" w:cs="Arial" w:eastAsia="Arial" w:hAnsi="Arial"/>
          <w:sz w:val="12"/>
          <w:szCs w:val="12"/>
          <w:u w:val="single" w:color="auto"/>
          <w:color w:val="auto"/>
        </w:rPr>
        <w:t>Regulatory Authority</w:t>
      </w:r>
      <w:r>
        <w:rPr>
          <w:rFonts w:ascii="Arial" w:cs="Arial" w:eastAsia="Arial" w:hAnsi="Arial"/>
          <w:sz w:val="12"/>
          <w:szCs w:val="12"/>
          <w:color w:val="auto"/>
        </w:rPr>
        <w:t>” means the FDA in the United States or any health regulatory authority in another country that is a counterpart to the FDA and holds responsibility for regulating development of and/or granting Regulatory Approval for a Program DART or Licensed Product in such country, including the EMA, and any successor(s) thereto.</w:t>
      </w:r>
    </w:p>
    <w:p>
      <w:pPr>
        <w:spacing w:after="0" w:line="56" w:lineRule="exact"/>
        <w:rPr>
          <w:sz w:val="20"/>
          <w:szCs w:val="20"/>
          <w:color w:val="auto"/>
        </w:rPr>
      </w:pPr>
    </w:p>
    <w:p>
      <w:pPr>
        <w:ind w:right="140" w:firstLine="458"/>
        <w:spacing w:after="0" w:line="351" w:lineRule="auto"/>
        <w:rPr>
          <w:sz w:val="20"/>
          <w:szCs w:val="20"/>
          <w:color w:val="auto"/>
        </w:rPr>
      </w:pPr>
      <w:r>
        <w:rPr>
          <w:rFonts w:ascii="Arial" w:cs="Arial" w:eastAsia="Arial" w:hAnsi="Arial"/>
          <w:sz w:val="12"/>
          <w:szCs w:val="12"/>
          <w:color w:val="auto"/>
        </w:rPr>
        <w:t>1.112 “</w:t>
      </w:r>
      <w:r>
        <w:rPr>
          <w:rFonts w:ascii="Arial" w:cs="Arial" w:eastAsia="Arial" w:hAnsi="Arial"/>
          <w:sz w:val="12"/>
          <w:szCs w:val="12"/>
          <w:u w:val="single" w:color="auto"/>
          <w:color w:val="auto"/>
        </w:rPr>
        <w:t>Regulatory-Based Exclusivity Period</w:t>
      </w:r>
      <w:r>
        <w:rPr>
          <w:rFonts w:ascii="Arial" w:cs="Arial" w:eastAsia="Arial" w:hAnsi="Arial"/>
          <w:sz w:val="12"/>
          <w:szCs w:val="12"/>
          <w:color w:val="auto"/>
        </w:rPr>
        <w:t>” means, with respect to a Licensed Product, that period of time during which Gilead or any of its Affiliates or Sublicensees has been granted the exclusive legal right by a Regulatory Authority either to market and sell a Licensed Product in a country in the Gilead Territory or the exclusive right to use or reference clinical data in relation to a Licensed Product.</w:t>
      </w:r>
    </w:p>
    <w:p>
      <w:pPr>
        <w:spacing w:after="0" w:line="56" w:lineRule="exact"/>
        <w:rPr>
          <w:sz w:val="20"/>
          <w:szCs w:val="20"/>
          <w:color w:val="auto"/>
        </w:rPr>
      </w:pPr>
    </w:p>
    <w:p>
      <w:pPr>
        <w:ind w:firstLine="458"/>
        <w:spacing w:after="0" w:line="305" w:lineRule="auto"/>
        <w:rPr>
          <w:sz w:val="20"/>
          <w:szCs w:val="20"/>
          <w:color w:val="auto"/>
        </w:rPr>
      </w:pPr>
      <w:r>
        <w:rPr>
          <w:rFonts w:ascii="Arial" w:cs="Arial" w:eastAsia="Arial" w:hAnsi="Arial"/>
          <w:sz w:val="12"/>
          <w:szCs w:val="12"/>
          <w:color w:val="auto"/>
        </w:rPr>
        <w:t>1.113 “</w:t>
      </w:r>
      <w:r>
        <w:rPr>
          <w:rFonts w:ascii="Arial" w:cs="Arial" w:eastAsia="Arial" w:hAnsi="Arial"/>
          <w:sz w:val="12"/>
          <w:szCs w:val="12"/>
          <w:u w:val="single" w:color="auto"/>
          <w:color w:val="auto"/>
        </w:rPr>
        <w:t>Regulatory Documentation</w:t>
      </w:r>
      <w:r>
        <w:rPr>
          <w:rFonts w:ascii="Arial" w:cs="Arial" w:eastAsia="Arial" w:hAnsi="Arial"/>
          <w:sz w:val="12"/>
          <w:szCs w:val="12"/>
          <w:color w:val="auto"/>
        </w:rPr>
        <w:t>” means, with respect to the Program DARTs or Licensed Products, all INDs, BLAs, and other regulatory applications submitted to any Regulatory Authority, copies of Regulatory Approvals, regulatory materials, drug dossiers, master files (including Drug Master Files, as defined in 21 C.F.R. §314.420 and any non-United States equivalents), and any other reports, records, regulatory correspondence, meeting minutes, telephone logs, and other materials relating to Regulatory Approval of the Program DARTs or Licensed Products (including any underlying safety and effectiveness data whether or not submitted to any Regulatory Authority), or required to Develop, Manufacture or Commercialize Licensed Products including any information that relates to pharmacology, toxicology, chemistry, manufacturing and controls data, batch records, safety and efficacy, and any safety database required to be maintained for Regulatory Authorities.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5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47" w:name="page548"/>
    <w:bookmarkEnd w:id="54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1.114 “</w:t>
      </w:r>
      <w:r>
        <w:rPr>
          <w:rFonts w:ascii="Arial" w:cs="Arial" w:eastAsia="Arial" w:hAnsi="Arial"/>
          <w:sz w:val="14"/>
          <w:szCs w:val="14"/>
          <w:u w:val="single" w:color="auto"/>
          <w:color w:val="auto"/>
        </w:rPr>
        <w:t>Research</w:t>
      </w:r>
      <w:r>
        <w:rPr>
          <w:rFonts w:ascii="Arial" w:cs="Arial" w:eastAsia="Arial" w:hAnsi="Arial"/>
          <w:sz w:val="14"/>
          <w:szCs w:val="14"/>
          <w:color w:val="auto"/>
        </w:rPr>
        <w:t>” means the discovery, identification, research, characterization, modification, derivatization and optimization of pharmaceutical compounds.</w:t>
      </w:r>
    </w:p>
    <w:p>
      <w:pPr>
        <w:spacing w:after="0" w:line="132" w:lineRule="exact"/>
        <w:rPr>
          <w:sz w:val="20"/>
          <w:szCs w:val="20"/>
          <w:color w:val="auto"/>
        </w:rPr>
      </w:pPr>
    </w:p>
    <w:p>
      <w:pPr>
        <w:ind w:right="140" w:firstLine="458"/>
        <w:spacing w:after="0" w:line="267" w:lineRule="auto"/>
        <w:rPr>
          <w:sz w:val="20"/>
          <w:szCs w:val="20"/>
          <w:color w:val="auto"/>
        </w:rPr>
      </w:pPr>
      <w:r>
        <w:rPr>
          <w:rFonts w:ascii="Arial" w:cs="Arial" w:eastAsia="Arial" w:hAnsi="Arial"/>
          <w:sz w:val="14"/>
          <w:szCs w:val="14"/>
          <w:color w:val="auto"/>
        </w:rPr>
        <w:t>1.115 “</w:t>
      </w:r>
      <w:r>
        <w:rPr>
          <w:rFonts w:ascii="Arial" w:cs="Arial" w:eastAsia="Arial" w:hAnsi="Arial"/>
          <w:sz w:val="14"/>
          <w:szCs w:val="14"/>
          <w:u w:val="single" w:color="auto"/>
          <w:color w:val="auto"/>
        </w:rPr>
        <w:t>Research Plan</w:t>
      </w:r>
      <w:r>
        <w:rPr>
          <w:rFonts w:ascii="Arial" w:cs="Arial" w:eastAsia="Arial" w:hAnsi="Arial"/>
          <w:sz w:val="14"/>
          <w:szCs w:val="14"/>
          <w:color w:val="auto"/>
        </w:rPr>
        <w:t>” means a research plan developed by the Parties that sets forth the activities to be undertaken during the Research Term for a specific Research Program and the budget therefor, which research plan may be amended from time to time by the Parties.</w:t>
      </w:r>
    </w:p>
    <w:p>
      <w:pPr>
        <w:spacing w:after="0" w:line="101"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1.116 “</w:t>
      </w:r>
      <w:r>
        <w:rPr>
          <w:rFonts w:ascii="Arial" w:cs="Arial" w:eastAsia="Arial" w:hAnsi="Arial"/>
          <w:sz w:val="14"/>
          <w:szCs w:val="14"/>
          <w:u w:val="single" w:color="auto"/>
          <w:color w:val="auto"/>
        </w:rPr>
        <w:t>Research Program</w:t>
      </w:r>
      <w:r>
        <w:rPr>
          <w:rFonts w:ascii="Arial" w:cs="Arial" w:eastAsia="Arial" w:hAnsi="Arial"/>
          <w:sz w:val="14"/>
          <w:szCs w:val="14"/>
          <w:color w:val="auto"/>
        </w:rPr>
        <w:t>” means Research activities conducted by or on behalf of MacroGenics and Gilead during the applicable Research Term in accordance with a Research Plan with respect to Program DARTs for a particular Program Target.</w:t>
      </w:r>
    </w:p>
    <w:p>
      <w:pPr>
        <w:spacing w:after="0" w:line="99" w:lineRule="exact"/>
        <w:rPr>
          <w:sz w:val="20"/>
          <w:szCs w:val="20"/>
          <w:color w:val="auto"/>
        </w:rPr>
      </w:pPr>
    </w:p>
    <w:p>
      <w:pPr>
        <w:ind w:right="260" w:firstLine="458"/>
        <w:spacing w:after="0" w:line="259" w:lineRule="auto"/>
        <w:rPr>
          <w:sz w:val="20"/>
          <w:szCs w:val="20"/>
          <w:color w:val="auto"/>
        </w:rPr>
      </w:pPr>
      <w:r>
        <w:rPr>
          <w:rFonts w:ascii="Arial" w:cs="Arial" w:eastAsia="Arial" w:hAnsi="Arial"/>
          <w:sz w:val="14"/>
          <w:szCs w:val="14"/>
          <w:color w:val="auto"/>
        </w:rPr>
        <w:t>1.117 “</w:t>
      </w:r>
      <w:r>
        <w:rPr>
          <w:rFonts w:ascii="Arial" w:cs="Arial" w:eastAsia="Arial" w:hAnsi="Arial"/>
          <w:sz w:val="14"/>
          <w:szCs w:val="14"/>
          <w:u w:val="single" w:color="auto"/>
          <w:color w:val="auto"/>
        </w:rPr>
        <w:t>Research Term</w:t>
      </w:r>
      <w:r>
        <w:rPr>
          <w:rFonts w:ascii="Arial" w:cs="Arial" w:eastAsia="Arial" w:hAnsi="Arial"/>
          <w:sz w:val="14"/>
          <w:szCs w:val="14"/>
          <w:color w:val="auto"/>
        </w:rPr>
        <w:t xml:space="preserve">” means the period (a) commencing on (i)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 the Effective Date, and (ii)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 and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 the Clearance Date for the Licensed Program associated with such Research Program; and (b) ending, for any Research Program, on the earlier of (i) delivery of the Preclinical Data Package; or (ii) the </w:t>
      </w:r>
      <w:r>
        <w:rPr>
          <w:rFonts w:ascii="Arial" w:cs="Arial" w:eastAsia="Arial" w:hAnsi="Arial"/>
          <w:sz w:val="14"/>
          <w:szCs w:val="14"/>
          <w:b w:val="1"/>
          <w:bCs w:val="1"/>
          <w:color w:val="auto"/>
        </w:rPr>
        <w:t>***</w:t>
      </w:r>
      <w:r>
        <w:rPr>
          <w:rFonts w:ascii="Arial" w:cs="Arial" w:eastAsia="Arial" w:hAnsi="Arial"/>
          <w:sz w:val="14"/>
          <w:szCs w:val="14"/>
          <w:color w:val="auto"/>
        </w:rPr>
        <w:t xml:space="preserve"> of the License Grant Date.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1.118 “</w:t>
      </w:r>
      <w:r>
        <w:rPr>
          <w:rFonts w:ascii="Arial" w:cs="Arial" w:eastAsia="Arial" w:hAnsi="Arial"/>
          <w:sz w:val="14"/>
          <w:szCs w:val="14"/>
          <w:u w:val="single" w:color="auto"/>
          <w:color w:val="auto"/>
        </w:rPr>
        <w:t>Right of Reference or Use</w:t>
      </w:r>
      <w:r>
        <w:rPr>
          <w:rFonts w:ascii="Arial" w:cs="Arial" w:eastAsia="Arial" w:hAnsi="Arial"/>
          <w:sz w:val="14"/>
          <w:szCs w:val="14"/>
          <w:color w:val="auto"/>
        </w:rPr>
        <w:t>” means a “Right of Reference or Use” as that term is defined in 21 C.F.R. §314.3(b), and any non-United States equivalents.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1.119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means the Target referred to as </w:t>
      </w:r>
      <w:r>
        <w:rPr>
          <w:rFonts w:ascii="Arial" w:cs="Arial" w:eastAsia="Arial" w:hAnsi="Arial"/>
          <w:sz w:val="14"/>
          <w:szCs w:val="14"/>
          <w:b w:val="1"/>
          <w:bCs w:val="1"/>
          <w:color w:val="auto"/>
        </w:rPr>
        <w:t>***</w:t>
      </w:r>
      <w:r>
        <w:rPr>
          <w:rFonts w:ascii="Arial" w:cs="Arial" w:eastAsia="Arial" w:hAnsi="Arial"/>
          <w:sz w:val="14"/>
          <w:szCs w:val="14"/>
          <w:color w:val="auto"/>
        </w:rPr>
        <w:t xml:space="preserve"> (including any subtypes, alleles, and splice variants).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1.120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Product</w:t>
      </w:r>
      <w:r>
        <w:rPr>
          <w:rFonts w:ascii="Arial" w:cs="Arial" w:eastAsia="Arial" w:hAnsi="Arial"/>
          <w:sz w:val="14"/>
          <w:szCs w:val="14"/>
          <w:color w:val="auto"/>
        </w:rPr>
        <w:t xml:space="preserve">” means any Licensed Product from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1.121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Program</w:t>
      </w:r>
      <w:r>
        <w:rPr>
          <w:rFonts w:ascii="Arial" w:cs="Arial" w:eastAsia="Arial" w:hAnsi="Arial"/>
          <w:sz w:val="14"/>
          <w:szCs w:val="14"/>
          <w:color w:val="auto"/>
        </w:rPr>
        <w:t xml:space="preserve">” means the Licensed Program directed to the </w:t>
      </w:r>
      <w:r>
        <w:rPr>
          <w:rFonts w:ascii="Arial" w:cs="Arial" w:eastAsia="Arial" w:hAnsi="Arial"/>
          <w:sz w:val="14"/>
          <w:szCs w:val="14"/>
          <w:b w:val="1"/>
          <w:bCs w:val="1"/>
          <w:color w:val="auto"/>
        </w:rPr>
        <w:t>*** ***</w:t>
      </w:r>
      <w:r>
        <w:rPr>
          <w:rFonts w:ascii="Arial" w:cs="Arial" w:eastAsia="Arial" w:hAnsi="Arial"/>
          <w:sz w:val="14"/>
          <w:szCs w:val="14"/>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1.122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Territory</w:t>
      </w:r>
      <w:r>
        <w:rPr>
          <w:rFonts w:ascii="Arial" w:cs="Arial" w:eastAsia="Arial" w:hAnsi="Arial"/>
          <w:sz w:val="14"/>
          <w:szCs w:val="14"/>
          <w:color w:val="auto"/>
        </w:rPr>
        <w:t xml:space="preserve">” means the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1.123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Program DART</w:t>
      </w:r>
      <w:r>
        <w:rPr>
          <w:rFonts w:ascii="Arial" w:cs="Arial" w:eastAsia="Arial" w:hAnsi="Arial"/>
          <w:sz w:val="14"/>
          <w:szCs w:val="14"/>
          <w:color w:val="auto"/>
        </w:rPr>
        <w:t xml:space="preserve">” means any Program DART from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1.124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Research Program</w:t>
      </w:r>
      <w:r>
        <w:rPr>
          <w:rFonts w:ascii="Arial" w:cs="Arial" w:eastAsia="Arial" w:hAnsi="Arial"/>
          <w:sz w:val="14"/>
          <w:szCs w:val="14"/>
          <w:color w:val="auto"/>
        </w:rPr>
        <w:t xml:space="preserve">” means the Research Program directed to the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right="200" w:firstLine="458"/>
        <w:spacing w:after="0" w:line="295" w:lineRule="auto"/>
        <w:rPr>
          <w:sz w:val="20"/>
          <w:szCs w:val="20"/>
          <w:color w:val="auto"/>
        </w:rPr>
      </w:pPr>
      <w:r>
        <w:rPr>
          <w:rFonts w:ascii="Arial" w:cs="Arial" w:eastAsia="Arial" w:hAnsi="Arial"/>
          <w:sz w:val="12"/>
          <w:szCs w:val="12"/>
          <w:color w:val="auto"/>
        </w:rPr>
        <w:t>1.125 “</w:t>
      </w:r>
      <w:r>
        <w:rPr>
          <w:rFonts w:ascii="Arial" w:cs="Arial" w:eastAsia="Arial" w:hAnsi="Arial"/>
          <w:sz w:val="12"/>
          <w:szCs w:val="12"/>
          <w:u w:val="single" w:color="auto"/>
          <w:color w:val="auto"/>
        </w:rPr>
        <w:t>Significant Adverse Effect</w:t>
      </w:r>
      <w:r>
        <w:rPr>
          <w:rFonts w:ascii="Arial" w:cs="Arial" w:eastAsia="Arial" w:hAnsi="Arial"/>
          <w:sz w:val="12"/>
          <w:szCs w:val="12"/>
          <w:color w:val="auto"/>
        </w:rPr>
        <w:t xml:space="preserve">” means (a) for purposes of Section 5.4, the significant possibility, in the reasonable belief of MacroGenics, that the conduct of the applicable Clinical Trial or other clinical study poses (i) a significantly higher risk of either an adverse effect on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applicable </w:t>
      </w:r>
      <w:r>
        <w:rPr>
          <w:rFonts w:ascii="Arial" w:cs="Arial" w:eastAsia="Arial" w:hAnsi="Arial"/>
          <w:sz w:val="12"/>
          <w:szCs w:val="12"/>
          <w:b w:val="1"/>
          <w:bCs w:val="1"/>
          <w:color w:val="auto"/>
        </w:rPr>
        <w:t>***</w:t>
      </w:r>
      <w:r>
        <w:rPr>
          <w:rFonts w:ascii="Arial" w:cs="Arial" w:eastAsia="Arial" w:hAnsi="Arial"/>
          <w:sz w:val="12"/>
          <w:szCs w:val="12"/>
          <w:color w:val="auto"/>
        </w:rPr>
        <w:t xml:space="preserve"> Program DART or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as compared to </w:t>
      </w:r>
      <w:r>
        <w:rPr>
          <w:rFonts w:ascii="Arial" w:cs="Arial" w:eastAsia="Arial" w:hAnsi="Arial"/>
          <w:sz w:val="12"/>
          <w:szCs w:val="12"/>
          <w:b w:val="1"/>
          <w:bCs w:val="1"/>
          <w:color w:val="auto"/>
        </w:rPr>
        <w:t>***</w:t>
      </w:r>
      <w:r>
        <w:rPr>
          <w:rFonts w:ascii="Arial" w:cs="Arial" w:eastAsia="Arial" w:hAnsi="Arial"/>
          <w:sz w:val="12"/>
          <w:szCs w:val="12"/>
          <w:color w:val="auto"/>
        </w:rPr>
        <w:t xml:space="preserve">, for such </w:t>
      </w:r>
      <w:r>
        <w:rPr>
          <w:rFonts w:ascii="Arial" w:cs="Arial" w:eastAsia="Arial" w:hAnsi="Arial"/>
          <w:sz w:val="12"/>
          <w:szCs w:val="12"/>
          <w:b w:val="1"/>
          <w:bCs w:val="1"/>
          <w:color w:val="auto"/>
        </w:rPr>
        <w:t>***</w:t>
      </w:r>
      <w:r>
        <w:rPr>
          <w:rFonts w:ascii="Arial" w:cs="Arial" w:eastAsia="Arial" w:hAnsi="Arial"/>
          <w:sz w:val="12"/>
          <w:szCs w:val="12"/>
          <w:color w:val="auto"/>
        </w:rPr>
        <w:t xml:space="preserve"> Program DART or </w:t>
      </w:r>
      <w:r>
        <w:rPr>
          <w:rFonts w:ascii="Arial" w:cs="Arial" w:eastAsia="Arial" w:hAnsi="Arial"/>
          <w:sz w:val="12"/>
          <w:szCs w:val="12"/>
          <w:b w:val="1"/>
          <w:bCs w:val="1"/>
          <w:color w:val="auto"/>
        </w:rPr>
        <w: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 xml:space="preserve">Licensed Product, or (ii) a significant risk of an adverse effect on the ability of MacroGenics or its Affiliates or Sublicensees to recruit patients for active Clinical Trials conducted, or planned Clinical Trials (for which a protocol has been submitted to and not disapproved by Gilead pursuant to Section 5.5, as of the time of submission to MacroGenics pursuant to Section 5.4 of a protocol for the applicable Clinical Trial or study proposed to be conducted by Gilead or its Affiliates or Sublicensees) to be conducted, by MacroGenics or its Affiliates or Sublicensees in the MacroGenics Territory with respect to such </w:t>
      </w:r>
      <w:r>
        <w:rPr>
          <w:rFonts w:ascii="Arial" w:cs="Arial" w:eastAsia="Arial" w:hAnsi="Arial"/>
          <w:sz w:val="14"/>
          <w:szCs w:val="14"/>
          <w:b w:val="1"/>
          <w:bCs w:val="1"/>
          <w:color w:val="auto"/>
        </w:rPr>
        <w:t>***</w:t>
      </w:r>
      <w:r>
        <w:rPr>
          <w:rFonts w:ascii="Arial" w:cs="Arial" w:eastAsia="Arial" w:hAnsi="Arial"/>
          <w:sz w:val="14"/>
          <w:szCs w:val="14"/>
          <w:color w:val="auto"/>
        </w:rPr>
        <w:t xml:space="preserve"> Program DART or Licensed Product; and (b) for purposes of Section 5.5, the significant possibility, in the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12" w:lineRule="exact"/>
        <w:rPr>
          <w:sz w:val="20"/>
          <w:szCs w:val="20"/>
          <w:color w:val="auto"/>
        </w:rPr>
      </w:pPr>
    </w:p>
    <w:p>
      <w:pPr>
        <w:ind w:left="3840" w:right="2640" w:hanging="1135"/>
        <w:spacing w:after="0" w:line="341" w:lineRule="auto"/>
        <w:tabs>
          <w:tab w:leader="none" w:pos="2944" w:val="left"/>
        </w:tabs>
        <w:numPr>
          <w:ilvl w:val="0"/>
          <w:numId w:val="55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548" w:name="page549"/>
    <w:bookmarkEnd w:id="548"/>
    <w:p>
      <w:pPr>
        <w:ind w:right="4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reasonable belief of Gilead, that the conduct of the applicable Clinical Trial or other clinical study poses (i) a significantly higher risk of either an adverse effect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 as compared to </w:t>
      </w:r>
      <w:r>
        <w:rPr>
          <w:rFonts w:ascii="Arial" w:cs="Arial" w:eastAsia="Arial" w:hAnsi="Arial"/>
          <w:sz w:val="14"/>
          <w:szCs w:val="14"/>
          <w:b w:val="1"/>
          <w:bCs w:val="1"/>
          <w:color w:val="auto"/>
        </w:rPr>
        <w:t>***</w:t>
      </w:r>
      <w:r>
        <w:rPr>
          <w:rFonts w:ascii="Arial" w:cs="Arial" w:eastAsia="Arial" w:hAnsi="Arial"/>
          <w:sz w:val="14"/>
          <w:szCs w:val="14"/>
          <w:color w:val="auto"/>
        </w:rPr>
        <w:t xml:space="preserve">, for such </w:t>
      </w:r>
      <w:r>
        <w:rPr>
          <w:rFonts w:ascii="Arial" w:cs="Arial" w:eastAsia="Arial" w:hAnsi="Arial"/>
          <w:sz w:val="14"/>
          <w:szCs w:val="14"/>
          <w:b w:val="1"/>
          <w:bCs w:val="1"/>
          <w:color w:val="auto"/>
        </w:rPr>
        <w:t>***</w:t>
      </w:r>
      <w:r>
        <w:rPr>
          <w:rFonts w:ascii="Arial" w:cs="Arial" w:eastAsia="Arial" w:hAnsi="Arial"/>
          <w:sz w:val="14"/>
          <w:szCs w:val="14"/>
          <w:color w:val="auto"/>
        </w:rPr>
        <w:t xml:space="preserve"> Program DART or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 or (ii) a significant risk of an adverse effect on the ability of Gilead or its Affiliates or Sublicensees to </w:t>
      </w:r>
      <w:r>
        <w:rPr>
          <w:rFonts w:ascii="Arial" w:cs="Arial" w:eastAsia="Arial" w:hAnsi="Arial"/>
          <w:sz w:val="14"/>
          <w:szCs w:val="14"/>
          <w:b w:val="1"/>
          <w:bCs w:val="1"/>
          <w:color w:val="auto"/>
        </w:rPr>
        <w:t>***</w:t>
      </w:r>
      <w:r>
        <w:rPr>
          <w:rFonts w:ascii="Arial" w:cs="Arial" w:eastAsia="Arial" w:hAnsi="Arial"/>
          <w:sz w:val="14"/>
          <w:szCs w:val="14"/>
          <w:color w:val="auto"/>
        </w:rPr>
        <w:t xml:space="preserve"> ((A) with respect to planned Clinical Trials to be conducted in the Gilead Territory, that are subject to a protocol that has received internal approval by Gilead, and (B) with respect to planned Clinical Trials to be conducted in the MacroGenics Territory, for which a protocol has been submitted to and not disapproved by MacroGenics pursuant to Section 5.4, as of the time of submission to Gilead pursuant to Section 5.5 of a protocol for the applicable Clinical Trial or study proposed to be conducted by MacroGenics or its Affiliates or Sublicensees) to be conducted, by Gilead or its Affiliates or Sublicensees in the Gilead Territory with respect to such </w:t>
      </w:r>
      <w:r>
        <w:rPr>
          <w:rFonts w:ascii="Arial" w:cs="Arial" w:eastAsia="Arial" w:hAnsi="Arial"/>
          <w:sz w:val="14"/>
          <w:szCs w:val="14"/>
          <w:b w:val="1"/>
          <w:bCs w:val="1"/>
          <w:color w:val="auto"/>
        </w:rPr>
        <w:t>***</w:t>
      </w:r>
      <w:r>
        <w:rPr>
          <w:rFonts w:ascii="Arial" w:cs="Arial" w:eastAsia="Arial" w:hAnsi="Arial"/>
          <w:sz w:val="14"/>
          <w:szCs w:val="14"/>
          <w:color w:val="auto"/>
        </w:rPr>
        <w:t xml:space="preserve"> Program DART or Licensed Product.</w:t>
      </w:r>
    </w:p>
    <w:p>
      <w:pPr>
        <w:spacing w:after="0" w:line="112" w:lineRule="exact"/>
        <w:rPr>
          <w:sz w:val="20"/>
          <w:szCs w:val="20"/>
          <w:color w:val="auto"/>
        </w:rPr>
      </w:pPr>
    </w:p>
    <w:p>
      <w:pPr>
        <w:ind w:right="20" w:firstLine="458"/>
        <w:spacing w:after="0" w:line="300" w:lineRule="auto"/>
        <w:rPr>
          <w:sz w:val="20"/>
          <w:szCs w:val="20"/>
          <w:color w:val="auto"/>
        </w:rPr>
      </w:pPr>
      <w:r>
        <w:rPr>
          <w:rFonts w:ascii="Arial" w:cs="Arial" w:eastAsia="Arial" w:hAnsi="Arial"/>
          <w:sz w:val="12"/>
          <w:szCs w:val="12"/>
          <w:color w:val="auto"/>
        </w:rPr>
        <w:t>1.126 “</w:t>
      </w:r>
      <w:r>
        <w:rPr>
          <w:rFonts w:ascii="Arial" w:cs="Arial" w:eastAsia="Arial" w:hAnsi="Arial"/>
          <w:sz w:val="12"/>
          <w:szCs w:val="12"/>
          <w:u w:val="single" w:color="auto"/>
          <w:color w:val="auto"/>
        </w:rPr>
        <w:t>Sublicensee</w:t>
      </w:r>
      <w:r>
        <w:rPr>
          <w:rFonts w:ascii="Arial" w:cs="Arial" w:eastAsia="Arial" w:hAnsi="Arial"/>
          <w:sz w:val="12"/>
          <w:szCs w:val="12"/>
          <w:color w:val="auto"/>
        </w:rPr>
        <w:t>” means a Third Party to whom a Party, as permitted under this Agreement, grants a license or sublicense, as the case may be, under the Joint IP, MacroGenics IP or Gilead Collaboration IP to Research, Develop, Manufacture, Commercialize or otherwise use Program DARTs, Diagnostics and/or Licensed Products in the Field or otherwise grants rights to distribute, promote or sell Diagnostics or Licensed Products in the Field; provided, however, that the term “Sublicensee” shall not include (a) any wholesale distributor, Generic Licensee or Compulsory Licensee or (b) any other Third Party who purchases a Diagnostic or Licensed Product and does not have a license or sublicense, as the case may be, under the Joint IP, MacroGenics IP or the Gilead Collaboration IP to Develop or Manufacture such Diagnostic or Licensed Product, other than a limited license or sublicense, as the case may be, as required to enable such Third Party (i) to perform final packaging for such Diagnostic or Licensed Product for local distribution, (ii) to conduct a confirmatory Clinical Trial of such Licensed Product to support a filing for Regulatory Approval of such Licensed Product in such Third Party’s distribution territory or (iii) to prepare and make a filing for a Regulatory Approval of such Licensed Product in such Third Party’s distribution territory.</w:t>
      </w:r>
    </w:p>
    <w:p>
      <w:pPr>
        <w:spacing w:after="0" w:line="88" w:lineRule="exact"/>
        <w:rPr>
          <w:sz w:val="20"/>
          <w:szCs w:val="20"/>
          <w:color w:val="auto"/>
        </w:rPr>
      </w:pPr>
    </w:p>
    <w:p>
      <w:pPr>
        <w:ind w:right="240" w:firstLine="458"/>
        <w:spacing w:after="0" w:line="258" w:lineRule="auto"/>
        <w:rPr>
          <w:sz w:val="20"/>
          <w:szCs w:val="20"/>
          <w:color w:val="auto"/>
        </w:rPr>
      </w:pPr>
      <w:r>
        <w:rPr>
          <w:rFonts w:ascii="Arial" w:cs="Arial" w:eastAsia="Arial" w:hAnsi="Arial"/>
          <w:sz w:val="14"/>
          <w:szCs w:val="14"/>
          <w:color w:val="auto"/>
        </w:rPr>
        <w:t>1.127 “</w:t>
      </w:r>
      <w:r>
        <w:rPr>
          <w:rFonts w:ascii="Arial" w:cs="Arial" w:eastAsia="Arial" w:hAnsi="Arial"/>
          <w:sz w:val="14"/>
          <w:szCs w:val="14"/>
          <w:u w:val="single" w:color="auto"/>
          <w:color w:val="auto"/>
        </w:rPr>
        <w:t>Target</w:t>
      </w:r>
      <w:r>
        <w:rPr>
          <w:rFonts w:ascii="Arial" w:cs="Arial" w:eastAsia="Arial" w:hAnsi="Arial"/>
          <w:sz w:val="14"/>
          <w:szCs w:val="14"/>
          <w:color w:val="auto"/>
        </w:rPr>
        <w:t>” means (a) an antigen composed of a polypeptide, a complex of more than one polypeptide, or a post-translational modification of one or more polypeptides (e.g., glycosylation, phosphorylation, etc.); or (b) a gene encoding an antigen and the products encoded by such gene, including any homologues, variants, alternatively spliced variants, mutants, deletions or fragments or partial sequences of such antigen.</w:t>
      </w:r>
    </w:p>
    <w:p>
      <w:pPr>
        <w:spacing w:after="0" w:line="108"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1.128 “</w:t>
      </w:r>
      <w:r>
        <w:rPr>
          <w:rFonts w:ascii="Arial" w:cs="Arial" w:eastAsia="Arial" w:hAnsi="Arial"/>
          <w:sz w:val="14"/>
          <w:szCs w:val="14"/>
          <w:u w:val="single" w:color="auto"/>
          <w:color w:val="auto"/>
        </w:rPr>
        <w:t>Terminated Program</w:t>
      </w:r>
      <w:r>
        <w:rPr>
          <w:rFonts w:ascii="Arial" w:cs="Arial" w:eastAsia="Arial" w:hAnsi="Arial"/>
          <w:sz w:val="14"/>
          <w:szCs w:val="14"/>
          <w:color w:val="auto"/>
        </w:rPr>
        <w:t>” means with respect to any termination of this Agreement pursuant to ARTICLE 13, the Licensed Program(s) (including the associated Research Program(s)) subject to such termination.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1.129 “</w:t>
      </w:r>
      <w:r>
        <w:rPr>
          <w:rFonts w:ascii="Arial" w:cs="Arial" w:eastAsia="Arial" w:hAnsi="Arial"/>
          <w:sz w:val="14"/>
          <w:szCs w:val="14"/>
          <w:u w:val="single" w:color="auto"/>
          <w:color w:val="auto"/>
        </w:rPr>
        <w:t>Territory</w:t>
      </w:r>
      <w:r>
        <w:rPr>
          <w:rFonts w:ascii="Arial" w:cs="Arial" w:eastAsia="Arial" w:hAnsi="Arial"/>
          <w:sz w:val="14"/>
          <w:szCs w:val="14"/>
          <w:color w:val="auto"/>
        </w:rPr>
        <w:t>” means (a) with respect to Gilead, the Gilead Territory; and (b) with respect to MacroGenics, the MacroGenics Territory.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1.130 “</w:t>
      </w:r>
      <w:r>
        <w:rPr>
          <w:rFonts w:ascii="Arial" w:cs="Arial" w:eastAsia="Arial" w:hAnsi="Arial"/>
          <w:sz w:val="14"/>
          <w:szCs w:val="14"/>
          <w:u w:val="single" w:color="auto"/>
          <w:color w:val="auto"/>
        </w:rPr>
        <w:t>Third Party</w:t>
      </w:r>
      <w:r>
        <w:rPr>
          <w:rFonts w:ascii="Arial" w:cs="Arial" w:eastAsia="Arial" w:hAnsi="Arial"/>
          <w:sz w:val="14"/>
          <w:szCs w:val="14"/>
          <w:color w:val="auto"/>
        </w:rPr>
        <w:t>” means any Person other than MacroGenics or Gilead that is not an Affiliate of MacroGenics or of Gilead.</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18</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5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5" w:right="259" w:bottom="1440" w:gutter="0" w:footer="0" w:header="0"/>
        </w:sectPr>
      </w:pPr>
    </w:p>
    <w:bookmarkStart w:id="549" w:name="page550"/>
    <w:bookmarkEnd w:id="549"/>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1.131 “</w:t>
      </w:r>
      <w:r>
        <w:rPr>
          <w:rFonts w:ascii="Arial" w:cs="Arial" w:eastAsia="Arial" w:hAnsi="Arial"/>
          <w:sz w:val="12"/>
          <w:szCs w:val="12"/>
          <w:b w:val="1"/>
          <w:bCs w:val="1"/>
          <w:u w:val="single" w:color="auto"/>
          <w:color w:val="auto"/>
        </w:rPr>
        <w:t>***</w:t>
      </w:r>
      <w:r>
        <w:rPr>
          <w:rFonts w:ascii="Arial" w:cs="Arial" w:eastAsia="Arial" w:hAnsi="Arial"/>
          <w:sz w:val="12"/>
          <w:szCs w:val="12"/>
          <w:color w:val="auto"/>
        </w:rPr>
        <w:t xml:space="preserve"> </w:t>
      </w:r>
      <w:r>
        <w:rPr>
          <w:rFonts w:ascii="Arial" w:cs="Arial" w:eastAsia="Arial" w:hAnsi="Arial"/>
          <w:sz w:val="12"/>
          <w:szCs w:val="12"/>
          <w:u w:val="single" w:color="auto"/>
          <w:color w:val="auto"/>
        </w:rPr>
        <w:t>Targets</w:t>
      </w:r>
      <w:r>
        <w:rPr>
          <w:rFonts w:ascii="Arial" w:cs="Arial" w:eastAsia="Arial" w:hAnsi="Arial"/>
          <w:sz w:val="12"/>
          <w:szCs w:val="12"/>
          <w:color w:val="auto"/>
        </w:rPr>
        <w:t>” means a combination of two Targets that are nominated by Gilead pursuant to the first sentence of Section 3.2.1(a) and both accepted by MacroGenics pursuant to Section 3.2.1(b).</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1.132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Program</w:t>
      </w:r>
      <w:r>
        <w:rPr>
          <w:rFonts w:ascii="Arial" w:cs="Arial" w:eastAsia="Arial" w:hAnsi="Arial"/>
          <w:sz w:val="14"/>
          <w:szCs w:val="14"/>
          <w:color w:val="auto"/>
        </w:rPr>
        <w:t>” means the Licensed Program directed to the Third DART Targets.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1.133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Territory</w:t>
      </w:r>
      <w:r>
        <w:rPr>
          <w:rFonts w:ascii="Arial" w:cs="Arial" w:eastAsia="Arial" w:hAnsi="Arial"/>
          <w:sz w:val="14"/>
          <w:szCs w:val="14"/>
          <w:color w:val="auto"/>
        </w:rPr>
        <w:t>” means the entire world.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1.134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Research Program</w:t>
      </w:r>
      <w:r>
        <w:rPr>
          <w:rFonts w:ascii="Arial" w:cs="Arial" w:eastAsia="Arial" w:hAnsi="Arial"/>
          <w:sz w:val="14"/>
          <w:szCs w:val="14"/>
          <w:color w:val="auto"/>
        </w:rPr>
        <w:t>” means the Research Program directed to the Third DART Targets.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1.135 “</w:t>
      </w:r>
      <w:r>
        <w:rPr>
          <w:rFonts w:ascii="Arial" w:cs="Arial" w:eastAsia="Arial" w:hAnsi="Arial"/>
          <w:sz w:val="14"/>
          <w:szCs w:val="14"/>
          <w:u w:val="single" w:color="auto"/>
          <w:color w:val="auto"/>
        </w:rPr>
        <w:t>United States</w:t>
      </w:r>
      <w:r>
        <w:rPr>
          <w:rFonts w:ascii="Arial" w:cs="Arial" w:eastAsia="Arial" w:hAnsi="Arial"/>
          <w:sz w:val="14"/>
          <w:szCs w:val="14"/>
          <w:color w:val="auto"/>
        </w:rPr>
        <w:t>” or “</w:t>
      </w:r>
      <w:r>
        <w:rPr>
          <w:rFonts w:ascii="Arial" w:cs="Arial" w:eastAsia="Arial" w:hAnsi="Arial"/>
          <w:sz w:val="14"/>
          <w:szCs w:val="14"/>
          <w:u w:val="single" w:color="auto"/>
          <w:color w:val="auto"/>
        </w:rPr>
        <w:t>U.S.</w:t>
      </w:r>
      <w:r>
        <w:rPr>
          <w:rFonts w:ascii="Arial" w:cs="Arial" w:eastAsia="Arial" w:hAnsi="Arial"/>
          <w:sz w:val="14"/>
          <w:szCs w:val="14"/>
          <w:color w:val="auto"/>
        </w:rPr>
        <w:t>” means the United States of America and all of its territories and possessions.</w:t>
      </w:r>
    </w:p>
    <w:p>
      <w:pPr>
        <w:spacing w:after="0" w:line="132" w:lineRule="exact"/>
        <w:rPr>
          <w:sz w:val="20"/>
          <w:szCs w:val="20"/>
          <w:color w:val="auto"/>
        </w:rPr>
      </w:pPr>
    </w:p>
    <w:p>
      <w:pPr>
        <w:jc w:val="both"/>
        <w:ind w:firstLine="458"/>
        <w:spacing w:after="0" w:line="321" w:lineRule="auto"/>
        <w:rPr>
          <w:sz w:val="20"/>
          <w:szCs w:val="20"/>
          <w:color w:val="auto"/>
        </w:rPr>
      </w:pPr>
      <w:r>
        <w:rPr>
          <w:rFonts w:ascii="Arial" w:cs="Arial" w:eastAsia="Arial" w:hAnsi="Arial"/>
          <w:sz w:val="12"/>
          <w:szCs w:val="12"/>
          <w:color w:val="auto"/>
        </w:rPr>
        <w:t>1.136 “</w:t>
      </w:r>
      <w:r>
        <w:rPr>
          <w:rFonts w:ascii="Arial" w:cs="Arial" w:eastAsia="Arial" w:hAnsi="Arial"/>
          <w:sz w:val="12"/>
          <w:szCs w:val="12"/>
          <w:u w:val="single" w:color="auto"/>
          <w:color w:val="auto"/>
        </w:rPr>
        <w:t>Valid Claim</w:t>
      </w:r>
      <w:r>
        <w:rPr>
          <w:rFonts w:ascii="Arial" w:cs="Arial" w:eastAsia="Arial" w:hAnsi="Arial"/>
          <w:sz w:val="12"/>
          <w:szCs w:val="12"/>
          <w:color w:val="auto"/>
        </w:rPr>
        <w:t xml:space="preserve">” means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or (b) a claim within a patent application which application has not been pending for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from the date of its first filing and which claim has not been revoked, cancelled, withdrawn, held invalid or abandoned.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1.137 </w:t>
      </w:r>
      <w:r>
        <w:rPr>
          <w:rFonts w:ascii="Arial" w:cs="Arial" w:eastAsia="Arial" w:hAnsi="Arial"/>
          <w:sz w:val="14"/>
          <w:szCs w:val="14"/>
          <w:u w:val="single" w:color="auto"/>
          <w:color w:val="auto"/>
        </w:rPr>
        <w:t>Additional Definitions</w:t>
      </w:r>
      <w:r>
        <w:rPr>
          <w:rFonts w:ascii="Arial" w:cs="Arial" w:eastAsia="Arial" w:hAnsi="Arial"/>
          <w:sz w:val="14"/>
          <w:szCs w:val="14"/>
          <w:color w:val="auto"/>
        </w:rPr>
        <w:t>. Each of the following definitions is set forth in the section of this Agreement indicated below:</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46"/>
        </w:trPr>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6"/>
              </w:rPr>
              <w:t>Definition:</w:t>
            </w:r>
          </w:p>
        </w:tc>
        <w:tc>
          <w:tcPr>
            <w:tcW w:w="652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Section:</w:t>
            </w:r>
          </w:p>
        </w:tc>
      </w:tr>
      <w:tr>
        <w:trPr>
          <w:trHeight w:val="140"/>
        </w:trPr>
        <w:tc>
          <w:tcPr>
            <w:tcW w:w="7020" w:type="dxa"/>
            <w:vAlign w:val="bottom"/>
            <w:gridSpan w:val="2"/>
          </w:tcPr>
          <w:p>
            <w:pPr>
              <w:spacing w:after="0" w:line="141" w:lineRule="exact"/>
              <w:rPr>
                <w:sz w:val="20"/>
                <w:szCs w:val="20"/>
                <w:color w:val="auto"/>
              </w:rPr>
            </w:pPr>
            <w:r>
              <w:rPr>
                <w:rFonts w:ascii="Arial" w:cs="Arial" w:eastAsia="Arial" w:hAnsi="Arial"/>
                <w:sz w:val="14"/>
                <w:szCs w:val="14"/>
                <w:color w:val="auto"/>
              </w:rPr>
              <w:t>13D Group</w:t>
            </w:r>
          </w:p>
        </w:tc>
        <w:tc>
          <w:tcPr>
            <w:tcW w:w="5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14.1.3</w:t>
            </w:r>
          </w:p>
        </w:tc>
        <w:tc>
          <w:tcPr>
            <w:tcW w:w="160" w:type="dxa"/>
            <w:vAlign w:val="bottom"/>
          </w:tcPr>
          <w:p>
            <w:pPr>
              <w:spacing w:after="0"/>
              <w:rPr>
                <w:sz w:val="12"/>
                <w:szCs w:val="12"/>
                <w:color w:val="auto"/>
              </w:rPr>
            </w:pP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Additional Extension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3.3.2(b)</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Alliance Manager</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2.1.1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Audited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8.10</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Auditing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8.10</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Bankruptcy Code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Biosimilar Product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8.5.4(c)</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Breaching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13.2</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Co-Chairperson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2.3.3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Commercializing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Competitive Infringement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9.4.2(a)</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Confidential Information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Court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15.2</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Disclosing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Dispute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15.1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Effective Date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Preamble</w:t>
            </w:r>
          </w:p>
        </w:tc>
      </w:tr>
      <w:tr>
        <w:trPr>
          <w:trHeight w:val="173"/>
        </w:trPr>
        <w:tc>
          <w:tcPr>
            <w:tcW w:w="7020" w:type="dxa"/>
            <w:vAlign w:val="bottom"/>
            <w:gridSpan w:val="2"/>
          </w:tcPr>
          <w:p>
            <w:pPr>
              <w:spacing w:after="0"/>
              <w:rPr>
                <w:sz w:val="20"/>
                <w:szCs w:val="20"/>
                <w:color w:val="auto"/>
              </w:rPr>
            </w:pPr>
            <w:r>
              <w:rPr>
                <w:rFonts w:ascii="Arial" w:cs="Arial" w:eastAsia="Arial" w:hAnsi="Arial"/>
                <w:sz w:val="14"/>
                <w:szCs w:val="14"/>
                <w:color w:val="auto"/>
              </w:rPr>
              <w:t>Existing Confidentiality Agreement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10.4</w:t>
            </w:r>
          </w:p>
        </w:tc>
      </w:tr>
    </w:tbl>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19</w:t>
      </w:r>
    </w:p>
    <w:p>
      <w:pPr>
        <w:spacing w:after="0" w:line="12" w:lineRule="exact"/>
        <w:rPr>
          <w:sz w:val="20"/>
          <w:szCs w:val="20"/>
          <w:color w:val="auto"/>
        </w:rPr>
      </w:pPr>
    </w:p>
    <w:p>
      <w:pPr>
        <w:ind w:left="3840" w:right="2620" w:hanging="1135"/>
        <w:spacing w:after="0" w:line="341" w:lineRule="auto"/>
        <w:tabs>
          <w:tab w:leader="none" w:pos="2944" w:val="left"/>
        </w:tabs>
        <w:numPr>
          <w:ilvl w:val="0"/>
          <w:numId w:val="55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20" w:top="245" w:right="299" w:bottom="1440" w:gutter="0" w:footer="0" w:header="0"/>
        </w:sectPr>
      </w:pPr>
    </w:p>
    <w:bookmarkStart w:id="550" w:name="page551"/>
    <w:bookmarkEnd w:id="550"/>
    <w:tbl>
      <w:tblPr>
        <w:tblLayout w:type="fixed"/>
        <w:tblInd w:w="620" w:type="dxa"/>
        <w:tblCellMar>
          <w:top w:w="0" w:type="dxa"/>
          <w:left w:w="0" w:type="dxa"/>
          <w:bottom w:w="0" w:type="dxa"/>
          <w:right w:w="0" w:type="dxa"/>
        </w:tblCellMar>
      </w:tblPr>
      <w:tr>
        <w:trPr>
          <w:trHeight w:val="146"/>
        </w:trPr>
        <w:tc>
          <w:tcPr>
            <w:tcW w:w="7020" w:type="dxa"/>
            <w:vAlign w:val="bottom"/>
            <w:gridSpan w:val="2"/>
          </w:tcPr>
          <w:p>
            <w:pPr>
              <w:spacing w:after="0"/>
              <w:rPr>
                <w:sz w:val="20"/>
                <w:szCs w:val="20"/>
                <w:color w:val="auto"/>
              </w:rPr>
            </w:pPr>
            <w:r>
              <w:rPr>
                <w:rFonts w:ascii="Arial" w:cs="Arial" w:eastAsia="Arial" w:hAnsi="Arial"/>
                <w:sz w:val="10"/>
                <w:szCs w:val="10"/>
                <w:b w:val="1"/>
                <w:bCs w:val="1"/>
                <w:color w:val="auto"/>
              </w:rPr>
              <w:t>Definition:</w:t>
            </w:r>
          </w:p>
        </w:tc>
        <w:tc>
          <w:tcPr>
            <w:tcW w:w="7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Section:</w:t>
            </w:r>
          </w:p>
        </w:tc>
      </w:tr>
      <w:tr>
        <w:trPr>
          <w:trHeight w:val="140"/>
        </w:trPr>
        <w:tc>
          <w:tcPr>
            <w:tcW w:w="5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FCPA</w:t>
            </w:r>
          </w:p>
        </w:tc>
        <w:tc>
          <w:tcPr>
            <w:tcW w:w="6520" w:type="dxa"/>
            <w:vAlign w:val="bottom"/>
          </w:tcPr>
          <w:p>
            <w:pPr>
              <w:spacing w:after="0"/>
              <w:rPr>
                <w:sz w:val="12"/>
                <w:szCs w:val="12"/>
                <w:color w:val="auto"/>
              </w:rPr>
            </w:pPr>
          </w:p>
        </w:tc>
        <w:tc>
          <w:tcPr>
            <w:tcW w:w="5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7.7.2</w:t>
            </w:r>
          </w:p>
        </w:tc>
        <w:tc>
          <w:tcPr>
            <w:tcW w:w="160" w:type="dxa"/>
            <w:vAlign w:val="bottom"/>
          </w:tcPr>
          <w:p>
            <w:pPr>
              <w:spacing w:after="0"/>
              <w:rPr>
                <w:sz w:val="12"/>
                <w:szCs w:val="12"/>
                <w:color w:val="auto"/>
              </w:rPr>
            </w:pP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3.2.1(a)</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3.2.1(a)</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Gilead</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Preamble</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Gilead Objection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5.5.1(c)</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Gilead Product Trademarks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7.6.1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GLP Toxicology Study</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3.3.2(a)</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HSR Filing</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3.2.2(c)</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Indemnified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12.3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Indemnifying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12.3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Initial Extension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3.3.2(b)</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Initial Research Plan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Initiating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9.4.3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IPO</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14.1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Joint Development Activity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JRC</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2.3.1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License Fee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Losses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12.1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MacroGenics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Preamble</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MacroGenics Objection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5.4.1(c)</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MacroGenics Product Trademarks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7.6.1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Non-Breaching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13.2</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Notifying Party</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6.4.2(b)</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Party or Parties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Preamble</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Preclinical Milestone Payment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8.2</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Preclinical Milestone Payment Notice</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3.3.2(a)</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Receiving Party</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10.1</w:t>
            </w:r>
          </w:p>
        </w:tc>
      </w:tr>
      <w:tr>
        <w:trPr>
          <w:trHeight w:val="165"/>
        </w:trPr>
        <w:tc>
          <w:tcPr>
            <w:tcW w:w="7020" w:type="dxa"/>
            <w:vAlign w:val="bottom"/>
            <w:gridSpan w:val="2"/>
          </w:tcPr>
          <w:p>
            <w:pPr>
              <w:spacing w:after="0"/>
              <w:rPr>
                <w:sz w:val="20"/>
                <w:szCs w:val="20"/>
                <w:color w:val="auto"/>
              </w:rPr>
            </w:pPr>
            <w:r>
              <w:rPr>
                <w:rFonts w:ascii="Arial" w:cs="Arial" w:eastAsia="Arial" w:hAnsi="Arial"/>
                <w:sz w:val="14"/>
                <w:szCs w:val="14"/>
                <w:color w:val="auto"/>
              </w:rPr>
              <w:t>Research Program Initiation Notice</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3.2.2(b)</w:t>
            </w:r>
          </w:p>
        </w:tc>
      </w:tr>
      <w:tr>
        <w:trPr>
          <w:trHeight w:val="169"/>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Initial Research Plan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Royalty Term</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8.5.2</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SDEA Agreement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6.4.1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Standstill Period</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14.1</w:t>
            </w:r>
          </w:p>
        </w:tc>
      </w:tr>
      <w:tr>
        <w:trPr>
          <w:trHeight w:val="167"/>
        </w:trPr>
        <w:tc>
          <w:tcPr>
            <w:tcW w:w="7020" w:type="dxa"/>
            <w:vAlign w:val="bottom"/>
            <w:gridSpan w:val="2"/>
          </w:tcPr>
          <w:p>
            <w:pPr>
              <w:spacing w:after="0"/>
              <w:rPr>
                <w:sz w:val="20"/>
                <w:szCs w:val="20"/>
                <w:color w:val="auto"/>
              </w:rPr>
            </w:pPr>
            <w:r>
              <w:rPr>
                <w:rFonts w:ascii="Arial" w:cs="Arial" w:eastAsia="Arial" w:hAnsi="Arial"/>
                <w:sz w:val="14"/>
                <w:szCs w:val="14"/>
                <w:color w:val="auto"/>
              </w:rPr>
              <w:t>Supplemental Data</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3.2.1(a)</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3.2.1(a)</w:t>
            </w:r>
          </w:p>
        </w:tc>
      </w:tr>
      <w:tr>
        <w:trPr>
          <w:trHeight w:val="173"/>
        </w:trPr>
        <w:tc>
          <w:tcPr>
            <w:tcW w:w="7020" w:type="dxa"/>
            <w:vAlign w:val="bottom"/>
            <w:gridSpan w:val="2"/>
          </w:tcPr>
          <w:p>
            <w:pPr>
              <w:spacing w:after="0"/>
              <w:rPr>
                <w:sz w:val="20"/>
                <w:szCs w:val="20"/>
                <w:color w:val="auto"/>
              </w:rPr>
            </w:pPr>
            <w:r>
              <w:rPr>
                <w:rFonts w:ascii="Arial" w:cs="Arial" w:eastAsia="Arial" w:hAnsi="Arial"/>
                <w:sz w:val="14"/>
                <w:szCs w:val="14"/>
                <w:color w:val="auto"/>
              </w:rPr>
              <w:t>UKBA</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7.7.2</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20</w:t>
      </w:r>
    </w:p>
    <w:p>
      <w:pPr>
        <w:spacing w:after="0" w:line="12" w:lineRule="exact"/>
        <w:rPr>
          <w:sz w:val="20"/>
          <w:szCs w:val="20"/>
          <w:color w:val="auto"/>
        </w:rPr>
      </w:pPr>
    </w:p>
    <w:p>
      <w:pPr>
        <w:ind w:left="2620" w:right="1479" w:hanging="1135"/>
        <w:spacing w:after="0" w:line="341" w:lineRule="auto"/>
        <w:tabs>
          <w:tab w:leader="none" w:pos="1724" w:val="left"/>
        </w:tabs>
        <w:numPr>
          <w:ilvl w:val="0"/>
          <w:numId w:val="55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4" w:right="1440" w:bottom="1440" w:gutter="0" w:footer="0" w:header="0"/>
        </w:sectPr>
      </w:pPr>
    </w:p>
    <w:bookmarkStart w:id="551" w:name="page552"/>
    <w:bookmarkEnd w:id="551"/>
    <w:p>
      <w:pPr>
        <w:jc w:val="center"/>
        <w:ind w:right="-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ARTICLE 2</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GOVERNANCE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Alliance Managers</w:t>
      </w:r>
      <w:r>
        <w:rPr>
          <w:rFonts w:ascii="Arial" w:cs="Arial" w:eastAsia="Arial" w:hAnsi="Arial"/>
          <w:sz w:val="14"/>
          <w:szCs w:val="14"/>
          <w:color w:val="auto"/>
        </w:rPr>
        <w:t>.</w:t>
      </w:r>
    </w:p>
    <w:p>
      <w:pPr>
        <w:spacing w:after="0" w:line="132" w:lineRule="exact"/>
        <w:rPr>
          <w:sz w:val="20"/>
          <w:szCs w:val="20"/>
          <w:color w:val="auto"/>
        </w:rPr>
      </w:pPr>
    </w:p>
    <w:p>
      <w:pPr>
        <w:jc w:val="both"/>
        <w:ind w:right="40" w:firstLine="917"/>
        <w:spacing w:after="0" w:line="295" w:lineRule="auto"/>
        <w:rPr>
          <w:sz w:val="20"/>
          <w:szCs w:val="20"/>
          <w:color w:val="auto"/>
        </w:rPr>
      </w:pPr>
      <w:r>
        <w:rPr>
          <w:rFonts w:ascii="Arial" w:cs="Arial" w:eastAsia="Arial" w:hAnsi="Arial"/>
          <w:sz w:val="12"/>
          <w:szCs w:val="12"/>
          <w:color w:val="auto"/>
        </w:rPr>
        <w:t>2.1.1 As soon as practicable after the Effective Date, each of MacroGenics and Gilead shall assign one (1) of its employees to serve as primary point of contact between the Parties with respect to matters under this Agreement (each an “</w:t>
      </w:r>
      <w:r>
        <w:rPr>
          <w:rFonts w:ascii="Arial" w:cs="Arial" w:eastAsia="Arial" w:hAnsi="Arial"/>
          <w:sz w:val="12"/>
          <w:szCs w:val="12"/>
          <w:u w:val="single" w:color="auto"/>
          <w:color w:val="auto"/>
        </w:rPr>
        <w:t>Alliance Manager</w:t>
      </w:r>
      <w:r>
        <w:rPr>
          <w:rFonts w:ascii="Arial" w:cs="Arial" w:eastAsia="Arial" w:hAnsi="Arial"/>
          <w:sz w:val="12"/>
          <w:szCs w:val="12"/>
          <w:color w:val="auto"/>
        </w:rPr>
        <w:t>”). Either Party may change its Alliance Manager upon written notice to the other Party. The Alliance Managers’ responsibilities shall be limited to:</w:t>
      </w:r>
    </w:p>
    <w:p>
      <w:pPr>
        <w:spacing w:after="0" w:line="1" w:lineRule="exact"/>
        <w:rPr>
          <w:sz w:val="20"/>
          <w:szCs w:val="20"/>
          <w:color w:val="auto"/>
        </w:rPr>
      </w:pPr>
    </w:p>
    <w:p>
      <w:pPr>
        <w:ind w:right="100" w:firstLine="4"/>
        <w:spacing w:after="0" w:line="290" w:lineRule="auto"/>
        <w:tabs>
          <w:tab w:leader="none" w:pos="185" w:val="left"/>
        </w:tabs>
        <w:numPr>
          <w:ilvl w:val="0"/>
          <w:numId w:val="558"/>
        </w:numPr>
        <w:rPr>
          <w:rFonts w:ascii="Arial" w:cs="Arial" w:eastAsia="Arial" w:hAnsi="Arial"/>
          <w:sz w:val="12"/>
          <w:szCs w:val="12"/>
          <w:color w:val="auto"/>
        </w:rPr>
      </w:pPr>
      <w:r>
        <w:rPr>
          <w:rFonts w:ascii="Arial" w:cs="Arial" w:eastAsia="Arial" w:hAnsi="Arial"/>
          <w:sz w:val="12"/>
          <w:szCs w:val="12"/>
          <w:color w:val="auto"/>
        </w:rPr>
        <w:t>coordinating the activities of the Parties under this Agreement, including facilitating communications between the Parties with respect to the Development, Manufacture and Commercialization of Program DARTs and Licensed Products; (b) serving as an initial point of contact for discussion by the Parties of the Development, Manufacture, and Commercialization of Program DARTS and Licensed Products;</w:t>
      </w:r>
    </w:p>
    <w:p>
      <w:pPr>
        <w:ind w:right="140" w:firstLine="4"/>
        <w:spacing w:after="0" w:line="303" w:lineRule="auto"/>
        <w:tabs>
          <w:tab w:leader="none" w:pos="185" w:val="left"/>
        </w:tabs>
        <w:numPr>
          <w:ilvl w:val="0"/>
          <w:numId w:val="559"/>
        </w:numPr>
        <w:rPr>
          <w:rFonts w:ascii="Arial" w:cs="Arial" w:eastAsia="Arial" w:hAnsi="Arial"/>
          <w:sz w:val="12"/>
          <w:szCs w:val="12"/>
          <w:color w:val="auto"/>
        </w:rPr>
      </w:pPr>
      <w:r>
        <w:rPr>
          <w:rFonts w:ascii="Arial" w:cs="Arial" w:eastAsia="Arial" w:hAnsi="Arial"/>
          <w:sz w:val="12"/>
          <w:szCs w:val="12"/>
          <w:color w:val="auto"/>
        </w:rPr>
        <w:t xml:space="preserve">directing and overseeing the JRC and any ad hoc committee established by the Parties on all significant issues that fall within the purview of such committees, including (i) subject to Section 3.2.6(c), reviewing and submitting to the Parties for approval any amendments to a Research Plan, and (ii) for any meeting of the JRC, (x) establishing a reasonably detailed agenda, including identification of relevant supporting information and materials to be discussed, for such meeting, subject to the right of any member of the JRC to add additional agenda items at any meeting, and (y) promptly drafting and finalizing minutes of such meeting, for review and approval by the members of the JRC at the following meeting; (d) reviewing and discussing each Party’s plans and related activities with respect to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Products in such Party’s Territory, including pre-launch and go-to-market strategies; and (e) attempting to resolve any Disputes in accordance with Section 15.1.</w:t>
      </w:r>
    </w:p>
    <w:p>
      <w:pPr>
        <w:spacing w:after="0" w:line="84" w:lineRule="exact"/>
        <w:rPr>
          <w:sz w:val="20"/>
          <w:szCs w:val="20"/>
          <w:color w:val="auto"/>
        </w:rPr>
      </w:pPr>
    </w:p>
    <w:p>
      <w:pPr>
        <w:ind w:right="20" w:firstLine="917"/>
        <w:spacing w:after="0" w:line="258" w:lineRule="auto"/>
        <w:rPr>
          <w:sz w:val="20"/>
          <w:szCs w:val="20"/>
          <w:color w:val="auto"/>
        </w:rPr>
      </w:pPr>
      <w:r>
        <w:rPr>
          <w:rFonts w:ascii="Arial" w:cs="Arial" w:eastAsia="Arial" w:hAnsi="Arial"/>
          <w:sz w:val="14"/>
          <w:szCs w:val="14"/>
          <w:color w:val="auto"/>
        </w:rPr>
        <w:t>2.1.2 After the License Grant Date for any Licensed Program, and for the duration of the License Term for such Licensed Program, the Alliance Managers shall meet once per Calendar Quarter (or on such other schedule as may be determined by the Alliance Managers) to discuss any issues and concerns arising under the Agreement. The Alliance Managers may attend such meetings in person, by telephone, or by videoconference; provided that the Alliance Managers shall meet in person at least twice per Calendar Year.</w:t>
      </w:r>
    </w:p>
    <w:p>
      <w:pPr>
        <w:spacing w:after="0" w:line="108"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Ad Hoc Committees</w:t>
      </w:r>
      <w:r>
        <w:rPr>
          <w:rFonts w:ascii="Arial" w:cs="Arial" w:eastAsia="Arial" w:hAnsi="Arial"/>
          <w:sz w:val="14"/>
          <w:szCs w:val="14"/>
          <w:color w:val="auto"/>
        </w:rPr>
        <w:t>. By mutual agreement, the Parties may establish and disband ad hoc committees having such responsibilities as may be agreed by the Parties. Each such committee shall consist of the same number of representatives designated by each Party, which number shall be mutually agreed by the Parties. Each Party shall be free to change its representatives on any such committee by written notice to the other Party or to send substitute representatives to any meeting of any such committee. Each Party’s representatives and any substitutes for such representatives on any such committee shall be bound by the obligations of confidentiality set forth in ARTICLE 10. No such committee shall have the authority to bind the Parties hereunder. Except as otherwise agreed by the Parties, each such committee shall report to the Alliance Managers.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12" w:lineRule="exact"/>
        <w:rPr>
          <w:sz w:val="20"/>
          <w:szCs w:val="20"/>
          <w:color w:val="auto"/>
        </w:rPr>
      </w:pPr>
    </w:p>
    <w:p>
      <w:pPr>
        <w:ind w:left="3840" w:right="2640" w:hanging="1135"/>
        <w:spacing w:after="0" w:line="341" w:lineRule="auto"/>
        <w:tabs>
          <w:tab w:leader="none" w:pos="2944" w:val="left"/>
        </w:tabs>
        <w:numPr>
          <w:ilvl w:val="0"/>
          <w:numId w:val="56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552" w:name="page553"/>
    <w:bookmarkEnd w:id="552"/>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2.3 </w:t>
      </w:r>
      <w:r>
        <w:rPr>
          <w:rFonts w:ascii="Arial" w:cs="Arial" w:eastAsia="Arial" w:hAnsi="Arial"/>
          <w:sz w:val="14"/>
          <w:szCs w:val="14"/>
          <w:u w:val="single" w:color="auto"/>
          <w:color w:val="auto"/>
        </w:rPr>
        <w:t>Joint Research Committee</w:t>
      </w:r>
      <w:r>
        <w:rPr>
          <w:rFonts w:ascii="Arial" w:cs="Arial" w:eastAsia="Arial" w:hAnsi="Arial"/>
          <w:sz w:val="14"/>
          <w:szCs w:val="14"/>
          <w:color w:val="auto"/>
        </w:rPr>
        <w:t>.</w:t>
      </w:r>
    </w:p>
    <w:p>
      <w:pPr>
        <w:spacing w:after="0" w:line="132" w:lineRule="exact"/>
        <w:rPr>
          <w:sz w:val="20"/>
          <w:szCs w:val="20"/>
          <w:color w:val="auto"/>
        </w:rPr>
      </w:pPr>
    </w:p>
    <w:p>
      <w:pPr>
        <w:ind w:firstLine="917"/>
        <w:spacing w:after="0" w:line="302" w:lineRule="auto"/>
        <w:rPr>
          <w:sz w:val="20"/>
          <w:szCs w:val="20"/>
          <w:color w:val="auto"/>
        </w:rPr>
      </w:pPr>
      <w:r>
        <w:rPr>
          <w:rFonts w:ascii="Arial" w:cs="Arial" w:eastAsia="Arial" w:hAnsi="Arial"/>
          <w:sz w:val="12"/>
          <w:szCs w:val="12"/>
          <w:color w:val="auto"/>
        </w:rPr>
        <w:t xml:space="preserve">2.3.1 </w:t>
      </w: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research committee (the “</w:t>
      </w:r>
      <w:r>
        <w:rPr>
          <w:rFonts w:ascii="Arial" w:cs="Arial" w:eastAsia="Arial" w:hAnsi="Arial"/>
          <w:sz w:val="12"/>
          <w:szCs w:val="12"/>
          <w:u w:val="single" w:color="auto"/>
          <w:color w:val="auto"/>
        </w:rPr>
        <w:t>JRC</w:t>
      </w:r>
      <w:r>
        <w:rPr>
          <w:rFonts w:ascii="Arial" w:cs="Arial" w:eastAsia="Arial" w:hAnsi="Arial"/>
          <w:sz w:val="12"/>
          <w:szCs w:val="12"/>
          <w:color w:val="auto"/>
        </w:rPr>
        <w:t>”). The JRC shall be comprised of three (3) named representatives of Gilead and three (3) named representatives of MacroGenics (or such other number as the Parties may agree). Each Party may replace one or more of its representatives, in its sole discretion, effective upon written notice to the other Party of such change. These representatives shall have appropriate technical credentials, experience and knowledge, and ongoing familiarity with the Research activities hereunder. Either Party may, from time to time, invite additional representatives or consultants to attend JRC meetings, subject to the written agreement of each such representative or consultant to comply with confidentiality obligations substantially the same as those set forth in ARTICLE 10; provided, however, for avoidance of doubt, that such representatives or consultants shall not have any voting rights on the JRC. Each Party shall be responsible for all of its own expenses incurred in connection with participating in any JRC meetings.</w:t>
      </w:r>
    </w:p>
    <w:p>
      <w:pPr>
        <w:spacing w:after="0" w:line="86" w:lineRule="exact"/>
        <w:rPr>
          <w:sz w:val="20"/>
          <w:szCs w:val="20"/>
          <w:color w:val="auto"/>
        </w:rPr>
      </w:pPr>
    </w:p>
    <w:p>
      <w:pPr>
        <w:ind w:right="80" w:firstLine="917"/>
        <w:spacing w:after="0" w:line="255"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u w:val="single" w:color="auto"/>
          <w:color w:val="auto"/>
        </w:rPr>
        <w:t>Function and Powers of the JRC</w:t>
      </w:r>
      <w:r>
        <w:rPr>
          <w:rFonts w:ascii="Arial" w:cs="Arial" w:eastAsia="Arial" w:hAnsi="Arial"/>
          <w:sz w:val="14"/>
          <w:szCs w:val="14"/>
          <w:color w:val="auto"/>
        </w:rPr>
        <w:t>. The JRC’s responsibilities shall be limited to matters regarding each Research Program, in each case solely during the Research Term thereof, and shall consist of the following activities: (a) subject to Section 3.2.6(c), proposing any changes or amendments to the Research Plan for the applicable Research Program, for approval by the Parties; (b) reviewing and monitoring progress for all activities performed under the applicable Research Program; and (c) informal resolution of disagreements that may arise in the relation to the Parties’ activities under the applicable Research Program.</w:t>
      </w:r>
    </w:p>
    <w:p>
      <w:pPr>
        <w:spacing w:after="0" w:line="110" w:lineRule="exact"/>
        <w:rPr>
          <w:sz w:val="20"/>
          <w:szCs w:val="20"/>
          <w:color w:val="auto"/>
        </w:rPr>
      </w:pPr>
    </w:p>
    <w:p>
      <w:pPr>
        <w:ind w:right="100" w:firstLine="917"/>
        <w:spacing w:after="0" w:line="258" w:lineRule="auto"/>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u w:val="single" w:color="auto"/>
          <w:color w:val="auto"/>
        </w:rPr>
        <w:t>Co-Chairpersons</w:t>
      </w:r>
      <w:r>
        <w:rPr>
          <w:rFonts w:ascii="Arial" w:cs="Arial" w:eastAsia="Arial" w:hAnsi="Arial"/>
          <w:sz w:val="14"/>
          <w:szCs w:val="14"/>
          <w:color w:val="auto"/>
        </w:rPr>
        <w:t>. Each Party shall designate one of its members of the JRC as a co-chairperson (each, a “</w:t>
      </w:r>
      <w:r>
        <w:rPr>
          <w:rFonts w:ascii="Arial" w:cs="Arial" w:eastAsia="Arial" w:hAnsi="Arial"/>
          <w:sz w:val="14"/>
          <w:szCs w:val="14"/>
          <w:u w:val="single" w:color="auto"/>
          <w:color w:val="auto"/>
        </w:rPr>
        <w:t>Co-Chairperson</w:t>
      </w:r>
      <w:r>
        <w:rPr>
          <w:rFonts w:ascii="Arial" w:cs="Arial" w:eastAsia="Arial" w:hAnsi="Arial"/>
          <w:sz w:val="14"/>
          <w:szCs w:val="14"/>
          <w:color w:val="auto"/>
        </w:rPr>
        <w:t>”) of such committee. The Co-Chairpersons, in consultation with the Alliance Managers, shall have the following roles and responsibilities: (a) to call meetings, send notice of each such meeting and designate the time, date and place of each such meeting, (b) to convene or poll the members by other permitted means, and (c) to sign and date the final minutes of any meeting of the JRC.</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2.3.4 </w:t>
      </w:r>
      <w:r>
        <w:rPr>
          <w:rFonts w:ascii="Arial" w:cs="Arial" w:eastAsia="Arial" w:hAnsi="Arial"/>
          <w:sz w:val="14"/>
          <w:szCs w:val="14"/>
          <w:u w:val="single" w:color="auto"/>
          <w:color w:val="auto"/>
        </w:rPr>
        <w:t>Committee Meetings</w:t>
      </w:r>
      <w:r>
        <w:rPr>
          <w:rFonts w:ascii="Arial" w:cs="Arial" w:eastAsia="Arial" w:hAnsi="Arial"/>
          <w:sz w:val="14"/>
          <w:szCs w:val="14"/>
          <w:color w:val="auto"/>
        </w:rPr>
        <w:t>.</w:t>
      </w:r>
    </w:p>
    <w:p>
      <w:pPr>
        <w:spacing w:after="0" w:line="132" w:lineRule="exact"/>
        <w:rPr>
          <w:sz w:val="20"/>
          <w:szCs w:val="20"/>
          <w:color w:val="auto"/>
        </w:rPr>
      </w:pPr>
    </w:p>
    <w:p>
      <w:pPr>
        <w:ind w:right="140" w:firstLine="1493"/>
        <w:spacing w:after="0" w:line="267" w:lineRule="auto"/>
        <w:tabs>
          <w:tab w:leader="none" w:pos="1675" w:val="left"/>
        </w:tabs>
        <w:numPr>
          <w:ilvl w:val="0"/>
          <w:numId w:val="561"/>
        </w:numPr>
        <w:rPr>
          <w:rFonts w:ascii="Arial" w:cs="Arial" w:eastAsia="Arial" w:hAnsi="Arial"/>
          <w:sz w:val="14"/>
          <w:szCs w:val="14"/>
          <w:color w:val="auto"/>
        </w:rPr>
      </w:pPr>
      <w:r>
        <w:rPr>
          <w:rFonts w:ascii="Arial" w:cs="Arial" w:eastAsia="Arial" w:hAnsi="Arial"/>
          <w:sz w:val="14"/>
          <w:szCs w:val="14"/>
          <w:u w:val="single" w:color="auto"/>
          <w:color w:val="auto"/>
        </w:rPr>
        <w:t>Frequency</w:t>
      </w:r>
      <w:r>
        <w:rPr>
          <w:rFonts w:ascii="Arial" w:cs="Arial" w:eastAsia="Arial" w:hAnsi="Arial"/>
          <w:sz w:val="14"/>
          <w:szCs w:val="14"/>
          <w:color w:val="auto"/>
        </w:rPr>
        <w:t>. For so long as the Research Term for any Research Program remains in effect, the JRC shall hold at least one (1) meeting per Calendar Quarter at such time(s) during such Calendar Quarter as the Co-Chairpersons may determine.</w:t>
      </w:r>
    </w:p>
    <w:p>
      <w:pPr>
        <w:spacing w:after="0" w:line="101" w:lineRule="exact"/>
        <w:rPr>
          <w:rFonts w:ascii="Arial" w:cs="Arial" w:eastAsia="Arial" w:hAnsi="Arial"/>
          <w:sz w:val="14"/>
          <w:szCs w:val="14"/>
          <w:color w:val="auto"/>
        </w:rPr>
      </w:pPr>
    </w:p>
    <w:p>
      <w:pPr>
        <w:ind w:right="140" w:firstLine="1493"/>
        <w:spacing w:after="0" w:line="267" w:lineRule="auto"/>
        <w:tabs>
          <w:tab w:leader="none" w:pos="1682" w:val="left"/>
        </w:tabs>
        <w:numPr>
          <w:ilvl w:val="0"/>
          <w:numId w:val="561"/>
        </w:numPr>
        <w:rPr>
          <w:rFonts w:ascii="Arial" w:cs="Arial" w:eastAsia="Arial" w:hAnsi="Arial"/>
          <w:sz w:val="14"/>
          <w:szCs w:val="14"/>
          <w:color w:val="auto"/>
        </w:rPr>
      </w:pPr>
      <w:r>
        <w:rPr>
          <w:rFonts w:ascii="Arial" w:cs="Arial" w:eastAsia="Arial" w:hAnsi="Arial"/>
          <w:sz w:val="14"/>
          <w:szCs w:val="14"/>
          <w:u w:val="single" w:color="auto"/>
          <w:color w:val="auto"/>
        </w:rPr>
        <w:t>Quorum; Location</w:t>
      </w:r>
      <w:r>
        <w:rPr>
          <w:rFonts w:ascii="Arial" w:cs="Arial" w:eastAsia="Arial" w:hAnsi="Arial"/>
          <w:sz w:val="14"/>
          <w:szCs w:val="14"/>
          <w:color w:val="auto"/>
        </w:rPr>
        <w:t>. Meetings of the JRC shall be effective only if at least one (1) representative of each Party is present or participating. The JRC may meet either (i) in person at either Party’s facilities or at such locations as the Parties may otherwise agree or (ii) by audio or video teleconference.</w:t>
      </w:r>
    </w:p>
    <w:p>
      <w:pPr>
        <w:spacing w:after="0" w:line="101" w:lineRule="exact"/>
        <w:rPr>
          <w:rFonts w:ascii="Arial" w:cs="Arial" w:eastAsia="Arial" w:hAnsi="Arial"/>
          <w:sz w:val="14"/>
          <w:szCs w:val="14"/>
          <w:color w:val="auto"/>
        </w:rPr>
      </w:pPr>
    </w:p>
    <w:p>
      <w:pPr>
        <w:ind w:right="100" w:firstLine="1493"/>
        <w:spacing w:after="0" w:line="267" w:lineRule="auto"/>
        <w:tabs>
          <w:tab w:leader="none" w:pos="1675" w:val="left"/>
        </w:tabs>
        <w:numPr>
          <w:ilvl w:val="0"/>
          <w:numId w:val="561"/>
        </w:numPr>
        <w:rPr>
          <w:rFonts w:ascii="Arial" w:cs="Arial" w:eastAsia="Arial" w:hAnsi="Arial"/>
          <w:sz w:val="14"/>
          <w:szCs w:val="14"/>
          <w:color w:val="auto"/>
        </w:rPr>
      </w:pPr>
      <w:r>
        <w:rPr>
          <w:rFonts w:ascii="Arial" w:cs="Arial" w:eastAsia="Arial" w:hAnsi="Arial"/>
          <w:sz w:val="14"/>
          <w:szCs w:val="14"/>
          <w:u w:val="single" w:color="auto"/>
          <w:color w:val="auto"/>
        </w:rPr>
        <w:t>Cooperation</w:t>
      </w:r>
      <w:r>
        <w:rPr>
          <w:rFonts w:ascii="Arial" w:cs="Arial" w:eastAsia="Arial" w:hAnsi="Arial"/>
          <w:sz w:val="14"/>
          <w:szCs w:val="14"/>
          <w:color w:val="auto"/>
        </w:rPr>
        <w:t>. Each Party shall provide the JRC such information as required under the Research Plan for any Research Program, or as reasonably requested by the other Party and reasonably available, relating to the progress of the goals or performance of activities pursuant to any Research Program.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53" w:name="page554"/>
    <w:bookmarkEnd w:id="553"/>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2.3.5 </w:t>
      </w:r>
      <w:r>
        <w:rPr>
          <w:rFonts w:ascii="Arial" w:cs="Arial" w:eastAsia="Arial" w:hAnsi="Arial"/>
          <w:sz w:val="12"/>
          <w:szCs w:val="12"/>
          <w:u w:val="single" w:color="auto"/>
          <w:color w:val="auto"/>
        </w:rPr>
        <w:t>Decisions</w:t>
      </w:r>
      <w:r>
        <w:rPr>
          <w:rFonts w:ascii="Arial" w:cs="Arial" w:eastAsia="Arial" w:hAnsi="Arial"/>
          <w:sz w:val="12"/>
          <w:szCs w:val="12"/>
          <w:color w:val="auto"/>
        </w:rPr>
        <w:t xml:space="preserve">. Actions to be taken by the JRC shall be taken only following a </w:t>
      </w:r>
      <w:r>
        <w:rPr>
          <w:rFonts w:ascii="Arial" w:cs="Arial" w:eastAsia="Arial" w:hAnsi="Arial"/>
          <w:sz w:val="12"/>
          <w:szCs w:val="12"/>
          <w:b w:val="1"/>
          <w:bCs w:val="1"/>
          <w:color w:val="auto"/>
        </w:rPr>
        <w:t>***</w:t>
      </w:r>
      <w:r>
        <w:rPr>
          <w:rFonts w:ascii="Arial" w:cs="Arial" w:eastAsia="Arial" w:hAnsi="Arial"/>
          <w:sz w:val="12"/>
          <w:szCs w:val="12"/>
          <w:color w:val="auto"/>
        </w:rPr>
        <w:t xml:space="preserve">, with each Party having </w:t>
      </w:r>
      <w:r>
        <w:rPr>
          <w:rFonts w:ascii="Arial" w:cs="Arial" w:eastAsia="Arial" w:hAnsi="Arial"/>
          <w:sz w:val="12"/>
          <w:szCs w:val="12"/>
          <w:b w:val="1"/>
          <w:bCs w:val="1"/>
          <w:color w:val="auto"/>
        </w:rPr>
        <w:t>***</w:t>
      </w:r>
      <w:r>
        <w:rPr>
          <w:rFonts w:ascii="Arial" w:cs="Arial" w:eastAsia="Arial" w:hAnsi="Arial"/>
          <w:sz w:val="12"/>
          <w:szCs w:val="12"/>
          <w:color w:val="auto"/>
        </w:rPr>
        <w:t>. Notwithstanding anything to the contrary in this Agreement, Gilead shall have</w:t>
      </w:r>
    </w:p>
    <w:p>
      <w:pPr>
        <w:spacing w:after="0" w:line="37" w:lineRule="exact"/>
        <w:rPr>
          <w:sz w:val="20"/>
          <w:szCs w:val="20"/>
          <w:color w:val="auto"/>
        </w:rPr>
      </w:pPr>
    </w:p>
    <w:p>
      <w:pPr>
        <w:ind w:right="20" w:firstLine="4"/>
        <w:spacing w:after="0" w:line="251" w:lineRule="auto"/>
        <w:tabs>
          <w:tab w:leader="none" w:pos="238" w:val="left"/>
        </w:tabs>
        <w:numPr>
          <w:ilvl w:val="0"/>
          <w:numId w:val="563"/>
        </w:numPr>
        <w:rPr>
          <w:rFonts w:ascii="Arial" w:cs="Arial" w:eastAsia="Arial" w:hAnsi="Arial"/>
          <w:sz w:val="14"/>
          <w:szCs w:val="14"/>
          <w:b w:val="1"/>
          <w:bCs w:val="1"/>
          <w:color w:val="auto"/>
        </w:rPr>
      </w:pPr>
      <w:r>
        <w:rPr>
          <w:rFonts w:ascii="Arial" w:cs="Arial" w:eastAsia="Arial" w:hAnsi="Arial"/>
          <w:sz w:val="14"/>
          <w:szCs w:val="14"/>
          <w:color w:val="auto"/>
        </w:rPr>
        <w:t xml:space="preserve">on any matter involving </w:t>
      </w:r>
      <w:r>
        <w:rPr>
          <w:rFonts w:ascii="Arial" w:cs="Arial" w:eastAsia="Arial" w:hAnsi="Arial"/>
          <w:sz w:val="14"/>
          <w:szCs w:val="14"/>
          <w:b w:val="1"/>
          <w:bCs w:val="1"/>
          <w:color w:val="auto"/>
        </w:rPr>
        <w:t>***</w:t>
      </w:r>
      <w:r>
        <w:rPr>
          <w:rFonts w:ascii="Arial" w:cs="Arial" w:eastAsia="Arial" w:hAnsi="Arial"/>
          <w:sz w:val="14"/>
          <w:szCs w:val="14"/>
          <w:color w:val="auto"/>
        </w:rPr>
        <w:t xml:space="preserve">; provided, however, that Gilead shall not exercise its </w:t>
      </w:r>
      <w:r>
        <w:rPr>
          <w:rFonts w:ascii="Arial" w:cs="Arial" w:eastAsia="Arial" w:hAnsi="Arial"/>
          <w:sz w:val="14"/>
          <w:szCs w:val="14"/>
          <w:b w:val="1"/>
          <w:bCs w:val="1"/>
          <w:color w:val="auto"/>
        </w:rPr>
        <w:t>***</w:t>
      </w:r>
      <w:r>
        <w:rPr>
          <w:rFonts w:ascii="Arial" w:cs="Arial" w:eastAsia="Arial" w:hAnsi="Arial"/>
          <w:sz w:val="14"/>
          <w:szCs w:val="14"/>
          <w:color w:val="auto"/>
        </w:rPr>
        <w:t xml:space="preserve"> in a manner that would (a) conflict with any provisions of this Agreement; (b) require MacroGenics to perform activities (i) for which Gilead will not reimburse MacroGenics’ costs in accordance with Section 3.2.6; or (ii) which require MacroGenics to use any Know-How, Patents or other technology not contemplated in an Initial Research Plan and that are not (x) developed internally by MacroGenics, (y) licensed by Gilead to MacroGenics pursuant to Section 4.2 or (z) in-licensed or otherwise acquired by MacroGenics pursuant to any MacroGenics Third Party Agreement; or (c) require MacroGenics to perform any act that it reasonably believes to be inconsistent with any Law or any approval, order, policy or guidelines of a Regulatory Authority. Any matter on which the JRC fails to reach unanimous agreement for a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including any matter subject to </w:t>
      </w:r>
      <w:r>
        <w:rPr>
          <w:rFonts w:ascii="Arial" w:cs="Arial" w:eastAsia="Arial" w:hAnsi="Arial"/>
          <w:sz w:val="14"/>
          <w:szCs w:val="14"/>
          <w:b w:val="1"/>
          <w:bCs w:val="1"/>
          <w:color w:val="auto"/>
        </w:rPr>
        <w:t>***</w:t>
      </w:r>
      <w:r>
        <w:rPr>
          <w:rFonts w:ascii="Arial" w:cs="Arial" w:eastAsia="Arial" w:hAnsi="Arial"/>
          <w:sz w:val="14"/>
          <w:szCs w:val="14"/>
          <w:color w:val="auto"/>
        </w:rPr>
        <w:t>, shall be referred to the Alliance Managers for attempted resolution pursuant to Section 15.1.</w:t>
      </w:r>
    </w:p>
    <w:p>
      <w:pPr>
        <w:spacing w:after="0" w:line="112" w:lineRule="exact"/>
        <w:rPr>
          <w:sz w:val="20"/>
          <w:szCs w:val="20"/>
          <w:color w:val="auto"/>
        </w:rPr>
      </w:pPr>
    </w:p>
    <w:p>
      <w:pPr>
        <w:ind w:right="80" w:firstLine="458"/>
        <w:spacing w:after="0" w:line="255"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Authority</w:t>
      </w:r>
      <w:r>
        <w:rPr>
          <w:rFonts w:ascii="Arial" w:cs="Arial" w:eastAsia="Arial" w:hAnsi="Arial"/>
          <w:sz w:val="14"/>
          <w:szCs w:val="14"/>
          <w:color w:val="auto"/>
        </w:rPr>
        <w:t>. The Alliance Managers and the JRC shall have only the powers assigned expressly to each of them in this ARTICLE 2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Alliance Managers, JRC or any ad hoc committee appointed hereunder unless such delegation or vesting of rights is expressly provided for in this Agreement or the Parties expressly so agree in writing.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RESEARCH PROGRAMS</w:t>
      </w:r>
    </w:p>
    <w:p>
      <w:pPr>
        <w:spacing w:after="0" w:line="126" w:lineRule="exact"/>
        <w:rPr>
          <w:sz w:val="20"/>
          <w:szCs w:val="20"/>
          <w:color w:val="auto"/>
        </w:rPr>
      </w:pPr>
    </w:p>
    <w:p>
      <w:pPr>
        <w:ind w:right="260" w:firstLine="458"/>
        <w:spacing w:after="0" w:line="31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Research Overview</w:t>
      </w:r>
      <w:r>
        <w:rPr>
          <w:rFonts w:ascii="Arial" w:cs="Arial" w:eastAsia="Arial" w:hAnsi="Arial"/>
          <w:sz w:val="12"/>
          <w:szCs w:val="12"/>
          <w:color w:val="auto"/>
        </w:rPr>
        <w:t>. Pursuant to this Agreement and as further provided in this ARTICLE 3, MacroGenics and Gilead shall use Reasonable Research Efforts to conduct the Research activities assigned to such Party in each Research Plan during each Research Term for each Research Program. MacroGenics and Gilead shall conduct each Research Program in a good scientific manner and in accordance with applicable Law, including GLP and GCP. Neither Party warrants that any Research Program shall achieve any of the research objectives contemplated in its Research Plan. At the end of the applicable Research Term, each Party’s obligation to conduct such Research Program shall cease unless the Parties mutually agree to extend its Research Term.</w:t>
      </w:r>
    </w:p>
    <w:p>
      <w:pPr>
        <w:spacing w:after="0" w:line="79" w:lineRule="exact"/>
        <w:rPr>
          <w:sz w:val="20"/>
          <w:szCs w:val="20"/>
          <w:color w:val="auto"/>
        </w:rPr>
      </w:pPr>
    </w:p>
    <w:p>
      <w:pPr>
        <w:jc w:val="right"/>
        <w:ind w:right="8840"/>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Conduct of the Research Programs</w:t>
      </w:r>
      <w:r>
        <w:rPr>
          <w:rFonts w:ascii="Arial" w:cs="Arial" w:eastAsia="Arial" w:hAnsi="Arial"/>
          <w:sz w:val="14"/>
          <w:szCs w:val="14"/>
          <w:color w:val="auto"/>
        </w:rPr>
        <w:t>.</w:t>
      </w:r>
    </w:p>
    <w:p>
      <w:pPr>
        <w:spacing w:after="0" w:line="130" w:lineRule="exact"/>
        <w:rPr>
          <w:sz w:val="20"/>
          <w:szCs w:val="20"/>
          <w:color w:val="auto"/>
        </w:rPr>
      </w:pPr>
    </w:p>
    <w:p>
      <w:pPr>
        <w:jc w:val="right"/>
        <w:ind w:right="8860"/>
        <w:spacing w:after="0"/>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auto"/>
        </w:rPr>
        <w:t>Selection of</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Targets</w:t>
      </w:r>
      <w:r>
        <w:rPr>
          <w:rFonts w:ascii="Arial" w:cs="Arial" w:eastAsia="Arial" w:hAnsi="Arial"/>
          <w:sz w:val="14"/>
          <w:szCs w:val="14"/>
          <w:color w:val="auto"/>
        </w:rPr>
        <w:t>.</w:t>
      </w:r>
    </w:p>
    <w:p>
      <w:pPr>
        <w:spacing w:after="0" w:line="132" w:lineRule="exact"/>
        <w:rPr>
          <w:sz w:val="20"/>
          <w:szCs w:val="20"/>
          <w:color w:val="auto"/>
        </w:rPr>
      </w:pPr>
    </w:p>
    <w:p>
      <w:pPr>
        <w:ind w:firstLine="1493"/>
        <w:spacing w:after="0" w:line="259" w:lineRule="auto"/>
        <w:tabs>
          <w:tab w:leader="none" w:pos="1675" w:val="left"/>
        </w:tabs>
        <w:numPr>
          <w:ilvl w:val="0"/>
          <w:numId w:val="564"/>
        </w:numPr>
        <w:rPr>
          <w:rFonts w:ascii="Arial" w:cs="Arial" w:eastAsia="Arial" w:hAnsi="Arial"/>
          <w:sz w:val="14"/>
          <w:szCs w:val="14"/>
          <w:color w:val="auto"/>
        </w:rPr>
      </w:pPr>
      <w:r>
        <w:rPr>
          <w:rFonts w:ascii="Arial" w:cs="Arial" w:eastAsia="Arial" w:hAnsi="Arial"/>
          <w:sz w:val="14"/>
          <w:szCs w:val="14"/>
          <w:color w:val="auto"/>
        </w:rPr>
        <w:t xml:space="preserve">At any time prior to the date that is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Effective Date (“</w:t>
      </w:r>
      <w:r>
        <w:rPr>
          <w:rFonts w:ascii="Arial" w:cs="Arial" w:eastAsia="Arial" w:hAnsi="Arial"/>
          <w:sz w:val="14"/>
          <w:szCs w:val="14"/>
          <w:b w:val="1"/>
          <w:bCs w:val="1"/>
          <w:u w:val="single" w:color="auto"/>
          <w:color w:val="auto"/>
        </w:rPr>
        <w:t>***</w:t>
      </w:r>
      <w:r>
        <w:rPr>
          <w:rFonts w:ascii="Arial" w:cs="Arial" w:eastAsia="Arial" w:hAnsi="Arial"/>
          <w:sz w:val="14"/>
          <w:szCs w:val="14"/>
          <w:u w:val="single" w:color="auto"/>
          <w:color w:val="auto"/>
        </w:rPr>
        <w:t>Target Nomination Period</w:t>
      </w:r>
      <w:r>
        <w:rPr>
          <w:rFonts w:ascii="Arial" w:cs="Arial" w:eastAsia="Arial" w:hAnsi="Arial"/>
          <w:sz w:val="14"/>
          <w:szCs w:val="14"/>
          <w:b w:val="1"/>
          <w:bCs w:val="1"/>
          <w:color w:val="auto"/>
        </w:rPr>
        <w:t>***</w:t>
      </w:r>
      <w:r>
        <w:rPr>
          <w:rFonts w:ascii="Arial" w:cs="Arial" w:eastAsia="Arial" w:hAnsi="Arial"/>
          <w:sz w:val="14"/>
          <w:szCs w:val="14"/>
          <w:color w:val="auto"/>
        </w:rPr>
        <w:t xml:space="preserve">, Gilead may notify MacroGenics in writing of its nomination of a combination of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to serve as the </w:t>
      </w:r>
      <w:r>
        <w:rPr>
          <w:rFonts w:ascii="Arial" w:cs="Arial" w:eastAsia="Arial" w:hAnsi="Arial"/>
          <w:sz w:val="14"/>
          <w:szCs w:val="14"/>
          <w:b w:val="1"/>
          <w:bCs w:val="1"/>
          <w:color w:val="auto"/>
        </w:rPr>
        <w:t>***</w:t>
      </w:r>
      <w:r>
        <w:rPr>
          <w:rFonts w:ascii="Arial" w:cs="Arial" w:eastAsia="Arial" w:hAnsi="Arial"/>
          <w:sz w:val="14"/>
          <w:szCs w:val="14"/>
          <w:u w:val="single" w:color="auto"/>
          <w:color w:val="auto"/>
        </w:rPr>
        <w:t>Target Nomination Period</w:t>
      </w:r>
      <w:r>
        <w:rPr>
          <w:rFonts w:ascii="Arial" w:cs="Arial" w:eastAsia="Arial" w:hAnsi="Arial"/>
          <w:sz w:val="14"/>
          <w:szCs w:val="14"/>
          <w:b w:val="1"/>
          <w:bCs w:val="1"/>
          <w:color w:val="auto"/>
        </w:rPr>
        <w:t>***</w:t>
      </w:r>
      <w:r>
        <w:rPr>
          <w:rFonts w:ascii="Arial" w:cs="Arial" w:eastAsia="Arial" w:hAnsi="Arial"/>
          <w:sz w:val="14"/>
          <w:szCs w:val="14"/>
          <w:color w:val="auto"/>
        </w:rPr>
        <w:t xml:space="preserve">, Gilead may notify MacroGenics in writing of its nomination of a combination of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to serve as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Target Nomination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Notice</w:t>
      </w:r>
      <w:r>
        <w:rPr>
          <w:rFonts w:ascii="Arial" w:cs="Arial" w:eastAsia="Arial" w:hAnsi="Arial"/>
          <w:sz w:val="14"/>
          <w:szCs w:val="14"/>
          <w:color w:val="auto"/>
        </w:rPr>
        <w:t>”). For clarity, (1) Gilead may independently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6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4" w:right="239" w:bottom="1440" w:gutter="0" w:footer="0" w:header="0"/>
        </w:sectPr>
      </w:pPr>
    </w:p>
    <w:bookmarkStart w:id="554" w:name="page555"/>
    <w:bookmarkEnd w:id="554"/>
    <w:p>
      <w:pPr>
        <w:ind w:right="100"/>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nominate combinations for each of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Targets and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Targets, and Gilead’s nomination of a combination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Targets shall not require a nomination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Targets, or vice versa, (2) unless otherwise specified by Gilead in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 Nomination Notice, any nomination made by Gilead during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 Nomination Period prior to MacroGenics’ acceptance of a nomination for the </w:t>
      </w:r>
      <w:r>
        <w:rPr>
          <w:rFonts w:ascii="Arial" w:cs="Arial" w:eastAsia="Arial" w:hAnsi="Arial"/>
          <w:sz w:val="12"/>
          <w:szCs w:val="12"/>
          <w:b w:val="1"/>
          <w:bCs w:val="1"/>
          <w:color w:val="auto"/>
        </w:rPr>
        <w:t>***</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 xml:space="preserve">Targets shall be deemed to be a nomination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and (3) any nomination made by Gilead after MacroGenics’ acceptance of a nomination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shall be deemed to be a nomination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w:t>
      </w:r>
    </w:p>
    <w:p>
      <w:pPr>
        <w:spacing w:after="0" w:line="106" w:lineRule="exact"/>
        <w:rPr>
          <w:sz w:val="20"/>
          <w:szCs w:val="20"/>
          <w:color w:val="auto"/>
        </w:rPr>
      </w:pPr>
    </w:p>
    <w:p>
      <w:pPr>
        <w:ind w:right="340" w:firstLine="1493"/>
        <w:spacing w:after="0" w:line="270" w:lineRule="auto"/>
        <w:tabs>
          <w:tab w:leader="none" w:pos="1682" w:val="left"/>
        </w:tabs>
        <w:numPr>
          <w:ilvl w:val="0"/>
          <w:numId w:val="566"/>
        </w:numPr>
        <w:rPr>
          <w:rFonts w:ascii="Arial" w:cs="Arial" w:eastAsia="Arial" w:hAnsi="Arial"/>
          <w:sz w:val="14"/>
          <w:szCs w:val="14"/>
          <w:color w:val="auto"/>
        </w:rPr>
      </w:pPr>
      <w:r>
        <w:rPr>
          <w:rFonts w:ascii="Arial" w:cs="Arial" w:eastAsia="Arial" w:hAnsi="Arial"/>
          <w:sz w:val="14"/>
          <w:szCs w:val="14"/>
          <w:color w:val="auto"/>
        </w:rPr>
        <w:t xml:space="preserve">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MacroGenics’ receipt of any </w:t>
      </w:r>
      <w:r>
        <w:rPr>
          <w:rFonts w:ascii="Arial" w:cs="Arial" w:eastAsia="Arial" w:hAnsi="Arial"/>
          <w:sz w:val="14"/>
          <w:szCs w:val="14"/>
          <w:b w:val="1"/>
          <w:bCs w:val="1"/>
          <w:color w:val="auto"/>
        </w:rPr>
        <w:t>***</w:t>
      </w:r>
      <w:r>
        <w:rPr>
          <w:rFonts w:ascii="Arial" w:cs="Arial" w:eastAsia="Arial" w:hAnsi="Arial"/>
          <w:sz w:val="14"/>
          <w:szCs w:val="14"/>
          <w:color w:val="auto"/>
        </w:rPr>
        <w:t xml:space="preserve"> Target Nomination Notice or </w:t>
      </w:r>
      <w:r>
        <w:rPr>
          <w:rFonts w:ascii="Arial" w:cs="Arial" w:eastAsia="Arial" w:hAnsi="Arial"/>
          <w:sz w:val="14"/>
          <w:szCs w:val="14"/>
          <w:b w:val="1"/>
          <w:bCs w:val="1"/>
          <w:color w:val="auto"/>
        </w:rPr>
        <w:t>***</w:t>
      </w:r>
      <w:r>
        <w:rPr>
          <w:rFonts w:ascii="Arial" w:cs="Arial" w:eastAsia="Arial" w:hAnsi="Arial"/>
          <w:sz w:val="14"/>
          <w:szCs w:val="14"/>
          <w:color w:val="auto"/>
        </w:rPr>
        <w:t xml:space="preserve"> Target Nomination Notice, MacroGenics shall notify Gilead whether it accepts such nomination and shall provide its reasons in the event it declines such nomination.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only if the nominated combination:</w:t>
      </w:r>
    </w:p>
    <w:p>
      <w:pPr>
        <w:spacing w:after="0" w:line="97" w:lineRule="exact"/>
        <w:rPr>
          <w:rFonts w:ascii="Arial" w:cs="Arial" w:eastAsia="Arial" w:hAnsi="Arial"/>
          <w:sz w:val="14"/>
          <w:szCs w:val="14"/>
          <w:color w:val="auto"/>
        </w:rPr>
      </w:pPr>
    </w:p>
    <w:p>
      <w:pPr>
        <w:ind w:left="2120" w:hanging="168"/>
        <w:spacing w:after="0"/>
        <w:tabs>
          <w:tab w:leader="none" w:pos="2120" w:val="left"/>
        </w:tabs>
        <w:numPr>
          <w:ilvl w:val="1"/>
          <w:numId w:val="566"/>
        </w:numPr>
        <w:rPr>
          <w:rFonts w:ascii="Arial" w:cs="Arial" w:eastAsia="Arial" w:hAnsi="Arial"/>
          <w:sz w:val="14"/>
          <w:szCs w:val="14"/>
          <w:color w:val="auto"/>
        </w:rPr>
      </w:pPr>
      <w:r>
        <w:rPr>
          <w:rFonts w:ascii="Arial" w:cs="Arial" w:eastAsia="Arial" w:hAnsi="Arial"/>
          <w:sz w:val="14"/>
          <w:szCs w:val="14"/>
          <w:color w:val="auto"/>
        </w:rPr>
        <w:t xml:space="preserve">includes a Target, other than </w:t>
      </w:r>
      <w:r>
        <w:rPr>
          <w:rFonts w:ascii="Arial" w:cs="Arial" w:eastAsia="Arial" w:hAnsi="Arial"/>
          <w:sz w:val="14"/>
          <w:szCs w:val="14"/>
          <w:b w:val="1"/>
          <w:bCs w:val="1"/>
          <w:color w:val="auto"/>
        </w:rPr>
        <w:t>***</w:t>
      </w:r>
      <w:r>
        <w:rPr>
          <w:rFonts w:ascii="Arial" w:cs="Arial" w:eastAsia="Arial" w:hAnsi="Arial"/>
          <w:sz w:val="14"/>
          <w:szCs w:val="14"/>
          <w:color w:val="auto"/>
        </w:rPr>
        <w:t>, with respect to which MacroGenics has a bona fide Active Research Program;</w:t>
      </w:r>
    </w:p>
    <w:p>
      <w:pPr>
        <w:spacing w:after="0" w:line="133" w:lineRule="exact"/>
        <w:rPr>
          <w:rFonts w:ascii="Arial" w:cs="Arial" w:eastAsia="Arial" w:hAnsi="Arial"/>
          <w:sz w:val="14"/>
          <w:szCs w:val="14"/>
          <w:color w:val="auto"/>
        </w:rPr>
      </w:pPr>
    </w:p>
    <w:p>
      <w:pPr>
        <w:ind w:left="2160" w:hanging="208"/>
        <w:spacing w:after="0"/>
        <w:tabs>
          <w:tab w:leader="none" w:pos="2160" w:val="left"/>
        </w:tabs>
        <w:numPr>
          <w:ilvl w:val="1"/>
          <w:numId w:val="566"/>
        </w:numPr>
        <w:rPr>
          <w:rFonts w:ascii="Arial" w:cs="Arial" w:eastAsia="Arial" w:hAnsi="Arial"/>
          <w:sz w:val="12"/>
          <w:szCs w:val="12"/>
          <w:color w:val="auto"/>
        </w:rPr>
      </w:pPr>
      <w:r>
        <w:rPr>
          <w:rFonts w:ascii="Arial" w:cs="Arial" w:eastAsia="Arial" w:hAnsi="Arial"/>
          <w:sz w:val="12"/>
          <w:szCs w:val="12"/>
          <w:color w:val="auto"/>
        </w:rPr>
        <w:t>is subject to a written obligation under a bona fide collaboration, alliance, license or option agreement entered into by MacroGenics prior to the date of such nomination;</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w:t>
      </w:r>
    </w:p>
    <w:p>
      <w:pPr>
        <w:spacing w:after="0" w:line="125" w:lineRule="exact"/>
        <w:rPr>
          <w:rFonts w:ascii="Arial" w:cs="Arial" w:eastAsia="Arial" w:hAnsi="Arial"/>
          <w:sz w:val="12"/>
          <w:szCs w:val="12"/>
          <w:color w:val="auto"/>
        </w:rPr>
      </w:pPr>
    </w:p>
    <w:p>
      <w:pPr>
        <w:ind w:right="20" w:firstLine="1952"/>
        <w:spacing w:after="0" w:line="295" w:lineRule="auto"/>
        <w:tabs>
          <w:tab w:leader="none" w:pos="2186" w:val="left"/>
        </w:tabs>
        <w:numPr>
          <w:ilvl w:val="1"/>
          <w:numId w:val="566"/>
        </w:numPr>
        <w:rPr>
          <w:rFonts w:ascii="Arial" w:cs="Arial" w:eastAsia="Arial" w:hAnsi="Arial"/>
          <w:sz w:val="12"/>
          <w:szCs w:val="12"/>
          <w:color w:val="auto"/>
        </w:rPr>
      </w:pPr>
      <w:r>
        <w:rPr>
          <w:rFonts w:ascii="Arial" w:cs="Arial" w:eastAsia="Arial" w:hAnsi="Arial"/>
          <w:sz w:val="12"/>
          <w:szCs w:val="12"/>
          <w:color w:val="auto"/>
        </w:rPr>
        <w:t>is subject to active negotiations in connection with a bona fide written term sheet received, in the *** preceding such notice, from a potential collaborator, alliance partner or licensee contemplating an agreement that would provide for MacroGenics to develop products binding to one of the Targets, other than ***, or grant any license with respect to one of the Targets, other than</w:t>
      </w:r>
    </w:p>
    <w:p>
      <w:pPr>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addition to the foregoing conditions upon which MacroGenics may decline a nomination, MacroGenics may (x) decline any nomination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Targets if the nominated combination is not directed to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37" w:lineRule="exact"/>
        <w:rPr>
          <w:sz w:val="20"/>
          <w:szCs w:val="20"/>
          <w:color w:val="auto"/>
        </w:rPr>
      </w:pPr>
    </w:p>
    <w:p>
      <w:pPr>
        <w:ind w:firstLine="4"/>
        <w:spacing w:after="0" w:line="253" w:lineRule="auto"/>
        <w:tabs>
          <w:tab w:leader="none" w:pos="192" w:val="left"/>
        </w:tabs>
        <w:numPr>
          <w:ilvl w:val="0"/>
          <w:numId w:val="567"/>
        </w:numPr>
        <w:rPr>
          <w:rFonts w:ascii="Arial" w:cs="Arial" w:eastAsia="Arial" w:hAnsi="Arial"/>
          <w:sz w:val="14"/>
          <w:szCs w:val="14"/>
          <w:color w:val="auto"/>
        </w:rPr>
      </w:pPr>
      <w:r>
        <w:rPr>
          <w:rFonts w:ascii="Arial" w:cs="Arial" w:eastAsia="Arial" w:hAnsi="Arial"/>
          <w:sz w:val="14"/>
          <w:szCs w:val="14"/>
          <w:color w:val="auto"/>
        </w:rPr>
        <w:t xml:space="preserve">solely if Gilead nominates and MacroGenics accepts pursuant to this Section 3.2.1 a combination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that is not directed to </w:t>
      </w:r>
      <w:r>
        <w:rPr>
          <w:rFonts w:ascii="Arial" w:cs="Arial" w:eastAsia="Arial" w:hAnsi="Arial"/>
          <w:sz w:val="14"/>
          <w:szCs w:val="14"/>
          <w:b w:val="1"/>
          <w:bCs w:val="1"/>
          <w:color w:val="auto"/>
        </w:rPr>
        <w:t>***</w:t>
      </w:r>
      <w:r>
        <w:rPr>
          <w:rFonts w:ascii="Arial" w:cs="Arial" w:eastAsia="Arial" w:hAnsi="Arial"/>
          <w:sz w:val="14"/>
          <w:szCs w:val="14"/>
          <w:color w:val="auto"/>
        </w:rPr>
        <w:t xml:space="preserve"> (as acknowledged by the Parties pursuant to the second sentence of this Section 3.2.1(b)), decline any nomination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if the nominated combination is not directed to </w:t>
      </w:r>
      <w:r>
        <w:rPr>
          <w:rFonts w:ascii="Arial" w:cs="Arial" w:eastAsia="Arial" w:hAnsi="Arial"/>
          <w:sz w:val="14"/>
          <w:szCs w:val="14"/>
          <w:b w:val="1"/>
          <w:bCs w:val="1"/>
          <w:color w:val="auto"/>
        </w:rPr>
        <w:t>***</w:t>
      </w:r>
      <w:r>
        <w:rPr>
          <w:rFonts w:ascii="Arial" w:cs="Arial" w:eastAsia="Arial" w:hAnsi="Arial"/>
          <w:sz w:val="14"/>
          <w:szCs w:val="14"/>
          <w:color w:val="auto"/>
        </w:rPr>
        <w:t xml:space="preserve">, and (z) in its sole discretion, decline </w:t>
      </w:r>
      <w:r>
        <w:rPr>
          <w:rFonts w:ascii="Arial" w:cs="Arial" w:eastAsia="Arial" w:hAnsi="Arial"/>
          <w:sz w:val="14"/>
          <w:szCs w:val="14"/>
          <w:b w:val="1"/>
          <w:bCs w:val="1"/>
          <w:color w:val="auto"/>
        </w:rPr>
        <w:t>***</w:t>
      </w:r>
      <w:r>
        <w:rPr>
          <w:rFonts w:ascii="Arial" w:cs="Arial" w:eastAsia="Arial" w:hAnsi="Arial"/>
          <w:sz w:val="14"/>
          <w:szCs w:val="14"/>
          <w:color w:val="auto"/>
        </w:rPr>
        <w:t xml:space="preserve"> nomination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notified by Gilead after the first anniversary of the Effective Date.</w:t>
      </w:r>
    </w:p>
    <w:p>
      <w:pPr>
        <w:spacing w:after="0" w:line="109" w:lineRule="exact"/>
        <w:rPr>
          <w:rFonts w:ascii="Arial" w:cs="Arial" w:eastAsia="Arial" w:hAnsi="Arial"/>
          <w:sz w:val="14"/>
          <w:szCs w:val="14"/>
          <w:color w:val="auto"/>
        </w:rPr>
      </w:pPr>
    </w:p>
    <w:p>
      <w:pPr>
        <w:ind w:left="1680" w:hanging="187"/>
        <w:spacing w:after="0"/>
        <w:tabs>
          <w:tab w:leader="none" w:pos="1680" w:val="left"/>
        </w:tabs>
        <w:numPr>
          <w:ilvl w:val="1"/>
          <w:numId w:val="567"/>
        </w:numPr>
        <w:rPr>
          <w:rFonts w:ascii="Arial" w:cs="Arial" w:eastAsia="Arial" w:hAnsi="Arial"/>
          <w:sz w:val="14"/>
          <w:szCs w:val="14"/>
          <w:color w:val="auto"/>
        </w:rPr>
      </w:pPr>
      <w:r>
        <w:rPr>
          <w:rFonts w:ascii="Arial" w:cs="Arial" w:eastAsia="Arial" w:hAnsi="Arial"/>
          <w:sz w:val="14"/>
          <w:szCs w:val="14"/>
          <w:color w:val="auto"/>
        </w:rPr>
        <w:t xml:space="preserve">In the event that MacroGenics declines any nomination for the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u w:val="single" w:color="auto"/>
          <w:color w:val="auto"/>
        </w:rPr>
        <w:t>Research Program Initiation</w:t>
      </w:r>
      <w:r>
        <w:rPr>
          <w:rFonts w:ascii="Arial" w:cs="Arial" w:eastAsia="Arial" w:hAnsi="Arial"/>
          <w:sz w:val="14"/>
          <w:szCs w:val="14"/>
          <w:color w:val="auto"/>
        </w:rPr>
        <w:t>.</w:t>
      </w:r>
    </w:p>
    <w:p>
      <w:pPr>
        <w:spacing w:after="0" w:line="130" w:lineRule="exact"/>
        <w:rPr>
          <w:sz w:val="20"/>
          <w:szCs w:val="20"/>
          <w:color w:val="auto"/>
        </w:rPr>
      </w:pPr>
    </w:p>
    <w:p>
      <w:pPr>
        <w:ind w:right="340" w:firstLine="1493"/>
        <w:spacing w:after="0" w:line="270" w:lineRule="auto"/>
        <w:tabs>
          <w:tab w:leader="none" w:pos="1675" w:val="left"/>
        </w:tabs>
        <w:numPr>
          <w:ilvl w:val="0"/>
          <w:numId w:val="568"/>
        </w:numPr>
        <w:rPr>
          <w:rFonts w:ascii="Arial" w:cs="Arial" w:eastAsia="Arial" w:hAnsi="Arial"/>
          <w:sz w:val="14"/>
          <w:szCs w:val="14"/>
          <w:color w:val="auto"/>
        </w:rPr>
      </w:pPr>
      <w:r>
        <w:rPr>
          <w:rFonts w:ascii="Arial" w:cs="Arial" w:eastAsia="Arial" w:hAnsi="Arial"/>
          <w:sz w:val="14"/>
          <w:szCs w:val="14"/>
          <w:color w:val="auto"/>
        </w:rPr>
        <w:t xml:space="preserve">Following the Effective Date, MacroGenics shall begin conducting Research activities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 and such activities shall progress in accordance with the Research Plan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w:t>
      </w:r>
    </w:p>
    <w:p>
      <w:pPr>
        <w:spacing w:after="0" w:line="97" w:lineRule="exact"/>
        <w:rPr>
          <w:rFonts w:ascii="Arial" w:cs="Arial" w:eastAsia="Arial" w:hAnsi="Arial"/>
          <w:sz w:val="14"/>
          <w:szCs w:val="14"/>
          <w:color w:val="auto"/>
        </w:rPr>
      </w:pPr>
    </w:p>
    <w:p>
      <w:pPr>
        <w:ind w:right="400" w:firstLine="1493"/>
        <w:spacing w:after="0" w:line="270" w:lineRule="auto"/>
        <w:tabs>
          <w:tab w:leader="none" w:pos="1682" w:val="left"/>
        </w:tabs>
        <w:numPr>
          <w:ilvl w:val="0"/>
          <w:numId w:val="568"/>
        </w:numPr>
        <w:rPr>
          <w:rFonts w:ascii="Arial" w:cs="Arial" w:eastAsia="Arial" w:hAnsi="Arial"/>
          <w:sz w:val="14"/>
          <w:szCs w:val="14"/>
          <w:color w:val="auto"/>
        </w:rPr>
      </w:pPr>
      <w:r>
        <w:rPr>
          <w:rFonts w:ascii="Arial" w:cs="Arial" w:eastAsia="Arial" w:hAnsi="Arial"/>
          <w:sz w:val="14"/>
          <w:szCs w:val="14"/>
          <w:color w:val="auto"/>
        </w:rPr>
        <w:t xml:space="preserve">Gilead may provide separate written notices to MacroGenics (i)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Effective Date, of its desire to initiate Research activities for </w:t>
      </w:r>
      <w:r>
        <w:rPr>
          <w:rFonts w:ascii="Arial" w:cs="Arial" w:eastAsia="Arial" w:hAnsi="Arial"/>
          <w:sz w:val="14"/>
          <w:szCs w:val="14"/>
          <w:b w:val="1"/>
          <w:bCs w:val="1"/>
          <w:color w:val="auto"/>
        </w:rPr>
        <w:t>***</w:t>
      </w:r>
      <w:r>
        <w:rPr>
          <w:rFonts w:ascii="Arial" w:cs="Arial" w:eastAsia="Arial" w:hAnsi="Arial"/>
          <w:sz w:val="14"/>
          <w:szCs w:val="14"/>
          <w:color w:val="auto"/>
        </w:rPr>
        <w:t xml:space="preserve">, of its desire to initiate Research activities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as applicable (each a “</w:t>
      </w:r>
      <w:r>
        <w:rPr>
          <w:rFonts w:ascii="Arial" w:cs="Arial" w:eastAsia="Arial" w:hAnsi="Arial"/>
          <w:sz w:val="14"/>
          <w:szCs w:val="14"/>
          <w:u w:val="single" w:color="auto"/>
          <w:color w:val="auto"/>
        </w:rPr>
        <w:t>Research Program</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6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555" w:name="page556"/>
    <w:bookmarkEnd w:id="555"/>
    <w:p>
      <w:pPr>
        <w:ind w:right="120"/>
        <w:spacing w:after="0" w:line="270" w:lineRule="auto"/>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Initiation Notice</w:t>
      </w:r>
      <w:r>
        <w:rPr>
          <w:rFonts w:ascii="Arial" w:cs="Arial" w:eastAsia="Arial" w:hAnsi="Arial"/>
          <w:sz w:val="14"/>
          <w:szCs w:val="14"/>
          <w:color w:val="auto"/>
        </w:rPr>
        <w:t xml:space="preserve">”). For clarity, Gilead may independently provide a Research Program Initiation Notice for each of the </w:t>
      </w:r>
      <w:r>
        <w:rPr>
          <w:rFonts w:ascii="Arial" w:cs="Arial" w:eastAsia="Arial" w:hAnsi="Arial"/>
          <w:sz w:val="14"/>
          <w:szCs w:val="14"/>
          <w:b w:val="1"/>
          <w:bCs w:val="1"/>
          <w:color w:val="auto"/>
        </w:rPr>
        <w:t>*** ***</w:t>
      </w:r>
      <w:r>
        <w:rPr>
          <w:rFonts w:ascii="Arial" w:cs="Arial" w:eastAsia="Arial" w:hAnsi="Arial"/>
          <w:sz w:val="14"/>
          <w:szCs w:val="14"/>
          <w:color w:val="auto"/>
        </w:rPr>
        <w:t>, and Gilead’s delivery of a Research Program Initiation Notice for any particular Research Program shall not require the delivery of a Research Program Initiation Notice for any other Research Program.</w:t>
      </w:r>
    </w:p>
    <w:p>
      <w:pPr>
        <w:spacing w:after="0" w:line="97" w:lineRule="exact"/>
        <w:rPr>
          <w:sz w:val="20"/>
          <w:szCs w:val="20"/>
          <w:color w:val="auto"/>
        </w:rPr>
      </w:pPr>
    </w:p>
    <w:p>
      <w:pPr>
        <w:ind w:right="100" w:firstLine="1493"/>
        <w:spacing w:after="0" w:line="301" w:lineRule="auto"/>
        <w:tabs>
          <w:tab w:leader="none" w:pos="1675" w:val="left"/>
        </w:tabs>
        <w:numPr>
          <w:ilvl w:val="0"/>
          <w:numId w:val="570"/>
        </w:numPr>
        <w:rPr>
          <w:rFonts w:ascii="Arial" w:cs="Arial" w:eastAsia="Arial" w:hAnsi="Arial"/>
          <w:sz w:val="12"/>
          <w:szCs w:val="12"/>
          <w:color w:val="auto"/>
        </w:rPr>
      </w:pPr>
      <w:r>
        <w:rPr>
          <w:rFonts w:ascii="Arial" w:cs="Arial" w:eastAsia="Arial" w:hAnsi="Arial"/>
          <w:sz w:val="12"/>
          <w:szCs w:val="12"/>
          <w:color w:val="auto"/>
        </w:rPr>
        <w:t xml:space="preserve">Together with its delivery of a Research Program Initiation Notice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or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as the case may be, Gilead shall promptly notify MacroGenics as to whether, as determined by Gilead in good faith, any notifications are required to be filed with the U.S. Federal Trade Commission and/or the U.S. Department of Justice under the HSR Act with respect to the exclusive license grants contemplated hereby relating to such Licensed Program (after giving effect to the delivery of such Research Program Initiation Notice) (“</w:t>
      </w:r>
      <w:r>
        <w:rPr>
          <w:rFonts w:ascii="Arial" w:cs="Arial" w:eastAsia="Arial" w:hAnsi="Arial"/>
          <w:sz w:val="12"/>
          <w:szCs w:val="12"/>
          <w:u w:val="single" w:color="auto"/>
          <w:color w:val="auto"/>
        </w:rPr>
        <w:t>HSR Filing</w:t>
      </w:r>
      <w:r>
        <w:rPr>
          <w:rFonts w:ascii="Arial" w:cs="Arial" w:eastAsia="Arial" w:hAnsi="Arial"/>
          <w:sz w:val="12"/>
          <w:szCs w:val="12"/>
          <w:color w:val="auto"/>
        </w:rPr>
        <w:t>”). In the event that Gilead notifies MacroGenics that an HSR Filing is required, each Party shall (i) as promptly as practicable after the date on which the applicable Research Program Initiation Notice is delivered, file or cause to be filed such HSR Filing with the appropriate agencies and (ii) use reasonable efforts to respond promptly to any requests for additional information made by such agencies and to cause the waiting period (and any extension thereof) under the HSR Act to terminate or expire at the earliest possible date after the date of filing. Gilead shall be responsible for all filing fees and for the costs and expenses of each Party in preparing and conducting the HSR Filing.</w:t>
      </w:r>
    </w:p>
    <w:p>
      <w:pPr>
        <w:spacing w:after="0" w:line="84" w:lineRule="exact"/>
        <w:rPr>
          <w:rFonts w:ascii="Arial" w:cs="Arial" w:eastAsia="Arial" w:hAnsi="Arial"/>
          <w:sz w:val="12"/>
          <w:szCs w:val="12"/>
          <w:color w:val="auto"/>
        </w:rPr>
      </w:pPr>
    </w:p>
    <w:p>
      <w:pPr>
        <w:ind w:firstLine="1493"/>
        <w:spacing w:after="0" w:line="312" w:lineRule="auto"/>
        <w:tabs>
          <w:tab w:leader="none" w:pos="1682" w:val="left"/>
        </w:tabs>
        <w:numPr>
          <w:ilvl w:val="0"/>
          <w:numId w:val="570"/>
        </w:numPr>
        <w:rPr>
          <w:rFonts w:ascii="Arial" w:cs="Arial" w:eastAsia="Arial" w:hAnsi="Arial"/>
          <w:sz w:val="12"/>
          <w:szCs w:val="12"/>
          <w:color w:val="auto"/>
        </w:rPr>
      </w:pPr>
      <w:r>
        <w:rPr>
          <w:rFonts w:ascii="Arial" w:cs="Arial" w:eastAsia="Arial" w:hAnsi="Arial"/>
          <w:sz w:val="12"/>
          <w:szCs w:val="12"/>
          <w:color w:val="auto"/>
        </w:rPr>
        <w:t xml:space="preserve">Upon the Clearance Date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or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as the case may be, MacroGenics shall begin conducting Research activities for the Research Program associated with such Licensed Program and such activities shall progress in accordance the Research Plan for such Research Program or, by mutual agreement of the Parties, with the guidance of the JRC to the extent such Research Plan is not yet available. </w:t>
      </w:r>
      <w:r>
        <w:rPr>
          <w:rFonts w:ascii="Arial" w:cs="Arial" w:eastAsia="Arial" w:hAnsi="Arial"/>
          <w:sz w:val="12"/>
          <w:szCs w:val="12"/>
          <w:b w:val="1"/>
          <w:bCs w:val="1"/>
          <w:color w:val="auto"/>
        </w:rPr>
        <w:t>*** ***</w:t>
      </w:r>
      <w:r>
        <w:rPr>
          <w:rFonts w:ascii="Arial" w:cs="Arial" w:eastAsia="Arial" w:hAnsi="Arial"/>
          <w:sz w:val="12"/>
          <w:szCs w:val="12"/>
          <w:color w:val="auto"/>
        </w:rPr>
        <w:t xml:space="preserve">, the Parties in good faith shall agree upon the information and data to be contained in the Preclinical Data Package for such Licensed Program (which information and data shall be similar to the information and data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right="20" w:firstLine="1493"/>
        <w:spacing w:after="0" w:line="258" w:lineRule="auto"/>
        <w:tabs>
          <w:tab w:leader="none" w:pos="1675" w:val="left"/>
        </w:tabs>
        <w:numPr>
          <w:ilvl w:val="0"/>
          <w:numId w:val="570"/>
        </w:numPr>
        <w:rPr>
          <w:rFonts w:ascii="Arial" w:cs="Arial" w:eastAsia="Arial" w:hAnsi="Arial"/>
          <w:sz w:val="14"/>
          <w:szCs w:val="14"/>
          <w:color w:val="auto"/>
        </w:rPr>
      </w:pPr>
      <w:r>
        <w:rPr>
          <w:rFonts w:ascii="Arial" w:cs="Arial" w:eastAsia="Arial" w:hAnsi="Arial"/>
          <w:sz w:val="14"/>
          <w:szCs w:val="14"/>
          <w:color w:val="auto"/>
        </w:rPr>
        <w:t>If Gilead fails to provide a Research Program Initiation Notice within the applicable time period specified in subsection (b) above with respect to any of the *** Research Program, the *** Research Program or the *** Research Program, Gilead shall have no further rights under this Agreement with respect to such Research Program or the corresponding Licensed Program and all rights and licenses hereunder with respect to such Research Program and Licensed Program shall terminate.</w:t>
      </w:r>
    </w:p>
    <w:p>
      <w:pPr>
        <w:spacing w:after="0" w:line="106" w:lineRule="exact"/>
        <w:rPr>
          <w:sz w:val="20"/>
          <w:szCs w:val="20"/>
          <w:color w:val="auto"/>
        </w:rPr>
      </w:pPr>
    </w:p>
    <w:p>
      <w:pPr>
        <w:ind w:firstLine="917"/>
        <w:spacing w:after="0" w:line="254"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u w:val="single" w:color="auto"/>
          <w:color w:val="auto"/>
        </w:rPr>
        <w:t>Research Plan</w:t>
      </w:r>
      <w:r>
        <w:rPr>
          <w:rFonts w:ascii="Arial" w:cs="Arial" w:eastAsia="Arial" w:hAnsi="Arial"/>
          <w:sz w:val="14"/>
          <w:szCs w:val="14"/>
          <w:color w:val="auto"/>
        </w:rPr>
        <w:t xml:space="preserve">. The initial Research Plan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Research Program is attached hereto as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(the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Initial Research Plan</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Clearance Date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as the case may be, the Parties will prepare a draft initial Research Plan for the Research Program associated with such Licensed Program for mutual approval (as applicable, the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Initial Research Plan</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Initial Research Plan</w:t>
      </w:r>
      <w:r>
        <w:rPr>
          <w:rFonts w:ascii="Arial" w:cs="Arial" w:eastAsia="Arial" w:hAnsi="Arial"/>
          <w:sz w:val="14"/>
          <w:szCs w:val="14"/>
          <w:color w:val="auto"/>
        </w:rPr>
        <w:t>” and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Initial Research Plan</w:t>
      </w:r>
      <w:r>
        <w:rPr>
          <w:rFonts w:ascii="Arial" w:cs="Arial" w:eastAsia="Arial" w:hAnsi="Arial"/>
          <w:sz w:val="14"/>
          <w:szCs w:val="14"/>
          <w:color w:val="auto"/>
        </w:rPr>
        <w:t xml:space="preserve">,” and each of the </w:t>
      </w:r>
      <w:r>
        <w:rPr>
          <w:rFonts w:ascii="Arial" w:cs="Arial" w:eastAsia="Arial" w:hAnsi="Arial"/>
          <w:sz w:val="14"/>
          <w:szCs w:val="14"/>
          <w:b w:val="1"/>
          <w:bCs w:val="1"/>
          <w:color w:val="auto"/>
        </w:rPr>
        <w:t>***</w:t>
      </w:r>
      <w:r>
        <w:rPr>
          <w:rFonts w:ascii="Arial" w:cs="Arial" w:eastAsia="Arial" w:hAnsi="Arial"/>
          <w:sz w:val="14"/>
          <w:szCs w:val="14"/>
          <w:color w:val="auto"/>
        </w:rPr>
        <w:t xml:space="preserve"> Initial Research Plan, </w:t>
      </w:r>
      <w:r>
        <w:rPr>
          <w:rFonts w:ascii="Arial" w:cs="Arial" w:eastAsia="Arial" w:hAnsi="Arial"/>
          <w:sz w:val="14"/>
          <w:szCs w:val="14"/>
          <w:b w:val="1"/>
          <w:bCs w:val="1"/>
          <w:color w:val="auto"/>
        </w:rPr>
        <w:t>***</w:t>
      </w:r>
      <w:r>
        <w:rPr>
          <w:rFonts w:ascii="Arial" w:cs="Arial" w:eastAsia="Arial" w:hAnsi="Arial"/>
          <w:sz w:val="14"/>
          <w:szCs w:val="14"/>
          <w:color w:val="auto"/>
        </w:rPr>
        <w:t xml:space="preserve"> Initial Research Plan, </w:t>
      </w:r>
      <w:r>
        <w:rPr>
          <w:rFonts w:ascii="Arial" w:cs="Arial" w:eastAsia="Arial" w:hAnsi="Arial"/>
          <w:sz w:val="14"/>
          <w:szCs w:val="14"/>
          <w:b w:val="1"/>
          <w:bCs w:val="1"/>
          <w:color w:val="auto"/>
        </w:rPr>
        <w:t>***</w:t>
      </w:r>
      <w:r>
        <w:rPr>
          <w:rFonts w:ascii="Arial" w:cs="Arial" w:eastAsia="Arial" w:hAnsi="Arial"/>
          <w:sz w:val="14"/>
          <w:szCs w:val="14"/>
          <w:color w:val="auto"/>
        </w:rPr>
        <w:t xml:space="preserve"> Initial Research Plan and </w:t>
      </w:r>
      <w:r>
        <w:rPr>
          <w:rFonts w:ascii="Arial" w:cs="Arial" w:eastAsia="Arial" w:hAnsi="Arial"/>
          <w:sz w:val="14"/>
          <w:szCs w:val="14"/>
          <w:b w:val="1"/>
          <w:bCs w:val="1"/>
          <w:color w:val="auto"/>
        </w:rPr>
        <w:t>***</w:t>
      </w:r>
      <w:r>
        <w:rPr>
          <w:rFonts w:ascii="Arial" w:cs="Arial" w:eastAsia="Arial" w:hAnsi="Arial"/>
          <w:sz w:val="14"/>
          <w:szCs w:val="14"/>
          <w:color w:val="auto"/>
        </w:rPr>
        <w:t xml:space="preserve"> Initial Research Plan, an “</w:t>
      </w:r>
      <w:r>
        <w:rPr>
          <w:rFonts w:ascii="Arial" w:cs="Arial" w:eastAsia="Arial" w:hAnsi="Arial"/>
          <w:sz w:val="14"/>
          <w:szCs w:val="14"/>
          <w:u w:val="single" w:color="auto"/>
          <w:color w:val="auto"/>
        </w:rPr>
        <w:t>Initial Research Plan</w:t>
      </w:r>
      <w:r>
        <w:rPr>
          <w:rFonts w:ascii="Arial" w:cs="Arial" w:eastAsia="Arial" w:hAnsi="Arial"/>
          <w:sz w:val="14"/>
          <w:szCs w:val="14"/>
          <w:color w:val="auto"/>
        </w:rPr>
        <w:t>”). To the extent that any provision of a Research Plan conflicts or is inconsistent with the provisions of this Agreement, the provisions of this Agreement shall control.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7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556" w:name="page557"/>
    <w:bookmarkEnd w:id="556"/>
    <w:p>
      <w:pPr>
        <w:ind w:right="60" w:firstLine="917"/>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3.2.4 </w:t>
      </w:r>
      <w:r>
        <w:rPr>
          <w:rFonts w:ascii="Arial" w:cs="Arial" w:eastAsia="Arial" w:hAnsi="Arial"/>
          <w:sz w:val="12"/>
          <w:szCs w:val="12"/>
          <w:u w:val="single" w:color="auto"/>
          <w:color w:val="auto"/>
        </w:rPr>
        <w:t>Supplemental Data</w:t>
      </w:r>
      <w:r>
        <w:rPr>
          <w:rFonts w:ascii="Arial" w:cs="Arial" w:eastAsia="Arial" w:hAnsi="Arial"/>
          <w:sz w:val="12"/>
          <w:szCs w:val="12"/>
          <w:color w:val="auto"/>
        </w:rPr>
        <w:t>. Without limitation of Gilead’s rights under Section 2.3.5 or ARTICLE 5, at any time during the Research Term for a Research Program, the Parties may, through the JRC in accordance with Section 2.3.2, modify the applicable Research Plan to include activities to be conducted by Gilead to generate additional pre-clinical data for such Research Program (the “</w:t>
      </w:r>
      <w:r>
        <w:rPr>
          <w:rFonts w:ascii="Arial" w:cs="Arial" w:eastAsia="Arial" w:hAnsi="Arial"/>
          <w:sz w:val="12"/>
          <w:szCs w:val="12"/>
          <w:u w:val="single" w:color="auto"/>
          <w:color w:val="auto"/>
        </w:rPr>
        <w:t>Supplemental</w:t>
      </w:r>
      <w:r>
        <w:rPr>
          <w:rFonts w:ascii="Arial" w:cs="Arial" w:eastAsia="Arial" w:hAnsi="Arial"/>
          <w:sz w:val="12"/>
          <w:szCs w:val="12"/>
          <w:color w:val="auto"/>
        </w:rPr>
        <w:t xml:space="preserve"> </w:t>
      </w:r>
      <w:r>
        <w:rPr>
          <w:rFonts w:ascii="Arial" w:cs="Arial" w:eastAsia="Arial" w:hAnsi="Arial"/>
          <w:sz w:val="12"/>
          <w:szCs w:val="12"/>
          <w:u w:val="single" w:color="auto"/>
          <w:color w:val="auto"/>
        </w:rPr>
        <w:t>Data</w:t>
      </w:r>
      <w:r>
        <w:rPr>
          <w:rFonts w:ascii="Arial" w:cs="Arial" w:eastAsia="Arial" w:hAnsi="Arial"/>
          <w:sz w:val="12"/>
          <w:szCs w:val="12"/>
          <w:color w:val="auto"/>
        </w:rPr>
        <w:t xml:space="preserve">”). Gilead shall disclose to MacroGenics all Supplemental Data for the applicable Research Program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after the completion of such activities. MacroGenics shall have the right to use the Supplemental Data in performing its obligations and exercising its rights under this Agreement. The availability and finalization of such Supplemental Data shall not in any way (a) excuse any delay in the delivery of the Preclinical Data Package by MacroGenics to Gilead in accordance with Section 3.3.1 or (b) affect the termination of the applicable Licensed Program under Section 3.3.2(c) in the event Gilead fails to provide notice of its intent to pay the applicable Preclinical Milestone in accordance with Section 3.3.2(a) or extend the Evaluation Period in accordance with Section 3.3.2(b).</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3.2.5 </w:t>
      </w:r>
      <w:r>
        <w:rPr>
          <w:rFonts w:ascii="Arial" w:cs="Arial" w:eastAsia="Arial" w:hAnsi="Arial"/>
          <w:sz w:val="14"/>
          <w:szCs w:val="14"/>
          <w:u w:val="single" w:color="auto"/>
          <w:color w:val="auto"/>
        </w:rPr>
        <w:t>Supply; Technology Transfer</w:t>
      </w:r>
      <w:r>
        <w:rPr>
          <w:rFonts w:ascii="Arial" w:cs="Arial" w:eastAsia="Arial" w:hAnsi="Arial"/>
          <w:sz w:val="14"/>
          <w:szCs w:val="14"/>
          <w:color w:val="auto"/>
        </w:rPr>
        <w:t>.</w:t>
      </w:r>
    </w:p>
    <w:p>
      <w:pPr>
        <w:spacing w:after="0" w:line="132" w:lineRule="exact"/>
        <w:rPr>
          <w:sz w:val="20"/>
          <w:szCs w:val="20"/>
          <w:color w:val="auto"/>
        </w:rPr>
      </w:pPr>
    </w:p>
    <w:p>
      <w:pPr>
        <w:jc w:val="both"/>
        <w:ind w:right="40" w:firstLine="1493"/>
        <w:spacing w:after="0" w:line="305" w:lineRule="auto"/>
        <w:tabs>
          <w:tab w:leader="none" w:pos="1675" w:val="left"/>
        </w:tabs>
        <w:numPr>
          <w:ilvl w:val="0"/>
          <w:numId w:val="572"/>
        </w:numPr>
        <w:rPr>
          <w:rFonts w:ascii="Arial" w:cs="Arial" w:eastAsia="Arial" w:hAnsi="Arial"/>
          <w:sz w:val="12"/>
          <w:szCs w:val="12"/>
          <w:color w:val="auto"/>
        </w:rPr>
      </w:pPr>
      <w:r>
        <w:rPr>
          <w:rFonts w:ascii="Arial" w:cs="Arial" w:eastAsia="Arial" w:hAnsi="Arial"/>
          <w:sz w:val="12"/>
          <w:szCs w:val="12"/>
          <w:color w:val="auto"/>
        </w:rPr>
        <w:t xml:space="preserve">MacroGenics shall use Commercially Reasonable Efforts to supply to Gilead such quantities of GLP-conforming (non-GMP research material) Program DARTs and Licensed Products as provided in the Research Plan for use in any IND-enabling Development activities to be conducted by Gilead hereunder. MacroGenics shall use Commercially Reasonable Efforts to deliver such quantities of Program DARTs and Licensed Products in accordance with the delivery conditions mutually agreed to by the Parties and, promptly following such delivery, shall provide Gilead with an invoice for MacroGenics’ FTE Costs and Out-of-Pocket Costs incurred in connection with such manufacture and supply in accordance with a budget (including a reasonable allocation of any process development costs) to be agreed in advance by the Parties in good faith, along with any supporting documentation requested by Gilead. Gilead shall pay any such invoice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after receipt.</w:t>
      </w:r>
    </w:p>
    <w:p>
      <w:pPr>
        <w:spacing w:after="0" w:line="84" w:lineRule="exact"/>
        <w:rPr>
          <w:rFonts w:ascii="Arial" w:cs="Arial" w:eastAsia="Arial" w:hAnsi="Arial"/>
          <w:sz w:val="12"/>
          <w:szCs w:val="12"/>
          <w:color w:val="auto"/>
        </w:rPr>
      </w:pPr>
    </w:p>
    <w:p>
      <w:pPr>
        <w:ind w:right="220" w:firstLine="1493"/>
        <w:spacing w:after="0" w:line="351" w:lineRule="auto"/>
        <w:tabs>
          <w:tab w:leader="none" w:pos="1682" w:val="left"/>
        </w:tabs>
        <w:numPr>
          <w:ilvl w:val="0"/>
          <w:numId w:val="572"/>
        </w:numPr>
        <w:rPr>
          <w:rFonts w:ascii="Arial" w:cs="Arial" w:eastAsia="Arial" w:hAnsi="Arial"/>
          <w:sz w:val="12"/>
          <w:szCs w:val="12"/>
          <w:color w:val="auto"/>
        </w:rPr>
      </w:pPr>
      <w:r>
        <w:rPr>
          <w:rFonts w:ascii="Arial" w:cs="Arial" w:eastAsia="Arial" w:hAnsi="Arial"/>
          <w:sz w:val="12"/>
          <w:szCs w:val="12"/>
          <w:color w:val="auto"/>
        </w:rPr>
        <w:t>Prior to the initiation of IND-enabling Development activities with respect to any Licensed Product, the Parties shall conduct good faith discussions regarding the possibility of entering into a supply agreement pursuant to which MacroGenics would supply such Licensed Product and the applicable Program DART(s) to Gilead for use in ***.</w:t>
      </w:r>
    </w:p>
    <w:p>
      <w:pPr>
        <w:spacing w:after="0" w:line="56" w:lineRule="exact"/>
        <w:rPr>
          <w:rFonts w:ascii="Arial" w:cs="Arial" w:eastAsia="Arial" w:hAnsi="Arial"/>
          <w:sz w:val="12"/>
          <w:szCs w:val="12"/>
          <w:color w:val="auto"/>
        </w:rPr>
      </w:pPr>
    </w:p>
    <w:p>
      <w:pPr>
        <w:ind w:firstLine="1493"/>
        <w:spacing w:after="0" w:line="294" w:lineRule="auto"/>
        <w:tabs>
          <w:tab w:leader="none" w:pos="1675" w:val="left"/>
        </w:tabs>
        <w:numPr>
          <w:ilvl w:val="0"/>
          <w:numId w:val="572"/>
        </w:numPr>
        <w:rPr>
          <w:rFonts w:ascii="Arial" w:cs="Arial" w:eastAsia="Arial" w:hAnsi="Arial"/>
          <w:sz w:val="12"/>
          <w:szCs w:val="12"/>
          <w:color w:val="auto"/>
        </w:rPr>
      </w:pPr>
      <w:r>
        <w:rPr>
          <w:rFonts w:ascii="Arial" w:cs="Arial" w:eastAsia="Arial" w:hAnsi="Arial"/>
          <w:sz w:val="12"/>
          <w:szCs w:val="12"/>
          <w:color w:val="auto"/>
        </w:rPr>
        <w:t>If the Parties have not entered into a supply agreement with respect to any Licensed Product pursuant to Section 3.2.5(b) within *** days after the initiation of negotiations by either Party (or, if the Parties enter into such a supply agreement, at any time after the expiration or termination of such supply agreement for any reason or, if earlier, reasonably *** in advance of the anticipated commencement of a *** of such Licensed Product), upon written request of Gilead, MacroGenics shall promptly (i) transfer to Gilead all relevant MacroGenics Know-How described in clause (b) of</w:t>
      </w:r>
    </w:p>
    <w:p>
      <w:pPr>
        <w:ind w:right="240"/>
        <w:spacing w:after="0" w:line="253" w:lineRule="auto"/>
        <w:rPr>
          <w:rFonts w:ascii="Arial" w:cs="Arial" w:eastAsia="Arial" w:hAnsi="Arial"/>
          <w:sz w:val="12"/>
          <w:szCs w:val="12"/>
          <w:color w:val="auto"/>
        </w:rPr>
      </w:pPr>
      <w:r>
        <w:rPr>
          <w:rFonts w:ascii="Arial" w:cs="Arial" w:eastAsia="Arial" w:hAnsi="Arial"/>
          <w:sz w:val="14"/>
          <w:szCs w:val="14"/>
          <w:color w:val="auto"/>
        </w:rPr>
        <w:t>Section 1.70, (ii) disclose to Gilead all other relevant MacroGenics Know-How, and (iii) provide to Gilead all technical assistance, in each case ((i), (ii) and (iii)) as reasonably required for Gilead to Manufacture, itself or through a Third Party, such Licensed Product and the applicable Program DART(s) for use in Gilead’s Development and Commercialization activities hereunder; and from time to time after such initial transfer, as reasonably requested by Gilead *** with respect to any additional relevant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7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557" w:name="page558"/>
    <w:bookmarkEnd w:id="557"/>
    <w:p>
      <w:pPr>
        <w:ind w:right="3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Know-How, MacroGenics shall transfer, disclose and provide assistance to Gilead with respect to such additional MacroGenics Know-How; provided, however, that in each case Gilead shall reimburse MacroGenics for any Out-of-Pocket Costs incurred by MacroGenics in making such transfer or disclosure or providing such assistance.</w:t>
      </w:r>
    </w:p>
    <w:p>
      <w:pPr>
        <w:spacing w:after="0" w:line="101" w:lineRule="exact"/>
        <w:rPr>
          <w:sz w:val="20"/>
          <w:szCs w:val="20"/>
          <w:color w:val="auto"/>
        </w:rPr>
      </w:pPr>
    </w:p>
    <w:p>
      <w:pPr>
        <w:ind w:left="1680" w:hanging="187"/>
        <w:spacing w:after="0"/>
        <w:tabs>
          <w:tab w:leader="none" w:pos="1680" w:val="left"/>
        </w:tabs>
        <w:numPr>
          <w:ilvl w:val="1"/>
          <w:numId w:val="574"/>
        </w:numPr>
        <w:rPr>
          <w:rFonts w:ascii="Arial" w:cs="Arial" w:eastAsia="Arial" w:hAnsi="Arial"/>
          <w:sz w:val="12"/>
          <w:szCs w:val="12"/>
          <w:color w:val="auto"/>
        </w:rPr>
      </w:pPr>
      <w:r>
        <w:rPr>
          <w:rFonts w:ascii="Arial" w:cs="Arial" w:eastAsia="Arial" w:hAnsi="Arial"/>
          <w:sz w:val="12"/>
          <w:szCs w:val="12"/>
          <w:color w:val="auto"/>
        </w:rPr>
        <w:t>At any time after the filing by Gilead or its applicable Affiliate of an IND with respect to a *** Licensed Product, upon written request of MacroGenics, Gilead shall promptly</w:t>
      </w:r>
    </w:p>
    <w:p>
      <w:pPr>
        <w:spacing w:after="0" w:line="35" w:lineRule="exact"/>
        <w:rPr>
          <w:rFonts w:ascii="Arial" w:cs="Arial" w:eastAsia="Arial" w:hAnsi="Arial"/>
          <w:sz w:val="12"/>
          <w:szCs w:val="12"/>
          <w:color w:val="auto"/>
        </w:rPr>
      </w:pPr>
    </w:p>
    <w:p>
      <w:pPr>
        <w:ind w:firstLine="4"/>
        <w:spacing w:after="0" w:line="290" w:lineRule="auto"/>
        <w:tabs>
          <w:tab w:leader="none" w:pos="162" w:val="left"/>
        </w:tabs>
        <w:numPr>
          <w:ilvl w:val="0"/>
          <w:numId w:val="575"/>
        </w:numPr>
        <w:rPr>
          <w:rFonts w:ascii="Arial" w:cs="Arial" w:eastAsia="Arial" w:hAnsi="Arial"/>
          <w:sz w:val="12"/>
          <w:szCs w:val="12"/>
          <w:color w:val="auto"/>
        </w:rPr>
      </w:pPr>
      <w:r>
        <w:rPr>
          <w:rFonts w:ascii="Arial" w:cs="Arial" w:eastAsia="Arial" w:hAnsi="Arial"/>
          <w:sz w:val="12"/>
          <w:szCs w:val="12"/>
          <w:color w:val="auto"/>
        </w:rPr>
        <w:t>transfer to MacroGenics all relevant Gilead Collaboration Know-How described in clause (b) of Section 1.70, (ii) disclose to MacroGenics all other relevant Gilead Collaboration Know-How, and (iii) provide to MacroGenics all technical assistance, in each case ((i), (ii) and (iii)) as reasonably required for MacroGenics to Manufacture, itself or through a Third Party, such *** Licensed Product and the applicable ***</w:t>
      </w:r>
    </w:p>
    <w:p>
      <w:pPr>
        <w:ind w:right="80"/>
        <w:spacing w:after="0" w:line="316" w:lineRule="auto"/>
        <w:rPr>
          <w:rFonts w:ascii="Arial" w:cs="Arial" w:eastAsia="Arial" w:hAnsi="Arial"/>
          <w:sz w:val="12"/>
          <w:szCs w:val="12"/>
          <w:color w:val="auto"/>
        </w:rPr>
      </w:pPr>
      <w:r>
        <w:rPr>
          <w:rFonts w:ascii="Arial" w:cs="Arial" w:eastAsia="Arial" w:hAnsi="Arial"/>
          <w:sz w:val="12"/>
          <w:szCs w:val="12"/>
          <w:color w:val="auto"/>
        </w:rPr>
        <w:t>Program DART(s) for use in MacroGenics’ Development and Commercialization activities hereunder; and from time to time after such initial transfer, as reasonably requested by MacroGenics *** with respect to any additional relevant Gilead Collaboration Know-How, Gilead shall transfer, disclose and provide assistance to MacroGenics with respect to such additional Gilead Collaboration Know-How; provided, however, that in each case MacroGenics shall reimburse Gilead for any Out-of-Pocket Costs incurred by Gilead in making such transfer or disclosure or providing such assistance</w:t>
      </w:r>
    </w:p>
    <w:p>
      <w:pPr>
        <w:spacing w:after="0" w:line="75" w:lineRule="exact"/>
        <w:rPr>
          <w:rFonts w:ascii="Arial" w:cs="Arial" w:eastAsia="Arial" w:hAnsi="Arial"/>
          <w:sz w:val="12"/>
          <w:szCs w:val="12"/>
          <w:color w:val="auto"/>
        </w:rPr>
      </w:pPr>
    </w:p>
    <w:p>
      <w:pPr>
        <w:jc w:val="both"/>
        <w:ind w:right="160" w:firstLine="1493"/>
        <w:spacing w:after="0" w:line="258" w:lineRule="auto"/>
        <w:tabs>
          <w:tab w:leader="none" w:pos="1675" w:val="left"/>
        </w:tabs>
        <w:numPr>
          <w:ilvl w:val="1"/>
          <w:numId w:val="575"/>
        </w:numPr>
        <w:rPr>
          <w:rFonts w:ascii="Arial" w:cs="Arial" w:eastAsia="Arial" w:hAnsi="Arial"/>
          <w:sz w:val="14"/>
          <w:szCs w:val="14"/>
          <w:color w:val="auto"/>
        </w:rPr>
      </w:pPr>
      <w:r>
        <w:rPr>
          <w:rFonts w:ascii="Arial" w:cs="Arial" w:eastAsia="Arial" w:hAnsi="Arial"/>
          <w:sz w:val="14"/>
          <w:szCs w:val="14"/>
          <w:color w:val="auto"/>
        </w:rPr>
        <w:t>If Gilead enters into a supply agreement with a Third Party manufacturer to supply any *** Licensed Product, Gilead shall, if requested by MacroGenics, grant such Third Party any consents or approvals necessary to enable such Third Party manufacturer to supply to MacroGenics such *** Licensed Product pursuant to a supply agreement to be entered into by MacroGenics and such Third Party manufacturer.</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3.2.6 </w:t>
      </w:r>
      <w:r>
        <w:rPr>
          <w:rFonts w:ascii="Arial" w:cs="Arial" w:eastAsia="Arial" w:hAnsi="Arial"/>
          <w:sz w:val="14"/>
          <w:szCs w:val="14"/>
          <w:u w:val="single" w:color="auto"/>
          <w:color w:val="auto"/>
        </w:rPr>
        <w:t>Expenses; Reimbursement</w:t>
      </w:r>
      <w:r>
        <w:rPr>
          <w:rFonts w:ascii="Arial" w:cs="Arial" w:eastAsia="Arial" w:hAnsi="Arial"/>
          <w:sz w:val="14"/>
          <w:szCs w:val="14"/>
          <w:color w:val="auto"/>
        </w:rPr>
        <w:t>.</w:t>
      </w:r>
    </w:p>
    <w:p>
      <w:pPr>
        <w:spacing w:after="0" w:line="132" w:lineRule="exact"/>
        <w:rPr>
          <w:sz w:val="20"/>
          <w:szCs w:val="20"/>
          <w:color w:val="auto"/>
        </w:rPr>
      </w:pPr>
    </w:p>
    <w:p>
      <w:pPr>
        <w:ind w:right="140" w:firstLine="1493"/>
        <w:spacing w:after="0" w:line="267" w:lineRule="auto"/>
        <w:tabs>
          <w:tab w:leader="none" w:pos="1675" w:val="left"/>
        </w:tabs>
        <w:numPr>
          <w:ilvl w:val="0"/>
          <w:numId w:val="576"/>
        </w:numPr>
        <w:rPr>
          <w:rFonts w:ascii="Arial" w:cs="Arial" w:eastAsia="Arial" w:hAnsi="Arial"/>
          <w:sz w:val="14"/>
          <w:szCs w:val="14"/>
          <w:color w:val="auto"/>
        </w:rPr>
      </w:pPr>
      <w:r>
        <w:rPr>
          <w:rFonts w:ascii="Arial" w:cs="Arial" w:eastAsia="Arial" w:hAnsi="Arial"/>
          <w:sz w:val="14"/>
          <w:szCs w:val="14"/>
          <w:color w:val="auto"/>
        </w:rPr>
        <w:t>Except as otherwise set forth elsewhere in this Agreement, Gilead shall bear its own costs and expenses of conducting its activities in connection with any Research Program and any activities pursuant to Section 3.2.3.</w:t>
      </w:r>
    </w:p>
    <w:p>
      <w:pPr>
        <w:spacing w:after="0" w:line="101" w:lineRule="exact"/>
        <w:rPr>
          <w:rFonts w:ascii="Arial" w:cs="Arial" w:eastAsia="Arial" w:hAnsi="Arial"/>
          <w:sz w:val="14"/>
          <w:szCs w:val="14"/>
          <w:color w:val="auto"/>
        </w:rPr>
      </w:pPr>
    </w:p>
    <w:p>
      <w:pPr>
        <w:ind w:right="40" w:firstLine="1493"/>
        <w:spacing w:after="0" w:line="321" w:lineRule="auto"/>
        <w:tabs>
          <w:tab w:leader="none" w:pos="1682" w:val="left"/>
        </w:tabs>
        <w:numPr>
          <w:ilvl w:val="0"/>
          <w:numId w:val="576"/>
        </w:numPr>
        <w:rPr>
          <w:rFonts w:ascii="Arial" w:cs="Arial" w:eastAsia="Arial" w:hAnsi="Arial"/>
          <w:sz w:val="12"/>
          <w:szCs w:val="12"/>
          <w:color w:val="auto"/>
        </w:rPr>
      </w:pPr>
      <w:r>
        <w:rPr>
          <w:rFonts w:ascii="Arial" w:cs="Arial" w:eastAsia="Arial" w:hAnsi="Arial"/>
          <w:sz w:val="12"/>
          <w:szCs w:val="12"/>
          <w:color w:val="auto"/>
        </w:rPr>
        <w:t xml:space="preserve">During each Research Term, Gilead shall reimburse MacroGenics for all Out-of-Pocket Costs incurred by MacroGenics in connection with the applicable Research Program, as specifically contemplated in the applicable Research Plan and in accordance with the budget for such expenses set forth in such Research Plan (or by mutual agreement of the Parties, to the extent such Research Plan has not yet been approved). Gilead shall reimburse such Out-of-Pocket Costs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after receipt from MacroGenics of an invoice issued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after the end of each Calendar Quarter.</w:t>
      </w:r>
    </w:p>
    <w:p>
      <w:pPr>
        <w:spacing w:after="0" w:line="73" w:lineRule="exact"/>
        <w:rPr>
          <w:rFonts w:ascii="Arial" w:cs="Arial" w:eastAsia="Arial" w:hAnsi="Arial"/>
          <w:sz w:val="12"/>
          <w:szCs w:val="12"/>
          <w:color w:val="auto"/>
        </w:rPr>
      </w:pPr>
    </w:p>
    <w:p>
      <w:pPr>
        <w:ind w:right="300" w:firstLine="1493"/>
        <w:spacing w:after="0" w:line="255" w:lineRule="auto"/>
        <w:tabs>
          <w:tab w:leader="none" w:pos="1675" w:val="left"/>
        </w:tabs>
        <w:numPr>
          <w:ilvl w:val="0"/>
          <w:numId w:val="576"/>
        </w:numPr>
        <w:rPr>
          <w:rFonts w:ascii="Arial" w:cs="Arial" w:eastAsia="Arial" w:hAnsi="Arial"/>
          <w:sz w:val="14"/>
          <w:szCs w:val="14"/>
          <w:color w:val="auto"/>
        </w:rPr>
      </w:pPr>
      <w:r>
        <w:rPr>
          <w:rFonts w:ascii="Arial" w:cs="Arial" w:eastAsia="Arial" w:hAnsi="Arial"/>
          <w:sz w:val="14"/>
          <w:szCs w:val="14"/>
          <w:color w:val="auto"/>
        </w:rPr>
        <w:t>During each Research Term, Gilead shall reimburse MacroGenics at the FTE Rate for the costs of any FTEs for the applicable Research Program (not to exceed the number of FTEs specified in the applicable Research Plan (or by mutual agreement of the Parties, to the extent such Research Plan has not yet been approved) for any period without Gilead’s consent, not to be unreasonably withheld) to perform the activities allocated to MacroGenics under such Research Plan (or by mutual agreement of the Parties, to the extent such Research Plan has not yet been approved). MacroGenics shall provide to Gilead, within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7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58" w:name="page559"/>
    <w:bookmarkEnd w:id="558"/>
    <w:p>
      <w:pPr>
        <w:ind w:right="160" w:firstLine="4"/>
        <w:spacing w:after="0" w:line="292" w:lineRule="auto"/>
        <w:tabs>
          <w:tab w:leader="none" w:pos="238" w:val="left"/>
        </w:tabs>
        <w:numPr>
          <w:ilvl w:val="0"/>
          <w:numId w:val="578"/>
        </w:numPr>
        <w:rPr>
          <w:rFonts w:ascii="Arial" w:cs="Arial" w:eastAsia="Arial" w:hAnsi="Arial"/>
          <w:sz w:val="12"/>
          <w:szCs w:val="12"/>
          <w:b w:val="1"/>
          <w:bCs w:val="1"/>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days after the end of each Calendar Quarter during any Research Term, a report indicating the number of FTEs actually provided by MacroGenics with respect to each Research Program during such Calendar Quarter. MacroGenics shall use standard industry systems and processes to record the number of hours/FTEs actually applied to each Research Program, which systems and process shall be consistently and equitably applied to all MacroGenics research programs with Third Parties. Gilead may, at any time during the applicable Research Term, request that the Parties amend the Research Plan to modify the prescribed activities or to reduce or increase on a Calendar Quarter basis the number of FTEs to be provided by MacroGenics, and the Research Plan shall promptly be amended to account for such change in activities or any such reallocation of Research activities; provided that, on a Research Program-by-Research Program basis, Gilead may not, without the prior written consent of MacroGenics:</w:t>
      </w:r>
    </w:p>
    <w:p>
      <w:pPr>
        <w:spacing w:after="0" w:line="2"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2"/>
          <w:szCs w:val="12"/>
          <w:color w:val="auto"/>
        </w:rPr>
        <w:t xml:space="preserve">(i) reduce the number of FTEs for a Calendar Quarter to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FTEs or increase the number of FTEs for a Calendar Quarter to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FTEs; or (ii) change the number of FTEs by more than </w:t>
      </w:r>
      <w:r>
        <w:rPr>
          <w:rFonts w:ascii="Arial" w:cs="Arial" w:eastAsia="Arial" w:hAnsi="Arial"/>
          <w:sz w:val="12"/>
          <w:szCs w:val="12"/>
          <w:b w:val="1"/>
          <w:bCs w:val="1"/>
          <w:color w:val="auto"/>
        </w:rPr>
        <w:t>***</w:t>
      </w:r>
    </w:p>
    <w:p>
      <w:pPr>
        <w:spacing w:after="0" w:line="29" w:lineRule="exact"/>
        <w:rPr>
          <w:rFonts w:ascii="Arial" w:cs="Arial" w:eastAsia="Arial" w:hAnsi="Arial"/>
          <w:sz w:val="12"/>
          <w:szCs w:val="12"/>
          <w:b w:val="1"/>
          <w:bCs w:val="1"/>
          <w:color w:val="auto"/>
        </w:rPr>
      </w:pPr>
    </w:p>
    <w:p>
      <w:pPr>
        <w:spacing w:after="0" w:line="258" w:lineRule="auto"/>
        <w:rPr>
          <w:rFonts w:ascii="Arial" w:cs="Arial" w:eastAsia="Arial" w:hAnsi="Arial"/>
          <w:sz w:val="12"/>
          <w:szCs w:val="12"/>
          <w:b w:val="1"/>
          <w:bCs w:val="1"/>
          <w:color w:val="auto"/>
        </w:rPr>
      </w:pPr>
      <w:r>
        <w:rPr>
          <w:rFonts w:ascii="Arial" w:cs="Arial" w:eastAsia="Arial" w:hAnsi="Arial"/>
          <w:sz w:val="14"/>
          <w:szCs w:val="14"/>
          <w:color w:val="auto"/>
        </w:rPr>
        <w:t xml:space="preserve">FTEs during any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consecutive Calendar Quarters. Gilead shall reimburse MacroGenics for such FTE costs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receipt from MacroGenics of an invoice issued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the end of each Calendar Quarter.</w:t>
      </w:r>
    </w:p>
    <w:p>
      <w:pPr>
        <w:spacing w:after="0" w:line="108" w:lineRule="exact"/>
        <w:rPr>
          <w:sz w:val="20"/>
          <w:szCs w:val="20"/>
          <w:color w:val="auto"/>
        </w:rPr>
      </w:pPr>
    </w:p>
    <w:p>
      <w:pPr>
        <w:ind w:right="300" w:firstLine="917"/>
        <w:spacing w:after="0" w:line="267" w:lineRule="auto"/>
        <w:rPr>
          <w:sz w:val="20"/>
          <w:szCs w:val="20"/>
          <w:color w:val="auto"/>
        </w:rPr>
      </w:pPr>
      <w:r>
        <w:rPr>
          <w:rFonts w:ascii="Arial" w:cs="Arial" w:eastAsia="Arial" w:hAnsi="Arial"/>
          <w:sz w:val="14"/>
          <w:szCs w:val="14"/>
          <w:color w:val="auto"/>
        </w:rPr>
        <w:t xml:space="preserve">3.2.7 </w:t>
      </w:r>
      <w:r>
        <w:rPr>
          <w:rFonts w:ascii="Arial" w:cs="Arial" w:eastAsia="Arial" w:hAnsi="Arial"/>
          <w:sz w:val="14"/>
          <w:szCs w:val="14"/>
          <w:u w:val="single" w:color="auto"/>
          <w:color w:val="auto"/>
        </w:rPr>
        <w:t>Reports</w:t>
      </w:r>
      <w:r>
        <w:rPr>
          <w:rFonts w:ascii="Arial" w:cs="Arial" w:eastAsia="Arial" w:hAnsi="Arial"/>
          <w:sz w:val="14"/>
          <w:szCs w:val="14"/>
          <w:color w:val="auto"/>
        </w:rPr>
        <w:t xml:space="preserve">. MacroGenics and Gilead shall provide written progress reports on the status of its Research activities under each Research Plan, including summaries of data generated in the applicable Research Program,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Business Days in advance of each JRC meeting.</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Preclinical Data Package; Evaluation Period</w:t>
      </w:r>
      <w:r>
        <w:rPr>
          <w:rFonts w:ascii="Arial" w:cs="Arial" w:eastAsia="Arial" w:hAnsi="Arial"/>
          <w:sz w:val="14"/>
          <w:szCs w:val="14"/>
          <w:color w:val="auto"/>
        </w:rPr>
        <w:t>.</w:t>
      </w:r>
    </w:p>
    <w:p>
      <w:pPr>
        <w:spacing w:after="0" w:line="130" w:lineRule="exact"/>
        <w:rPr>
          <w:sz w:val="20"/>
          <w:szCs w:val="20"/>
          <w:color w:val="auto"/>
        </w:rPr>
      </w:pPr>
    </w:p>
    <w:p>
      <w:pPr>
        <w:ind w:right="20" w:firstLine="917"/>
        <w:spacing w:after="0" w:line="270" w:lineRule="auto"/>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Delivery of Preclinical Data Package</w:t>
      </w:r>
      <w:r>
        <w:rPr>
          <w:rFonts w:ascii="Arial" w:cs="Arial" w:eastAsia="Arial" w:hAnsi="Arial"/>
          <w:sz w:val="14"/>
          <w:szCs w:val="14"/>
          <w:color w:val="auto"/>
        </w:rPr>
        <w:t xml:space="preserve">. MacroGenics shall provide Gilead with each Preclinical Data Package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the data to be contained in such Preclinical Data Package becomes available to MacroGenics.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3.3.2 </w:t>
      </w:r>
      <w:r>
        <w:rPr>
          <w:rFonts w:ascii="Arial" w:cs="Arial" w:eastAsia="Arial" w:hAnsi="Arial"/>
          <w:sz w:val="14"/>
          <w:szCs w:val="14"/>
          <w:u w:val="single" w:color="auto"/>
          <w:color w:val="auto"/>
        </w:rPr>
        <w:t>Preclinical Milestone; Evaluation Period</w:t>
      </w:r>
      <w:r>
        <w:rPr>
          <w:rFonts w:ascii="Arial" w:cs="Arial" w:eastAsia="Arial" w:hAnsi="Arial"/>
          <w:sz w:val="14"/>
          <w:szCs w:val="14"/>
          <w:color w:val="auto"/>
        </w:rPr>
        <w:t>.</w:t>
      </w:r>
    </w:p>
    <w:p>
      <w:pPr>
        <w:spacing w:after="0" w:line="130" w:lineRule="exact"/>
        <w:rPr>
          <w:sz w:val="20"/>
          <w:szCs w:val="20"/>
          <w:color w:val="auto"/>
        </w:rPr>
      </w:pPr>
    </w:p>
    <w:p>
      <w:pPr>
        <w:ind w:left="1680" w:hanging="187"/>
        <w:spacing w:after="0"/>
        <w:tabs>
          <w:tab w:leader="none" w:pos="1680" w:val="left"/>
        </w:tabs>
        <w:numPr>
          <w:ilvl w:val="0"/>
          <w:numId w:val="579"/>
        </w:numPr>
        <w:rPr>
          <w:rFonts w:ascii="Arial" w:cs="Arial" w:eastAsia="Arial" w:hAnsi="Arial"/>
          <w:sz w:val="12"/>
          <w:szCs w:val="12"/>
          <w:color w:val="auto"/>
        </w:rPr>
      </w:pPr>
      <w:r>
        <w:rPr>
          <w:rFonts w:ascii="Arial" w:cs="Arial" w:eastAsia="Arial" w:hAnsi="Arial"/>
          <w:sz w:val="12"/>
          <w:szCs w:val="12"/>
          <w:color w:val="auto"/>
        </w:rPr>
        <w:t xml:space="preserve">If Gilead intends to pay the applicable Preclinical Milestone Payment for a Licensed Program, Gilead shall provide written notice thereof to MacroGenics at any time prior to </w:t>
      </w:r>
      <w:r>
        <w:rPr>
          <w:rFonts w:ascii="Arial" w:cs="Arial" w:eastAsia="Arial" w:hAnsi="Arial"/>
          <w:sz w:val="12"/>
          <w:szCs w:val="12"/>
          <w:b w:val="1"/>
          <w:bCs w:val="1"/>
          <w:color w:val="auto"/>
        </w:rPr>
        <w:t>***</w:t>
      </w:r>
    </w:p>
    <w:p>
      <w:pPr>
        <w:spacing w:after="0" w:line="37" w:lineRule="exact"/>
        <w:rPr>
          <w:rFonts w:ascii="Arial" w:cs="Arial" w:eastAsia="Arial" w:hAnsi="Arial"/>
          <w:sz w:val="12"/>
          <w:szCs w:val="12"/>
          <w:color w:val="auto"/>
        </w:rPr>
      </w:pPr>
    </w:p>
    <w:p>
      <w:pPr>
        <w:ind w:right="120"/>
        <w:spacing w:after="0" w:line="307" w:lineRule="auto"/>
        <w:rPr>
          <w:rFonts w:ascii="Arial" w:cs="Arial" w:eastAsia="Arial" w:hAnsi="Arial"/>
          <w:sz w:val="12"/>
          <w:szCs w:val="12"/>
          <w:color w:val="auto"/>
        </w:rPr>
      </w:pPr>
      <w:r>
        <w:rPr>
          <w:rFonts w:ascii="Arial" w:cs="Arial" w:eastAsia="Arial" w:hAnsi="Arial"/>
          <w:sz w:val="12"/>
          <w:szCs w:val="12"/>
          <w:color w:val="auto"/>
        </w:rPr>
        <w:t>days after the expiration of the Evaluation Period for such Licensed Program (the “</w:t>
      </w:r>
      <w:r>
        <w:rPr>
          <w:rFonts w:ascii="Arial" w:cs="Arial" w:eastAsia="Arial" w:hAnsi="Arial"/>
          <w:sz w:val="12"/>
          <w:szCs w:val="12"/>
          <w:u w:val="single" w:color="auto"/>
          <w:color w:val="auto"/>
        </w:rPr>
        <w:t>Preclinical Milestone Payment Notice</w:t>
      </w:r>
      <w:r>
        <w:rPr>
          <w:rFonts w:ascii="Arial" w:cs="Arial" w:eastAsia="Arial" w:hAnsi="Arial"/>
          <w:sz w:val="12"/>
          <w:szCs w:val="12"/>
          <w:color w:val="auto"/>
        </w:rPr>
        <w:t>”). If Gilead has not previously delivered a Preclinical Milestone Payment Notice for a Licensed Program, Gilead will be deemed to have delivered the Preclinical Milestone Payment Notice for such Licensed Program and the Evaluation Period for such Licensed Program shall be deemed to have expired upon the initiation of any GLP Toxicology Study with respect to any Program DART or Licensed Product from such Licensed Program. For purposes of this Section 3.3.2(a), “</w:t>
      </w:r>
      <w:r>
        <w:rPr>
          <w:rFonts w:ascii="Arial" w:cs="Arial" w:eastAsia="Arial" w:hAnsi="Arial"/>
          <w:sz w:val="12"/>
          <w:szCs w:val="12"/>
          <w:u w:val="single" w:color="auto"/>
          <w:color w:val="auto"/>
        </w:rPr>
        <w:t>GLP Toxicology Study</w:t>
      </w:r>
      <w:r>
        <w:rPr>
          <w:rFonts w:ascii="Arial" w:cs="Arial" w:eastAsia="Arial" w:hAnsi="Arial"/>
          <w:sz w:val="12"/>
          <w:szCs w:val="12"/>
          <w:color w:val="auto"/>
        </w:rPr>
        <w:t>” means a toxicology study that is conducted in compliance with GLP and is required to meet the requirements for filing an IND.</w:t>
      </w:r>
    </w:p>
    <w:p>
      <w:pPr>
        <w:spacing w:after="0" w:line="80" w:lineRule="exact"/>
        <w:rPr>
          <w:rFonts w:ascii="Arial" w:cs="Arial" w:eastAsia="Arial" w:hAnsi="Arial"/>
          <w:sz w:val="12"/>
          <w:szCs w:val="12"/>
          <w:color w:val="auto"/>
        </w:rPr>
      </w:pPr>
    </w:p>
    <w:p>
      <w:pPr>
        <w:ind w:right="360" w:firstLine="1493"/>
        <w:spacing w:after="0" w:line="355" w:lineRule="auto"/>
        <w:tabs>
          <w:tab w:leader="none" w:pos="1682" w:val="left"/>
        </w:tabs>
        <w:numPr>
          <w:ilvl w:val="0"/>
          <w:numId w:val="579"/>
        </w:numPr>
        <w:rPr>
          <w:rFonts w:ascii="Arial" w:cs="Arial" w:eastAsia="Arial" w:hAnsi="Arial"/>
          <w:sz w:val="12"/>
          <w:szCs w:val="12"/>
          <w:color w:val="auto"/>
        </w:rPr>
      </w:pPr>
      <w:r>
        <w:rPr>
          <w:rFonts w:ascii="Arial" w:cs="Arial" w:eastAsia="Arial" w:hAnsi="Arial"/>
          <w:sz w:val="12"/>
          <w:szCs w:val="12"/>
          <w:color w:val="auto"/>
        </w:rPr>
        <w:t xml:space="preserve">At any time prior to </w:t>
      </w:r>
      <w:r>
        <w:rPr>
          <w:rFonts w:ascii="Arial" w:cs="Arial" w:eastAsia="Arial" w:hAnsi="Arial"/>
          <w:sz w:val="12"/>
          <w:szCs w:val="12"/>
          <w:b w:val="1"/>
          <w:bCs w:val="1"/>
          <w:color w:val="auto"/>
        </w:rPr>
        <w:t>***</w:t>
      </w:r>
      <w:r>
        <w:rPr>
          <w:rFonts w:ascii="Arial" w:cs="Arial" w:eastAsia="Arial" w:hAnsi="Arial"/>
          <w:sz w:val="12"/>
          <w:szCs w:val="12"/>
          <w:color w:val="auto"/>
        </w:rPr>
        <w:t xml:space="preserve">days after the expiration of the then-current Evaluation Period for any Licensed Program, Gilead shall have the right, exercisable by written notice to MacroGenics, to extend retroactively such Evaluation Period for a period of </w:t>
      </w:r>
      <w:r>
        <w:rPr>
          <w:rFonts w:ascii="Arial" w:cs="Arial" w:eastAsia="Arial" w:hAnsi="Arial"/>
          <w:sz w:val="12"/>
          <w:szCs w:val="12"/>
          <w:b w:val="1"/>
          <w:bCs w:val="1"/>
          <w:color w:val="auto"/>
        </w:rPr>
        <w:t>***</w:t>
      </w:r>
      <w:r>
        <w:rPr>
          <w:rFonts w:ascii="Arial" w:cs="Arial" w:eastAsia="Arial" w:hAnsi="Arial"/>
          <w:sz w:val="12"/>
          <w:szCs w:val="12"/>
          <w:color w:val="auto"/>
        </w:rPr>
        <w:t>months from the date such Evaluation Period otherwise would have expired (the “</w:t>
      </w:r>
      <w:r>
        <w:rPr>
          <w:rFonts w:ascii="Arial" w:cs="Arial" w:eastAsia="Arial" w:hAnsi="Arial"/>
          <w:sz w:val="12"/>
          <w:szCs w:val="12"/>
          <w:u w:val="single" w:color="auto"/>
          <w:color w:val="auto"/>
        </w:rPr>
        <w:t>Initial</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8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59" w:name="page560"/>
    <w:bookmarkEnd w:id="559"/>
    <w:p>
      <w:pPr>
        <w:spacing w:after="0" w:line="30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Extension</w:t>
      </w:r>
      <w:r>
        <w:rPr>
          <w:rFonts w:ascii="Arial" w:cs="Arial" w:eastAsia="Arial" w:hAnsi="Arial"/>
          <w:sz w:val="12"/>
          <w:szCs w:val="12"/>
          <w:color w:val="auto"/>
        </w:rPr>
        <w:t xml:space="preserve">”) by paying MacroGenics </w:t>
      </w:r>
      <w:r>
        <w:rPr>
          <w:rFonts w:ascii="Arial" w:cs="Arial" w:eastAsia="Arial" w:hAnsi="Arial"/>
          <w:sz w:val="12"/>
          <w:szCs w:val="12"/>
          <w:b w:val="1"/>
          <w:bCs w:val="1"/>
          <w:color w:val="auto"/>
        </w:rPr>
        <w:t>***</w:t>
      </w:r>
      <w:r>
        <w:rPr>
          <w:rFonts w:ascii="Arial" w:cs="Arial" w:eastAsia="Arial" w:hAnsi="Arial"/>
          <w:sz w:val="12"/>
          <w:szCs w:val="12"/>
          <w:color w:val="auto"/>
        </w:rPr>
        <w:t xml:space="preserve"> for such Initial Extension; provided that Gilead shall have no right to extend any such Evaluation Period that expired due to the </w:t>
      </w:r>
      <w:r>
        <w:rPr>
          <w:rFonts w:ascii="Arial" w:cs="Arial" w:eastAsia="Arial" w:hAnsi="Arial"/>
          <w:sz w:val="12"/>
          <w:szCs w:val="12"/>
          <w:b w:val="1"/>
          <w:bCs w:val="1"/>
          <w:color w:val="auto"/>
        </w:rPr>
        <w:t>***</w:t>
      </w:r>
      <w:r>
        <w:rPr>
          <w:rFonts w:ascii="Arial" w:cs="Arial" w:eastAsia="Arial" w:hAnsi="Arial"/>
          <w:sz w:val="12"/>
          <w:szCs w:val="12"/>
          <w:color w:val="auto"/>
        </w:rPr>
        <w:t xml:space="preserve"> with respect to any Program DART or Licensed Product from such Licensed Program. At any time prior to the expiration of the Initial Extension for any Licensed Program, Gilead shall have the right, exercisable by written notice to MacroGenics, to extend the Evaluation Period for such Licensed Program for an additional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months from the date such Evaluation Period otherwise would have expired (the “</w:t>
      </w:r>
      <w:r>
        <w:rPr>
          <w:rFonts w:ascii="Arial" w:cs="Arial" w:eastAsia="Arial" w:hAnsi="Arial"/>
          <w:sz w:val="12"/>
          <w:szCs w:val="12"/>
          <w:u w:val="single" w:color="auto"/>
          <w:color w:val="auto"/>
        </w:rPr>
        <w:t>Additional Extension</w:t>
      </w:r>
      <w:r>
        <w:rPr>
          <w:rFonts w:ascii="Arial" w:cs="Arial" w:eastAsia="Arial" w:hAnsi="Arial"/>
          <w:sz w:val="12"/>
          <w:szCs w:val="12"/>
          <w:color w:val="auto"/>
        </w:rPr>
        <w:t xml:space="preserve">”) (for a total extension of </w:t>
      </w:r>
      <w:r>
        <w:rPr>
          <w:rFonts w:ascii="Arial" w:cs="Arial" w:eastAsia="Arial" w:hAnsi="Arial"/>
          <w:sz w:val="12"/>
          <w:szCs w:val="12"/>
          <w:b w:val="1"/>
          <w:bCs w:val="1"/>
          <w:color w:val="auto"/>
        </w:rPr>
        <w:t>***</w:t>
      </w:r>
      <w:r>
        <w:rPr>
          <w:rFonts w:ascii="Arial" w:cs="Arial" w:eastAsia="Arial" w:hAnsi="Arial"/>
          <w:sz w:val="12"/>
          <w:szCs w:val="12"/>
          <w:color w:val="auto"/>
        </w:rPr>
        <w:t xml:space="preserve"> months from the date such Evaluation Period would have expired but for the Initial Extension and the Additional Extension) by paying MacroGenics </w:t>
      </w:r>
      <w:r>
        <w:rPr>
          <w:rFonts w:ascii="Arial" w:cs="Arial" w:eastAsia="Arial" w:hAnsi="Arial"/>
          <w:sz w:val="12"/>
          <w:szCs w:val="12"/>
          <w:b w:val="1"/>
          <w:bCs w:val="1"/>
          <w:color w:val="auto"/>
        </w:rPr>
        <w:t>***</w:t>
      </w:r>
      <w:r>
        <w:rPr>
          <w:rFonts w:ascii="Arial" w:cs="Arial" w:eastAsia="Arial" w:hAnsi="Arial"/>
          <w:sz w:val="12"/>
          <w:szCs w:val="12"/>
          <w:color w:val="auto"/>
        </w:rPr>
        <w:t xml:space="preserve"> for such Additional Extension. Gilead shall make any payments under this Section 3.3.2(b) within forty-five (45) days after the later of the date Gilead delivers the applicable notice and Gilead’s receipt of the corresponding invoice.</w:t>
      </w:r>
    </w:p>
    <w:p>
      <w:pPr>
        <w:spacing w:after="0" w:line="83" w:lineRule="exact"/>
        <w:rPr>
          <w:sz w:val="20"/>
          <w:szCs w:val="20"/>
          <w:color w:val="auto"/>
        </w:rPr>
      </w:pPr>
    </w:p>
    <w:p>
      <w:pPr>
        <w:ind w:right="560" w:firstLine="1493"/>
        <w:spacing w:after="0" w:line="351" w:lineRule="auto"/>
        <w:tabs>
          <w:tab w:leader="none" w:pos="1675" w:val="left"/>
        </w:tabs>
        <w:numPr>
          <w:ilvl w:val="0"/>
          <w:numId w:val="581"/>
        </w:numPr>
        <w:rPr>
          <w:rFonts w:ascii="Arial" w:cs="Arial" w:eastAsia="Arial" w:hAnsi="Arial"/>
          <w:sz w:val="12"/>
          <w:szCs w:val="12"/>
          <w:color w:val="auto"/>
        </w:rPr>
      </w:pPr>
      <w:r>
        <w:rPr>
          <w:rFonts w:ascii="Arial" w:cs="Arial" w:eastAsia="Arial" w:hAnsi="Arial"/>
          <w:sz w:val="12"/>
          <w:szCs w:val="12"/>
          <w:color w:val="auto"/>
        </w:rPr>
        <w:t>In the event Gilead does not provide to MacroGenics a Preclinical Milestone Payment Notice with respect to any Licensed Program at any time prior to*** days after the expiration of the Evaluation Period for such Licensed Program, then such Licensed Program shall be deemed a Terminated Program and Section 13.7.1 shall apply with respect thereto.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GRANT OF RIGHTS; EXCLUSIVITY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License Grants to Gilead</w:t>
      </w:r>
      <w:r>
        <w:rPr>
          <w:rFonts w:ascii="Arial" w:cs="Arial" w:eastAsia="Arial" w:hAnsi="Arial"/>
          <w:sz w:val="14"/>
          <w:szCs w:val="14"/>
          <w:color w:val="auto"/>
        </w:rPr>
        <w:t>.</w:t>
      </w:r>
    </w:p>
    <w:p>
      <w:pPr>
        <w:spacing w:after="0" w:line="130" w:lineRule="exact"/>
        <w:rPr>
          <w:sz w:val="20"/>
          <w:szCs w:val="20"/>
          <w:color w:val="auto"/>
        </w:rPr>
      </w:pPr>
    </w:p>
    <w:p>
      <w:pPr>
        <w:ind w:right="20" w:firstLine="917"/>
        <w:spacing w:after="0" w:line="306" w:lineRule="auto"/>
        <w:rPr>
          <w:sz w:val="20"/>
          <w:szCs w:val="20"/>
          <w:color w:val="auto"/>
        </w:rPr>
      </w:pPr>
      <w:r>
        <w:rPr>
          <w:rFonts w:ascii="Arial" w:cs="Arial" w:eastAsia="Arial" w:hAnsi="Arial"/>
          <w:sz w:val="12"/>
          <w:szCs w:val="12"/>
          <w:color w:val="auto"/>
        </w:rPr>
        <w:t>4.1.1</w:t>
      </w:r>
      <w:r>
        <w:rPr>
          <w:rFonts w:ascii="Arial" w:cs="Arial" w:eastAsia="Arial" w:hAnsi="Arial"/>
          <w:sz w:val="12"/>
          <w:szCs w:val="12"/>
          <w:b w:val="1"/>
          <w:bCs w:val="1"/>
          <w:u w:val="single" w:color="auto"/>
          <w:color w:val="auto"/>
        </w:rPr>
        <w:t>***</w:t>
      </w:r>
      <w:r>
        <w:rPr>
          <w:rFonts w:ascii="Arial" w:cs="Arial" w:eastAsia="Arial" w:hAnsi="Arial"/>
          <w:sz w:val="12"/>
          <w:szCs w:val="12"/>
          <w:u w:val="single" w:color="auto"/>
          <w:color w:val="auto"/>
        </w:rPr>
        <w:t>Licensed Program</w:t>
      </w:r>
      <w:r>
        <w:rPr>
          <w:rFonts w:ascii="Arial" w:cs="Arial" w:eastAsia="Arial" w:hAnsi="Arial"/>
          <w:sz w:val="12"/>
          <w:szCs w:val="12"/>
          <w:color w:val="auto"/>
        </w:rPr>
        <w:t xml:space="preserve">. Subject to the terms of this Agreement, MacroGenics hereby grants Gilead (a) an exclusive, royalty-bearing, non-transferable (except in accordance with Section 15.4) license, with the right to sublicense (subject to Section 4.3), under MacroGenics’ and its Affiliates’ interests in MacroGenics IP and Joint IP, to Research, Develop, Manufacture and Commercialize, in the Field, Program DARTs (other than Diagnostics) and Licensed Products from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in the Gilead Territory; and (b) an exclusive, royalty-bearing (to the extent provided in Section 8.5.3), non-transferable (except in accordance with Section 15.4) license, with the right to sublicense (subject to Section 4.3), under MacroGenics’ and its Affiliates’ interests in MacroGenics IP and Joint IP, to Research, Develop, Manufacture and Commercialize, in the Field, Diagnostics for use solely with Program DARTs and Licensed Products from the </w:t>
      </w:r>
      <w:r>
        <w:rPr>
          <w:rFonts w:ascii="Arial" w:cs="Arial" w:eastAsia="Arial" w:hAnsi="Arial"/>
          <w:sz w:val="12"/>
          <w:szCs w:val="12"/>
          <w:b w:val="1"/>
          <w:bCs w:val="1"/>
          <w:color w:val="auto"/>
        </w:rPr>
        <w:t>***</w:t>
      </w:r>
      <w:r>
        <w:rPr>
          <w:rFonts w:ascii="Arial" w:cs="Arial" w:eastAsia="Arial" w:hAnsi="Arial"/>
          <w:sz w:val="12"/>
          <w:szCs w:val="12"/>
          <w:color w:val="auto"/>
        </w:rPr>
        <w:t>Licensed Program in the Gilead Territory.</w:t>
      </w:r>
    </w:p>
    <w:p>
      <w:pPr>
        <w:spacing w:after="0" w:line="81" w:lineRule="exact"/>
        <w:rPr>
          <w:sz w:val="20"/>
          <w:szCs w:val="20"/>
          <w:color w:val="auto"/>
        </w:rPr>
      </w:pPr>
    </w:p>
    <w:p>
      <w:pPr>
        <w:ind w:firstLine="917"/>
        <w:spacing w:after="0" w:line="306" w:lineRule="auto"/>
        <w:rPr>
          <w:sz w:val="20"/>
          <w:szCs w:val="20"/>
          <w:color w:val="auto"/>
        </w:rPr>
      </w:pPr>
      <w:r>
        <w:rPr>
          <w:rFonts w:ascii="Arial" w:cs="Arial" w:eastAsia="Arial" w:hAnsi="Arial"/>
          <w:sz w:val="12"/>
          <w:szCs w:val="12"/>
          <w:color w:val="auto"/>
        </w:rPr>
        <w:t>4.1.2</w:t>
      </w:r>
      <w:r>
        <w:rPr>
          <w:rFonts w:ascii="Arial" w:cs="Arial" w:eastAsia="Arial" w:hAnsi="Arial"/>
          <w:sz w:val="12"/>
          <w:szCs w:val="12"/>
          <w:b w:val="1"/>
          <w:bCs w:val="1"/>
          <w:u w:val="single" w:color="auto"/>
          <w:color w:val="auto"/>
        </w:rPr>
        <w:t>***</w:t>
      </w:r>
      <w:r>
        <w:rPr>
          <w:rFonts w:ascii="Arial" w:cs="Arial" w:eastAsia="Arial" w:hAnsi="Arial"/>
          <w:sz w:val="12"/>
          <w:szCs w:val="12"/>
          <w:u w:val="single" w:color="auto"/>
          <w:color w:val="auto"/>
        </w:rPr>
        <w:t>Licensed Program</w:t>
      </w:r>
      <w:r>
        <w:rPr>
          <w:rFonts w:ascii="Arial" w:cs="Arial" w:eastAsia="Arial" w:hAnsi="Arial"/>
          <w:sz w:val="12"/>
          <w:szCs w:val="12"/>
          <w:color w:val="auto"/>
        </w:rPr>
        <w:t xml:space="preserve">. Subject to the terms of this Agreement, effective upon the Clearance Date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MacroGenics hereby grants Gilead (a) an exclusive, royalty-bearing, non-transferable (except in accordance with Section 15.4) license, with the right to sublicense (subject to Section 4.3), under MacroGenics’ and its Affiliates’ interests in MacroGenics IP and Joint IP, to Research, Develop, Manufacture and Commercialize, Program DARTs (other than Diagnostics) and Licensed Products from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in the Gilead Territory in the Field; (b) an exclusive, royalty-bearing (to the extent provided in Section 8.5.3), non-transferable (except in accordance with Section 15.4) license, with the right to sublicense (subject to Section 4.3), under MacroGenics’ and its Affiliates’ interests in MacroGenics IP and Joint IP, to Research, Develop, Manufacture and Commercialize Diagnostics for use solely with Program DARTs and Licensed Products from the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8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5" w:right="239" w:bottom="1440" w:gutter="0" w:footer="0" w:header="0"/>
        </w:sectPr>
      </w:pPr>
    </w:p>
    <w:bookmarkStart w:id="560" w:name="page561"/>
    <w:bookmarkEnd w:id="560"/>
    <w:p>
      <w:pPr>
        <w:ind w:right="180"/>
        <w:spacing w:after="0" w:line="322"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t>
      </w:r>
      <w:r>
        <w:rPr>
          <w:rFonts w:ascii="Arial" w:cs="Arial" w:eastAsia="Arial" w:hAnsi="Arial"/>
          <w:sz w:val="12"/>
          <w:szCs w:val="12"/>
          <w:color w:val="auto"/>
        </w:rPr>
        <w:t>Licensed Program in the Gilead Territory in the Field; and (c) subject to Section 5.4, a non-exclusive, royalty-bearing (to the extent provided in Section 8.5), non-transferable (except in accordance with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Section 15.4) license, with the right to sublicense (subject to Section 4.3), under MacroGenics’ and its Affiliates’ interests in MacroGenics IP and Joint IP, to Research, Develop and Manufacture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and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Products in the MacroGenics Territory, provided that such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and </w:t>
      </w:r>
      <w:r>
        <w:rPr>
          <w:rFonts w:ascii="Arial" w:cs="Arial" w:eastAsia="Arial" w:hAnsi="Arial"/>
          <w:sz w:val="12"/>
          <w:szCs w:val="12"/>
          <w:b w:val="1"/>
          <w:bCs w:val="1"/>
          <w:color w:val="auto"/>
        </w:rPr>
        <w:t>***</w:t>
      </w:r>
      <w:r>
        <w:rPr>
          <w:rFonts w:ascii="Arial" w:cs="Arial" w:eastAsia="Arial" w:hAnsi="Arial"/>
          <w:sz w:val="12"/>
          <w:szCs w:val="12"/>
          <w:color w:val="auto"/>
        </w:rPr>
        <w:t>Licensed Products are Commercialized only in the Gilead Territory and only in the Field.</w:t>
      </w:r>
    </w:p>
    <w:p>
      <w:pPr>
        <w:spacing w:after="0" w:line="71"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4.1.3</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Program</w:t>
      </w:r>
      <w:r>
        <w:rPr>
          <w:rFonts w:ascii="Arial" w:cs="Arial" w:eastAsia="Arial" w:hAnsi="Arial"/>
          <w:sz w:val="14"/>
          <w:szCs w:val="14"/>
          <w:color w:val="auto"/>
        </w:rPr>
        <w:t xml:space="preserve">. Subject to the terms of this Agreement, effective upon the Clearance Date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MacroGenics hereby grants Gilead (a) an exclusive, royalty-bearing, non-transferable (except in accordance with Section 15.4) license, with the right to sublicense (subject to Section 4.3), under MacroGenics’ and its Affiliates’ interests in MacroGenics IP and Joint IP, to Research, Develop, Manufacture and Commercialize, Program DARTs (other than Diagnostics) and Licensed Products from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in the Gilead Territory in the Field; and (b) an exclusive, royalty-bearing (to the extent provided in Section 8.5.3), non-transferable (except in accordance with Section 15.4) license, with the right to sublicense (subject to Section 4.3), under MacroGenics’ and its Affiliates’ interests in MacroGenics IP and Joint IP, to Research, Develop, Manufacture and Commercialize Diagnostics for use solely with Program DARTs and Licensed Products from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in the Gilead Territory in the Field.</w:t>
      </w:r>
    </w:p>
    <w:p>
      <w:pPr>
        <w:spacing w:after="0" w:line="110"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4.1.4</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Licensed Program</w:t>
      </w:r>
      <w:r>
        <w:rPr>
          <w:rFonts w:ascii="Arial" w:cs="Arial" w:eastAsia="Arial" w:hAnsi="Arial"/>
          <w:sz w:val="14"/>
          <w:szCs w:val="14"/>
          <w:color w:val="auto"/>
        </w:rPr>
        <w:t xml:space="preserve">. Subject to the terms of this Agreement, effective upon the Clearance Date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MacroGenics hereby grants Gilead (a) an exclusive, royalty-bearing, non-transferable (except in accordance with Section 15.4) license, with the right to sublicense (subject to Section 4.3), under MacroGenics’ and its Affiliates’ interests in MacroGenics IP and Joint IP, to Research, Develop, Manufacture and Commercialize, Program DARTs (other than Diagnostics) and Licensed Products from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in the Gilead Territory in the Field; and (b) an exclusive, royalty-bearing (to the extent provided in Section 8.5.3), non-transferable (except in accordance with Section 15.4) license, with the right to sublicense (subject to Section 4.3), under MacroGenics’ and its Affiliates’ interests in MacroGenics IP and Joint IP, to Research, Develop, Manufacture and Commercialize Diagnostics for use solely with Program DARTs and Licensed Products from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in the Gilead Territory in the Field.</w:t>
      </w:r>
    </w:p>
    <w:p>
      <w:pPr>
        <w:spacing w:after="0" w:line="110" w:lineRule="exact"/>
        <w:rPr>
          <w:sz w:val="20"/>
          <w:szCs w:val="20"/>
          <w:color w:val="auto"/>
        </w:rPr>
      </w:pPr>
    </w:p>
    <w:p>
      <w:pPr>
        <w:ind w:right="40" w:firstLine="458"/>
        <w:spacing w:after="0" w:line="303"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License Grant to MacroGenics</w:t>
      </w:r>
      <w:r>
        <w:rPr>
          <w:rFonts w:ascii="Arial" w:cs="Arial" w:eastAsia="Arial" w:hAnsi="Arial"/>
          <w:sz w:val="12"/>
          <w:szCs w:val="12"/>
          <w:color w:val="auto"/>
        </w:rPr>
        <w:t xml:space="preserve">. Subject to the terms of this Agreement, Gilead hereby grants MacroGenics (a) effective upon the Clearance Date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an exclusive, royalty-free, non-transferable (except in accordance with Section 15.4) license, with the right to sublicense (subject to Section 4.3), under Gilead’s and its Affiliates’ interest in Gilead Collaboration IP and Joint IP, to Research, Develop, Manufacture and Commercialize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and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Products in the MacroGenics Territory in the Field; (b) effective upon the Clearance Date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an exclusive, royalty-free, non-transferable (except in accordance with Section 15.4) license, with the right to sublicense (subject to Section 4.3), under Gilead’s and its Affiliates’ interest in Gilead Collaboration IP and Joint IP, to Research, Develop, Manufacture and Commercialize Diagnostics for use solely with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and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Products in the MacroGenics Territory in the Field; (c) effective upon the Clearance Date for the </w:t>
      </w:r>
      <w:r>
        <w:rPr>
          <w:rFonts w:ascii="Arial" w:cs="Arial" w:eastAsia="Arial" w:hAnsi="Arial"/>
          <w:sz w:val="12"/>
          <w:szCs w:val="12"/>
          <w:b w:val="1"/>
          <w:bCs w:val="1"/>
          <w:color w:val="auto"/>
        </w:rPr>
        <w:t>***</w:t>
      </w:r>
      <w:r>
        <w:rPr>
          <w:rFonts w:ascii="Arial" w:cs="Arial" w:eastAsia="Arial" w:hAnsi="Arial"/>
          <w:sz w:val="12"/>
          <w:szCs w:val="12"/>
          <w:color w:val="auto"/>
        </w:rPr>
        <w:t>Licensed Program, subject to Section 5.5, a non-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8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4" w:right="239" w:bottom="1440" w:gutter="0" w:footer="0" w:header="0"/>
        </w:sectPr>
      </w:pPr>
    </w:p>
    <w:bookmarkStart w:id="561" w:name="page562"/>
    <w:bookmarkEnd w:id="561"/>
    <w:p>
      <w:pPr>
        <w:ind w:right="4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exclusive, royalty-free, non-transferable (except in accordance with Section 15.4) license, with the right to sublicense (subject to Section 4.3), under Gilead’s and its Affiliates’ interest in Gilead Collaboration IP and Joint IP, to Research, Develop and Manufacture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DARTs and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Products in the Gilead Territory, provided that such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DARTs and </w:t>
      </w:r>
      <w:r>
        <w:rPr>
          <w:rFonts w:ascii="Arial" w:cs="Arial" w:eastAsia="Arial" w:hAnsi="Arial"/>
          <w:sz w:val="14"/>
          <w:szCs w:val="14"/>
          <w:b w:val="1"/>
          <w:bCs w:val="1"/>
          <w:color w:val="auto"/>
        </w:rPr>
        <w:t>***</w:t>
      </w:r>
      <w:r>
        <w:rPr>
          <w:rFonts w:ascii="Arial" w:cs="Arial" w:eastAsia="Arial" w:hAnsi="Arial"/>
          <w:sz w:val="14"/>
          <w:szCs w:val="14"/>
          <w:color w:val="auto"/>
        </w:rPr>
        <w:t>Licensed Products are Commercialized only in the MacroGenics Territory and only in the Field; and (d) subject to Section 4.9, a non-exclusive, royalty-free, non-transferable (except in accordance with Section 15.4) license, with the right to sublicense (subject to Section 4.3), under Gilead’s and its Affiliates’ interest in Gilead Collaboration IP and Joint IP that are Platform IP, to Research, Develop, Manufacture and Commercialize throughout the world DARTs which are not Program DARTs or Licensed Products.</w:t>
      </w:r>
    </w:p>
    <w:p>
      <w:pPr>
        <w:spacing w:after="0" w:line="113" w:lineRule="exact"/>
        <w:rPr>
          <w:sz w:val="20"/>
          <w:szCs w:val="20"/>
          <w:color w:val="auto"/>
        </w:rPr>
      </w:pPr>
    </w:p>
    <w:p>
      <w:pPr>
        <w:ind w:firstLine="458"/>
        <w:spacing w:after="0" w:line="295"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Sublicenses</w:t>
      </w:r>
      <w:r>
        <w:rPr>
          <w:rFonts w:ascii="Arial" w:cs="Arial" w:eastAsia="Arial" w:hAnsi="Arial"/>
          <w:sz w:val="12"/>
          <w:szCs w:val="12"/>
          <w:color w:val="auto"/>
        </w:rPr>
        <w:t xml:space="preserve">. Each Party shall have the right to grant sublicenses within the scope of the licenses under Section 4.1 or 4.2, as applicable, to its Affiliates and to Third Parties that desire to conduct Research, Development, Manufacture and/or Commercialization activities with respect to Program DARTs and Licensed Products;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without the prior written consent of MacroGenics, Gilead shall not have the right to sublicense (a) any MacroGenics Know-How to any Generic Licensee; (b) any rights under Patents or Know-How licensed to MacroGenics pursuant to a MacroGenics Third Party Agreement to any Generic Licensee; or (c) any rights under Patents or Know-How licensed to MacroGenics pursuant to a MacroGenics Third Party Agreement that requires MacroGenics (or the applicable Third Party licensor) to consent to any such sublicense;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any sublicense granted to a Third Party (other than a Generic Licensee or Compulsory Licensee) under this Agreement shall be pursuant to a written agreement that subjects such sublicensee to all relevant restrictions and limitations set forth in this Agreement, including the confidentiality provisions of ARTICLE 10. If either Party grants a sublicense to a Third Party (including to any Generic Licensee) as permitted by this Section 4.3, then such Party shall provide the other Party prompt written notice thereof and shall provide the other Party with an executed copy of any such sublicense (redacted as necessary to protect confidential or commercially sensitive information). Except with respect to any Generic Licensee or Compulsory Licensee or as otherwise agreed by the Parties in writing, each Party shall be jointly and severally responsible with its sublicensees to the other Party for failure by its sublicensees to comply with this Agreement. Each Party shall use commercially reasonable efforts to enforce the terms of any sublicense granted by such Party under this Agreement to any sublicensee other than a Compulsory Licensee to the extent such Party learns, or otherwise knows, that such sublicensee is in breach of any provision of such sublicense in a manner that would reasonably be likely to materially harm the other Party. In the event that a Generic Licensee fails to honor a payment obligation under a sublicense granted under this Agreement (and has not cured such failure within any applicable cure period), at the request of MacroGenics, Gilead shall, at Gilead’s election, either terminate the sublicense or pay MacroGenics the amount that would have been due to MacroGenics under Section 8.5.2 if such Generic Licensee had honored its payment obligation.</w:t>
      </w:r>
    </w:p>
    <w:p>
      <w:pPr>
        <w:spacing w:after="0" w:line="93" w:lineRule="exact"/>
        <w:rPr>
          <w:sz w:val="20"/>
          <w:szCs w:val="20"/>
          <w:color w:val="auto"/>
        </w:rPr>
      </w:pPr>
    </w:p>
    <w:p>
      <w:pPr>
        <w:jc w:val="both"/>
        <w:ind w:right="20" w:firstLine="458"/>
        <w:spacing w:after="0" w:line="258"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First Right of Negotiation For MacroGenics Territory</w:t>
      </w:r>
      <w:r>
        <w:rPr>
          <w:rFonts w:ascii="Arial" w:cs="Arial" w:eastAsia="Arial" w:hAnsi="Arial"/>
          <w:sz w:val="14"/>
          <w:szCs w:val="14"/>
          <w:color w:val="auto"/>
        </w:rPr>
        <w:t xml:space="preserve">. If at any time during the Agreement Term MacroGenics desires to enter into a licensing transaction with a Third Party to Commercialize one or more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DART(s) or </w:t>
      </w:r>
      <w:r>
        <w:rPr>
          <w:rFonts w:ascii="Arial" w:cs="Arial" w:eastAsia="Arial" w:hAnsi="Arial"/>
          <w:sz w:val="14"/>
          <w:szCs w:val="14"/>
          <w:b w:val="1"/>
          <w:bCs w:val="1"/>
          <w:color w:val="auto"/>
        </w:rPr>
        <w:t>***</w:t>
      </w:r>
      <w:r>
        <w:rPr>
          <w:rFonts w:ascii="Arial" w:cs="Arial" w:eastAsia="Arial" w:hAnsi="Arial"/>
          <w:sz w:val="14"/>
          <w:szCs w:val="14"/>
          <w:color w:val="auto"/>
        </w:rPr>
        <w:t>Licensed Product(s) in the Field in the MacroGenics Territory (but excluding any transaction that results in a Change of Control), MacroGenics shall notify Gilead of its intent to enter into such a transaction, identifying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8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62" w:name="page563"/>
    <w:bookmarkEnd w:id="562"/>
    <w:p>
      <w:pPr>
        <w:ind w:right="100"/>
        <w:spacing w:after="0" w:line="30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applicable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or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Products(s) that is(are) proposed to be the subject of such transaction. Gilead shall have </w:t>
      </w:r>
      <w:r>
        <w:rPr>
          <w:rFonts w:ascii="Arial" w:cs="Arial" w:eastAsia="Arial" w:hAnsi="Arial"/>
          <w:sz w:val="12"/>
          <w:szCs w:val="12"/>
          <w:b w:val="1"/>
          <w:bCs w:val="1"/>
          <w:color w:val="auto"/>
        </w:rPr>
        <w:t>***</w:t>
      </w:r>
      <w:r>
        <w:rPr>
          <w:rFonts w:ascii="Arial" w:cs="Arial" w:eastAsia="Arial" w:hAnsi="Arial"/>
          <w:sz w:val="12"/>
          <w:szCs w:val="12"/>
          <w:color w:val="auto"/>
        </w:rPr>
        <w:t xml:space="preserve"> days from receipt of such written notice to notify MacroGenics in writing as to whether Gilead desires to negotiate for such rights, and if Gilead so notifies MacroGenics that it does desire to negotiate for such rights, the Parties shall, for a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days from the date of such notification to MacroGenics, negotiate in good faith the terms of a definitive agreement for such rights; provided, however, that if Gilead and MacroGenics do not enter into a definitive agreement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day period, Gilead’s rights under this Section 4.4 shall terminate and MacroGenics shall be free to enter into any licensing transaction to Commercialize the applicable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or </w:t>
      </w:r>
      <w:r>
        <w:rPr>
          <w:rFonts w:ascii="Arial" w:cs="Arial" w:eastAsia="Arial" w:hAnsi="Arial"/>
          <w:sz w:val="12"/>
          <w:szCs w:val="12"/>
          <w:b w:val="1"/>
          <w:bCs w:val="1"/>
          <w:color w:val="auto"/>
        </w:rPr>
        <w:t>***</w:t>
      </w:r>
      <w:r>
        <w:rPr>
          <w:rFonts w:ascii="Arial" w:cs="Arial" w:eastAsia="Arial" w:hAnsi="Arial"/>
          <w:sz w:val="12"/>
          <w:szCs w:val="12"/>
          <w:color w:val="auto"/>
        </w:rPr>
        <w:t>Licensed Product(s) in the Field in the MacroGenics Territory without further obligation to Gilead under this Section 4.4.</w:t>
      </w:r>
    </w:p>
    <w:p>
      <w:pPr>
        <w:spacing w:after="0" w:line="83" w:lineRule="exact"/>
        <w:rPr>
          <w:sz w:val="20"/>
          <w:szCs w:val="20"/>
          <w:color w:val="auto"/>
        </w:rPr>
      </w:pPr>
    </w:p>
    <w:p>
      <w:pPr>
        <w:ind w:right="180" w:firstLine="458"/>
        <w:spacing w:after="0" w:line="299"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Subcontracting</w:t>
      </w:r>
      <w:r>
        <w:rPr>
          <w:rFonts w:ascii="Arial" w:cs="Arial" w:eastAsia="Arial" w:hAnsi="Arial"/>
          <w:sz w:val="12"/>
          <w:szCs w:val="12"/>
          <w:color w:val="auto"/>
        </w:rPr>
        <w:t>. Subject to the terms of this Agreement, each Party shall have the right to engage Affiliates or Third Party subcontractors to perform activities ascribed to such Party, under this Agreement. Any Affiliate or subcontractor to be engaged by a Party to perform a Party’s obligations under this Agreement shall meet the qualifications typically required by such Party for the performance of work similar in scope and complexity to the subcontracted activity; provided, however, that any Party engaging an Affiliate or subcontractor hereunder shall remain fully responsible and obligated for such activities. In addition, each Party engaging a subcontractor shall (a) obtain such rights to any Know-How, Patents or other intellectual property rights created, discovered, invented, conceived or reduced to practice by such subcontractor with respect to any Program DART or Licensed Product as may be required for the Parties to exercise their rights and carry out their responsibilities under this Agreement with respect to such Program DART or Licensed Product without infringing the intellectual property rights of such subcontractor and, unless otherwise agreed by the other Party in writing, without incurring any additional costs that would be borne by the other Party, and (b) use Commercially Reasonable Efforts to obtain Control of any Know-How, Patents or other intellectual property rights created, discovered, invented, conceived or reduced to practice by such subcontractor with respect to any Program DART or Licensed Product.</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MacroGenics Third Party Agreements</w:t>
      </w:r>
      <w:r>
        <w:rPr>
          <w:rFonts w:ascii="Arial" w:cs="Arial" w:eastAsia="Arial" w:hAnsi="Arial"/>
          <w:sz w:val="14"/>
          <w:szCs w:val="14"/>
          <w:color w:val="auto"/>
        </w:rPr>
        <w:t>.</w:t>
      </w:r>
    </w:p>
    <w:p>
      <w:pPr>
        <w:spacing w:after="0" w:line="132"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 xml:space="preserve">4.6.1 In the event that MacroGenics enters into an agreement with a Third Party after the Effective Date that meets the criteria set forth in clause (a) of the definition of MacroGenics Third Party Agreements, then MacroGenics will promptly provide Gilead with notice and a copy of the applicable Third Party agreement.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following receipt of such notice, Gilead will decide, in its sole discretion, whether or not to accept the applicable Third Party agreement as a MacroGenics Third Party Agreement, and provide MacroGenics written notice of such decision. In the event that Gilead accepts such Third Party agreement as a MacroGenics Third Party Agreement, such agreement will thereafter be included within the definition of MacroGenics Third Party Agreements. In the event that Gilead does not accept such Third Party agreement as a MacroGenics Third Party Agreement, (a) Gilead and its Affiliates shall have no obligations with respect to such Third Party agreement and (b) to the extent there is a conflict between the terms of any such Third Party agreement and the terms of this Agreement, including the rights granted to Gilead hereunder, then as between Gilead and MacroGenics, the terms of this Agreement shall control.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8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4" w:right="259" w:bottom="1440" w:gutter="0" w:footer="0" w:header="0"/>
        </w:sectPr>
      </w:pPr>
    </w:p>
    <w:bookmarkStart w:id="563" w:name="page564"/>
    <w:bookmarkEnd w:id="563"/>
    <w:p>
      <w:pPr>
        <w:ind w:firstLine="917"/>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4.6.2 Gilead covenants to comply with, and to cause its Affiliates and Sublicensees to comply with, any MacroGenics Third Party Agreements, and to take any action or provide any information reasonably requested by MacroGenics to prevent any potential breach of any terms of such MacroGenics Third Party Agreements. To the extent there is a conflict between the terms of any MacroGenics Third Party Agreement and the rights granted to Gilead hereunder, the terms of such MacroGenics Third Party Agreement shall control solely with respect to the Patents and Know-How owned or controlled by such Third Party licensor. MacroGenics shall not terminate or consent to the termination of any MacroGenics Third Party Agreement without Gilead’s prior reasonable consent if such termination would affect any license or other rights of Gilead hereunder; provided, however, that MacroGenics may (a) ***.</w:t>
      </w:r>
    </w:p>
    <w:p>
      <w:pPr>
        <w:spacing w:after="0" w:line="84" w:lineRule="exact"/>
        <w:rPr>
          <w:sz w:val="20"/>
          <w:szCs w:val="20"/>
          <w:color w:val="auto"/>
        </w:rPr>
      </w:pPr>
    </w:p>
    <w:p>
      <w:pPr>
        <w:ind w:right="260" w:firstLine="458"/>
        <w:spacing w:after="0" w:line="311"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Rights Retained by the Parties</w:t>
      </w:r>
      <w:r>
        <w:rPr>
          <w:rFonts w:ascii="Arial" w:cs="Arial" w:eastAsia="Arial" w:hAnsi="Arial"/>
          <w:sz w:val="12"/>
          <w:szCs w:val="12"/>
          <w:color w:val="auto"/>
        </w:rPr>
        <w:t xml:space="preserve">. Any rights of MacroGenics or Gilead, as the case may be, not expressly granted to the other Party pursuant to this Agreement shall be retained by such Party. Notwithstanding the exclusive licenses granted to Gilead pursuant to Section 4.1, MacroGenics retains the right to (a) practice the MacroGenics IP and Joint IP to perform (and to sublicense Third Parties to perform) its obligations under this Agreement and in the exercise of its rights under the license grant set forth in Section 4.2(c); and (b) </w:t>
      </w:r>
      <w:r>
        <w:rPr>
          <w:rFonts w:ascii="Arial" w:cs="Arial" w:eastAsia="Arial" w:hAnsi="Arial"/>
          <w:sz w:val="12"/>
          <w:szCs w:val="12"/>
          <w:b w:val="1"/>
          <w:bCs w:val="1"/>
          <w:color w:val="auto"/>
        </w:rPr>
        <w:t>***</w:t>
      </w:r>
      <w:r>
        <w:rPr>
          <w:rFonts w:ascii="Arial" w:cs="Arial" w:eastAsia="Arial" w:hAnsi="Arial"/>
          <w:sz w:val="12"/>
          <w:szCs w:val="12"/>
          <w:color w:val="auto"/>
        </w:rPr>
        <w:t>. Notwithstanding the exclusive licenses granted to MacroGenics pursuant to Section 4.2, Gilead retains the right to practice the Gilead Collaboration IP and Joint IP in the exercise of its rights under the license grant set forth in Section 4.1.2(c).</w:t>
      </w:r>
    </w:p>
    <w:p>
      <w:pPr>
        <w:spacing w:after="0" w:line="79" w:lineRule="exact"/>
        <w:rPr>
          <w:sz w:val="20"/>
          <w:szCs w:val="20"/>
          <w:color w:val="auto"/>
        </w:rPr>
      </w:pPr>
    </w:p>
    <w:p>
      <w:pPr>
        <w:ind w:right="60" w:firstLine="458"/>
        <w:spacing w:after="0" w:line="298"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Section 365(n) of the Bankruptcy Code</w:t>
      </w:r>
      <w:r>
        <w:rPr>
          <w:rFonts w:ascii="Arial" w:cs="Arial" w:eastAsia="Arial" w:hAnsi="Arial"/>
          <w:sz w:val="12"/>
          <w:szCs w:val="12"/>
          <w:color w:val="auto"/>
        </w:rPr>
        <w:t>. All rights and licenses granted under or pursuant to any section of this Agreement are and will otherwise be deemed to be for purposes of Section 365(n) of the United States Bankruptcy Code (Title 11, U.S. Code), as amended (the “</w:t>
      </w:r>
      <w:r>
        <w:rPr>
          <w:rFonts w:ascii="Arial" w:cs="Arial" w:eastAsia="Arial" w:hAnsi="Arial"/>
          <w:sz w:val="12"/>
          <w:szCs w:val="12"/>
          <w:u w:val="single" w:color="auto"/>
          <w:color w:val="auto"/>
        </w:rPr>
        <w:t>Bankruptcy Code</w:t>
      </w:r>
      <w:r>
        <w:rPr>
          <w:rFonts w:ascii="Arial" w:cs="Arial" w:eastAsia="Arial" w:hAnsi="Arial"/>
          <w:sz w:val="12"/>
          <w:szCs w:val="12"/>
          <w:color w:val="auto"/>
        </w:rPr>
        <w:t>”), or any analogous provision of applicable Law outside the United States, licenses of rights to “intellectual property” as defined in Section 101(35A) of the Bankruptcy Code, or any analogous provision of applicable Law outside the United States. The Parties will retain and may fully exercise all of their respective rights and elections under the Bankruptcy Code or analogous provisions of applicable Law outside the United States. Each Party agrees that the other Party, as licensee of such rights under this Agreement, will retain and may fully exercise all of its rights and elections under the Bankruptcy Code or any other provisions of applicable Law outside the United States that provide similar protection for “intellectual property.” The Parties further agree that, in the event of the commencement of a bankruptcy proceeding by or against a Party under the U.S. Bankruptcy Code or analogous provisions of applicable Law outside the United States, the other Party will be entitled to a complete duplicate of (or complete access to, as appropriate) such intellectual property and all embodiments of such intellectual property, which, if not already in such Party’s possession, will be promptly delivered to it upon such Party’s written request thereof. Any agreements supplemental hereto will be deemed to be “agreements supplementary to” this Agreement for purposes of Section 365(n) of the Bankruptcy Code or any analogous provision of applicable Law outside the United States.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Exclusivity</w:t>
      </w:r>
      <w:r>
        <w:rPr>
          <w:rFonts w:ascii="Arial" w:cs="Arial" w:eastAsia="Arial" w:hAnsi="Arial"/>
          <w:sz w:val="14"/>
          <w:szCs w:val="14"/>
          <w:color w:val="auto"/>
        </w:rPr>
        <w:t>.</w:t>
      </w:r>
    </w:p>
    <w:p>
      <w:pPr>
        <w:spacing w:after="0" w:line="132" w:lineRule="exact"/>
        <w:rPr>
          <w:sz w:val="20"/>
          <w:szCs w:val="20"/>
          <w:color w:val="auto"/>
        </w:rPr>
      </w:pPr>
    </w:p>
    <w:p>
      <w:pPr>
        <w:ind w:right="660" w:firstLine="917"/>
        <w:spacing w:after="0" w:line="267" w:lineRule="auto"/>
        <w:rPr>
          <w:sz w:val="20"/>
          <w:szCs w:val="20"/>
          <w:color w:val="auto"/>
        </w:rPr>
      </w:pPr>
      <w:r>
        <w:rPr>
          <w:rFonts w:ascii="Arial" w:cs="Arial" w:eastAsia="Arial" w:hAnsi="Arial"/>
          <w:sz w:val="14"/>
          <w:szCs w:val="14"/>
          <w:color w:val="auto"/>
        </w:rPr>
        <w:t xml:space="preserve">4.9.1 During the term of this Agreement, other than with respect to the Research and Development activities pursuant to this Agreement or as permitted under Section 4.7(b), neither MacroGenics nor its Affiliates shall, </w:t>
      </w:r>
      <w:r>
        <w:rPr>
          <w:rFonts w:ascii="Arial" w:cs="Arial" w:eastAsia="Arial" w:hAnsi="Arial"/>
          <w:sz w:val="14"/>
          <w:szCs w:val="14"/>
          <w:b w:val="1"/>
          <w:bCs w:val="1"/>
          <w:color w:val="auto"/>
        </w:rPr>
        <w:t>***</w:t>
      </w:r>
      <w:r>
        <w:rPr>
          <w:rFonts w:ascii="Arial" w:cs="Arial" w:eastAsia="Arial" w:hAnsi="Arial"/>
          <w:sz w:val="14"/>
          <w:szCs w:val="14"/>
          <w:color w:val="auto"/>
        </w:rPr>
        <w:t>, (a) conduct or assist any Third Party in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12" w:lineRule="exact"/>
        <w:rPr>
          <w:sz w:val="20"/>
          <w:szCs w:val="20"/>
          <w:color w:val="auto"/>
        </w:rPr>
      </w:pPr>
    </w:p>
    <w:p>
      <w:pPr>
        <w:ind w:left="3840" w:right="2660" w:hanging="1135"/>
        <w:spacing w:after="0" w:line="341" w:lineRule="auto"/>
        <w:tabs>
          <w:tab w:leader="none" w:pos="2944" w:val="left"/>
        </w:tabs>
        <w:numPr>
          <w:ilvl w:val="0"/>
          <w:numId w:val="58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6" w:right="259" w:bottom="1440" w:gutter="0" w:footer="0" w:header="0"/>
        </w:sectPr>
      </w:pPr>
    </w:p>
    <w:bookmarkStart w:id="564" w:name="page565"/>
    <w:bookmarkEnd w:id="564"/>
    <w:p>
      <w:pPr>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conducting any Research, Development, Manufacture or Commercialization of a Competing Product in the Gilead Territory, (b) </w:t>
      </w:r>
      <w:r>
        <w:rPr>
          <w:rFonts w:ascii="Arial" w:cs="Arial" w:eastAsia="Arial" w:hAnsi="Arial"/>
          <w:sz w:val="14"/>
          <w:szCs w:val="14"/>
          <w:b w:val="1"/>
          <w:bCs w:val="1"/>
          <w:color w:val="auto"/>
        </w:rPr>
        <w:t>***</w:t>
      </w:r>
      <w:r>
        <w:rPr>
          <w:rFonts w:ascii="Arial" w:cs="Arial" w:eastAsia="Arial" w:hAnsi="Arial"/>
          <w:sz w:val="14"/>
          <w:szCs w:val="14"/>
          <w:color w:val="auto"/>
        </w:rPr>
        <w:t xml:space="preserve"> (c) grant any license or other rights to any Third Party under its interests in the MacroGenics IP or Joint IP to Research, Develop, Manufacture or Commercialize a Competing Product in the Gilead Territory. Notwithstanding the foregoing, MacroGenics shall not be deemed to have breached its obligations under clause (a) of this Section 4.9.1 solely as a result of activities conducted by a Third Party licensee, sublicensee or collaborator of MacroGenics if (x) the conduct of such activities by such Third Party violates the terms of the applicable agreement between MacroGenics and such Third Party and (y) MacroGenics uses reasonable efforts to enforce the terms of such agreement against such Third Party.</w:t>
      </w:r>
    </w:p>
    <w:p>
      <w:pPr>
        <w:spacing w:after="0" w:line="111" w:lineRule="exact"/>
        <w:rPr>
          <w:sz w:val="20"/>
          <w:szCs w:val="20"/>
          <w:color w:val="auto"/>
        </w:rPr>
      </w:pPr>
    </w:p>
    <w:p>
      <w:pPr>
        <w:ind w:firstLine="917"/>
        <w:spacing w:after="0" w:line="351" w:lineRule="auto"/>
        <w:rPr>
          <w:sz w:val="20"/>
          <w:szCs w:val="20"/>
          <w:color w:val="auto"/>
        </w:rPr>
      </w:pPr>
      <w:r>
        <w:rPr>
          <w:rFonts w:ascii="Arial" w:cs="Arial" w:eastAsia="Arial" w:hAnsi="Arial"/>
          <w:sz w:val="12"/>
          <w:szCs w:val="12"/>
          <w:color w:val="auto"/>
        </w:rPr>
        <w:t>4.9.2 Subject to Section 15.4, in the event of an acquisition of MacroGenics or its assets or equity by a Third Party, the prohibitions set forth in Section 4.9.1 shall not apply to the extent a breach of Section 4.9.1 would result from an activity or conduct by such Third Party where such Third Party was engaged in such activity or conduct prior to such acquisition.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DEVELOPMENT</w:t>
      </w:r>
    </w:p>
    <w:p>
      <w:pPr>
        <w:spacing w:after="0" w:line="126" w:lineRule="exact"/>
        <w:rPr>
          <w:sz w:val="20"/>
          <w:szCs w:val="20"/>
          <w:color w:val="auto"/>
        </w:rPr>
      </w:pPr>
    </w:p>
    <w:p>
      <w:pPr>
        <w:ind w:firstLine="458"/>
        <w:spacing w:after="0" w:line="305"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Overview</w:t>
      </w:r>
      <w:r>
        <w:rPr>
          <w:rFonts w:ascii="Arial" w:cs="Arial" w:eastAsia="Arial" w:hAnsi="Arial"/>
          <w:sz w:val="12"/>
          <w:szCs w:val="12"/>
          <w:color w:val="auto"/>
        </w:rPr>
        <w:t>. Following receipt by MacroGenics of a Preclinical Milestone Payment Notice for any Licensed Program, Gilead will, subject to the terms of this Agreement, be responsible for the Development of Licensed Products from such Licensed Program in the Field for the Gilead Territory. Following receipt by MacroGenics of a Preclinical Milestone Payment Notice for the *** Licensed Program, MacroGenics will, subject to the terms of this Agreement, be responsible for Development of Licensed Products from the *** Licensed Program in the Field for the MacroGenics Territory. While the Parties may choose, at their sole discretion, to work together on particular projects, except as otherwise provided in this Agreement, the Parties will operate independently in their activities for their respective Development of Licensed Products, but will provide access to certain information to each other as expressly described in this Agreement.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Gilead Diligence Obligations</w:t>
      </w:r>
      <w:r>
        <w:rPr>
          <w:rFonts w:ascii="Arial" w:cs="Arial" w:eastAsia="Arial" w:hAnsi="Arial"/>
          <w:sz w:val="14"/>
          <w:szCs w:val="14"/>
          <w:color w:val="auto"/>
        </w:rPr>
        <w:t xml:space="preserve">. Gilead shall, at its own expense, use Commercially Reasonable Efforts to Develop and obtain Regulatory Approval for (a) in the </w:t>
      </w:r>
      <w:r>
        <w:rPr>
          <w:rFonts w:ascii="Arial" w:cs="Arial" w:eastAsia="Arial" w:hAnsi="Arial"/>
          <w:sz w:val="14"/>
          <w:szCs w:val="14"/>
          <w:b w:val="1"/>
          <w:bCs w:val="1"/>
          <w:color w:val="auto"/>
        </w:rPr>
        <w:t>***</w:t>
      </w:r>
      <w:r>
        <w:rPr>
          <w:rFonts w:ascii="Arial" w:cs="Arial" w:eastAsia="Arial" w:hAnsi="Arial"/>
          <w:sz w:val="14"/>
          <w:szCs w:val="14"/>
          <w:color w:val="auto"/>
        </w:rPr>
        <w:t xml:space="preserve"> and (b) in</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2" w:lineRule="exact"/>
        <w:rPr>
          <w:sz w:val="20"/>
          <w:szCs w:val="20"/>
          <w:color w:val="auto"/>
        </w:rPr>
      </w:pPr>
    </w:p>
    <w:p>
      <w:pPr>
        <w:ind w:right="40" w:firstLine="458"/>
        <w:spacing w:after="0" w:line="253"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Joint Development Activities</w:t>
      </w:r>
      <w:r>
        <w:rPr>
          <w:rFonts w:ascii="Arial" w:cs="Arial" w:eastAsia="Arial" w:hAnsi="Arial"/>
          <w:sz w:val="14"/>
          <w:szCs w:val="14"/>
          <w:color w:val="auto"/>
        </w:rPr>
        <w:t xml:space="preserve">.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from time to time during the License Term, either Party may submit a proposal to the other Party through the Alliance Managers to jointly conduct Development activities specifically designed for the purpose of facilitating Regulatory Approval of a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 in both the Gilead Territory and the MacroGenics Territory (a “</w:t>
      </w:r>
      <w:r>
        <w:rPr>
          <w:rFonts w:ascii="Arial" w:cs="Arial" w:eastAsia="Arial" w:hAnsi="Arial"/>
          <w:sz w:val="14"/>
          <w:szCs w:val="14"/>
          <w:u w:val="single" w:color="auto"/>
          <w:color w:val="auto"/>
        </w:rPr>
        <w:t>Joint Development Activity</w:t>
      </w:r>
      <w:r>
        <w:rPr>
          <w:rFonts w:ascii="Arial" w:cs="Arial" w:eastAsia="Arial" w:hAnsi="Arial"/>
          <w:sz w:val="14"/>
          <w:szCs w:val="14"/>
          <w:color w:val="auto"/>
        </w:rPr>
        <w:t>”). In the event that the Parties mutually agree to conduct such Joint Development Activity, the Parties will (a) agree in writing to a written work plan and time table for conducting such Joint Development Activity and a mechanism for adopting amendments thereto; (b) agree in writing to governance and management mechanisms for such Joint Development Activity, including coordination of such Joint Development Activity through the Alliance Managers; and (c) negotiate in good faith a budget therefor, a mechanism for adopting amendments thereto, and an equitable allocation of costs between the Parties.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8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565" w:name="page566"/>
    <w:bookmarkEnd w:id="56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5.4 </w:t>
      </w:r>
      <w:r>
        <w:rPr>
          <w:rFonts w:ascii="Arial" w:cs="Arial" w:eastAsia="Arial" w:hAnsi="Arial"/>
          <w:sz w:val="14"/>
          <w:szCs w:val="14"/>
          <w:u w:val="single" w:color="auto"/>
          <w:color w:val="auto"/>
        </w:rPr>
        <w:t>Gilead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Clinical Trials</w:t>
      </w:r>
      <w:r>
        <w:rPr>
          <w:rFonts w:ascii="Arial" w:cs="Arial" w:eastAsia="Arial" w:hAnsi="Arial"/>
          <w:sz w:val="14"/>
          <w:szCs w:val="14"/>
          <w:color w:val="auto"/>
        </w:rPr>
        <w:t>.</w:t>
      </w:r>
    </w:p>
    <w:p>
      <w:pPr>
        <w:spacing w:after="0" w:line="134"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 xml:space="preserve">5.4.1 In the event that Gilead or one of its Affiliates or Sublicensees desires to conduct, directly or indirectly, any Clinical Trial or other clinical study, including any investigator initiated studies sponsored by Gilead or its Affiliates or Sublicensees, of any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 or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Product in any country in the MacroGenics Territory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1" w:lineRule="exact"/>
        <w:rPr>
          <w:sz w:val="20"/>
          <w:szCs w:val="20"/>
          <w:color w:val="auto"/>
        </w:rPr>
      </w:pPr>
    </w:p>
    <w:p>
      <w:pPr>
        <w:ind w:left="1680" w:hanging="187"/>
        <w:spacing w:after="0"/>
        <w:tabs>
          <w:tab w:leader="none" w:pos="1680" w:val="left"/>
        </w:tabs>
        <w:numPr>
          <w:ilvl w:val="0"/>
          <w:numId w:val="588"/>
        </w:numPr>
        <w:rPr>
          <w:rFonts w:ascii="Arial" w:cs="Arial" w:eastAsia="Arial" w:hAnsi="Arial"/>
          <w:sz w:val="12"/>
          <w:szCs w:val="12"/>
          <w:color w:val="auto"/>
        </w:rPr>
      </w:pPr>
      <w:r>
        <w:rPr>
          <w:rFonts w:ascii="Arial" w:cs="Arial" w:eastAsia="Arial" w:hAnsi="Arial"/>
          <w:sz w:val="12"/>
          <w:szCs w:val="12"/>
          <w:color w:val="auto"/>
        </w:rPr>
        <w:t>MacroGenics shall have the right to review a draft of the protocol of such Clinical Trial or study reasonably in advance of the commencement of such Clinical Trial or study;</w:t>
      </w:r>
    </w:p>
    <w:p>
      <w:pPr>
        <w:spacing w:after="0" w:line="152" w:lineRule="exact"/>
        <w:rPr>
          <w:rFonts w:ascii="Arial" w:cs="Arial" w:eastAsia="Arial" w:hAnsi="Arial"/>
          <w:sz w:val="12"/>
          <w:szCs w:val="12"/>
          <w:color w:val="auto"/>
        </w:rPr>
      </w:pPr>
    </w:p>
    <w:p>
      <w:pPr>
        <w:ind w:right="60" w:firstLine="1493"/>
        <w:spacing w:after="0" w:line="270" w:lineRule="auto"/>
        <w:tabs>
          <w:tab w:leader="none" w:pos="1682" w:val="left"/>
        </w:tabs>
        <w:numPr>
          <w:ilvl w:val="0"/>
          <w:numId w:val="588"/>
        </w:numPr>
        <w:rPr>
          <w:rFonts w:ascii="Arial" w:cs="Arial" w:eastAsia="Arial" w:hAnsi="Arial"/>
          <w:sz w:val="14"/>
          <w:szCs w:val="14"/>
          <w:color w:val="auto"/>
        </w:rPr>
      </w:pPr>
      <w:r>
        <w:rPr>
          <w:rFonts w:ascii="Arial" w:cs="Arial" w:eastAsia="Arial" w:hAnsi="Arial"/>
          <w:sz w:val="14"/>
          <w:szCs w:val="14"/>
          <w:color w:val="auto"/>
        </w:rPr>
        <w:t xml:space="preserve">MacroGenics shall have the right to provide comments on such draft protocol to Gilead no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weeks after receipt by MacroGenics thereof, and Gilead (or its applicable Affiliate or Sublicensee) shall reasonably consider such comments;</w:t>
      </w:r>
    </w:p>
    <w:p>
      <w:pPr>
        <w:spacing w:after="0" w:line="99" w:lineRule="exact"/>
        <w:rPr>
          <w:rFonts w:ascii="Arial" w:cs="Arial" w:eastAsia="Arial" w:hAnsi="Arial"/>
          <w:sz w:val="14"/>
          <w:szCs w:val="14"/>
          <w:color w:val="auto"/>
        </w:rPr>
      </w:pPr>
    </w:p>
    <w:p>
      <w:pPr>
        <w:ind w:right="120" w:firstLine="1493"/>
        <w:spacing w:after="0" w:line="311" w:lineRule="auto"/>
        <w:tabs>
          <w:tab w:leader="none" w:pos="1675" w:val="left"/>
        </w:tabs>
        <w:numPr>
          <w:ilvl w:val="0"/>
          <w:numId w:val="588"/>
        </w:numPr>
        <w:rPr>
          <w:rFonts w:ascii="Arial" w:cs="Arial" w:eastAsia="Arial" w:hAnsi="Arial"/>
          <w:sz w:val="12"/>
          <w:szCs w:val="12"/>
          <w:color w:val="auto"/>
        </w:rPr>
      </w:pPr>
      <w:r>
        <w:rPr>
          <w:rFonts w:ascii="Arial" w:cs="Arial" w:eastAsia="Arial" w:hAnsi="Arial"/>
          <w:sz w:val="12"/>
          <w:szCs w:val="12"/>
          <w:color w:val="auto"/>
        </w:rPr>
        <w:t>MacroGenics shall have the right to object to such protocol based on a Significant Adverse Effect (a “</w:t>
      </w:r>
      <w:r>
        <w:rPr>
          <w:rFonts w:ascii="Arial" w:cs="Arial" w:eastAsia="Arial" w:hAnsi="Arial"/>
          <w:sz w:val="12"/>
          <w:szCs w:val="12"/>
          <w:u w:val="single" w:color="auto"/>
          <w:color w:val="auto"/>
        </w:rPr>
        <w:t>MacroGenics Objection</w:t>
      </w:r>
      <w:r>
        <w:rPr>
          <w:rFonts w:ascii="Arial" w:cs="Arial" w:eastAsia="Arial" w:hAnsi="Arial"/>
          <w:sz w:val="12"/>
          <w:szCs w:val="12"/>
          <w:color w:val="auto"/>
        </w:rPr>
        <w:t xml:space="preserve">”), provided that (i) the basis of such MacroGenics Objection is consistently applied by MacroGenics to its and Gilead’s active and completed Clinical Trials or other studies 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(ii) such MacroGenics Objection is made by written notice to Gilead no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weeks after receipt by MacroGenics of the protocol, and such written notice specifically identifies, in reasonable detail, the potential risk such Clinical Trial or study may pose. Gilead may proceed with any such Clinical Trial or study in the event that MacroGenics does not provide written notice of a MacroGenics Objection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week period;</w:t>
      </w:r>
    </w:p>
    <w:p>
      <w:pPr>
        <w:spacing w:after="0" w:line="76" w:lineRule="exact"/>
        <w:rPr>
          <w:rFonts w:ascii="Arial" w:cs="Arial" w:eastAsia="Arial" w:hAnsi="Arial"/>
          <w:sz w:val="12"/>
          <w:szCs w:val="12"/>
          <w:color w:val="auto"/>
        </w:rPr>
      </w:pPr>
    </w:p>
    <w:p>
      <w:pPr>
        <w:ind w:left="1680" w:hanging="187"/>
        <w:spacing w:after="0"/>
        <w:tabs>
          <w:tab w:leader="none" w:pos="1680" w:val="left"/>
        </w:tabs>
        <w:numPr>
          <w:ilvl w:val="0"/>
          <w:numId w:val="588"/>
        </w:numPr>
        <w:rPr>
          <w:rFonts w:ascii="Arial" w:cs="Arial" w:eastAsia="Arial" w:hAnsi="Arial"/>
          <w:sz w:val="12"/>
          <w:szCs w:val="12"/>
          <w:color w:val="auto"/>
        </w:rPr>
      </w:pPr>
      <w:r>
        <w:rPr>
          <w:rFonts w:ascii="Arial" w:cs="Arial" w:eastAsia="Arial" w:hAnsi="Arial"/>
          <w:sz w:val="12"/>
          <w:szCs w:val="12"/>
          <w:color w:val="auto"/>
        </w:rPr>
        <w:t xml:space="preserve">in the event MacroGenics timely and appropriately delivers notice of a MacroGenics Objection to Gilead, (i) the Parties’ respective clinical development teams shall, within </w:t>
      </w:r>
      <w:r>
        <w:rPr>
          <w:rFonts w:ascii="Arial" w:cs="Arial" w:eastAsia="Arial" w:hAnsi="Arial"/>
          <w:sz w:val="12"/>
          <w:szCs w:val="12"/>
          <w:b w:val="1"/>
          <w:bCs w:val="1"/>
          <w:color w:val="auto"/>
        </w:rPr>
        <w:t>***</w:t>
      </w:r>
    </w:p>
    <w:p>
      <w:pPr>
        <w:spacing w:after="0" w:line="37" w:lineRule="exact"/>
        <w:rPr>
          <w:rFonts w:ascii="Arial" w:cs="Arial" w:eastAsia="Arial" w:hAnsi="Arial"/>
          <w:sz w:val="12"/>
          <w:szCs w:val="12"/>
          <w:color w:val="auto"/>
        </w:rPr>
      </w:pPr>
    </w:p>
    <w:p>
      <w:pPr>
        <w:spacing w:after="0" w:line="251" w:lineRule="auto"/>
        <w:rPr>
          <w:rFonts w:ascii="Arial" w:cs="Arial" w:eastAsia="Arial" w:hAnsi="Arial"/>
          <w:sz w:val="12"/>
          <w:szCs w:val="12"/>
          <w:color w:val="auto"/>
        </w:rPr>
      </w:pPr>
      <w:r>
        <w:rPr>
          <w:rFonts w:ascii="Arial" w:cs="Arial" w:eastAsia="Arial" w:hAnsi="Arial"/>
          <w:sz w:val="14"/>
          <w:szCs w:val="14"/>
          <w:color w:val="auto"/>
        </w:rPr>
        <w:t xml:space="preserve">Business Days following the delivery of such notice, convene for the purpose of discussing in good faith and resolving the MacroGenics Objection, and (ii) (x) if conducting such Clinical Trial or study is reasonably necessary for obtaining or maintaining Marketing Approval for a Licensed Product in the </w:t>
      </w:r>
      <w:r>
        <w:rPr>
          <w:rFonts w:ascii="Arial" w:cs="Arial" w:eastAsia="Arial" w:hAnsi="Arial"/>
          <w:sz w:val="14"/>
          <w:szCs w:val="14"/>
          <w:b w:val="1"/>
          <w:bCs w:val="1"/>
          <w:color w:val="auto"/>
        </w:rPr>
        <w:t>***</w:t>
      </w:r>
      <w:r>
        <w:rPr>
          <w:rFonts w:ascii="Arial" w:cs="Arial" w:eastAsia="Arial" w:hAnsi="Arial"/>
          <w:sz w:val="14"/>
          <w:szCs w:val="14"/>
          <w:color w:val="auto"/>
        </w:rPr>
        <w:t>, then Gilead or its applicable Affiliate or Sublicensee may conduct (or sponsor, as applicable) such Clinical Trial or study without the approval of MacroGenics, and (y) in all other cases, Gilead or its applicable Affiliate or Sublicensee may not conduct (or sponsor, as applicable) such Clinical Trial or study without the prior written approval of MacroGenics (not to be unreasonably withheld, conditioned or delayed); provided, however, that withholding, conditioning or delaying such approval based on the continued existence of a Significant Adverse Effect shall be deemed not unreasonable; and</w:t>
      </w:r>
    </w:p>
    <w:p>
      <w:pPr>
        <w:spacing w:after="0" w:line="113" w:lineRule="exact"/>
        <w:rPr>
          <w:rFonts w:ascii="Arial" w:cs="Arial" w:eastAsia="Arial" w:hAnsi="Arial"/>
          <w:sz w:val="12"/>
          <w:szCs w:val="12"/>
          <w:color w:val="auto"/>
        </w:rPr>
      </w:pPr>
    </w:p>
    <w:p>
      <w:pPr>
        <w:ind w:right="80" w:firstLine="1493"/>
        <w:spacing w:after="0" w:line="267" w:lineRule="auto"/>
        <w:tabs>
          <w:tab w:leader="none" w:pos="1675" w:val="left"/>
        </w:tabs>
        <w:numPr>
          <w:ilvl w:val="0"/>
          <w:numId w:val="588"/>
        </w:numPr>
        <w:rPr>
          <w:rFonts w:ascii="Arial" w:cs="Arial" w:eastAsia="Arial" w:hAnsi="Arial"/>
          <w:sz w:val="14"/>
          <w:szCs w:val="14"/>
          <w:color w:val="auto"/>
        </w:rPr>
      </w:pPr>
      <w:r>
        <w:rPr>
          <w:rFonts w:ascii="Arial" w:cs="Arial" w:eastAsia="Arial" w:hAnsi="Arial"/>
          <w:sz w:val="14"/>
          <w:szCs w:val="14"/>
          <w:color w:val="auto"/>
        </w:rPr>
        <w:t>in the event any protocol for any Clinical Trial or study previously reviewed by Gilead pursuant to this Section 5.4.1 is materially changed, such Clinical Trial or study under such changed protocol shall again be subject to the provisions of this Section 5.4.1 as if it were a new Clinical Trial or study.</w:t>
      </w:r>
    </w:p>
    <w:p>
      <w:pPr>
        <w:spacing w:after="0" w:line="101" w:lineRule="exact"/>
        <w:rPr>
          <w:sz w:val="20"/>
          <w:szCs w:val="20"/>
          <w:color w:val="auto"/>
        </w:rPr>
      </w:pPr>
    </w:p>
    <w:p>
      <w:pPr>
        <w:ind w:right="300" w:firstLine="917"/>
        <w:spacing w:after="0" w:line="267" w:lineRule="auto"/>
        <w:rPr>
          <w:sz w:val="20"/>
          <w:szCs w:val="20"/>
          <w:color w:val="auto"/>
        </w:rPr>
      </w:pPr>
      <w:r>
        <w:rPr>
          <w:rFonts w:ascii="Arial" w:cs="Arial" w:eastAsia="Arial" w:hAnsi="Arial"/>
          <w:sz w:val="14"/>
          <w:szCs w:val="14"/>
          <w:color w:val="auto"/>
        </w:rPr>
        <w:t xml:space="preserve">5.4.2 Without the prior written consent of MacroGenics, neither Gilead nor any of its Affiliates or Sublicensees shall conduct, directly or indirectly, any Clinical Trial or other clinical study, including any investigator initiated studies sponsored by Gilead or its Affiliates or Sublicensees, of any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 or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Product in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8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566" w:name="page567"/>
    <w:bookmarkEnd w:id="566"/>
    <w:p>
      <w:pPr>
        <w:jc w:val="both"/>
        <w:ind w:firstLine="917"/>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5.4.3 In the event that Gilead or one of its Affiliates or Sublicensees desires to conduct, directly or indirectly, any Clinical Trial or other clinical study, including any investigator initiated studies sponsored by Gilead or its Affiliates or Sublicensees, of any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 or </w:t>
      </w:r>
      <w:r>
        <w:rPr>
          <w:rFonts w:ascii="Arial" w:cs="Arial" w:eastAsia="Arial" w:hAnsi="Arial"/>
          <w:sz w:val="14"/>
          <w:szCs w:val="14"/>
          <w:b w:val="1"/>
          <w:bCs w:val="1"/>
          <w:color w:val="auto"/>
        </w:rPr>
        <w:t>***</w:t>
      </w:r>
      <w:r>
        <w:rPr>
          <w:rFonts w:ascii="Arial" w:cs="Arial" w:eastAsia="Arial" w:hAnsi="Arial"/>
          <w:sz w:val="14"/>
          <w:szCs w:val="14"/>
          <w:color w:val="auto"/>
        </w:rPr>
        <w:t>Licensed Product in the Gilead Territory, MacroGenics shall have the right to review a draft of the protocol of such Clinical Trial or study reasonably in advance of the commencement of such Clinical Trial or study.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MacroGenics</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u w:val="single" w:color="auto"/>
          <w:color w:val="auto"/>
        </w:rPr>
        <w:t>Clinical Trials</w:t>
      </w:r>
      <w:r>
        <w:rPr>
          <w:rFonts w:ascii="Arial" w:cs="Arial" w:eastAsia="Arial" w:hAnsi="Arial"/>
          <w:sz w:val="14"/>
          <w:szCs w:val="14"/>
          <w:color w:val="auto"/>
        </w:rPr>
        <w:t>.</w:t>
      </w:r>
    </w:p>
    <w:p>
      <w:pPr>
        <w:spacing w:after="0" w:line="134" w:lineRule="exact"/>
        <w:rPr>
          <w:sz w:val="20"/>
          <w:szCs w:val="20"/>
          <w:color w:val="auto"/>
        </w:rPr>
      </w:pPr>
    </w:p>
    <w:p>
      <w:pPr>
        <w:ind w:right="80" w:firstLine="917"/>
        <w:spacing w:after="0" w:line="267" w:lineRule="auto"/>
        <w:rPr>
          <w:sz w:val="20"/>
          <w:szCs w:val="20"/>
          <w:color w:val="auto"/>
        </w:rPr>
      </w:pPr>
      <w:r>
        <w:rPr>
          <w:rFonts w:ascii="Arial" w:cs="Arial" w:eastAsia="Arial" w:hAnsi="Arial"/>
          <w:sz w:val="14"/>
          <w:szCs w:val="14"/>
          <w:color w:val="auto"/>
        </w:rPr>
        <w:t xml:space="preserve">5.5.1 In the event that MacroGenics or one of its Affiliates or Sublicensees desires to conduct, directly or indirectly, any Clinical Trial or other clinical study, including any investigator initiated studies sponsored by MacroGenics or its Affiliates or Sublicensees, of any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 or </w:t>
      </w:r>
      <w:r>
        <w:rPr>
          <w:rFonts w:ascii="Arial" w:cs="Arial" w:eastAsia="Arial" w:hAnsi="Arial"/>
          <w:sz w:val="14"/>
          <w:szCs w:val="14"/>
          <w:b w:val="1"/>
          <w:bCs w:val="1"/>
          <w:color w:val="auto"/>
        </w:rPr>
        <w:t>***</w:t>
      </w:r>
      <w:r>
        <w:rPr>
          <w:rFonts w:ascii="Arial" w:cs="Arial" w:eastAsia="Arial" w:hAnsi="Arial"/>
          <w:sz w:val="14"/>
          <w:szCs w:val="14"/>
          <w:color w:val="auto"/>
        </w:rPr>
        <w:t>Licensed Product:</w:t>
      </w:r>
    </w:p>
    <w:p>
      <w:pPr>
        <w:spacing w:after="0" w:line="101" w:lineRule="exact"/>
        <w:rPr>
          <w:sz w:val="20"/>
          <w:szCs w:val="20"/>
          <w:color w:val="auto"/>
        </w:rPr>
      </w:pPr>
    </w:p>
    <w:p>
      <w:pPr>
        <w:ind w:left="1680" w:hanging="187"/>
        <w:spacing w:after="0"/>
        <w:tabs>
          <w:tab w:leader="none" w:pos="1680" w:val="left"/>
        </w:tabs>
        <w:numPr>
          <w:ilvl w:val="0"/>
          <w:numId w:val="590"/>
        </w:numPr>
        <w:rPr>
          <w:rFonts w:ascii="Arial" w:cs="Arial" w:eastAsia="Arial" w:hAnsi="Arial"/>
          <w:sz w:val="12"/>
          <w:szCs w:val="12"/>
          <w:color w:val="auto"/>
        </w:rPr>
      </w:pPr>
      <w:r>
        <w:rPr>
          <w:rFonts w:ascii="Arial" w:cs="Arial" w:eastAsia="Arial" w:hAnsi="Arial"/>
          <w:sz w:val="12"/>
          <w:szCs w:val="12"/>
          <w:color w:val="auto"/>
        </w:rPr>
        <w:t>Gilead shall have the right to review a draft of the protocol of such Clinical Trial or study reasonably in advance of the commencement of such Clinical Trial or study;</w:t>
      </w:r>
    </w:p>
    <w:p>
      <w:pPr>
        <w:spacing w:after="0" w:line="152" w:lineRule="exact"/>
        <w:rPr>
          <w:rFonts w:ascii="Arial" w:cs="Arial" w:eastAsia="Arial" w:hAnsi="Arial"/>
          <w:sz w:val="12"/>
          <w:szCs w:val="12"/>
          <w:color w:val="auto"/>
        </w:rPr>
      </w:pPr>
    </w:p>
    <w:p>
      <w:pPr>
        <w:ind w:right="60" w:firstLine="1493"/>
        <w:spacing w:after="0" w:line="270" w:lineRule="auto"/>
        <w:tabs>
          <w:tab w:leader="none" w:pos="1682" w:val="left"/>
        </w:tabs>
        <w:numPr>
          <w:ilvl w:val="0"/>
          <w:numId w:val="590"/>
        </w:numPr>
        <w:rPr>
          <w:rFonts w:ascii="Arial" w:cs="Arial" w:eastAsia="Arial" w:hAnsi="Arial"/>
          <w:sz w:val="14"/>
          <w:szCs w:val="14"/>
          <w:color w:val="auto"/>
        </w:rPr>
      </w:pPr>
      <w:r>
        <w:rPr>
          <w:rFonts w:ascii="Arial" w:cs="Arial" w:eastAsia="Arial" w:hAnsi="Arial"/>
          <w:sz w:val="14"/>
          <w:szCs w:val="14"/>
          <w:color w:val="auto"/>
        </w:rPr>
        <w:t xml:space="preserve">Gilead shall have the right to provide comments on such draft protocol to MacroGenics no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weeks after receipt by Gilead thereof, and MacroGenics (or its applicable Affiliate or Sublicensee) shall reasonably consider such comments;</w:t>
      </w:r>
    </w:p>
    <w:p>
      <w:pPr>
        <w:spacing w:after="0" w:line="99" w:lineRule="exact"/>
        <w:rPr>
          <w:rFonts w:ascii="Arial" w:cs="Arial" w:eastAsia="Arial" w:hAnsi="Arial"/>
          <w:sz w:val="14"/>
          <w:szCs w:val="14"/>
          <w:color w:val="auto"/>
        </w:rPr>
      </w:pPr>
    </w:p>
    <w:p>
      <w:pPr>
        <w:ind w:right="280" w:firstLine="1493"/>
        <w:spacing w:after="0" w:line="311" w:lineRule="auto"/>
        <w:tabs>
          <w:tab w:leader="none" w:pos="1675" w:val="left"/>
        </w:tabs>
        <w:numPr>
          <w:ilvl w:val="0"/>
          <w:numId w:val="590"/>
        </w:numPr>
        <w:rPr>
          <w:rFonts w:ascii="Arial" w:cs="Arial" w:eastAsia="Arial" w:hAnsi="Arial"/>
          <w:sz w:val="12"/>
          <w:szCs w:val="12"/>
          <w:color w:val="auto"/>
        </w:rPr>
      </w:pPr>
      <w:r>
        <w:rPr>
          <w:rFonts w:ascii="Arial" w:cs="Arial" w:eastAsia="Arial" w:hAnsi="Arial"/>
          <w:sz w:val="12"/>
          <w:szCs w:val="12"/>
          <w:color w:val="auto"/>
        </w:rPr>
        <w:t>Gilead shall have the right to object to such protocol based on a Significant Adverse Effect (a “</w:t>
      </w:r>
      <w:r>
        <w:rPr>
          <w:rFonts w:ascii="Arial" w:cs="Arial" w:eastAsia="Arial" w:hAnsi="Arial"/>
          <w:sz w:val="12"/>
          <w:szCs w:val="12"/>
          <w:u w:val="single" w:color="auto"/>
          <w:color w:val="auto"/>
        </w:rPr>
        <w:t>Gilead Objection</w:t>
      </w:r>
      <w:r>
        <w:rPr>
          <w:rFonts w:ascii="Arial" w:cs="Arial" w:eastAsia="Arial" w:hAnsi="Arial"/>
          <w:sz w:val="12"/>
          <w:szCs w:val="12"/>
          <w:color w:val="auto"/>
        </w:rPr>
        <w:t xml:space="preserve">”), provided that (i) the basis of such Gilead Objection is consistently applied by Gilead to its and MacroGenics’ active and completed Clinical Trials or other studies 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(ii) such Gilead Objection is made by written notice to MacroGenics no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weeks after receipt by Gilead of the protocol, and such written notice specifically identifies, in reasonable detail, the potential risk such Clinical Trial or study may pose. MacroGenics may proceed with any such Clinical Trial or study in the event that Gilead does not provide written notice of a Gilead Objection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week period; and</w:t>
      </w:r>
    </w:p>
    <w:p>
      <w:pPr>
        <w:spacing w:after="0" w:line="78" w:lineRule="exact"/>
        <w:rPr>
          <w:rFonts w:ascii="Arial" w:cs="Arial" w:eastAsia="Arial" w:hAnsi="Arial"/>
          <w:sz w:val="12"/>
          <w:szCs w:val="12"/>
          <w:color w:val="auto"/>
        </w:rPr>
      </w:pPr>
    </w:p>
    <w:p>
      <w:pPr>
        <w:ind w:right="20" w:firstLine="1493"/>
        <w:spacing w:after="0" w:line="311" w:lineRule="auto"/>
        <w:tabs>
          <w:tab w:leader="none" w:pos="1682" w:val="left"/>
        </w:tabs>
        <w:numPr>
          <w:ilvl w:val="0"/>
          <w:numId w:val="590"/>
        </w:numPr>
        <w:rPr>
          <w:rFonts w:ascii="Arial" w:cs="Arial" w:eastAsia="Arial" w:hAnsi="Arial"/>
          <w:sz w:val="12"/>
          <w:szCs w:val="12"/>
          <w:color w:val="auto"/>
        </w:rPr>
      </w:pPr>
      <w:r>
        <w:rPr>
          <w:rFonts w:ascii="Arial" w:cs="Arial" w:eastAsia="Arial" w:hAnsi="Arial"/>
          <w:sz w:val="12"/>
          <w:szCs w:val="12"/>
          <w:color w:val="auto"/>
        </w:rPr>
        <w:t>in the event Gilead timely and appropriately delivers notice of a Gilead Objection to MacroGenics, (i) the Parties’ respective clinical development teams shall, within *** Business Days following the delivery of such notice, convene for the purpose of discussing in good faith and resolving the Gilead Objection, and (ii) without the prior written approval of Gilead (not to be unreasonably withheld, conditioned or delayed; provided, however, that withholding, conditioning or delaying such approval based on the continued existence of a Significant Adverse Effect shall be deemed not unreasonable), MacroGenics or its applicable Affiliate or Sublicensee shall not conduct (or sponsor, as applicable) such Clinical Trial or study.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9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67" w:name="page568"/>
    <w:bookmarkEnd w:id="567"/>
    <w:p>
      <w:pPr>
        <w:ind w:firstLine="917"/>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5.5.2 In the event any protocol for any Clinical Trial or study previously reviewed by Gilead pursuant to Section 5.5.1 is </w:t>
      </w:r>
      <w:r>
        <w:rPr>
          <w:rFonts w:ascii="Arial" w:cs="Arial" w:eastAsia="Arial" w:hAnsi="Arial"/>
          <w:sz w:val="14"/>
          <w:szCs w:val="14"/>
          <w:b w:val="1"/>
          <w:bCs w:val="1"/>
          <w:color w:val="auto"/>
        </w:rPr>
        <w:t>***</w:t>
      </w:r>
      <w:r>
        <w:rPr>
          <w:rFonts w:ascii="Arial" w:cs="Arial" w:eastAsia="Arial" w:hAnsi="Arial"/>
          <w:sz w:val="14"/>
          <w:szCs w:val="14"/>
          <w:color w:val="auto"/>
        </w:rPr>
        <w:t>, such Clinical Trial or study under such changed protocol shall again be subject to the provisions of Section 5.5.1 as if it were a new Clinical Trial or study.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Development Costs</w:t>
      </w:r>
      <w:r>
        <w:rPr>
          <w:rFonts w:ascii="Arial" w:cs="Arial" w:eastAsia="Arial" w:hAnsi="Arial"/>
          <w:sz w:val="14"/>
          <w:szCs w:val="14"/>
          <w:color w:val="auto"/>
        </w:rPr>
        <w:t>.</w:t>
      </w:r>
    </w:p>
    <w:p>
      <w:pPr>
        <w:spacing w:after="0" w:line="130" w:lineRule="exact"/>
        <w:rPr>
          <w:sz w:val="20"/>
          <w:szCs w:val="20"/>
          <w:color w:val="auto"/>
        </w:rPr>
      </w:pPr>
    </w:p>
    <w:p>
      <w:pPr>
        <w:ind w:right="20" w:firstLine="917"/>
        <w:spacing w:after="0" w:line="259" w:lineRule="auto"/>
        <w:rPr>
          <w:sz w:val="20"/>
          <w:szCs w:val="20"/>
          <w:color w:val="auto"/>
        </w:rPr>
      </w:pPr>
      <w:r>
        <w:rPr>
          <w:rFonts w:ascii="Arial" w:cs="Arial" w:eastAsia="Arial" w:hAnsi="Arial"/>
          <w:sz w:val="14"/>
          <w:szCs w:val="14"/>
          <w:color w:val="auto"/>
        </w:rPr>
        <w:t xml:space="preserve">5.6.1 </w:t>
      </w:r>
      <w:r>
        <w:rPr>
          <w:rFonts w:ascii="Arial" w:cs="Arial" w:eastAsia="Arial" w:hAnsi="Arial"/>
          <w:sz w:val="14"/>
          <w:szCs w:val="14"/>
          <w:u w:val="single" w:color="auto"/>
          <w:color w:val="auto"/>
        </w:rPr>
        <w:t>Gilead Territory Development Activities</w:t>
      </w:r>
      <w:r>
        <w:rPr>
          <w:rFonts w:ascii="Arial" w:cs="Arial" w:eastAsia="Arial" w:hAnsi="Arial"/>
          <w:sz w:val="14"/>
          <w:szCs w:val="14"/>
          <w:color w:val="auto"/>
        </w:rPr>
        <w:t xml:space="preserve">. Except as specifically provided in Section 5.3, Gilead shall be responsible for </w:t>
      </w:r>
      <w:r>
        <w:rPr>
          <w:rFonts w:ascii="Arial" w:cs="Arial" w:eastAsia="Arial" w:hAnsi="Arial"/>
          <w:sz w:val="14"/>
          <w:szCs w:val="14"/>
          <w:b w:val="1"/>
          <w:bCs w:val="1"/>
          <w:color w:val="auto"/>
        </w:rPr>
        <w:t>***</w:t>
      </w:r>
      <w:r>
        <w:rPr>
          <w:rFonts w:ascii="Arial" w:cs="Arial" w:eastAsia="Arial" w:hAnsi="Arial"/>
          <w:sz w:val="14"/>
          <w:szCs w:val="14"/>
          <w:color w:val="auto"/>
        </w:rPr>
        <w:t xml:space="preserve"> of all Development costs incurred by Gilead and its Affiliates with respect to any Development activities that are conducted with respect to Program DARTs or Licensed Products in the Field in the Gilead Territory or, as permitted under this Agreement, in the MacroGenics Territory.</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5.6.2 </w:t>
      </w:r>
      <w:r>
        <w:rPr>
          <w:rFonts w:ascii="Arial" w:cs="Arial" w:eastAsia="Arial" w:hAnsi="Arial"/>
          <w:sz w:val="12"/>
          <w:szCs w:val="12"/>
          <w:u w:val="single" w:color="auto"/>
          <w:color w:val="auto"/>
        </w:rPr>
        <w:t>MacroGenics Territory Development Activities</w:t>
      </w:r>
      <w:r>
        <w:rPr>
          <w:rFonts w:ascii="Arial" w:cs="Arial" w:eastAsia="Arial" w:hAnsi="Arial"/>
          <w:sz w:val="12"/>
          <w:szCs w:val="12"/>
          <w:color w:val="auto"/>
        </w:rPr>
        <w:t xml:space="preserve">. Except as specifically provided in Section 5.3 or the Research Plan for the </w:t>
      </w:r>
      <w:r>
        <w:rPr>
          <w:rFonts w:ascii="Arial" w:cs="Arial" w:eastAsia="Arial" w:hAnsi="Arial"/>
          <w:sz w:val="12"/>
          <w:szCs w:val="12"/>
          <w:b w:val="1"/>
          <w:bCs w:val="1"/>
          <w:color w:val="auto"/>
        </w:rPr>
        <w:t>***</w:t>
      </w:r>
      <w:r>
        <w:rPr>
          <w:rFonts w:ascii="Arial" w:cs="Arial" w:eastAsia="Arial" w:hAnsi="Arial"/>
          <w:sz w:val="12"/>
          <w:szCs w:val="12"/>
          <w:color w:val="auto"/>
        </w:rPr>
        <w:t>Research Program, MacroGenics shall be responsible for</w:t>
      </w:r>
    </w:p>
    <w:p>
      <w:pPr>
        <w:spacing w:after="0" w:line="37" w:lineRule="exact"/>
        <w:rPr>
          <w:sz w:val="20"/>
          <w:szCs w:val="20"/>
          <w:color w:val="auto"/>
        </w:rPr>
      </w:pPr>
    </w:p>
    <w:p>
      <w:pPr>
        <w:ind w:left="240" w:hanging="236"/>
        <w:spacing w:after="0"/>
        <w:tabs>
          <w:tab w:leader="none" w:pos="240" w:val="left"/>
        </w:tabs>
        <w:numPr>
          <w:ilvl w:val="0"/>
          <w:numId w:val="592"/>
        </w:numPr>
        <w:rPr>
          <w:rFonts w:ascii="Arial" w:cs="Arial" w:eastAsia="Arial" w:hAnsi="Arial"/>
          <w:sz w:val="12"/>
          <w:szCs w:val="12"/>
          <w:b w:val="1"/>
          <w:bCs w:val="1"/>
          <w:color w:val="auto"/>
        </w:rPr>
      </w:pPr>
      <w:r>
        <w:rPr>
          <w:rFonts w:ascii="Arial" w:cs="Arial" w:eastAsia="Arial" w:hAnsi="Arial"/>
          <w:sz w:val="12"/>
          <w:szCs w:val="12"/>
          <w:color w:val="auto"/>
        </w:rPr>
        <w:t>of all Development costs incurred by MacroGenics and its Affiliates with respect to any Development activities that are conducted with respect to Program DARTs and Licensed Products from the</w:t>
      </w:r>
    </w:p>
    <w:p>
      <w:pPr>
        <w:spacing w:after="0" w:line="29"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w:t>
      </w:r>
      <w:r>
        <w:rPr>
          <w:rFonts w:ascii="Arial" w:cs="Arial" w:eastAsia="Arial" w:hAnsi="Arial"/>
          <w:sz w:val="14"/>
          <w:szCs w:val="14"/>
          <w:color w:val="auto"/>
        </w:rPr>
        <w:t>Licensed Program in the Field in the MacroGenics Territory or, as permitted under this Agreement, in the Gilead Territory.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Reports; Exchange of Data</w:t>
      </w:r>
      <w:r>
        <w:rPr>
          <w:rFonts w:ascii="Arial" w:cs="Arial" w:eastAsia="Arial" w:hAnsi="Arial"/>
          <w:sz w:val="14"/>
          <w:szCs w:val="14"/>
          <w:color w:val="auto"/>
        </w:rPr>
        <w:t>.</w:t>
      </w:r>
    </w:p>
    <w:p>
      <w:pPr>
        <w:spacing w:after="0" w:line="132" w:lineRule="exact"/>
        <w:rPr>
          <w:sz w:val="20"/>
          <w:szCs w:val="20"/>
          <w:color w:val="auto"/>
        </w:rPr>
      </w:pPr>
    </w:p>
    <w:p>
      <w:pPr>
        <w:ind w:right="40" w:firstLine="917"/>
        <w:spacing w:after="0" w:line="300" w:lineRule="auto"/>
        <w:rPr>
          <w:sz w:val="20"/>
          <w:szCs w:val="20"/>
          <w:color w:val="auto"/>
        </w:rPr>
      </w:pPr>
      <w:r>
        <w:rPr>
          <w:rFonts w:ascii="Arial" w:cs="Arial" w:eastAsia="Arial" w:hAnsi="Arial"/>
          <w:sz w:val="12"/>
          <w:szCs w:val="12"/>
          <w:color w:val="auto"/>
        </w:rPr>
        <w:t>5.7.1 For each Licensed Program, from Gilead’s delivery of a Preclinical Milestone Payment Notice for such Licensed Program until the receipt of Marketing Approval for a Licensed Product from such Licensed Program, Gilead shall, by January 31</w:t>
      </w:r>
      <w:r>
        <w:rPr>
          <w:rFonts w:ascii="Arial" w:cs="Arial" w:eastAsia="Arial" w:hAnsi="Arial"/>
          <w:sz w:val="7"/>
          <w:szCs w:val="7"/>
          <w:color w:val="auto"/>
        </w:rPr>
        <w:t>st</w:t>
      </w:r>
      <w:r>
        <w:rPr>
          <w:rFonts w:ascii="Arial" w:cs="Arial" w:eastAsia="Arial" w:hAnsi="Arial"/>
          <w:sz w:val="12"/>
          <w:szCs w:val="12"/>
          <w:color w:val="auto"/>
        </w:rPr>
        <w:t xml:space="preserve"> of each Calendar Year, provide a report on Gilead’s Research and Development activities for such Licensed Program. The report shall describe, among other matters: (a) material activities completed since the last report including the object and parameters of the Development, when initiated, when completed and a summary of all material results; (b) material activities currently under investigation; (c) material activities planned to be undertaken before the next report including the type and object of any Clinical Trials to be conducted and their projected starting and completion dates; and (d) material changes in Gilead’s Development and Commercialization plans. In addition, Gilead shall reasonably respond to reasonable requests by MacroGenics for information regarding Gilead’s Research and Development activities for such Licensed Program. All reports and information provided to MacroGenics by Gilead pursuant to this Section 5.7.1 shall be deemed the Confidential Information of Gilead and subject to the confidentiality and non-use obligations set forth in ARTICLE 10.</w:t>
      </w:r>
    </w:p>
    <w:p>
      <w:pPr>
        <w:spacing w:after="0" w:line="88" w:lineRule="exact"/>
        <w:rPr>
          <w:sz w:val="20"/>
          <w:szCs w:val="20"/>
          <w:color w:val="auto"/>
        </w:rPr>
      </w:pPr>
    </w:p>
    <w:p>
      <w:pPr>
        <w:jc w:val="both"/>
        <w:ind w:right="180" w:firstLine="917"/>
        <w:spacing w:after="0" w:line="311" w:lineRule="auto"/>
        <w:rPr>
          <w:sz w:val="20"/>
          <w:szCs w:val="20"/>
          <w:color w:val="auto"/>
        </w:rPr>
      </w:pPr>
      <w:r>
        <w:rPr>
          <w:rFonts w:ascii="Arial" w:cs="Arial" w:eastAsia="Arial" w:hAnsi="Arial"/>
          <w:sz w:val="12"/>
          <w:szCs w:val="12"/>
          <w:color w:val="auto"/>
        </w:rPr>
        <w:t>5.7.2 Without limitation of Section 5.5, from Gilead’s delivery of a Preclinical Milestone Payment Notice for the ***Licensed Program until the receipt of Marketing Approval for a Licensed Product from the ***Licensed Program, MacroGenics shall, by January 31</w:t>
      </w:r>
      <w:r>
        <w:rPr>
          <w:rFonts w:ascii="Arial" w:cs="Arial" w:eastAsia="Arial" w:hAnsi="Arial"/>
          <w:sz w:val="7"/>
          <w:szCs w:val="7"/>
          <w:color w:val="auto"/>
        </w:rPr>
        <w:t>st</w:t>
      </w:r>
      <w:r>
        <w:rPr>
          <w:rFonts w:ascii="Arial" w:cs="Arial" w:eastAsia="Arial" w:hAnsi="Arial"/>
          <w:sz w:val="12"/>
          <w:szCs w:val="12"/>
          <w:color w:val="auto"/>
        </w:rPr>
        <w:t xml:space="preserve"> of each Calendar Year, provide a report on MacroGenics’ Research and Development activities for the ***Licensed Program. The report shall describe, among other matters: (a) material activities completed since the last report including the object and parameters of the Development, when initiated, when completed and a summary of all material results; (b) material activities currently under investigation; (c) material activities planned to be undertaken before the next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9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568" w:name="page569"/>
    <w:bookmarkEnd w:id="568"/>
    <w:p>
      <w:pPr>
        <w:ind w:right="2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including the type and object of any contemplated Clinical Trials and their projected starting and completion dates; and (d) material changes in MacroGenics’ Development and Commercialization plans. In addition, MacroGenics shall reasonably respond to reasonable requests by Gilead for information regarding MacroGenics’ Research and Development activities for the ***Licensed Program. All reports and information provided to Gilead by MacroGenics pursuant to this Section 5.7.2 shall be deemed the Confidential Information of MacroGenics and subject to the confidentiality and non-use obligations set forth in ARTICLE 10.</w:t>
      </w:r>
    </w:p>
    <w:p>
      <w:pPr>
        <w:spacing w:after="0" w:line="110" w:lineRule="exact"/>
        <w:rPr>
          <w:sz w:val="20"/>
          <w:szCs w:val="20"/>
          <w:color w:val="auto"/>
        </w:rPr>
      </w:pPr>
    </w:p>
    <w:p>
      <w:pPr>
        <w:ind w:right="360" w:firstLine="917"/>
        <w:spacing w:after="0" w:line="267" w:lineRule="auto"/>
        <w:rPr>
          <w:sz w:val="20"/>
          <w:szCs w:val="20"/>
          <w:color w:val="auto"/>
        </w:rPr>
      </w:pPr>
      <w:r>
        <w:rPr>
          <w:rFonts w:ascii="Arial" w:cs="Arial" w:eastAsia="Arial" w:hAnsi="Arial"/>
          <w:sz w:val="14"/>
          <w:szCs w:val="14"/>
          <w:color w:val="auto"/>
        </w:rPr>
        <w:t xml:space="preserve">5.7.3 </w:t>
      </w:r>
      <w:r>
        <w:rPr>
          <w:rFonts w:ascii="Arial" w:cs="Arial" w:eastAsia="Arial" w:hAnsi="Arial"/>
          <w:sz w:val="14"/>
          <w:szCs w:val="14"/>
          <w:u w:val="single" w:color="auto"/>
          <w:color w:val="auto"/>
        </w:rPr>
        <w:t>Exchange of Data</w:t>
      </w:r>
      <w:r>
        <w:rPr>
          <w:rFonts w:ascii="Arial" w:cs="Arial" w:eastAsia="Arial" w:hAnsi="Arial"/>
          <w:sz w:val="14"/>
          <w:szCs w:val="14"/>
          <w:color w:val="auto"/>
        </w:rPr>
        <w:t>. Promptly after MacroGenics’ receipt of a Preclinical Milestone Payment Notice with respect to any Licensed Program, and from time to time thereafter during the applicable License Term, in each case in a manner and following a reasonable schedule to be established by the Alliance Managers:</w:t>
      </w:r>
    </w:p>
    <w:p>
      <w:pPr>
        <w:spacing w:after="0" w:line="101" w:lineRule="exact"/>
        <w:rPr>
          <w:sz w:val="20"/>
          <w:szCs w:val="20"/>
          <w:color w:val="auto"/>
        </w:rPr>
      </w:pPr>
    </w:p>
    <w:p>
      <w:pPr>
        <w:ind w:right="40" w:firstLine="1493"/>
        <w:spacing w:after="0" w:line="255" w:lineRule="auto"/>
        <w:tabs>
          <w:tab w:leader="none" w:pos="1675" w:val="left"/>
        </w:tabs>
        <w:numPr>
          <w:ilvl w:val="0"/>
          <w:numId w:val="594"/>
        </w:numPr>
        <w:rPr>
          <w:rFonts w:ascii="Arial" w:cs="Arial" w:eastAsia="Arial" w:hAnsi="Arial"/>
          <w:sz w:val="14"/>
          <w:szCs w:val="14"/>
          <w:color w:val="auto"/>
        </w:rPr>
      </w:pPr>
      <w:r>
        <w:rPr>
          <w:rFonts w:ascii="Arial" w:cs="Arial" w:eastAsia="Arial" w:hAnsi="Arial"/>
          <w:sz w:val="14"/>
          <w:szCs w:val="14"/>
          <w:color w:val="auto"/>
        </w:rPr>
        <w:t>MacroGenics shall (i) transfer to Gilead all MacroGenics Know-How described in clause (b) of Section 1.70, and (ii) disclose to Gilead all other MacroGenics Know-How, in each case ((i) and (ii)) related to Program DARTs and Licensed Products from such Licensed Program, created by or on behalf of MacroGenics and not already transferred or disclosed to Gilead. Such transfer and disclosure shall include copies of relevant material, information, reports and data, including pre-clinical data, clinical data, and any data that has been provided to Regulatory Authorities for the purpose of obtaining Regulatory Approval.</w:t>
      </w:r>
    </w:p>
    <w:p>
      <w:pPr>
        <w:spacing w:after="0" w:line="107" w:lineRule="exact"/>
        <w:rPr>
          <w:rFonts w:ascii="Arial" w:cs="Arial" w:eastAsia="Arial" w:hAnsi="Arial"/>
          <w:sz w:val="14"/>
          <w:szCs w:val="14"/>
          <w:color w:val="auto"/>
        </w:rPr>
      </w:pPr>
    </w:p>
    <w:p>
      <w:pPr>
        <w:jc w:val="both"/>
        <w:ind w:firstLine="1493"/>
        <w:spacing w:after="0" w:line="312" w:lineRule="auto"/>
        <w:tabs>
          <w:tab w:leader="none" w:pos="1682" w:val="left"/>
        </w:tabs>
        <w:numPr>
          <w:ilvl w:val="0"/>
          <w:numId w:val="594"/>
        </w:numPr>
        <w:rPr>
          <w:rFonts w:ascii="Arial" w:cs="Arial" w:eastAsia="Arial" w:hAnsi="Arial"/>
          <w:sz w:val="12"/>
          <w:szCs w:val="12"/>
          <w:color w:val="auto"/>
        </w:rPr>
      </w:pPr>
      <w:r>
        <w:rPr>
          <w:rFonts w:ascii="Arial" w:cs="Arial" w:eastAsia="Arial" w:hAnsi="Arial"/>
          <w:sz w:val="12"/>
          <w:szCs w:val="12"/>
          <w:color w:val="auto"/>
        </w:rPr>
        <w:t xml:space="preserve">If such Preclinical Milestone Payment Notice was delivered 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Gilead shall (i) transfer to MacroGenics all Gilead Collaboration Know-How described in clause (b) of Section 1.70, and (ii) disclose to MacroGenics all other Gilead Collaboration Know-How, in each case ((i) and (ii)) related to </w:t>
      </w:r>
      <w:r>
        <w:rPr>
          <w:rFonts w:ascii="Arial" w:cs="Arial" w:eastAsia="Arial" w:hAnsi="Arial"/>
          <w:sz w:val="12"/>
          <w:szCs w:val="12"/>
          <w:b w:val="1"/>
          <w:bCs w:val="1"/>
          <w:color w:val="auto"/>
        </w:rPr>
        <w:t>***</w:t>
      </w:r>
      <w:r>
        <w:rPr>
          <w:rFonts w:ascii="Arial" w:cs="Arial" w:eastAsia="Arial" w:hAnsi="Arial"/>
          <w:sz w:val="12"/>
          <w:szCs w:val="12"/>
          <w:color w:val="auto"/>
        </w:rPr>
        <w:t xml:space="preserve">Program DARTs and </w:t>
      </w:r>
      <w:r>
        <w:rPr>
          <w:rFonts w:ascii="Arial" w:cs="Arial" w:eastAsia="Arial" w:hAnsi="Arial"/>
          <w:sz w:val="12"/>
          <w:szCs w:val="12"/>
          <w:b w:val="1"/>
          <w:bCs w:val="1"/>
          <w:color w:val="auto"/>
        </w:rPr>
        <w:t>***</w:t>
      </w:r>
      <w:r>
        <w:rPr>
          <w:rFonts w:ascii="Arial" w:cs="Arial" w:eastAsia="Arial" w:hAnsi="Arial"/>
          <w:sz w:val="12"/>
          <w:szCs w:val="12"/>
          <w:color w:val="auto"/>
        </w:rPr>
        <w:t>Licensed Products, created by or on behalf of Gilead and not already transferred or disclosed to MacroGenics. Such transfer and disclosure shall include copies of relevant material, information, reports and data, including pre-clinical data, clinical data, and any data that has been provided to Regulatory Authorities for the purpose of obtaining Regulatory Approval.</w:t>
      </w:r>
    </w:p>
    <w:p>
      <w:pPr>
        <w:spacing w:after="0" w:line="78" w:lineRule="exact"/>
        <w:rPr>
          <w:sz w:val="20"/>
          <w:szCs w:val="20"/>
          <w:color w:val="auto"/>
        </w:rPr>
      </w:pPr>
    </w:p>
    <w:p>
      <w:pPr>
        <w:ind w:right="60" w:firstLine="917"/>
        <w:spacing w:after="0" w:line="255" w:lineRule="auto"/>
        <w:rPr>
          <w:sz w:val="20"/>
          <w:szCs w:val="20"/>
          <w:color w:val="auto"/>
        </w:rPr>
      </w:pPr>
      <w:r>
        <w:rPr>
          <w:rFonts w:ascii="Arial" w:cs="Arial" w:eastAsia="Arial" w:hAnsi="Arial"/>
          <w:sz w:val="14"/>
          <w:szCs w:val="14"/>
          <w:color w:val="auto"/>
        </w:rPr>
        <w:t xml:space="preserve">5.7.4 </w:t>
      </w:r>
      <w:r>
        <w:rPr>
          <w:rFonts w:ascii="Arial" w:cs="Arial" w:eastAsia="Arial" w:hAnsi="Arial"/>
          <w:sz w:val="14"/>
          <w:szCs w:val="14"/>
          <w:u w:val="single" w:color="auto"/>
          <w:color w:val="auto"/>
        </w:rPr>
        <w:t>Use</w:t>
      </w:r>
      <w:r>
        <w:rPr>
          <w:rFonts w:ascii="Arial" w:cs="Arial" w:eastAsia="Arial" w:hAnsi="Arial"/>
          <w:sz w:val="14"/>
          <w:szCs w:val="14"/>
          <w:color w:val="auto"/>
        </w:rPr>
        <w:t>. All preclinical, non-clinical, analytical, manufacturing, and clinical data and associated reports disclosed by one Party to the other under this Agreement may be used by the receiving Party subject to the terms of this Agreement solely for the purpose of exercising its rights and performing its obligations under this Agreement. Subject to ARTICLE 10, each Party shall have the right to share any and all such data and other regulatory materials received from the other Party with its Affiliates and Sublicensees and subcontractors solely for the purpose of exercising such Party’s rights and performing its obligations under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9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69" w:name="page570"/>
    <w:bookmarkEnd w:id="569"/>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6</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REGULATORY MATTERS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6 shall apply during each License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Gilead Regulatory Responsibility</w:t>
      </w:r>
      <w:r>
        <w:rPr>
          <w:rFonts w:ascii="Arial" w:cs="Arial" w:eastAsia="Arial" w:hAnsi="Arial"/>
          <w:sz w:val="14"/>
          <w:szCs w:val="14"/>
          <w:color w:val="auto"/>
        </w:rPr>
        <w:t>.</w:t>
      </w:r>
    </w:p>
    <w:p>
      <w:pPr>
        <w:spacing w:after="0" w:line="132" w:lineRule="exact"/>
        <w:rPr>
          <w:sz w:val="20"/>
          <w:szCs w:val="20"/>
          <w:color w:val="auto"/>
        </w:rPr>
      </w:pPr>
    </w:p>
    <w:p>
      <w:pPr>
        <w:ind w:right="60" w:firstLine="917"/>
        <w:spacing w:after="0" w:line="253" w:lineRule="auto"/>
        <w:rPr>
          <w:sz w:val="20"/>
          <w:szCs w:val="20"/>
          <w:color w:val="auto"/>
        </w:rPr>
      </w:pPr>
      <w:r>
        <w:rPr>
          <w:rFonts w:ascii="Arial" w:cs="Arial" w:eastAsia="Arial" w:hAnsi="Arial"/>
          <w:sz w:val="14"/>
          <w:szCs w:val="14"/>
          <w:color w:val="auto"/>
        </w:rPr>
        <w:t>6.1.1 Following receipt by MacroGenics of a Preclinical Milestone Payment Notice, Gilead shall (a) own and be responsible for preparing, filing and maintaining all Regulatory Documentation and Regulatory Approvals that are required for the Development, Manufacture and Commercialization of the Program DARTs or Licensed Products from the applicable Licensed Program in the Field in the Gilead Territory for such Licensed Program, (b) otherwise be responsible for and have sole authority as to all interactions with Regulatory Authorities in the Gilead Territory for such Licensed Program with respect to such Licensed Program, and (c) comply with all applicable Laws in the Gilead Territory for such Licensed Program, including FDA regulations, local regulations and ICH guidelines, with respect to such Licensed Program.</w:t>
      </w:r>
    </w:p>
    <w:p>
      <w:pPr>
        <w:spacing w:after="0" w:line="113" w:lineRule="exact"/>
        <w:rPr>
          <w:sz w:val="20"/>
          <w:szCs w:val="20"/>
          <w:color w:val="auto"/>
        </w:rPr>
      </w:pPr>
    </w:p>
    <w:p>
      <w:pPr>
        <w:ind w:right="40" w:firstLine="917"/>
        <w:spacing w:after="0" w:line="253" w:lineRule="auto"/>
        <w:rPr>
          <w:sz w:val="20"/>
          <w:szCs w:val="20"/>
          <w:color w:val="auto"/>
        </w:rPr>
      </w:pPr>
      <w:r>
        <w:rPr>
          <w:rFonts w:ascii="Arial" w:cs="Arial" w:eastAsia="Arial" w:hAnsi="Arial"/>
          <w:sz w:val="14"/>
          <w:szCs w:val="14"/>
          <w:color w:val="auto"/>
        </w:rPr>
        <w:t>6.1.2 Gilead hereby grants to MacroGenics a Right of Reference or Use to any Regulatory Documentation in the *** Licensed Territory Controlled by Gilead for use by MacroGenics in the MacroGenics Territory, and agrees to sign, and cause its Affiliates to sign, from time to time, promptly upon request, any instruments reasonably requested by MacroGenics in order to further effect such grant. Gilead shall permit any relevant Regulatory Authority to inspect any such Regulatory Documentation. Gilead shall also permit MacroGenics, upon reasonable notice, during regular business hours, to inspect any such Regulatory Documentation; provided, however, that such inspections be limited in frequency to once per Calendar Year unless extraordinary circumstances (as reasonably agreed by the Parties) require more frequent inspections.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MacroGenics Regulatory Responsibility</w:t>
      </w:r>
      <w:r>
        <w:rPr>
          <w:rFonts w:ascii="Arial" w:cs="Arial" w:eastAsia="Arial" w:hAnsi="Arial"/>
          <w:sz w:val="14"/>
          <w:szCs w:val="14"/>
          <w:color w:val="auto"/>
        </w:rPr>
        <w:t>.</w:t>
      </w:r>
    </w:p>
    <w:p>
      <w:pPr>
        <w:spacing w:after="0" w:line="130" w:lineRule="exact"/>
        <w:rPr>
          <w:sz w:val="20"/>
          <w:szCs w:val="20"/>
          <w:color w:val="auto"/>
        </w:rPr>
      </w:pPr>
    </w:p>
    <w:p>
      <w:pPr>
        <w:ind w:firstLine="917"/>
        <w:spacing w:after="0" w:line="256" w:lineRule="auto"/>
        <w:rPr>
          <w:sz w:val="20"/>
          <w:szCs w:val="20"/>
          <w:color w:val="auto"/>
        </w:rPr>
      </w:pPr>
      <w:r>
        <w:rPr>
          <w:rFonts w:ascii="Arial" w:cs="Arial" w:eastAsia="Arial" w:hAnsi="Arial"/>
          <w:sz w:val="14"/>
          <w:szCs w:val="14"/>
          <w:color w:val="auto"/>
        </w:rPr>
        <w:t xml:space="preserve">6.2.1 During the </w:t>
      </w:r>
      <w:r>
        <w:rPr>
          <w:rFonts w:ascii="Arial" w:cs="Arial" w:eastAsia="Arial" w:hAnsi="Arial"/>
          <w:sz w:val="14"/>
          <w:szCs w:val="14"/>
          <w:b w:val="1"/>
          <w:bCs w:val="1"/>
          <w:color w:val="auto"/>
        </w:rPr>
        <w:t>***</w:t>
      </w:r>
      <w:r>
        <w:rPr>
          <w:rFonts w:ascii="Arial" w:cs="Arial" w:eastAsia="Arial" w:hAnsi="Arial"/>
          <w:sz w:val="14"/>
          <w:szCs w:val="14"/>
          <w:color w:val="auto"/>
        </w:rPr>
        <w:t xml:space="preserve">License Term MacroGenics shall (a) own and be responsible for preparing, filing and maintaining all Regulatory Documentation and Regulatory Approvals that are required for the Development, Manufacture and Commercialization of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DARTs or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Products in the Field in the MacroGenics Territory, (b) otherwise be responsible for and have sole authority as to all interactions with Regulatory Authorities in the MacroGenics Territory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Program, and (c) comply with all applicable Laws in the MacroGenics Territory, including FDA regulations, local regulations and ICH guidelines, with respect to the </w:t>
      </w:r>
      <w:r>
        <w:rPr>
          <w:rFonts w:ascii="Arial" w:cs="Arial" w:eastAsia="Arial" w:hAnsi="Arial"/>
          <w:sz w:val="14"/>
          <w:szCs w:val="14"/>
          <w:b w:val="1"/>
          <w:bCs w:val="1"/>
          <w:color w:val="auto"/>
        </w:rPr>
        <w:t>***</w:t>
      </w:r>
      <w:r>
        <w:rPr>
          <w:rFonts w:ascii="Arial" w:cs="Arial" w:eastAsia="Arial" w:hAnsi="Arial"/>
          <w:sz w:val="14"/>
          <w:szCs w:val="14"/>
          <w:color w:val="auto"/>
        </w:rPr>
        <w:t>Licensed Program.</w:t>
      </w:r>
    </w:p>
    <w:p>
      <w:pPr>
        <w:spacing w:after="0" w:line="109" w:lineRule="exact"/>
        <w:rPr>
          <w:sz w:val="20"/>
          <w:szCs w:val="20"/>
          <w:color w:val="auto"/>
        </w:rPr>
      </w:pPr>
    </w:p>
    <w:p>
      <w:pPr>
        <w:ind w:right="80" w:firstLine="917"/>
        <w:spacing w:after="0" w:line="321" w:lineRule="auto"/>
        <w:rPr>
          <w:sz w:val="20"/>
          <w:szCs w:val="20"/>
          <w:color w:val="auto"/>
        </w:rPr>
      </w:pPr>
      <w:r>
        <w:rPr>
          <w:rFonts w:ascii="Arial" w:cs="Arial" w:eastAsia="Arial" w:hAnsi="Arial"/>
          <w:sz w:val="12"/>
          <w:szCs w:val="12"/>
          <w:color w:val="auto"/>
        </w:rPr>
        <w:t>6.2.2 MacroGenics hereby grants to Gilead a Right of Reference or Use to any Regulatory Documentation in the MacroGenics Territory Controlled by MacroGenics for use by Gilead in the Gilead Territory, and agrees to sign, and cause its Affiliates to sign, from time to time, promptly upon request, any instruments reasonably requested by Gilead in order to further effect such grant. MacroGenics shall permit any relevant Regulatory Authority to inspect any such Regulatory Documentation. MacroGenics shall also permit Gilead, upon reasonable notice,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59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4" w:right="239" w:bottom="1440" w:gutter="0" w:footer="0" w:header="0"/>
        </w:sectPr>
      </w:pPr>
    </w:p>
    <w:bookmarkStart w:id="570" w:name="page571"/>
    <w:bookmarkEnd w:id="570"/>
    <w:p>
      <w:pPr>
        <w:ind w:right="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during regular business hours, to inspect any such Regulatory Documentation; provided, however, that such inspections be limited in frequency to once per Calendar Year unless extraordinary circumstances (as reasonably agreed by the Parties) require more frequent inspections.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Communications with Regulatory Authorities</w:t>
      </w:r>
      <w:r>
        <w:rPr>
          <w:rFonts w:ascii="Arial" w:cs="Arial" w:eastAsia="Arial" w:hAnsi="Arial"/>
          <w:sz w:val="14"/>
          <w:szCs w:val="14"/>
          <w:color w:val="auto"/>
        </w:rPr>
        <w:t>.</w:t>
      </w:r>
    </w:p>
    <w:p>
      <w:pPr>
        <w:spacing w:after="0" w:line="132" w:lineRule="exact"/>
        <w:rPr>
          <w:sz w:val="20"/>
          <w:szCs w:val="20"/>
          <w:color w:val="auto"/>
        </w:rPr>
      </w:pPr>
    </w:p>
    <w:p>
      <w:pPr>
        <w:jc w:val="both"/>
        <w:ind w:right="320" w:firstLine="917"/>
        <w:spacing w:after="0" w:line="258" w:lineRule="auto"/>
        <w:rPr>
          <w:sz w:val="20"/>
          <w:szCs w:val="20"/>
          <w:color w:val="auto"/>
        </w:rPr>
      </w:pPr>
      <w:r>
        <w:rPr>
          <w:rFonts w:ascii="Arial" w:cs="Arial" w:eastAsia="Arial" w:hAnsi="Arial"/>
          <w:sz w:val="14"/>
          <w:szCs w:val="14"/>
          <w:color w:val="auto"/>
        </w:rPr>
        <w:t xml:space="preserve">6.3.1 Gilead shall be responsible for all submissions to, and communications and interactions with, Regulatory Authorities in the Gilead Territory for any Licensed Program with respect to Program DARTs and Licensed Products from such Licensed Program, and MacroGenics shall be responsible for all submissions to, and communications and interactions with, Regulatory Authorities in the MacroGenics Territory with respect to </w:t>
      </w:r>
      <w:r>
        <w:rPr>
          <w:rFonts w:ascii="Arial" w:cs="Arial" w:eastAsia="Arial" w:hAnsi="Arial"/>
          <w:sz w:val="14"/>
          <w:szCs w:val="14"/>
          <w:b w:val="1"/>
          <w:bCs w:val="1"/>
          <w:color w:val="auto"/>
        </w:rPr>
        <w:t>***</w:t>
      </w:r>
      <w:r>
        <w:rPr>
          <w:rFonts w:ascii="Arial" w:cs="Arial" w:eastAsia="Arial" w:hAnsi="Arial"/>
          <w:sz w:val="14"/>
          <w:szCs w:val="14"/>
          <w:color w:val="auto"/>
        </w:rPr>
        <w:t xml:space="preserve"> Program DARTs and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Products. In connection therewith:</w:t>
      </w:r>
    </w:p>
    <w:p>
      <w:pPr>
        <w:spacing w:after="0" w:line="108" w:lineRule="exact"/>
        <w:rPr>
          <w:sz w:val="20"/>
          <w:szCs w:val="20"/>
          <w:color w:val="auto"/>
        </w:rPr>
      </w:pPr>
    </w:p>
    <w:p>
      <w:pPr>
        <w:ind w:right="20" w:firstLine="1493"/>
        <w:spacing w:after="0" w:line="294" w:lineRule="auto"/>
        <w:tabs>
          <w:tab w:leader="none" w:pos="1675" w:val="left"/>
        </w:tabs>
        <w:numPr>
          <w:ilvl w:val="0"/>
          <w:numId w:val="597"/>
        </w:numPr>
        <w:rPr>
          <w:rFonts w:ascii="Arial" w:cs="Arial" w:eastAsia="Arial" w:hAnsi="Arial"/>
          <w:sz w:val="12"/>
          <w:szCs w:val="12"/>
          <w:color w:val="auto"/>
        </w:rPr>
      </w:pPr>
      <w:r>
        <w:rPr>
          <w:rFonts w:ascii="Arial" w:cs="Arial" w:eastAsia="Arial" w:hAnsi="Arial"/>
          <w:sz w:val="12"/>
          <w:szCs w:val="12"/>
          <w:color w:val="auto"/>
        </w:rPr>
        <w:t xml:space="preserve">Gilead shall keep MacroGenics reasonably informed regarding Gilead’s (or its Affiliate’s or Sublicensee’s) regulatory strategy, planned regulatory submissions and communications with the Regulatory Authorities in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Territory with respect to </w:t>
      </w:r>
      <w:r>
        <w:rPr>
          <w:rFonts w:ascii="Arial" w:cs="Arial" w:eastAsia="Arial" w:hAnsi="Arial"/>
          <w:sz w:val="12"/>
          <w:szCs w:val="12"/>
          <w:b w:val="1"/>
          <w:bCs w:val="1"/>
          <w:color w:val="auto"/>
        </w:rPr>
        <w:t>***</w:t>
      </w:r>
      <w:r>
        <w:rPr>
          <w:rFonts w:ascii="Arial" w:cs="Arial" w:eastAsia="Arial" w:hAnsi="Arial"/>
          <w:sz w:val="12"/>
          <w:szCs w:val="12"/>
          <w:color w:val="auto"/>
        </w:rPr>
        <w:t xml:space="preserve"> Program DARTs and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Products, including any significant changes to such strategy, submissions or communications. Gilead shall provide MacroGenics with copies of key portions of regulatory submissions to, and key communications with, the FDA and Regulatory Authorities in the EU relating to the </w:t>
      </w:r>
      <w:r>
        <w:rPr>
          <w:rFonts w:ascii="Arial" w:cs="Arial" w:eastAsia="Arial" w:hAnsi="Arial"/>
          <w:sz w:val="12"/>
          <w:szCs w:val="12"/>
          <w:b w:val="1"/>
          <w:bCs w:val="1"/>
          <w:color w:val="auto"/>
        </w:rPr>
        <w:t>***</w:t>
      </w:r>
    </w:p>
    <w:p>
      <w:pPr>
        <w:spacing w:after="0"/>
        <w:rPr>
          <w:rFonts w:ascii="Arial" w:cs="Arial" w:eastAsia="Arial" w:hAnsi="Arial"/>
          <w:sz w:val="12"/>
          <w:szCs w:val="12"/>
          <w:color w:val="auto"/>
        </w:rPr>
      </w:pPr>
      <w:r>
        <w:rPr>
          <w:rFonts w:ascii="Arial" w:cs="Arial" w:eastAsia="Arial" w:hAnsi="Arial"/>
          <w:sz w:val="14"/>
          <w:szCs w:val="14"/>
          <w:color w:val="auto"/>
        </w:rPr>
        <w:t xml:space="preserve">Program DARTs and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Products in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Territory.</w:t>
      </w:r>
    </w:p>
    <w:p>
      <w:pPr>
        <w:spacing w:after="0" w:line="125" w:lineRule="exact"/>
        <w:rPr>
          <w:rFonts w:ascii="Arial" w:cs="Arial" w:eastAsia="Arial" w:hAnsi="Arial"/>
          <w:sz w:val="12"/>
          <w:szCs w:val="12"/>
          <w:color w:val="auto"/>
        </w:rPr>
      </w:pPr>
    </w:p>
    <w:p>
      <w:pPr>
        <w:ind w:right="60" w:firstLine="1493"/>
        <w:spacing w:after="0" w:line="255" w:lineRule="auto"/>
        <w:tabs>
          <w:tab w:leader="none" w:pos="1682" w:val="left"/>
        </w:tabs>
        <w:numPr>
          <w:ilvl w:val="0"/>
          <w:numId w:val="597"/>
        </w:numPr>
        <w:rPr>
          <w:rFonts w:ascii="Arial" w:cs="Arial" w:eastAsia="Arial" w:hAnsi="Arial"/>
          <w:sz w:val="14"/>
          <w:szCs w:val="14"/>
          <w:color w:val="auto"/>
        </w:rPr>
      </w:pPr>
      <w:r>
        <w:rPr>
          <w:rFonts w:ascii="Arial" w:cs="Arial" w:eastAsia="Arial" w:hAnsi="Arial"/>
          <w:sz w:val="14"/>
          <w:szCs w:val="14"/>
          <w:color w:val="auto"/>
        </w:rPr>
        <w:t>MacroGenics shall keep Gilead reasonably informed regarding MacroGenics’ (or its Affiliate’s or Sublicensee’s) regulatory strategy, planned regulatory submissions and communications with the Regulatory Authorities in the MacroGenics Territory with respect to Program DARTs and Licensed Products from the *** Licensed Program, including any significant changes to such strategy, submissions or communications. MacroGenics shall provide Gilead with copies of key portions of regulatory submissions to, and key communications with, the PMDA relating to the *** Program DARTs and *** Licensed Products in the MacroGenics Territory.</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Pharmacovigilance and Safety Data Reporting for the *** Licensed Program</w:t>
      </w:r>
      <w:r>
        <w:rPr>
          <w:rFonts w:ascii="Arial" w:cs="Arial" w:eastAsia="Arial" w:hAnsi="Arial"/>
          <w:sz w:val="14"/>
          <w:szCs w:val="14"/>
          <w:color w:val="auto"/>
        </w:rPr>
        <w:t>.</w:t>
      </w:r>
    </w:p>
    <w:p>
      <w:pPr>
        <w:spacing w:after="0" w:line="130" w:lineRule="exact"/>
        <w:rPr>
          <w:sz w:val="20"/>
          <w:szCs w:val="20"/>
          <w:color w:val="auto"/>
        </w:rPr>
      </w:pPr>
    </w:p>
    <w:p>
      <w:pPr>
        <w:ind w:firstLine="917"/>
        <w:spacing w:after="0" w:line="303" w:lineRule="auto"/>
        <w:rPr>
          <w:sz w:val="20"/>
          <w:szCs w:val="20"/>
          <w:color w:val="auto"/>
        </w:rPr>
      </w:pPr>
      <w:r>
        <w:rPr>
          <w:rFonts w:ascii="Arial" w:cs="Arial" w:eastAsia="Arial" w:hAnsi="Arial"/>
          <w:sz w:val="12"/>
          <w:szCs w:val="12"/>
          <w:color w:val="auto"/>
        </w:rPr>
        <w:t xml:space="preserve">6.4.1 </w:t>
      </w:r>
      <w:r>
        <w:rPr>
          <w:rFonts w:ascii="Arial" w:cs="Arial" w:eastAsia="Arial" w:hAnsi="Arial"/>
          <w:sz w:val="12"/>
          <w:szCs w:val="12"/>
          <w:u w:val="single" w:color="auto"/>
          <w:color w:val="auto"/>
        </w:rPr>
        <w:t>Pharmacovigilance</w:t>
      </w:r>
      <w:r>
        <w:rPr>
          <w:rFonts w:ascii="Arial" w:cs="Arial" w:eastAsia="Arial" w:hAnsi="Arial"/>
          <w:sz w:val="12"/>
          <w:szCs w:val="12"/>
          <w:color w:val="auto"/>
        </w:rPr>
        <w:t xml:space="preserve">. Commencing at least thirty (30) days prior to the projected date for Gilead’s commencement of the first Phase 1 Clinical Trial for a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if MacroGenics is then actively Developing a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the Parties shall negotiate in good faith, with respect to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Products, a safety data exchange agreement, governing the collection, investigation, reporting, and exchange of information concerning adverse drug reactions/experience,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quality and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complaints, sufficient to permit each Party to comply with its legal obligations (the “</w:t>
      </w:r>
      <w:r>
        <w:rPr>
          <w:rFonts w:ascii="Arial" w:cs="Arial" w:eastAsia="Arial" w:hAnsi="Arial"/>
          <w:sz w:val="12"/>
          <w:szCs w:val="12"/>
          <w:u w:val="single" w:color="auto"/>
          <w:color w:val="auto"/>
        </w:rPr>
        <w:t>SDEA Agreement</w:t>
      </w:r>
      <w:r>
        <w:rPr>
          <w:rFonts w:ascii="Arial" w:cs="Arial" w:eastAsia="Arial" w:hAnsi="Arial"/>
          <w:sz w:val="12"/>
          <w:szCs w:val="12"/>
          <w:color w:val="auto"/>
        </w:rPr>
        <w:t xml:space="preserve">”). The SDEA Agreement shall provide that Gilead will establish and maintain the global safety database for each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 The SDEA Agreement will be promptly updated if required by changes in legal requirements. The Parties may mutually agree to terminate the SDEA Agreement at any time if a Party determines to permanently cease conducting Development and Commercialization activities with respect to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59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71" w:name="page572"/>
    <w:bookmarkEnd w:id="571"/>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6.4.2 </w:t>
      </w:r>
      <w:r>
        <w:rPr>
          <w:rFonts w:ascii="Arial" w:cs="Arial" w:eastAsia="Arial" w:hAnsi="Arial"/>
          <w:sz w:val="14"/>
          <w:szCs w:val="14"/>
          <w:u w:val="single" w:color="auto"/>
          <w:color w:val="auto"/>
        </w:rPr>
        <w:t>Safety Data Reporting</w:t>
      </w:r>
      <w:r>
        <w:rPr>
          <w:rFonts w:ascii="Arial" w:cs="Arial" w:eastAsia="Arial" w:hAnsi="Arial"/>
          <w:sz w:val="14"/>
          <w:szCs w:val="14"/>
          <w:color w:val="auto"/>
        </w:rPr>
        <w:t>.</w:t>
      </w:r>
    </w:p>
    <w:p>
      <w:pPr>
        <w:spacing w:after="0" w:line="132" w:lineRule="exact"/>
        <w:rPr>
          <w:sz w:val="20"/>
          <w:szCs w:val="20"/>
          <w:color w:val="auto"/>
        </w:rPr>
      </w:pPr>
    </w:p>
    <w:p>
      <w:pPr>
        <w:ind w:right="40" w:firstLine="1493"/>
        <w:spacing w:after="0" w:line="299" w:lineRule="auto"/>
        <w:tabs>
          <w:tab w:leader="none" w:pos="1675" w:val="left"/>
        </w:tabs>
        <w:numPr>
          <w:ilvl w:val="0"/>
          <w:numId w:val="599"/>
        </w:numPr>
        <w:rPr>
          <w:rFonts w:ascii="Arial" w:cs="Arial" w:eastAsia="Arial" w:hAnsi="Arial"/>
          <w:sz w:val="12"/>
          <w:szCs w:val="12"/>
          <w:color w:val="auto"/>
        </w:rPr>
      </w:pPr>
      <w:r>
        <w:rPr>
          <w:rFonts w:ascii="Arial" w:cs="Arial" w:eastAsia="Arial" w:hAnsi="Arial"/>
          <w:sz w:val="12"/>
          <w:szCs w:val="12"/>
          <w:color w:val="auto"/>
        </w:rPr>
        <w:t xml:space="preserve">Each Party shall keep the other Party informed about any adverse drug reactions/experiences (as defined in the SDEA Agreement) of which such Party becomes aware or is informed about regarding the use of a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Product in the MacroGenics Territory or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Territory. As between the Parties, Gilead shall be responsible for reporting all such adverse drug reactions/experiences to the appropriate Regulatory Authorities in countries in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Territory, and MacroGenics shall be responsible for reporting all such adverse drug reactions/experiences to the appropriate Regulatory Authorities in the MacroGenics Territory for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in each case in accordance with the appropriate Laws of the relevant countries and authorities. Gilead shall ensure that its Affiliates and Sublicensees comply with such reporting obligations in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Territory and MacroGenics shall ensure that its Affiliates and sublicensees (other than Gilead and its Sublicensees) comply with such reporting obligations in the MacroGenics Territory. These reporting obligations shall apply to other adverse events with respect to </w:t>
      </w:r>
      <w:r>
        <w:rPr>
          <w:rFonts w:ascii="Arial" w:cs="Arial" w:eastAsia="Arial" w:hAnsi="Arial"/>
          <w:sz w:val="12"/>
          <w:szCs w:val="12"/>
          <w:b w:val="1"/>
          <w:bCs w:val="1"/>
          <w:color w:val="auto"/>
        </w:rPr>
        <w:t>***</w:t>
      </w:r>
      <w:r>
        <w:rPr>
          <w:rFonts w:ascii="Arial" w:cs="Arial" w:eastAsia="Arial" w:hAnsi="Arial"/>
          <w:sz w:val="12"/>
          <w:szCs w:val="12"/>
          <w:color w:val="auto"/>
        </w:rPr>
        <w:t>Licensed Products as described in the SDEA Agreement, including adverse events occurring from product overdose or from product withdrawal, as well as any toxicity, sensitivity, failure of expected pharmacological action, or laboratory abnormality which is, or is thought by the reporter, to be serious or associated with relevant clinical signs or symptoms.</w:t>
      </w:r>
    </w:p>
    <w:p>
      <w:pPr>
        <w:spacing w:after="0" w:line="85" w:lineRule="exact"/>
        <w:rPr>
          <w:rFonts w:ascii="Arial" w:cs="Arial" w:eastAsia="Arial" w:hAnsi="Arial"/>
          <w:sz w:val="12"/>
          <w:szCs w:val="12"/>
          <w:color w:val="auto"/>
        </w:rPr>
      </w:pPr>
    </w:p>
    <w:p>
      <w:pPr>
        <w:ind w:firstLine="1493"/>
        <w:spacing w:after="0" w:line="312" w:lineRule="auto"/>
        <w:tabs>
          <w:tab w:leader="none" w:pos="1682" w:val="left"/>
        </w:tabs>
        <w:numPr>
          <w:ilvl w:val="0"/>
          <w:numId w:val="599"/>
        </w:numPr>
        <w:rPr>
          <w:rFonts w:ascii="Arial" w:cs="Arial" w:eastAsia="Arial" w:hAnsi="Arial"/>
          <w:sz w:val="12"/>
          <w:szCs w:val="12"/>
          <w:color w:val="auto"/>
        </w:rPr>
      </w:pPr>
      <w:r>
        <w:rPr>
          <w:rFonts w:ascii="Arial" w:cs="Arial" w:eastAsia="Arial" w:hAnsi="Arial"/>
          <w:sz w:val="12"/>
          <w:szCs w:val="12"/>
          <w:color w:val="auto"/>
        </w:rPr>
        <w:t xml:space="preserve">For the </w:t>
      </w:r>
      <w:r>
        <w:rPr>
          <w:rFonts w:ascii="Arial" w:cs="Arial" w:eastAsia="Arial" w:hAnsi="Arial"/>
          <w:sz w:val="12"/>
          <w:szCs w:val="12"/>
          <w:b w:val="1"/>
          <w:bCs w:val="1"/>
          <w:color w:val="auto"/>
        </w:rPr>
        <w:t>***</w:t>
      </w:r>
      <w:r>
        <w:rPr>
          <w:rFonts w:ascii="Arial" w:cs="Arial" w:eastAsia="Arial" w:hAnsi="Arial"/>
          <w:sz w:val="12"/>
          <w:szCs w:val="12"/>
          <w:color w:val="auto"/>
        </w:rPr>
        <w:t>Licensed Program, during the negotiation of the SDEA Agreement, each Party will designate a pharmacovigilance liaison to be responsible for communicating with the other Party regarding the reporting of adverse drug reactions/experiences. Each Party (the “</w:t>
      </w:r>
      <w:r>
        <w:rPr>
          <w:rFonts w:ascii="Arial" w:cs="Arial" w:eastAsia="Arial" w:hAnsi="Arial"/>
          <w:sz w:val="12"/>
          <w:szCs w:val="12"/>
          <w:u w:val="single" w:color="auto"/>
          <w:color w:val="auto"/>
        </w:rPr>
        <w:t>Notifying Party</w:t>
      </w:r>
      <w:r>
        <w:rPr>
          <w:rFonts w:ascii="Arial" w:cs="Arial" w:eastAsia="Arial" w:hAnsi="Arial"/>
          <w:sz w:val="12"/>
          <w:szCs w:val="12"/>
          <w:color w:val="auto"/>
        </w:rPr>
        <w:t xml:space="preserve">”) shall notify the other Party in writing of all information coming to the Notifying Party’s attention, regardless of the origin of such information, and including such information coming to its attention through clinical and non-clinical sources (including journal publications and other media), regarding adverse drug reactions/experiences associated with a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Product, whether in the </w:t>
      </w:r>
      <w:r>
        <w:rPr>
          <w:rFonts w:ascii="Arial" w:cs="Arial" w:eastAsia="Arial" w:hAnsi="Arial"/>
          <w:sz w:val="12"/>
          <w:szCs w:val="12"/>
          <w:b w:val="1"/>
          <w:bCs w:val="1"/>
          <w:color w:val="auto"/>
        </w:rPr>
        <w:t>***</w:t>
      </w:r>
      <w:r>
        <w:rPr>
          <w:rFonts w:ascii="Arial" w:cs="Arial" w:eastAsia="Arial" w:hAnsi="Arial"/>
          <w:sz w:val="12"/>
          <w:szCs w:val="12"/>
          <w:color w:val="auto"/>
        </w:rPr>
        <w:t>Licensed Territory or in the MacroGenics Territory.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7</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COMMERCIALIZATION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7 shall apply during each License Term.</w:t>
      </w:r>
    </w:p>
    <w:p>
      <w:pPr>
        <w:spacing w:after="0" w:line="132" w:lineRule="exact"/>
        <w:rPr>
          <w:sz w:val="20"/>
          <w:szCs w:val="20"/>
          <w:color w:val="auto"/>
        </w:rPr>
      </w:pPr>
    </w:p>
    <w:p>
      <w:pPr>
        <w:ind w:right="180" w:firstLine="458"/>
        <w:spacing w:after="0" w:line="321"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Overview</w:t>
      </w:r>
      <w:r>
        <w:rPr>
          <w:rFonts w:ascii="Arial" w:cs="Arial" w:eastAsia="Arial" w:hAnsi="Arial"/>
          <w:sz w:val="12"/>
          <w:szCs w:val="12"/>
          <w:color w:val="auto"/>
        </w:rPr>
        <w:t xml:space="preserve">. Gilead shall have sole control and responsibility for the Commercialization of Licensed Products in the Field in the Gilead Territory and shall bear all costs and expenses associated therewith. MacroGenics shall have sole control and responsibility for the Commercialization of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Products in the MacroGenics Territory and shall bear all costs and expenses associated therewith. The Party with responsibility for Commercialization of a Licensed Product in a Territory shall be referred to as the “</w:t>
      </w:r>
      <w:r>
        <w:rPr>
          <w:rFonts w:ascii="Arial" w:cs="Arial" w:eastAsia="Arial" w:hAnsi="Arial"/>
          <w:sz w:val="12"/>
          <w:szCs w:val="12"/>
          <w:u w:val="single" w:color="auto"/>
          <w:color w:val="auto"/>
        </w:rPr>
        <w:t>Commercializing Party</w:t>
      </w:r>
      <w:r>
        <w:rPr>
          <w:rFonts w:ascii="Arial" w:cs="Arial" w:eastAsia="Arial" w:hAnsi="Arial"/>
          <w:sz w:val="12"/>
          <w:szCs w:val="12"/>
          <w:color w:val="auto"/>
        </w:rPr>
        <w:t>” for such Territory.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0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72" w:name="page573"/>
    <w:bookmarkEnd w:id="572"/>
    <w:p>
      <w:pPr>
        <w:ind w:right="48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7.2 </w:t>
      </w:r>
      <w:r>
        <w:rPr>
          <w:rFonts w:ascii="Arial" w:cs="Arial" w:eastAsia="Arial" w:hAnsi="Arial"/>
          <w:sz w:val="14"/>
          <w:szCs w:val="14"/>
          <w:u w:val="single" w:color="auto"/>
          <w:color w:val="auto"/>
        </w:rPr>
        <w:t>Gilead Obligations</w:t>
      </w:r>
      <w:r>
        <w:rPr>
          <w:rFonts w:ascii="Arial" w:cs="Arial" w:eastAsia="Arial" w:hAnsi="Arial"/>
          <w:sz w:val="14"/>
          <w:szCs w:val="14"/>
          <w:color w:val="auto"/>
        </w:rPr>
        <w:t xml:space="preserve">. Following receipt of the applicable Marketing Approval with respect to each Licensed Product, Gilead shall, at its own expense, use Commercially Reasonable Efforts to Commercialize such Licensed Product in the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1" w:lineRule="exact"/>
        <w:rPr>
          <w:sz w:val="20"/>
          <w:szCs w:val="20"/>
          <w:color w:val="auto"/>
        </w:rPr>
      </w:pPr>
    </w:p>
    <w:p>
      <w:pPr>
        <w:ind w:right="520" w:firstLine="458"/>
        <w:spacing w:after="0" w:line="267"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Sales and Distribution</w:t>
      </w:r>
      <w:r>
        <w:rPr>
          <w:rFonts w:ascii="Arial" w:cs="Arial" w:eastAsia="Arial" w:hAnsi="Arial"/>
          <w:sz w:val="14"/>
          <w:szCs w:val="14"/>
          <w:color w:val="auto"/>
        </w:rPr>
        <w:t>. It is understood that as between the Parties, the Commercializing Party shall be solely responsible for handling all returns, order processing, invoicing and collection, distribution, and receivables for Licensed Products in the applicable Territory.</w:t>
      </w:r>
    </w:p>
    <w:p>
      <w:pPr>
        <w:spacing w:after="0" w:line="101" w:lineRule="exact"/>
        <w:rPr>
          <w:sz w:val="20"/>
          <w:szCs w:val="20"/>
          <w:color w:val="auto"/>
        </w:rPr>
      </w:pPr>
    </w:p>
    <w:p>
      <w:pPr>
        <w:jc w:val="both"/>
        <w:ind w:firstLine="458"/>
        <w:spacing w:after="0" w:line="321"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u w:val="single" w:color="auto"/>
          <w:color w:val="auto"/>
        </w:rPr>
        <w:t>Ex-Territory Sales</w:t>
      </w:r>
      <w:r>
        <w:rPr>
          <w:rFonts w:ascii="Arial" w:cs="Arial" w:eastAsia="Arial" w:hAnsi="Arial"/>
          <w:sz w:val="12"/>
          <w:szCs w:val="12"/>
          <w:color w:val="auto"/>
        </w:rPr>
        <w:t>. Subject to applicable Law, the Commercializing Party shall not engage in any advertising or promotional activities relating to Licensed Product directed primarily to customers or other buyers or users of Licensed Product located outside its Territory, or accept orders for Licensed Products from or sell Licensed Products into the other Party’s Territory, whether for its own account or for the other Party’s account. If the Commercializing Party receives any order for Licensed Products in the other Party’s Territory, it shall refer such orders to the other Party for acceptance or rejection.</w:t>
      </w:r>
    </w:p>
    <w:p>
      <w:pPr>
        <w:spacing w:after="0" w:line="71" w:lineRule="exact"/>
        <w:rPr>
          <w:sz w:val="20"/>
          <w:szCs w:val="20"/>
          <w:color w:val="auto"/>
        </w:rPr>
      </w:pPr>
    </w:p>
    <w:p>
      <w:pPr>
        <w:ind w:right="40" w:firstLine="458"/>
        <w:spacing w:after="0" w:line="259"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Commercialization Plan</w:t>
      </w:r>
      <w:r>
        <w:rPr>
          <w:rFonts w:ascii="Arial" w:cs="Arial" w:eastAsia="Arial" w:hAnsi="Arial"/>
          <w:sz w:val="14"/>
          <w:szCs w:val="14"/>
          <w:color w:val="auto"/>
        </w:rPr>
        <w:t xml:space="preserve">. For each Licensed Product, Gilead shall deliver an initial Commercialization plan to MacroGenics no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the anticipated date of the First Commercial Sale of such Licensed Product in the Gilead Territory . For each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Product, MacroGenics shall deliver an initial Commercialization plan to Gilead no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the anticipated date of the First Commercial Sale of such Licensed Product in the MacroGenics Territory.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Trademarks</w:t>
      </w:r>
      <w:r>
        <w:rPr>
          <w:rFonts w:ascii="Arial" w:cs="Arial" w:eastAsia="Arial" w:hAnsi="Arial"/>
          <w:sz w:val="14"/>
          <w:szCs w:val="14"/>
          <w:color w:val="auto"/>
        </w:rPr>
        <w:t>.</w:t>
      </w:r>
    </w:p>
    <w:p>
      <w:pPr>
        <w:spacing w:after="0" w:line="132" w:lineRule="exact"/>
        <w:rPr>
          <w:sz w:val="20"/>
          <w:szCs w:val="20"/>
          <w:color w:val="auto"/>
        </w:rPr>
      </w:pPr>
    </w:p>
    <w:p>
      <w:pPr>
        <w:ind w:right="60" w:firstLine="917"/>
        <w:spacing w:after="0" w:line="253" w:lineRule="auto"/>
        <w:rPr>
          <w:sz w:val="20"/>
          <w:szCs w:val="20"/>
          <w:color w:val="auto"/>
        </w:rPr>
      </w:pPr>
      <w:r>
        <w:rPr>
          <w:rFonts w:ascii="Arial" w:cs="Arial" w:eastAsia="Arial" w:hAnsi="Arial"/>
          <w:sz w:val="14"/>
          <w:szCs w:val="14"/>
          <w:color w:val="auto"/>
        </w:rPr>
        <w:t xml:space="preserve">7.6.1 </w:t>
      </w:r>
      <w:r>
        <w:rPr>
          <w:rFonts w:ascii="Arial" w:cs="Arial" w:eastAsia="Arial" w:hAnsi="Arial"/>
          <w:sz w:val="14"/>
          <w:szCs w:val="14"/>
          <w:u w:val="single" w:color="auto"/>
          <w:color w:val="auto"/>
        </w:rPr>
        <w:t>Ownership of Trademarks</w:t>
      </w:r>
      <w:r>
        <w:rPr>
          <w:rFonts w:ascii="Arial" w:cs="Arial" w:eastAsia="Arial" w:hAnsi="Arial"/>
          <w:sz w:val="14"/>
          <w:szCs w:val="14"/>
          <w:color w:val="auto"/>
        </w:rPr>
        <w:t>. Subject to Section 7.6.2, Gilead and its Affiliates shall select the trademarks under which they will market Licensed Products (“</w:t>
      </w:r>
      <w:r>
        <w:rPr>
          <w:rFonts w:ascii="Arial" w:cs="Arial" w:eastAsia="Arial" w:hAnsi="Arial"/>
          <w:sz w:val="14"/>
          <w:szCs w:val="14"/>
          <w:u w:val="single" w:color="auto"/>
          <w:color w:val="auto"/>
        </w:rPr>
        <w:t>Gilead Product Trademark</w:t>
      </w:r>
      <w:r>
        <w:rPr>
          <w:rFonts w:ascii="Arial" w:cs="Arial" w:eastAsia="Arial" w:hAnsi="Arial"/>
          <w:sz w:val="14"/>
          <w:szCs w:val="14"/>
          <w:color w:val="auto"/>
        </w:rPr>
        <w:t>”), which trademarks shall not contain the word “MacroGenics”. Gilead and its Affiliates shall own such Gilead Product Trademarks worldwide. Subject to Section 7.6.2, MacroGenics and its Affiliates shall select the trademarks under which they propose to market *** Licensed Products in the MacroGenics Territory (“</w:t>
      </w:r>
      <w:r>
        <w:rPr>
          <w:rFonts w:ascii="Arial" w:cs="Arial" w:eastAsia="Arial" w:hAnsi="Arial"/>
          <w:sz w:val="14"/>
          <w:szCs w:val="14"/>
          <w:u w:val="single" w:color="auto"/>
          <w:color w:val="auto"/>
        </w:rPr>
        <w:t>MacroGenics Product Trademark</w:t>
      </w:r>
      <w:r>
        <w:rPr>
          <w:rFonts w:ascii="Arial" w:cs="Arial" w:eastAsia="Arial" w:hAnsi="Arial"/>
          <w:sz w:val="14"/>
          <w:szCs w:val="14"/>
          <w:color w:val="auto"/>
        </w:rPr>
        <w:t>”), which trademarks shall not contain the word “Gilead”, and shall notify Gilead thereof and provide Gilead with a reasonable opportunity to comment thereon prior to commencing any registration or use thereof. MacroGenics and its Affiliates shall own such MacroGenics Product Trademarks worldwide.</w:t>
      </w:r>
    </w:p>
    <w:p>
      <w:pPr>
        <w:spacing w:after="0" w:line="113" w:lineRule="exact"/>
        <w:rPr>
          <w:sz w:val="20"/>
          <w:szCs w:val="20"/>
          <w:color w:val="auto"/>
        </w:rPr>
      </w:pPr>
    </w:p>
    <w:p>
      <w:pPr>
        <w:ind w:right="240" w:firstLine="917"/>
        <w:spacing w:after="0" w:line="255" w:lineRule="auto"/>
        <w:rPr>
          <w:sz w:val="20"/>
          <w:szCs w:val="20"/>
          <w:color w:val="auto"/>
        </w:rPr>
      </w:pPr>
      <w:r>
        <w:rPr>
          <w:rFonts w:ascii="Arial" w:cs="Arial" w:eastAsia="Arial" w:hAnsi="Arial"/>
          <w:sz w:val="14"/>
          <w:szCs w:val="14"/>
          <w:color w:val="auto"/>
        </w:rPr>
        <w:t xml:space="preserve">7.6.2 </w:t>
      </w:r>
      <w:r>
        <w:rPr>
          <w:rFonts w:ascii="Arial" w:cs="Arial" w:eastAsia="Arial" w:hAnsi="Arial"/>
          <w:sz w:val="14"/>
          <w:szCs w:val="14"/>
          <w:u w:val="single" w:color="auto"/>
          <w:color w:val="auto"/>
        </w:rPr>
        <w:t>Selection and Use of Trademarks</w:t>
      </w:r>
      <w:r>
        <w:rPr>
          <w:rFonts w:ascii="Arial" w:cs="Arial" w:eastAsia="Arial" w:hAnsi="Arial"/>
          <w:sz w:val="14"/>
          <w:szCs w:val="14"/>
          <w:color w:val="auto"/>
        </w:rPr>
        <w:t>. MacroGenics shall not, and shall not permit its Affiliates or Sublicensees, to select or use as a MacroGenics Product Trademark any trademark that is identical to or likely to cause confusion with the GILEAD trademark or any trademark for any pharmaceutical product of Gilead or any of its Affiliates. Gilead shall not, and shall not permit its Affiliates or Sublicensees, to select or use as a Gilead Product Trademark any Trademark that is identical to or likely to cause confusion with the MACROGENICS trademark or any trademark for any pharmaceutical product of MacroGenics or any of its Affiliates.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0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573" w:name="page574"/>
    <w:bookmarkEnd w:id="573"/>
    <w:p>
      <w:pPr>
        <w:jc w:val="both"/>
        <w:ind w:right="40" w:firstLine="917"/>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7.6.3 </w:t>
      </w:r>
      <w:r>
        <w:rPr>
          <w:rFonts w:ascii="Arial" w:cs="Arial" w:eastAsia="Arial" w:hAnsi="Arial"/>
          <w:sz w:val="14"/>
          <w:szCs w:val="14"/>
          <w:u w:val="single" w:color="auto"/>
          <w:color w:val="auto"/>
        </w:rPr>
        <w:t>Future License</w:t>
      </w:r>
      <w:r>
        <w:rPr>
          <w:rFonts w:ascii="Arial" w:cs="Arial" w:eastAsia="Arial" w:hAnsi="Arial"/>
          <w:sz w:val="14"/>
          <w:szCs w:val="14"/>
          <w:color w:val="auto"/>
        </w:rPr>
        <w:t>. To the extent that either Party desires to utilize the other Party’s Product Trademark to Commercialize *** Licensed Products in its Territory for the *** Licensed Program, then Gilead and MacroGenics shall enter into good faith discussions regarding a separate trademark license agreement containing commercially reasonable and customary terms pursuant to which the Party that owns such Product Trademark would grant the other Party an exclusive license to use the applicable Product Trademark(s) to Commercialize *** Licensed Products in such other Party’s Territory; provided, that neither Party shall have any obligation to enter into any such trademark license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Standards of Conduct</w:t>
      </w:r>
      <w:r>
        <w:rPr>
          <w:rFonts w:ascii="Arial" w:cs="Arial" w:eastAsia="Arial" w:hAnsi="Arial"/>
          <w:sz w:val="14"/>
          <w:szCs w:val="14"/>
          <w:color w:val="auto"/>
        </w:rPr>
        <w:t>.</w:t>
      </w:r>
    </w:p>
    <w:p>
      <w:pPr>
        <w:spacing w:after="0" w:line="132"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7.7.1 Each Party shall in all respects comply with all applicable Laws and applicable guidelines concerning the advertising, sales and marketing of prescription drug products in Commercializing Licensed Products under this Agreement, including any applicable anti-bribery laws, including those described in Section 7.7.2.</w:t>
      </w:r>
    </w:p>
    <w:p>
      <w:pPr>
        <w:spacing w:after="0" w:line="101" w:lineRule="exact"/>
        <w:rPr>
          <w:sz w:val="20"/>
          <w:szCs w:val="20"/>
          <w:color w:val="auto"/>
        </w:rPr>
      </w:pPr>
    </w:p>
    <w:p>
      <w:pPr>
        <w:ind w:right="80" w:firstLine="917"/>
        <w:spacing w:after="0" w:line="299" w:lineRule="auto"/>
        <w:rPr>
          <w:sz w:val="20"/>
          <w:szCs w:val="20"/>
          <w:color w:val="auto"/>
        </w:rPr>
      </w:pPr>
      <w:r>
        <w:rPr>
          <w:rFonts w:ascii="Arial" w:cs="Arial" w:eastAsia="Arial" w:hAnsi="Arial"/>
          <w:sz w:val="12"/>
          <w:szCs w:val="12"/>
          <w:color w:val="auto"/>
        </w:rPr>
        <w:t>7.7.2 Without limiting Section 7.7.1, in connection with any activities under this Agreement, neither Party shall give, offer, promise, or authorize any payment, benefit, or gift of money or anything else of value, directly or indirectly, to (a) any Government or Public Official; (b) any political party, party official or candidate for public or political office; (c) any Person while knowing or having reason to know that all or a portion of the value will be given, offered or promised, directly or indirectly, to anyone described in terms (a) or (b) above; or (d) any owner, director, employee, representative or agent of any actual or potential customer of the Parties, in each case ((a) through (d)) for purposes of influencing any act or decision of such individual in his official capacity, inducing such individual to do or omit to do any act in violation of the individual’s duty, inducing the individual to use the individual’s official influence with a government to affect or influence an act or decision of the government, or to secure any improper advantage in order to assist in obtaining or retaining business, or where such payment, benefit or gift would constitute a violation of any Law, including the Foreign Corrupt Practices Act of 1977 (the “</w:t>
      </w:r>
      <w:r>
        <w:rPr>
          <w:rFonts w:ascii="Arial" w:cs="Arial" w:eastAsia="Arial" w:hAnsi="Arial"/>
          <w:sz w:val="12"/>
          <w:szCs w:val="12"/>
          <w:u w:val="single" w:color="auto"/>
          <w:color w:val="auto"/>
        </w:rPr>
        <w:t>FCPA</w:t>
      </w:r>
      <w:r>
        <w:rPr>
          <w:rFonts w:ascii="Arial" w:cs="Arial" w:eastAsia="Arial" w:hAnsi="Arial"/>
          <w:sz w:val="12"/>
          <w:szCs w:val="12"/>
          <w:color w:val="auto"/>
        </w:rPr>
        <w:t>”), the United Kingdom Bribery Act (the “</w:t>
      </w:r>
      <w:r>
        <w:rPr>
          <w:rFonts w:ascii="Arial" w:cs="Arial" w:eastAsia="Arial" w:hAnsi="Arial"/>
          <w:sz w:val="12"/>
          <w:szCs w:val="12"/>
          <w:u w:val="single" w:color="auto"/>
          <w:color w:val="auto"/>
        </w:rPr>
        <w:t>UKBA</w:t>
      </w:r>
      <w:r>
        <w:rPr>
          <w:rFonts w:ascii="Arial" w:cs="Arial" w:eastAsia="Arial" w:hAnsi="Arial"/>
          <w:sz w:val="12"/>
          <w:szCs w:val="12"/>
          <w:color w:val="auto"/>
        </w:rPr>
        <w:t>”) or any Law enacted pursuant to the OECD Convention on Combating Bribery of Foreign Public Officials in International Business Transactions Convention. If, at any time during the term of this Agreement, either Party breaches its obligations under Section 7.7.1 or this Section 7.7.2, such Party shall immediately notify the other Party.</w:t>
      </w:r>
    </w:p>
    <w:p>
      <w:pPr>
        <w:spacing w:after="0" w:line="87" w:lineRule="exact"/>
        <w:rPr>
          <w:sz w:val="20"/>
          <w:szCs w:val="20"/>
          <w:color w:val="auto"/>
        </w:rPr>
      </w:pPr>
    </w:p>
    <w:p>
      <w:pPr>
        <w:ind w:right="40" w:firstLine="917"/>
        <w:spacing w:after="0" w:line="252" w:lineRule="auto"/>
        <w:rPr>
          <w:sz w:val="20"/>
          <w:szCs w:val="20"/>
          <w:color w:val="auto"/>
        </w:rPr>
      </w:pPr>
      <w:r>
        <w:rPr>
          <w:rFonts w:ascii="Arial" w:cs="Arial" w:eastAsia="Arial" w:hAnsi="Arial"/>
          <w:sz w:val="14"/>
          <w:szCs w:val="14"/>
          <w:color w:val="auto"/>
        </w:rPr>
        <w:t>7.7.3 During the term of this Agreement, each Party shall maintain true and accurate records: (a) documenting its interactions with any government or Government or Public Official relating to its activities in connection with this Agreement; (ii) payments made by it to any Government or Public Official; and (iii) political contributions. In the event of a claim or investigation, or an official request for a Party to cooperate with respect to any such claim or investigation, by a Regulatory Authority or other legal authority having jurisdiction over either Party of an alleged violation of the FCPA, UKBA or any analogous Law in any other jurisdiction arising from any activities conducted by the other Party in connection with this Agreement, such other Party shall provide such Regulatory Authority or other legal authority having jurisdiction over the Party with access to such other Party’s facilities, records (financial and otherwise) and supporting documentation, as reasonably requested by the Party or its agents in order to cooperate in connection with such claim or investigation.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0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74" w:name="page575"/>
    <w:bookmarkEnd w:id="574"/>
    <w:p>
      <w:pPr>
        <w:ind w:left="5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8</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PAYMENTS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License Fees</w:t>
      </w:r>
      <w:r>
        <w:rPr>
          <w:rFonts w:ascii="Arial" w:cs="Arial" w:eastAsia="Arial" w:hAnsi="Arial"/>
          <w:sz w:val="12"/>
          <w:szCs w:val="12"/>
          <w:color w:val="auto"/>
        </w:rPr>
        <w:t xml:space="preserve">. Gilead shall pay MacroGenics a non-refundable, non-creditable payment of Seven Million Five Hundred Thousand Dollars ($7,500,000) for each Licensed Program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w:t>
      </w:r>
    </w:p>
    <w:p>
      <w:pPr>
        <w:spacing w:after="0" w:line="37" w:lineRule="exact"/>
        <w:rPr>
          <w:sz w:val="20"/>
          <w:szCs w:val="20"/>
          <w:color w:val="auto"/>
        </w:rPr>
      </w:pPr>
    </w:p>
    <w:p>
      <w:pPr>
        <w:ind w:left="180" w:hanging="176"/>
        <w:spacing w:after="0"/>
        <w:tabs>
          <w:tab w:leader="none" w:pos="18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 xml:space="preserve">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the later of the Effective Date and Gilead’s receipt of the corresponding invoice; and (b) with respect to the </w:t>
      </w:r>
      <w:r>
        <w:rPr>
          <w:rFonts w:ascii="Arial" w:cs="Arial" w:eastAsia="Arial" w:hAnsi="Arial"/>
          <w:sz w:val="12"/>
          <w:szCs w:val="12"/>
          <w:b w:val="1"/>
          <w:bCs w:val="1"/>
          <w:color w:val="auto"/>
        </w:rPr>
        <w:t>***</w:t>
      </w:r>
      <w:r>
        <w:rPr>
          <w:rFonts w:ascii="Arial" w:cs="Arial" w:eastAsia="Arial" w:hAnsi="Arial"/>
          <w:sz w:val="12"/>
          <w:szCs w:val="12"/>
          <w:color w:val="auto"/>
        </w:rPr>
        <w:t xml:space="preserve">Licensed Program, the </w:t>
      </w:r>
      <w:r>
        <w:rPr>
          <w:rFonts w:ascii="Arial" w:cs="Arial" w:eastAsia="Arial" w:hAnsi="Arial"/>
          <w:sz w:val="12"/>
          <w:szCs w:val="12"/>
          <w:b w:val="1"/>
          <w:bCs w:val="1"/>
          <w:color w:val="auto"/>
        </w:rPr>
        <w:t>***</w:t>
      </w:r>
      <w:r>
        <w:rPr>
          <w:rFonts w:ascii="Arial" w:cs="Arial" w:eastAsia="Arial" w:hAnsi="Arial"/>
          <w:sz w:val="12"/>
          <w:szCs w:val="12"/>
          <w:color w:val="auto"/>
        </w:rPr>
        <w:t xml:space="preserve"> Licensed Program and the</w:t>
      </w:r>
    </w:p>
    <w:p>
      <w:pPr>
        <w:spacing w:after="0" w:line="29" w:lineRule="exact"/>
        <w:rPr>
          <w:rFonts w:ascii="Arial" w:cs="Arial" w:eastAsia="Arial" w:hAnsi="Arial"/>
          <w:sz w:val="12"/>
          <w:szCs w:val="12"/>
          <w:color w:val="auto"/>
        </w:rPr>
      </w:pPr>
    </w:p>
    <w:p>
      <w:pPr>
        <w:ind w:right="320"/>
        <w:spacing w:after="0" w:line="258" w:lineRule="auto"/>
        <w:rPr>
          <w:rFonts w:ascii="Arial" w:cs="Arial" w:eastAsia="Arial" w:hAnsi="Arial"/>
          <w:sz w:val="12"/>
          <w:szCs w:val="12"/>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Licensed Program, the later of the Clearance Date for such Licensed Program and the date of Gilead’s receipt of the corresponding invoice. Each such payment is referred to as a “</w:t>
      </w:r>
      <w:r>
        <w:rPr>
          <w:rFonts w:ascii="Arial" w:cs="Arial" w:eastAsia="Arial" w:hAnsi="Arial"/>
          <w:sz w:val="14"/>
          <w:szCs w:val="14"/>
          <w:u w:val="single" w:color="auto"/>
          <w:color w:val="auto"/>
        </w:rPr>
        <w:t>License Fee</w:t>
      </w:r>
      <w:r>
        <w:rPr>
          <w:rFonts w:ascii="Arial" w:cs="Arial" w:eastAsia="Arial" w:hAnsi="Arial"/>
          <w:sz w:val="14"/>
          <w:szCs w:val="14"/>
          <w:color w:val="auto"/>
        </w:rPr>
        <w:t>”,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maximum amount of License Fees payable hereunder shall be Thirty Million Dollars ($30,000,000).</w:t>
      </w:r>
    </w:p>
    <w:p>
      <w:pPr>
        <w:spacing w:after="0" w:line="106" w:lineRule="exact"/>
        <w:rPr>
          <w:sz w:val="20"/>
          <w:szCs w:val="20"/>
          <w:color w:val="auto"/>
        </w:rPr>
      </w:pPr>
    </w:p>
    <w:p>
      <w:pPr>
        <w:ind w:right="260" w:firstLine="458"/>
        <w:spacing w:after="0" w:line="270"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Preclinical Milestone Payments</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Gilead delivers to MacroGenics a Preclinical Milestone Payment Notice with respect to any Licensed Program, Gilead shall pay MacroGenics a non-refundable, non-creditable payment (the “</w:t>
      </w:r>
      <w:r>
        <w:rPr>
          <w:rFonts w:ascii="Arial" w:cs="Arial" w:eastAsia="Arial" w:hAnsi="Arial"/>
          <w:sz w:val="14"/>
          <w:szCs w:val="14"/>
          <w:u w:val="single" w:color="auto"/>
          <w:color w:val="auto"/>
        </w:rPr>
        <w:t>Preclinical Milestone Payment</w:t>
      </w:r>
      <w:r>
        <w:rPr>
          <w:rFonts w:ascii="Arial" w:cs="Arial" w:eastAsia="Arial" w:hAnsi="Arial"/>
          <w:sz w:val="14"/>
          <w:szCs w:val="14"/>
          <w:color w:val="auto"/>
        </w:rPr>
        <w:t>”) of:</w:t>
      </w:r>
    </w:p>
    <w:p>
      <w:pPr>
        <w:spacing w:after="0" w:line="97" w:lineRule="exact"/>
        <w:rPr>
          <w:sz w:val="20"/>
          <w:szCs w:val="20"/>
          <w:color w:val="auto"/>
        </w:rPr>
      </w:pPr>
    </w:p>
    <w:p>
      <w:pPr>
        <w:ind w:left="1680" w:hanging="187"/>
        <w:spacing w:after="0"/>
        <w:tabs>
          <w:tab w:leader="none" w:pos="1680" w:val="left"/>
        </w:tabs>
        <w:numPr>
          <w:ilvl w:val="0"/>
          <w:numId w:val="604"/>
        </w:numPr>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color w:val="auto"/>
        </w:rPr>
        <w:t>, Twenty Five Million Dollars ($25,000,000);</w:t>
      </w:r>
    </w:p>
    <w:p>
      <w:pPr>
        <w:spacing w:after="0" w:line="133" w:lineRule="exact"/>
        <w:rPr>
          <w:rFonts w:ascii="Arial" w:cs="Arial" w:eastAsia="Arial" w:hAnsi="Arial"/>
          <w:sz w:val="14"/>
          <w:szCs w:val="14"/>
          <w:color w:val="auto"/>
        </w:rPr>
      </w:pPr>
    </w:p>
    <w:p>
      <w:pPr>
        <w:ind w:left="1680" w:hanging="187"/>
        <w:spacing w:after="0"/>
        <w:tabs>
          <w:tab w:leader="none" w:pos="1680" w:val="left"/>
        </w:tabs>
        <w:numPr>
          <w:ilvl w:val="0"/>
          <w:numId w:val="604"/>
        </w:numPr>
        <w:rPr>
          <w:rFonts w:ascii="Arial" w:cs="Arial" w:eastAsia="Arial" w:hAnsi="Arial"/>
          <w:sz w:val="14"/>
          <w:szCs w:val="14"/>
          <w:color w:val="auto"/>
        </w:rPr>
      </w:pPr>
      <w:r>
        <w:rPr>
          <w:rFonts w:ascii="Arial" w:cs="Arial" w:eastAsia="Arial" w:hAnsi="Arial"/>
          <w:sz w:val="14"/>
          <w:szCs w:val="14"/>
          <w:color w:val="auto"/>
        </w:rPr>
        <w:t>***, Twenty Million Dollars ($20,000,000);</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604"/>
        </w:numPr>
        <w:rPr>
          <w:rFonts w:ascii="Arial" w:cs="Arial" w:eastAsia="Arial" w:hAnsi="Arial"/>
          <w:sz w:val="14"/>
          <w:szCs w:val="14"/>
          <w:color w:val="auto"/>
        </w:rPr>
      </w:pPr>
      <w:r>
        <w:rPr>
          <w:rFonts w:ascii="Arial" w:cs="Arial" w:eastAsia="Arial" w:hAnsi="Arial"/>
          <w:sz w:val="14"/>
          <w:szCs w:val="14"/>
          <w:color w:val="auto"/>
        </w:rPr>
        <w:t>***, Twenty Million Dollars ($20,000,000); and</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604"/>
        </w:numPr>
        <w:rPr>
          <w:rFonts w:ascii="Arial" w:cs="Arial" w:eastAsia="Arial" w:hAnsi="Arial"/>
          <w:sz w:val="14"/>
          <w:szCs w:val="14"/>
          <w:color w:val="auto"/>
        </w:rPr>
      </w:pPr>
      <w:r>
        <w:rPr>
          <w:rFonts w:ascii="Arial" w:cs="Arial" w:eastAsia="Arial" w:hAnsi="Arial"/>
          <w:sz w:val="14"/>
          <w:szCs w:val="14"/>
          <w:color w:val="auto"/>
        </w:rPr>
        <w:t>***, Twenty Million Dollars ($20,000,000).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Development and Regulatory Milestones</w:t>
      </w: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8.3.1 </w:t>
      </w:r>
      <w:r>
        <w:rPr>
          <w:rFonts w:ascii="Arial" w:cs="Arial" w:eastAsia="Arial" w:hAnsi="Arial"/>
          <w:sz w:val="12"/>
          <w:szCs w:val="12"/>
          <w:u w:val="single" w:color="auto"/>
          <w:color w:val="auto"/>
        </w:rPr>
        <w:t>Development and Regulatory Milestones</w:t>
      </w:r>
      <w:r>
        <w:rPr>
          <w:rFonts w:ascii="Arial" w:cs="Arial" w:eastAsia="Arial" w:hAnsi="Arial"/>
          <w:sz w:val="12"/>
          <w:szCs w:val="12"/>
          <w:color w:val="auto"/>
        </w:rPr>
        <w:t>. During the License Term for each Licensed Program, for each milestone set forth in this Section 8.3.1 achieved by Gilead or its Affiliates or</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Sublicensees with respect to such Licensed Program, Gilead shall pay the corresponding non-refundable, non-creditable amount indicated for that milestone for the first instance of its achievement:</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122"/>
        </w:trPr>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98"/>
              </w:rPr>
              <w:t>Milestone Event</w:t>
            </w:r>
          </w:p>
        </w:tc>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Column I</w:t>
            </w:r>
          </w:p>
        </w:tc>
        <w:tc>
          <w:tcPr>
            <w:tcW w:w="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color w:val="auto"/>
              </w:rPr>
              <w:t>Column II</w:t>
            </w:r>
          </w:p>
        </w:tc>
        <w:tc>
          <w:tcPr>
            <w:tcW w:w="220" w:type="dxa"/>
            <w:vAlign w:val="bottom"/>
          </w:tcPr>
          <w:p>
            <w:pPr>
              <w:spacing w:after="0"/>
              <w:rPr>
                <w:sz w:val="10"/>
                <w:szCs w:val="10"/>
                <w:color w:val="auto"/>
              </w:rPr>
            </w:pPr>
          </w:p>
        </w:tc>
      </w:tr>
      <w:tr>
        <w:trPr>
          <w:trHeight w:val="98"/>
        </w:trPr>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80" w:type="dxa"/>
            <w:vAlign w:val="bottom"/>
            <w:gridSpan w:val="5"/>
          </w:tcPr>
          <w:p>
            <w:pPr>
              <w:jc w:val="center"/>
              <w:ind w:left="2440"/>
              <w:spacing w:after="0" w:line="99" w:lineRule="exact"/>
              <w:rPr>
                <w:sz w:val="20"/>
                <w:szCs w:val="20"/>
                <w:color w:val="auto"/>
              </w:rPr>
            </w:pPr>
            <w:r>
              <w:rPr>
                <w:rFonts w:ascii="Arial" w:cs="Arial" w:eastAsia="Arial" w:hAnsi="Arial"/>
                <w:sz w:val="10"/>
                <w:szCs w:val="10"/>
                <w:color w:val="auto"/>
                <w:w w:val="94"/>
              </w:rPr>
              <w:t>Payment for First</w:t>
            </w:r>
          </w:p>
        </w:tc>
      </w:tr>
      <w:tr>
        <w:trPr>
          <w:trHeight w:val="115"/>
        </w:trPr>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0"/>
                <w:szCs w:val="10"/>
                <w:color w:val="auto"/>
                <w:w w:val="97"/>
              </w:rPr>
              <w:t>Payment for First</w:t>
            </w:r>
          </w:p>
        </w:tc>
        <w:tc>
          <w:tcPr>
            <w:tcW w:w="3380" w:type="dxa"/>
            <w:vAlign w:val="bottom"/>
            <w:gridSpan w:val="5"/>
          </w:tcPr>
          <w:p>
            <w:pPr>
              <w:jc w:val="center"/>
              <w:ind w:left="2440"/>
              <w:spacing w:after="0"/>
              <w:rPr>
                <w:sz w:val="20"/>
                <w:szCs w:val="20"/>
                <w:color w:val="auto"/>
              </w:rPr>
            </w:pPr>
            <w:r>
              <w:rPr>
                <w:rFonts w:ascii="Arial" w:cs="Arial" w:eastAsia="Arial" w:hAnsi="Arial"/>
                <w:sz w:val="10"/>
                <w:szCs w:val="10"/>
                <w:color w:val="auto"/>
                <w:w w:val="91"/>
              </w:rPr>
              <w:t>Subsequent Licensed</w:t>
            </w:r>
          </w:p>
        </w:tc>
      </w:tr>
      <w:tr>
        <w:trPr>
          <w:trHeight w:val="122"/>
        </w:trPr>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color w:val="auto"/>
                <w:w w:val="95"/>
              </w:rPr>
              <w:t>Licensed Product</w:t>
            </w:r>
          </w:p>
        </w:tc>
        <w:tc>
          <w:tcPr>
            <w:tcW w:w="2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Product*</w:t>
            </w:r>
          </w:p>
        </w:tc>
        <w:tc>
          <w:tcPr>
            <w:tcW w:w="240" w:type="dxa"/>
            <w:vAlign w:val="bottom"/>
            <w:gridSpan w:val="2"/>
          </w:tcPr>
          <w:p>
            <w:pPr>
              <w:spacing w:after="0"/>
              <w:rPr>
                <w:sz w:val="10"/>
                <w:szCs w:val="10"/>
                <w:color w:val="auto"/>
              </w:rPr>
            </w:pPr>
          </w:p>
        </w:tc>
      </w:tr>
      <w:tr>
        <w:trPr>
          <w:trHeight w:val="166"/>
        </w:trPr>
        <w:tc>
          <w:tcPr>
            <w:tcW w:w="280" w:type="dxa"/>
            <w:vAlign w:val="bottom"/>
          </w:tcPr>
          <w:p>
            <w:pPr>
              <w:spacing w:after="0"/>
              <w:rPr>
                <w:sz w:val="20"/>
                <w:szCs w:val="20"/>
                <w:color w:val="auto"/>
              </w:rPr>
            </w:pPr>
            <w:r>
              <w:rPr>
                <w:rFonts w:ascii="Arial" w:cs="Arial" w:eastAsia="Arial" w:hAnsi="Arial"/>
                <w:sz w:val="14"/>
                <w:szCs w:val="14"/>
                <w:color w:val="auto"/>
              </w:rPr>
              <w:t>(a)</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140" w:type="dxa"/>
            <w:vAlign w:val="bottom"/>
            <w:gridSpan w:val="3"/>
          </w:tcPr>
          <w:p>
            <w:pPr>
              <w:jc w:val="center"/>
              <w:ind w:left="2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(b)</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0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575" w:name="page576"/>
    <w:bookmarkEnd w:id="575"/>
    <w:tbl>
      <w:tblPr>
        <w:tblLayout w:type="fixed"/>
        <w:tblInd w:w="280" w:type="dxa"/>
        <w:tblCellMar>
          <w:top w:w="0" w:type="dxa"/>
          <w:left w:w="0" w:type="dxa"/>
          <w:bottom w:w="0" w:type="dxa"/>
          <w:right w:w="0" w:type="dxa"/>
        </w:tblCellMar>
      </w:tblPr>
      <w:tr>
        <w:trPr>
          <w:trHeight w:val="122"/>
        </w:trPr>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98"/>
              </w:rPr>
              <w:t>Milestone Event</w:t>
            </w:r>
          </w:p>
        </w:tc>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Column I</w:t>
            </w:r>
          </w:p>
        </w:tc>
        <w:tc>
          <w:tcPr>
            <w:tcW w:w="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color w:val="auto"/>
              </w:rPr>
              <w:t>Column II</w:t>
            </w:r>
          </w:p>
        </w:tc>
        <w:tc>
          <w:tcPr>
            <w:tcW w:w="220" w:type="dxa"/>
            <w:vAlign w:val="bottom"/>
          </w:tcPr>
          <w:p>
            <w:pPr>
              <w:spacing w:after="0"/>
              <w:rPr>
                <w:sz w:val="10"/>
                <w:szCs w:val="10"/>
                <w:color w:val="auto"/>
              </w:rPr>
            </w:pPr>
          </w:p>
        </w:tc>
      </w:tr>
      <w:tr>
        <w:trPr>
          <w:trHeight w:val="98"/>
        </w:trPr>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80" w:type="dxa"/>
            <w:vAlign w:val="bottom"/>
            <w:gridSpan w:val="5"/>
          </w:tcPr>
          <w:p>
            <w:pPr>
              <w:jc w:val="center"/>
              <w:ind w:left="2435"/>
              <w:spacing w:after="0" w:line="99" w:lineRule="exact"/>
              <w:rPr>
                <w:sz w:val="20"/>
                <w:szCs w:val="20"/>
                <w:color w:val="auto"/>
              </w:rPr>
            </w:pPr>
            <w:r>
              <w:rPr>
                <w:rFonts w:ascii="Arial" w:cs="Arial" w:eastAsia="Arial" w:hAnsi="Arial"/>
                <w:sz w:val="10"/>
                <w:szCs w:val="10"/>
                <w:color w:val="auto"/>
                <w:w w:val="94"/>
              </w:rPr>
              <w:t>Payment for First</w:t>
            </w:r>
          </w:p>
        </w:tc>
      </w:tr>
      <w:tr>
        <w:trPr>
          <w:trHeight w:val="115"/>
        </w:trPr>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0"/>
                <w:szCs w:val="10"/>
                <w:color w:val="auto"/>
                <w:w w:val="97"/>
              </w:rPr>
              <w:t>Payment for First</w:t>
            </w:r>
          </w:p>
        </w:tc>
        <w:tc>
          <w:tcPr>
            <w:tcW w:w="3380" w:type="dxa"/>
            <w:vAlign w:val="bottom"/>
            <w:gridSpan w:val="5"/>
          </w:tcPr>
          <w:p>
            <w:pPr>
              <w:jc w:val="center"/>
              <w:ind w:left="2435"/>
              <w:spacing w:after="0"/>
              <w:rPr>
                <w:sz w:val="20"/>
                <w:szCs w:val="20"/>
                <w:color w:val="auto"/>
              </w:rPr>
            </w:pPr>
            <w:r>
              <w:rPr>
                <w:rFonts w:ascii="Arial" w:cs="Arial" w:eastAsia="Arial" w:hAnsi="Arial"/>
                <w:sz w:val="10"/>
                <w:szCs w:val="10"/>
                <w:color w:val="auto"/>
                <w:w w:val="91"/>
              </w:rPr>
              <w:t>Subsequent Licensed</w:t>
            </w:r>
          </w:p>
        </w:tc>
      </w:tr>
      <w:tr>
        <w:trPr>
          <w:trHeight w:val="122"/>
        </w:trPr>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color w:val="auto"/>
                <w:w w:val="95"/>
              </w:rPr>
              <w:t>Licensed Product</w:t>
            </w:r>
          </w:p>
        </w:tc>
        <w:tc>
          <w:tcPr>
            <w:tcW w:w="2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Product*</w:t>
            </w:r>
          </w:p>
        </w:tc>
        <w:tc>
          <w:tcPr>
            <w:tcW w:w="240" w:type="dxa"/>
            <w:vAlign w:val="bottom"/>
            <w:gridSpan w:val="2"/>
          </w:tcPr>
          <w:p>
            <w:pPr>
              <w:spacing w:after="0"/>
              <w:rPr>
                <w:sz w:val="10"/>
                <w:szCs w:val="10"/>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4"/>
                <w:szCs w:val="14"/>
                <w:color w:val="auto"/>
              </w:rPr>
              <w:t>(c)</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(d)</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(e)</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(f)</w:t>
            </w:r>
          </w:p>
        </w:tc>
        <w:tc>
          <w:tcPr>
            <w:tcW w:w="102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(g)</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(h)</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w:t>
            </w:r>
          </w:p>
        </w:tc>
        <w:tc>
          <w:tcPr>
            <w:tcW w:w="102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(j)</w:t>
            </w:r>
          </w:p>
        </w:tc>
        <w:tc>
          <w:tcPr>
            <w:tcW w:w="102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(k)</w:t>
            </w:r>
          </w:p>
        </w:tc>
        <w:tc>
          <w:tcPr>
            <w:tcW w:w="102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5440" w:type="dxa"/>
            <w:vAlign w:val="bottom"/>
            <w:gridSpan w:val="3"/>
          </w:tcPr>
          <w:p>
            <w:pPr>
              <w:jc w:val="center"/>
              <w:ind w:left="49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140" w:type="dxa"/>
            <w:vAlign w:val="bottom"/>
            <w:gridSpan w:val="3"/>
          </w:tcPr>
          <w:p>
            <w:pPr>
              <w:jc w:val="center"/>
              <w:ind w:left="267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220" w:right="260" w:hanging="216"/>
        <w:spacing w:after="0" w:line="267" w:lineRule="auto"/>
        <w:tabs>
          <w:tab w:leader="none" w:pos="220" w:val="left"/>
        </w:tabs>
        <w:numPr>
          <w:ilvl w:val="0"/>
          <w:numId w:val="606"/>
        </w:numPr>
        <w:rPr>
          <w:rFonts w:ascii="Arial" w:cs="Arial" w:eastAsia="Arial" w:hAnsi="Arial"/>
          <w:sz w:val="14"/>
          <w:szCs w:val="14"/>
          <w:color w:val="auto"/>
        </w:rPr>
      </w:pPr>
      <w:r>
        <w:rPr>
          <w:rFonts w:ascii="Arial" w:cs="Arial" w:eastAsia="Arial" w:hAnsi="Arial"/>
          <w:sz w:val="14"/>
          <w:szCs w:val="14"/>
          <w:color w:val="auto"/>
        </w:rPr>
        <w:t>For purposes of clarity, a Licensed Product that contains a Program DART other than the Program DART contained in the first Licensed Product with respect to which a milestone payment set forth in Section 8.3.1 has been paid shall be deemed a subsequent Licensed Product.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In no event shall the total of the amounts paid under Column I of this Section 8.3.1 exceed (i) ***.</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 no event shall the total of the amounts paid under Column II of this Section 8.3.1 exceed (i) ***</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8.3.2 </w:t>
      </w:r>
      <w:r>
        <w:rPr>
          <w:rFonts w:ascii="Arial" w:cs="Arial" w:eastAsia="Arial" w:hAnsi="Arial"/>
          <w:sz w:val="12"/>
          <w:szCs w:val="12"/>
          <w:u w:val="single" w:color="auto"/>
          <w:color w:val="auto"/>
        </w:rPr>
        <w:t>Milestone Payments</w:t>
      </w:r>
      <w:r>
        <w:rPr>
          <w:rFonts w:ascii="Arial" w:cs="Arial" w:eastAsia="Arial" w:hAnsi="Arial"/>
          <w:sz w:val="12"/>
          <w:szCs w:val="12"/>
          <w:color w:val="auto"/>
        </w:rPr>
        <w:t>. Gilead shall make the milestone payments required by Section 8.3.1 in accordance with Section 8.3.4. If, with respect to any Program DART or Licensed Product,</w:t>
      </w:r>
    </w:p>
    <w:p>
      <w:pPr>
        <w:spacing w:after="0" w:line="35" w:lineRule="exact"/>
        <w:rPr>
          <w:sz w:val="20"/>
          <w:szCs w:val="20"/>
          <w:color w:val="auto"/>
        </w:rPr>
      </w:pPr>
    </w:p>
    <w:p>
      <w:pPr>
        <w:ind w:right="20" w:firstLine="4"/>
        <w:spacing w:after="0" w:line="290" w:lineRule="auto"/>
        <w:tabs>
          <w:tab w:leader="none" w:pos="162" w:val="left"/>
        </w:tabs>
        <w:numPr>
          <w:ilvl w:val="0"/>
          <w:numId w:val="607"/>
        </w:numPr>
        <w:rPr>
          <w:rFonts w:ascii="Arial" w:cs="Arial" w:eastAsia="Arial" w:hAnsi="Arial"/>
          <w:sz w:val="12"/>
          <w:szCs w:val="12"/>
          <w:color w:val="auto"/>
        </w:rPr>
      </w:pPr>
      <w:r>
        <w:rPr>
          <w:rFonts w:ascii="Arial" w:cs="Arial" w:eastAsia="Arial" w:hAnsi="Arial"/>
          <w:sz w:val="12"/>
          <w:szCs w:val="12"/>
          <w:color w:val="auto"/>
        </w:rPr>
        <w:t>an event described in clause (b) or (c) of Section 8.3.1 occurs before or concurrently with another event described in a preceding clause of Section 8.3.1; (ii) an event described in clause (d), (e) or (f) of Section 8.3.1 occurs before or concurrently with an event described in clause (a), (b) or (c) of Section 8.3.1; (iii) an event described in clause (g) of Section 8.3.1 occurs before or concurrently with an event described in clause (a), (b), (c) or (d) of Section 8.3.1; (iv) an event described in clause (i) of Section 8.3.1 occurs before or concurrently with an event described in clause (a), (b), (c) or (e) of Section 8.3.1; or</w:t>
      </w:r>
    </w:p>
    <w:p>
      <w:pPr>
        <w:spacing w:after="0" w:line="1" w:lineRule="exact"/>
        <w:rPr>
          <w:rFonts w:ascii="Arial" w:cs="Arial" w:eastAsia="Arial" w:hAnsi="Arial"/>
          <w:sz w:val="12"/>
          <w:szCs w:val="12"/>
          <w:color w:val="auto"/>
        </w:rPr>
      </w:pPr>
    </w:p>
    <w:p>
      <w:pPr>
        <w:ind w:right="160" w:firstLine="4"/>
        <w:spacing w:after="0" w:line="341" w:lineRule="auto"/>
        <w:tabs>
          <w:tab w:leader="none" w:pos="192" w:val="left"/>
        </w:tabs>
        <w:numPr>
          <w:ilvl w:val="0"/>
          <w:numId w:val="608"/>
        </w:numPr>
        <w:rPr>
          <w:rFonts w:ascii="Arial" w:cs="Arial" w:eastAsia="Arial" w:hAnsi="Arial"/>
          <w:sz w:val="12"/>
          <w:szCs w:val="12"/>
          <w:color w:val="auto"/>
        </w:rPr>
      </w:pPr>
      <w:r>
        <w:rPr>
          <w:rFonts w:ascii="Arial" w:cs="Arial" w:eastAsia="Arial" w:hAnsi="Arial"/>
          <w:sz w:val="12"/>
          <w:szCs w:val="12"/>
          <w:color w:val="auto"/>
        </w:rPr>
        <w:t>an event described in clause (k) of Section 8.3.1 occurs before or concurrently with an event described in clause (a), (b), (c) or (f) of Section 8.3.1, then in each case ((i) through (v)) Gilead shall pay any unpaid milestone payment(s) described in such earlier clause(s) (under Column I or Column II, as applicable) when the milestone payment described in such later clause(s) is paid.</w:t>
      </w:r>
    </w:p>
    <w:p>
      <w:pPr>
        <w:spacing w:after="0" w:line="5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45</w:t>
      </w:r>
    </w:p>
    <w:p>
      <w:pPr>
        <w:spacing w:after="0" w:line="12" w:lineRule="exact"/>
        <w:rPr>
          <w:sz w:val="20"/>
          <w:szCs w:val="20"/>
          <w:color w:val="auto"/>
        </w:rPr>
      </w:pPr>
    </w:p>
    <w:p>
      <w:pPr>
        <w:ind w:left="3840" w:right="2560" w:hanging="1135"/>
        <w:spacing w:after="0" w:line="341" w:lineRule="auto"/>
        <w:tabs>
          <w:tab w:leader="none" w:pos="2944" w:val="left"/>
        </w:tabs>
        <w:numPr>
          <w:ilvl w:val="0"/>
          <w:numId w:val="60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20"/>
          </w:cols>
          <w:pgMar w:left="220" w:top="248" w:right="359" w:bottom="1440" w:gutter="0" w:footer="0" w:header="0"/>
        </w:sectPr>
      </w:pPr>
    </w:p>
    <w:bookmarkStart w:id="576" w:name="page577"/>
    <w:bookmarkEnd w:id="576"/>
    <w:p>
      <w:pPr>
        <w:ind w:firstLine="917"/>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8.3.3 </w:t>
      </w:r>
      <w:r>
        <w:rPr>
          <w:rFonts w:ascii="Arial" w:cs="Arial" w:eastAsia="Arial" w:hAnsi="Arial"/>
          <w:sz w:val="12"/>
          <w:szCs w:val="12"/>
          <w:u w:val="single" w:color="auto"/>
          <w:color w:val="auto"/>
        </w:rPr>
        <w:t>Replacement Products</w:t>
      </w:r>
      <w:r>
        <w:rPr>
          <w:rFonts w:ascii="Arial" w:cs="Arial" w:eastAsia="Arial" w:hAnsi="Arial"/>
          <w:sz w:val="12"/>
          <w:szCs w:val="12"/>
          <w:color w:val="auto"/>
        </w:rPr>
        <w:t>. If Development of the first Program DART or Licensed Product from a Licensed Program has been discontinued, then the achievement by a subsequent Program DART or Licensed Product from such Licensed Program of a milestone event not achieved by such substituted or discontinued first Licensed Product shall be deemed to be achievement of the corresponding milestone event under Section 8.3.1 by the first Licensed Product entitling MacroGenics to the corresponding milestone payment under Section 8.3.1 Column I. By way of example, if a first and second Licensed Product from a given Licensed Program have been Developed concurrently and the Development of such first Licensed Product is discontinued, such second Licensed Product shall be eligible for any milestone events under Section 8.3.1 Column I not previously achieved by such first Licensed Product and, conversely, any milestone events under Section 8.3.1 Column I achieved by such first Licensed Product shall not be payable with respect to such second Licensed Product. Further, any third Licensed Product from such Licensed Program that contains a Program DART other than the Program DART contained in the second Licensed Product shall be eligible for any milestone events under Section 8.3.1 Column II not previously achieved by such second Licensed Product.</w:t>
      </w:r>
    </w:p>
    <w:p>
      <w:pPr>
        <w:spacing w:after="0" w:line="88" w:lineRule="exact"/>
        <w:rPr>
          <w:sz w:val="20"/>
          <w:szCs w:val="20"/>
          <w:color w:val="auto"/>
        </w:rPr>
      </w:pPr>
    </w:p>
    <w:p>
      <w:pPr>
        <w:ind w:right="360" w:firstLine="917"/>
        <w:spacing w:after="0" w:line="267" w:lineRule="auto"/>
        <w:rPr>
          <w:sz w:val="20"/>
          <w:szCs w:val="20"/>
          <w:color w:val="auto"/>
        </w:rPr>
      </w:pPr>
      <w:r>
        <w:rPr>
          <w:rFonts w:ascii="Arial" w:cs="Arial" w:eastAsia="Arial" w:hAnsi="Arial"/>
          <w:sz w:val="14"/>
          <w:szCs w:val="14"/>
          <w:color w:val="auto"/>
        </w:rPr>
        <w:t xml:space="preserve">8.3.4 </w:t>
      </w:r>
      <w:r>
        <w:rPr>
          <w:rFonts w:ascii="Arial" w:cs="Arial" w:eastAsia="Arial" w:hAnsi="Arial"/>
          <w:sz w:val="14"/>
          <w:szCs w:val="14"/>
          <w:u w:val="single" w:color="auto"/>
          <w:color w:val="auto"/>
        </w:rPr>
        <w:t>Notification; Payment</w:t>
      </w:r>
      <w:r>
        <w:rPr>
          <w:rFonts w:ascii="Arial" w:cs="Arial" w:eastAsia="Arial" w:hAnsi="Arial"/>
          <w:sz w:val="14"/>
          <w:szCs w:val="14"/>
          <w:color w:val="auto"/>
        </w:rPr>
        <w:t xml:space="preserve">. Gilead shall promptly notify MacroGenics in writing of the first achievement of each of the milestones under this Section 8.3 and the corresponding milestone payment shall be due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receipt of the corresponding invoice from MacroGenics.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Sales Milestones</w:t>
      </w:r>
      <w:r>
        <w:rPr>
          <w:rFonts w:ascii="Arial" w:cs="Arial" w:eastAsia="Arial" w:hAnsi="Arial"/>
          <w:sz w:val="14"/>
          <w:szCs w:val="14"/>
          <w:color w:val="auto"/>
        </w:rPr>
        <w:t>.</w:t>
      </w:r>
    </w:p>
    <w:p>
      <w:pPr>
        <w:spacing w:after="0" w:line="132" w:lineRule="exact"/>
        <w:rPr>
          <w:sz w:val="20"/>
          <w:szCs w:val="20"/>
          <w:color w:val="auto"/>
        </w:rPr>
      </w:pPr>
    </w:p>
    <w:p>
      <w:pPr>
        <w:ind w:right="100" w:firstLine="917"/>
        <w:spacing w:after="0" w:line="267" w:lineRule="auto"/>
        <w:rPr>
          <w:sz w:val="20"/>
          <w:szCs w:val="20"/>
          <w:color w:val="auto"/>
        </w:rPr>
      </w:pPr>
      <w:r>
        <w:rPr>
          <w:rFonts w:ascii="Arial" w:cs="Arial" w:eastAsia="Arial" w:hAnsi="Arial"/>
          <w:sz w:val="14"/>
          <w:szCs w:val="14"/>
          <w:color w:val="auto"/>
        </w:rPr>
        <w:t xml:space="preserve">8.4.1 </w:t>
      </w:r>
      <w:r>
        <w:rPr>
          <w:rFonts w:ascii="Arial" w:cs="Arial" w:eastAsia="Arial" w:hAnsi="Arial"/>
          <w:sz w:val="14"/>
          <w:szCs w:val="14"/>
          <w:u w:val="single" w:color="auto"/>
          <w:color w:val="auto"/>
        </w:rPr>
        <w:t>Sales Milestone Payments</w:t>
      </w:r>
      <w:r>
        <w:rPr>
          <w:rFonts w:ascii="Arial" w:cs="Arial" w:eastAsia="Arial" w:hAnsi="Arial"/>
          <w:sz w:val="14"/>
          <w:szCs w:val="14"/>
          <w:color w:val="auto"/>
        </w:rPr>
        <w:t>. During the License Term for each Licensed Program, Gilead shall make the non-refundable, non-creditable payments to MacroGenics set forth below upon the earliest achievement of each of the corresponding milestone events by the first Licensed Product from such Licensed Program to achieve such milestone:</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123"/>
        </w:trPr>
        <w:tc>
          <w:tcPr>
            <w:tcW w:w="4520" w:type="dxa"/>
            <w:vAlign w:val="bottom"/>
          </w:tcPr>
          <w:p>
            <w:pPr>
              <w:spacing w:after="0"/>
              <w:rPr>
                <w:sz w:val="10"/>
                <w:szCs w:val="10"/>
                <w:color w:val="auto"/>
              </w:rPr>
            </w:pPr>
          </w:p>
        </w:tc>
        <w:tc>
          <w:tcPr>
            <w:tcW w:w="6240" w:type="dxa"/>
            <w:vAlign w:val="bottom"/>
            <w:gridSpan w:val="2"/>
          </w:tcPr>
          <w:p>
            <w:pPr>
              <w:ind w:left="20"/>
              <w:spacing w:after="0"/>
              <w:rPr>
                <w:sz w:val="20"/>
                <w:szCs w:val="20"/>
                <w:color w:val="auto"/>
              </w:rPr>
            </w:pPr>
            <w:r>
              <w:rPr>
                <w:rFonts w:ascii="Arial" w:cs="Arial" w:eastAsia="Arial" w:hAnsi="Arial"/>
                <w:sz w:val="10"/>
                <w:szCs w:val="10"/>
                <w:color w:val="auto"/>
              </w:rPr>
              <w:t>Milestone Event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Payment</w:t>
            </w:r>
          </w:p>
        </w:tc>
      </w:tr>
      <w:tr>
        <w:trPr>
          <w:trHeight w:val="239"/>
        </w:trPr>
        <w:tc>
          <w:tcPr>
            <w:tcW w:w="10760" w:type="dxa"/>
            <w:vAlign w:val="bottom"/>
            <w:gridSpan w:val="3"/>
          </w:tcPr>
          <w:p>
            <w:pPr>
              <w:spacing w:after="0"/>
              <w:rPr>
                <w:sz w:val="20"/>
                <w:szCs w:val="20"/>
                <w:color w:val="auto"/>
              </w:rPr>
            </w:pPr>
            <w:r>
              <w:rPr>
                <w:rFonts w:ascii="Arial" w:cs="Arial" w:eastAsia="Arial" w:hAnsi="Arial"/>
                <w:sz w:val="14"/>
                <w:szCs w:val="14"/>
                <w:color w:val="auto"/>
              </w:rPr>
              <w:t>(a) First occurrence of Annual Net Sales of a Licensed Product greater than *** Dollars (***) in a Calendar Year</w:t>
            </w:r>
          </w:p>
        </w:tc>
        <w:tc>
          <w:tcPr>
            <w:tcW w:w="3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760" w:type="dxa"/>
            <w:vAlign w:val="bottom"/>
            <w:gridSpan w:val="3"/>
          </w:tcPr>
          <w:p>
            <w:pPr>
              <w:spacing w:after="0"/>
              <w:rPr>
                <w:sz w:val="20"/>
                <w:szCs w:val="20"/>
                <w:color w:val="auto"/>
              </w:rPr>
            </w:pPr>
            <w:r>
              <w:rPr>
                <w:rFonts w:ascii="Arial" w:cs="Arial" w:eastAsia="Arial" w:hAnsi="Arial"/>
                <w:sz w:val="14"/>
                <w:szCs w:val="14"/>
                <w:color w:val="auto"/>
              </w:rPr>
              <w:t>(b) First occurrence of Annual Net Sales of a Licensed Product greater than *** Dollars (***) in a Calendar Year</w:t>
            </w:r>
          </w:p>
        </w:tc>
        <w:tc>
          <w:tcPr>
            <w:tcW w:w="3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760" w:type="dxa"/>
            <w:vAlign w:val="bottom"/>
            <w:gridSpan w:val="3"/>
          </w:tcPr>
          <w:p>
            <w:pPr>
              <w:spacing w:after="0"/>
              <w:rPr>
                <w:sz w:val="20"/>
                <w:szCs w:val="20"/>
                <w:color w:val="auto"/>
              </w:rPr>
            </w:pPr>
            <w:r>
              <w:rPr>
                <w:rFonts w:ascii="Arial" w:cs="Arial" w:eastAsia="Arial" w:hAnsi="Arial"/>
                <w:sz w:val="14"/>
                <w:szCs w:val="14"/>
                <w:color w:val="auto"/>
              </w:rPr>
              <w:t>(c) First occurrence of Annual Net Sales of a Licensed Product greater than *** Dollars (***) in a Calendar Year</w:t>
            </w:r>
          </w:p>
        </w:tc>
        <w:tc>
          <w:tcPr>
            <w:tcW w:w="3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760" w:type="dxa"/>
            <w:vAlign w:val="bottom"/>
            <w:gridSpan w:val="3"/>
          </w:tcPr>
          <w:p>
            <w:pPr>
              <w:spacing w:after="0"/>
              <w:rPr>
                <w:sz w:val="20"/>
                <w:szCs w:val="20"/>
                <w:color w:val="auto"/>
              </w:rPr>
            </w:pPr>
            <w:r>
              <w:rPr>
                <w:rFonts w:ascii="Arial" w:cs="Arial" w:eastAsia="Arial" w:hAnsi="Arial"/>
                <w:sz w:val="14"/>
                <w:szCs w:val="14"/>
                <w:color w:val="auto"/>
              </w:rPr>
              <w:t>(d) First occurrence of Annual Net Sales of a Licensed Product greater than *** Dollars (***) in a Calendar Year</w:t>
            </w:r>
          </w:p>
        </w:tc>
        <w:tc>
          <w:tcPr>
            <w:tcW w:w="36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1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77" w:name="page578"/>
    <w:bookmarkEnd w:id="577"/>
    <w:p>
      <w:pPr>
        <w:ind w:right="100" w:firstLine="917"/>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8.4.2 </w:t>
      </w:r>
      <w:r>
        <w:rPr>
          <w:rFonts w:ascii="Arial" w:cs="Arial" w:eastAsia="Arial" w:hAnsi="Arial"/>
          <w:sz w:val="12"/>
          <w:szCs w:val="12"/>
          <w:u w:val="single" w:color="auto"/>
          <w:color w:val="auto"/>
        </w:rPr>
        <w:t>Payment of Sales Milestones</w:t>
      </w:r>
      <w:r>
        <w:rPr>
          <w:rFonts w:ascii="Arial" w:cs="Arial" w:eastAsia="Arial" w:hAnsi="Arial"/>
          <w:sz w:val="12"/>
          <w:szCs w:val="12"/>
          <w:color w:val="auto"/>
        </w:rPr>
        <w:t>. Gilead shall make the milestone payments required by Section 8.4.1 in accordance with Section 8.7. If an event described in a clause in Section 8.4.1 occurs during the same Calendar Quarter as another event described in a preceding clause in Section 8.4.1, Gilead shall also pay the milestone payment described in such earlier clause when the milestone payment described in such later clause is paid. By way of example, if, during any Calendar Quarter, Annual Net Sales for a Licensed Product from a given Licensed Program first exceed the thresholds set forth in Sections 8.4.1(a) and (b), Gilead shall pay MacroGenics the milestone payments set forth in both Sections 8.4.1(a) and (b).</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Royalties</w:t>
      </w:r>
      <w:r>
        <w:rPr>
          <w:rFonts w:ascii="Arial" w:cs="Arial" w:eastAsia="Arial" w:hAnsi="Arial"/>
          <w:sz w:val="14"/>
          <w:szCs w:val="14"/>
          <w:color w:val="auto"/>
        </w:rPr>
        <w:t>.</w:t>
      </w:r>
    </w:p>
    <w:p>
      <w:pPr>
        <w:spacing w:after="0" w:line="132"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 xml:space="preserve">8.5.1 </w:t>
      </w:r>
      <w:r>
        <w:rPr>
          <w:rFonts w:ascii="Arial" w:cs="Arial" w:eastAsia="Arial" w:hAnsi="Arial"/>
          <w:sz w:val="14"/>
          <w:szCs w:val="14"/>
          <w:u w:val="single" w:color="auto"/>
          <w:color w:val="auto"/>
        </w:rPr>
        <w:t>Annual Net Sales</w:t>
      </w:r>
      <w:r>
        <w:rPr>
          <w:rFonts w:ascii="Arial" w:cs="Arial" w:eastAsia="Arial" w:hAnsi="Arial"/>
          <w:sz w:val="14"/>
          <w:szCs w:val="14"/>
          <w:color w:val="auto"/>
        </w:rPr>
        <w:t>. Subject to Section 8.5.4(c), for each Licensed Product in each Calendar Year during the Royalty Term, Gilead shall pay MacroGenics royalties on Annual Net Sales of such Licensed Product in the Gilead Territory in such Calendar Year at the following rates:</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123"/>
        </w:trPr>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520" w:type="dxa"/>
            <w:vAlign w:val="bottom"/>
            <w:gridSpan w:val="2"/>
          </w:tcPr>
          <w:p>
            <w:pPr>
              <w:ind w:left="20"/>
              <w:spacing w:after="0"/>
              <w:rPr>
                <w:sz w:val="20"/>
                <w:szCs w:val="20"/>
                <w:color w:val="auto"/>
              </w:rPr>
            </w:pPr>
            <w:r>
              <w:rPr>
                <w:rFonts w:ascii="Arial" w:cs="Arial" w:eastAsia="Arial" w:hAnsi="Arial"/>
                <w:sz w:val="10"/>
                <w:szCs w:val="10"/>
                <w:color w:val="auto"/>
              </w:rPr>
              <w:t>Annual Net Sales Threshold</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Royalty Rate</w:t>
            </w:r>
          </w:p>
        </w:tc>
      </w:tr>
      <w:tr>
        <w:trPr>
          <w:trHeight w:val="239"/>
        </w:trPr>
        <w:tc>
          <w:tcPr>
            <w:tcW w:w="10580" w:type="dxa"/>
            <w:vAlign w:val="bottom"/>
            <w:gridSpan w:val="5"/>
          </w:tcPr>
          <w:p>
            <w:pPr>
              <w:spacing w:after="0"/>
              <w:rPr>
                <w:sz w:val="20"/>
                <w:szCs w:val="20"/>
                <w:color w:val="auto"/>
              </w:rPr>
            </w:pPr>
            <w:r>
              <w:rPr>
                <w:rFonts w:ascii="Arial" w:cs="Arial" w:eastAsia="Arial" w:hAnsi="Arial"/>
                <w:sz w:val="14"/>
                <w:szCs w:val="14"/>
                <w:color w:val="auto"/>
              </w:rPr>
              <w:t>(a) On the first *** Dollars (***) in Annual Net Sales of such Licensed Product in such Calendar Year</w:t>
            </w: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580" w:type="dxa"/>
            <w:vAlign w:val="bottom"/>
            <w:gridSpan w:val="5"/>
          </w:tcPr>
          <w:p>
            <w:pPr>
              <w:spacing w:after="0"/>
              <w:rPr>
                <w:sz w:val="20"/>
                <w:szCs w:val="20"/>
                <w:color w:val="auto"/>
              </w:rPr>
            </w:pPr>
            <w:r>
              <w:rPr>
                <w:rFonts w:ascii="Arial" w:cs="Arial" w:eastAsia="Arial" w:hAnsi="Arial"/>
                <w:sz w:val="14"/>
                <w:szCs w:val="14"/>
                <w:color w:val="auto"/>
              </w:rPr>
              <w:t>(b) On that portion of Annual Net Sales of such Licensed Product in such Calendar Year greater than *** Dollars (***) but less than or equal to *** (***)</w:t>
            </w: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10580" w:type="dxa"/>
            <w:vAlign w:val="bottom"/>
            <w:gridSpan w:val="5"/>
          </w:tcPr>
          <w:p>
            <w:pPr>
              <w:spacing w:after="0"/>
              <w:rPr>
                <w:sz w:val="20"/>
                <w:szCs w:val="20"/>
                <w:color w:val="auto"/>
              </w:rPr>
            </w:pPr>
            <w:r>
              <w:rPr>
                <w:rFonts w:ascii="Arial" w:cs="Arial" w:eastAsia="Arial" w:hAnsi="Arial"/>
                <w:sz w:val="14"/>
                <w:szCs w:val="14"/>
                <w:color w:val="auto"/>
              </w:rPr>
              <w:t>(c) On that portion of Annual Net Sales of such Licensed Product in such Calendar Year greater than *** Dollars (***)</w:t>
            </w: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63"/>
        </w:trPr>
        <w:tc>
          <w:tcPr>
            <w:tcW w:w="10580" w:type="dxa"/>
            <w:vAlign w:val="bottom"/>
            <w:gridSpan w:val="5"/>
          </w:tcPr>
          <w:p>
            <w:pPr>
              <w:ind w:left="580"/>
              <w:spacing w:after="0"/>
              <w:rPr>
                <w:sz w:val="20"/>
                <w:szCs w:val="20"/>
                <w:color w:val="auto"/>
              </w:rPr>
            </w:pPr>
            <w:r>
              <w:rPr>
                <w:rFonts w:ascii="Arial" w:cs="Arial" w:eastAsia="Arial" w:hAnsi="Arial"/>
                <w:sz w:val="14"/>
                <w:szCs w:val="14"/>
                <w:color w:val="auto"/>
              </w:rPr>
              <w:t>8.5.2 Net Receipts. Gilead shall pay MacroGenics twenty percent (20%) of all Net Receipts in accordance with Section 8.7.</w:t>
            </w:r>
          </w:p>
        </w:tc>
        <w:tc>
          <w:tcPr>
            <w:tcW w:w="540" w:type="dxa"/>
            <w:vAlign w:val="bottom"/>
          </w:tcPr>
          <w:p>
            <w:pPr>
              <w:spacing w:after="0"/>
              <w:rPr>
                <w:sz w:val="22"/>
                <w:szCs w:val="22"/>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39" w:lineRule="exact"/>
        <w:rPr>
          <w:sz w:val="20"/>
          <w:szCs w:val="20"/>
          <w:color w:val="auto"/>
        </w:rPr>
      </w:pPr>
    </w:p>
    <w:p>
      <w:pPr>
        <w:ind w:right="80" w:firstLine="917"/>
        <w:spacing w:after="0" w:line="311" w:lineRule="auto"/>
        <w:rPr>
          <w:sz w:val="20"/>
          <w:szCs w:val="20"/>
          <w:color w:val="auto"/>
        </w:rPr>
      </w:pPr>
      <w:r>
        <w:rPr>
          <w:rFonts w:ascii="Arial" w:cs="Arial" w:eastAsia="Arial" w:hAnsi="Arial"/>
          <w:sz w:val="12"/>
          <w:szCs w:val="12"/>
          <w:color w:val="auto"/>
        </w:rPr>
        <w:t xml:space="preserve">8.5.3 </w:t>
      </w:r>
      <w:r>
        <w:rPr>
          <w:rFonts w:ascii="Arial" w:cs="Arial" w:eastAsia="Arial" w:hAnsi="Arial"/>
          <w:sz w:val="12"/>
          <w:szCs w:val="12"/>
          <w:u w:val="single" w:color="auto"/>
          <w:color w:val="auto"/>
        </w:rPr>
        <w:t>Diagnostics</w:t>
      </w:r>
      <w:r>
        <w:rPr>
          <w:rFonts w:ascii="Arial" w:cs="Arial" w:eastAsia="Arial" w:hAnsi="Arial"/>
          <w:sz w:val="12"/>
          <w:szCs w:val="12"/>
          <w:color w:val="auto"/>
        </w:rPr>
        <w:t xml:space="preserve">. If (a) Gilead or any of its Affiliates or Sublicensees Commercializes in any country a Diagnostic and (b) Gilead or its Affiliates receive sales, royalty revenues or other consideration from such Commercialization, the Parties shall negotiate in good faith a reasonable royalty to be paid by Gilead to MacroGenics with respect to such revenues, taking into consideration Gilead’s profit component, which royalty shall be consistent with industry standards for diagnostics but in any case shall not exceed the rates set forth in Section 8.5.1. Notwithstanding anything in this Agreement to the contrary, if the Parties are unable to agree upon the royalty rate after exhausting the procedures set forth in Section 15.1,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8.5.4 </w:t>
      </w:r>
      <w:r>
        <w:rPr>
          <w:rFonts w:ascii="Arial" w:cs="Arial" w:eastAsia="Arial" w:hAnsi="Arial"/>
          <w:sz w:val="14"/>
          <w:szCs w:val="14"/>
          <w:u w:val="single" w:color="auto"/>
          <w:color w:val="auto"/>
        </w:rPr>
        <w:t>Royalty Term</w:t>
      </w:r>
      <w:r>
        <w:rPr>
          <w:rFonts w:ascii="Arial" w:cs="Arial" w:eastAsia="Arial" w:hAnsi="Arial"/>
          <w:sz w:val="14"/>
          <w:szCs w:val="14"/>
          <w:color w:val="auto"/>
        </w:rPr>
        <w:t>.</w:t>
      </w:r>
    </w:p>
    <w:p>
      <w:pPr>
        <w:spacing w:after="0" w:line="132" w:lineRule="exact"/>
        <w:rPr>
          <w:sz w:val="20"/>
          <w:szCs w:val="20"/>
          <w:color w:val="auto"/>
        </w:rPr>
      </w:pPr>
    </w:p>
    <w:p>
      <w:pPr>
        <w:ind w:right="180" w:firstLine="1493"/>
        <w:spacing w:after="0" w:line="267" w:lineRule="auto"/>
        <w:tabs>
          <w:tab w:leader="none" w:pos="1675" w:val="left"/>
        </w:tabs>
        <w:numPr>
          <w:ilvl w:val="0"/>
          <w:numId w:val="611"/>
        </w:numPr>
        <w:rPr>
          <w:rFonts w:ascii="Arial" w:cs="Arial" w:eastAsia="Arial" w:hAnsi="Arial"/>
          <w:sz w:val="14"/>
          <w:szCs w:val="14"/>
          <w:color w:val="auto"/>
        </w:rPr>
      </w:pPr>
      <w:r>
        <w:rPr>
          <w:rFonts w:ascii="Arial" w:cs="Arial" w:eastAsia="Arial" w:hAnsi="Arial"/>
          <w:sz w:val="14"/>
          <w:szCs w:val="14"/>
          <w:color w:val="auto"/>
        </w:rPr>
        <w:t xml:space="preserve">Gilead’s royalty obligations to MacroGenics under this Section 8.5 with respect to any Licensed Product in any country shall commence upon the First Commercial Sale of such Licensed Product in such country and expire on a country-by-country basis on the later of: (i) </w:t>
      </w:r>
      <w:r>
        <w:rPr>
          <w:rFonts w:ascii="Arial" w:cs="Arial" w:eastAsia="Arial" w:hAnsi="Arial"/>
          <w:sz w:val="14"/>
          <w:szCs w:val="14"/>
          <w:b w:val="1"/>
          <w:bCs w:val="1"/>
          <w:color w:val="auto"/>
        </w:rPr>
        <w:t>***</w:t>
      </w:r>
      <w:r>
        <w:rPr>
          <w:rFonts w:ascii="Arial" w:cs="Arial" w:eastAsia="Arial" w:hAnsi="Arial"/>
          <w:sz w:val="14"/>
          <w:szCs w:val="14"/>
          <w:color w:val="auto"/>
        </w:rPr>
        <w:t>(the “</w:t>
      </w:r>
      <w:r>
        <w:rPr>
          <w:rFonts w:ascii="Arial" w:cs="Arial" w:eastAsia="Arial" w:hAnsi="Arial"/>
          <w:sz w:val="14"/>
          <w:szCs w:val="14"/>
          <w:u w:val="single" w:color="auto"/>
          <w:color w:val="auto"/>
        </w:rPr>
        <w:t>Royalty Term</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1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78" w:name="page579"/>
    <w:bookmarkEnd w:id="578"/>
    <w:p>
      <w:pPr>
        <w:ind w:right="40" w:firstLine="1493"/>
        <w:spacing w:after="0" w:line="258" w:lineRule="auto"/>
        <w:tabs>
          <w:tab w:leader="none" w:pos="1682" w:val="left"/>
        </w:tabs>
        <w:numPr>
          <w:ilvl w:val="1"/>
          <w:numId w:val="61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Royalties shall be payable only once with respect to the same unit of Licensed Product. On a Licensed Product-by-Licensed Product and country-by-country basis, upon expiration of the Royalty Term for a Licensed Product in a country in the Gilead Territory, Gilead’s licenses and rights hereunder with respect to such Licensed Product in such country shall continue in effect, but become fully paid-up, royalty-free, transferable (to the extent not transferrable previously), perpetual and irrevocable.</w:t>
      </w:r>
    </w:p>
    <w:p>
      <w:pPr>
        <w:spacing w:after="0" w:line="107" w:lineRule="exact"/>
        <w:rPr>
          <w:rFonts w:ascii="Arial" w:cs="Arial" w:eastAsia="Arial" w:hAnsi="Arial"/>
          <w:sz w:val="14"/>
          <w:szCs w:val="14"/>
          <w:color w:val="auto"/>
        </w:rPr>
      </w:pPr>
    </w:p>
    <w:p>
      <w:pPr>
        <w:ind w:right="40" w:firstLine="1493"/>
        <w:spacing w:after="0" w:line="293" w:lineRule="auto"/>
        <w:tabs>
          <w:tab w:leader="none" w:pos="1675" w:val="left"/>
        </w:tabs>
        <w:numPr>
          <w:ilvl w:val="1"/>
          <w:numId w:val="613"/>
        </w:numPr>
        <w:rPr>
          <w:rFonts w:ascii="Arial" w:cs="Arial" w:eastAsia="Arial" w:hAnsi="Arial"/>
          <w:sz w:val="12"/>
          <w:szCs w:val="12"/>
          <w:color w:val="auto"/>
        </w:rPr>
      </w:pPr>
      <w:r>
        <w:rPr>
          <w:rFonts w:ascii="Arial" w:cs="Arial" w:eastAsia="Arial" w:hAnsi="Arial"/>
          <w:sz w:val="12"/>
          <w:szCs w:val="12"/>
          <w:color w:val="auto"/>
        </w:rPr>
        <w:t xml:space="preserve">For any Calendar Quarter of the Royalty Term during which a Licensed Product is sold in a country in which one (1) or more Third Parties sell in such country one or more Biosimilar Products, and such Biosimilar Products, collectively, have a </w:t>
      </w:r>
      <w:r>
        <w:rPr>
          <w:rFonts w:ascii="Arial" w:cs="Arial" w:eastAsia="Arial" w:hAnsi="Arial"/>
          <w:sz w:val="12"/>
          <w:szCs w:val="12"/>
          <w:b w:val="1"/>
          <w:bCs w:val="1"/>
          <w:color w:val="auto"/>
        </w:rPr>
        <w:t>***</w:t>
      </w:r>
      <w:r>
        <w:rPr>
          <w:rFonts w:ascii="Arial" w:cs="Arial" w:eastAsia="Arial" w:hAnsi="Arial"/>
          <w:sz w:val="12"/>
          <w:szCs w:val="12"/>
          <w:color w:val="auto"/>
        </w:rPr>
        <w:t xml:space="preserve"> or more market share of the aggregate market share of such Licensed Product and such Biosimilar Products (based on data provided by IMS Health Incorporated, Fairfield, Connecticut) as measured on a units sold basis, or if such data is not available, the Parties shall agree upon a methodology for estimating the percentage of unit sales based market share of such Biosimilar Products in such country), then, Gilead’s royalty obligations with respect to sales of such Licensed Product in such country during such Calendar Quarter shall be reduced by </w:t>
      </w:r>
      <w:r>
        <w:rPr>
          <w:rFonts w:ascii="Arial" w:cs="Arial" w:eastAsia="Arial" w:hAnsi="Arial"/>
          <w:sz w:val="12"/>
          <w:szCs w:val="12"/>
          <w:b w:val="1"/>
          <w:bCs w:val="1"/>
          <w:color w:val="auto"/>
        </w:rPr>
        <w:t>***</w:t>
      </w:r>
    </w:p>
    <w:p>
      <w:pPr>
        <w:spacing w:after="0" w:line="290" w:lineRule="auto"/>
        <w:rPr>
          <w:rFonts w:ascii="Arial" w:cs="Arial" w:eastAsia="Arial" w:hAnsi="Arial"/>
          <w:sz w:val="12"/>
          <w:szCs w:val="12"/>
          <w:color w:val="auto"/>
        </w:rPr>
      </w:pPr>
      <w:r>
        <w:rPr>
          <w:rFonts w:ascii="Arial" w:cs="Arial" w:eastAsia="Arial" w:hAnsi="Arial"/>
          <w:sz w:val="12"/>
          <w:szCs w:val="12"/>
          <w:color w:val="auto"/>
        </w:rPr>
        <w:t>of the applicable rate set forth in Section 8.5.1. The Parties shall mutually agree in good faith on an appropriate method of calculating the royalties payable by Gilead pursuant to this Section 8.5 in the event such circumstances arise. “</w:t>
      </w:r>
      <w:r>
        <w:rPr>
          <w:rFonts w:ascii="Arial" w:cs="Arial" w:eastAsia="Arial" w:hAnsi="Arial"/>
          <w:sz w:val="12"/>
          <w:szCs w:val="12"/>
          <w:u w:val="single" w:color="auto"/>
          <w:color w:val="auto"/>
        </w:rPr>
        <w:t>Biosimilar Product</w:t>
      </w:r>
      <w:r>
        <w:rPr>
          <w:rFonts w:ascii="Arial" w:cs="Arial" w:eastAsia="Arial" w:hAnsi="Arial"/>
          <w:sz w:val="12"/>
          <w:szCs w:val="12"/>
          <w:color w:val="auto"/>
        </w:rPr>
        <w:t>” means, with respect to a Licensed Product sold in a country, a product that: (i) is marketed by a Third Party that has not obtained the rights to such product as a Sublicensee or distributor of, or through any other contractual relationship with, Gilead or any of its Affiliates; (ii) contains the same or highly similar active ingredient(s) as the applicable Licensed Product; and</w:t>
      </w:r>
    </w:p>
    <w:p>
      <w:pPr>
        <w:spacing w:after="0" w:line="1" w:lineRule="exact"/>
        <w:rPr>
          <w:rFonts w:ascii="Arial" w:cs="Arial" w:eastAsia="Arial" w:hAnsi="Arial"/>
          <w:sz w:val="12"/>
          <w:szCs w:val="12"/>
          <w:color w:val="auto"/>
        </w:rPr>
      </w:pPr>
    </w:p>
    <w:p>
      <w:pPr>
        <w:ind w:firstLine="4"/>
        <w:spacing w:after="0" w:line="307" w:lineRule="auto"/>
        <w:tabs>
          <w:tab w:leader="none" w:pos="238" w:val="left"/>
        </w:tabs>
        <w:numPr>
          <w:ilvl w:val="0"/>
          <w:numId w:val="614"/>
        </w:numPr>
        <w:rPr>
          <w:rFonts w:ascii="Arial" w:cs="Arial" w:eastAsia="Arial" w:hAnsi="Arial"/>
          <w:sz w:val="12"/>
          <w:szCs w:val="12"/>
          <w:color w:val="auto"/>
        </w:rPr>
      </w:pPr>
      <w:r>
        <w:rPr>
          <w:rFonts w:ascii="Arial" w:cs="Arial" w:eastAsia="Arial" w:hAnsi="Arial"/>
          <w:sz w:val="12"/>
          <w:szCs w:val="12"/>
          <w:color w:val="auto"/>
        </w:rPr>
        <w:t>with respect to (x) the United States, has been licensed as a biosimilar or interchangeable biological product by FDA pursuant to Section 351(k) of the Public Health Service Act (42 U.S.C. § 262(k)), as may be amended, or any subsequent or superseding law, statute or regulation, (y) the EU, has been approved in reliance on the prior approval of a Licensed Product as a similar biological medicinal product by the European Union pursuant to Directive 2001/83/EC, as may be amended, or any subsequent or superseding law, statute or regulation, and (z) any other country, has received analogous regulatory marketing approval in reliance on the prior approval of a Licensed Product from the applicable Regulatory Authority</w:t>
      </w:r>
    </w:p>
    <w:p>
      <w:pPr>
        <w:spacing w:after="0" w:line="82" w:lineRule="exact"/>
        <w:rPr>
          <w:sz w:val="20"/>
          <w:szCs w:val="20"/>
          <w:color w:val="auto"/>
        </w:rPr>
      </w:pPr>
    </w:p>
    <w:p>
      <w:pPr>
        <w:ind w:firstLine="917"/>
        <w:spacing w:after="0" w:line="305" w:lineRule="auto"/>
        <w:rPr>
          <w:sz w:val="20"/>
          <w:szCs w:val="20"/>
          <w:color w:val="auto"/>
        </w:rPr>
      </w:pPr>
      <w:r>
        <w:rPr>
          <w:rFonts w:ascii="Arial" w:cs="Arial" w:eastAsia="Arial" w:hAnsi="Arial"/>
          <w:sz w:val="12"/>
          <w:szCs w:val="12"/>
          <w:color w:val="auto"/>
        </w:rPr>
        <w:t xml:space="preserve">8.5.5 </w:t>
      </w:r>
      <w:r>
        <w:rPr>
          <w:rFonts w:ascii="Arial" w:cs="Arial" w:eastAsia="Arial" w:hAnsi="Arial"/>
          <w:sz w:val="12"/>
          <w:szCs w:val="12"/>
          <w:u w:val="single" w:color="auto"/>
          <w:color w:val="auto"/>
        </w:rPr>
        <w:t>Third Party Offset</w:t>
      </w:r>
      <w:r>
        <w:rPr>
          <w:rFonts w:ascii="Arial" w:cs="Arial" w:eastAsia="Arial" w:hAnsi="Arial"/>
          <w:sz w:val="12"/>
          <w:szCs w:val="12"/>
          <w:color w:val="auto"/>
        </w:rPr>
        <w:t>. If, after the License Grant Date for any Licensed Program, Gilead or its applicable Affiliate or Sublicensee: (a) is required, as reasonably determined by Gilead or its applicable Affiliate or Sublicensee, as the case may be, to obtain a license from any Third Party under any Patents controlled by such Third Party in order to make, have made, use, sell, offer for sale or import a Program DART and/or a Licensed Product from such Licensed Program in any country in the Gilead Territory without infringing such Patents, and pursuant to such license is required to pay any amounts to such Third Party (including any upfront, milestone or royalty payments) in any Calendar Year, or (b) is required by any court of competent jurisdiction, in connection with its infringement of any Patents controlled by a Third Party in any country in the Gilead Territory with respect to a Program DART and/or Licensed Product from such Licensed Program, to pay any amounts to such Third Party (including any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1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79" w:name="page580"/>
    <w:bookmarkEnd w:id="579"/>
    <w:p>
      <w:pPr>
        <w:ind w:right="40"/>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lump sum or royalty payments) in any Calendar Year, then Gilead may deduct from the milestone payments and/or royalties (as elected by Gilead in its sole discretion) that would otherwise be due to MacroGenics with respect to such Program DART or Licensed Product in such Calendar Year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paid by Gilead or its applicable Affiliate or Sublicensee, as the case may be, to such Third Party with respect to such Program DART or Licensed Product in such Calendar Year (where any such amounts paid by Gilead or its applicable Affiliate or Sublicensee to such Third Party shall be equitably allocated among all products of Gilead or its applicable Affiliate or Sublicensee, as applicable, covered by such license or subject to such infringement); provided, however, that such deduction shall not reduce (A) the amount of milestones due to MacroGenics with respect to such Program DART or Licensed Product for such Calendar Year to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of milestones that otherwise would have become due with respect to such Program DART or Licensed Product for such Calendar Year or (B) the royalty rate paid by Gilead in respect of Annual Net Sales of such Licensed Product in such Calendar Year to less than</w:t>
      </w:r>
    </w:p>
    <w:p>
      <w:pPr>
        <w:spacing w:after="0" w:line="1" w:lineRule="exact"/>
        <w:rPr>
          <w:sz w:val="20"/>
          <w:szCs w:val="20"/>
          <w:color w:val="auto"/>
        </w:rPr>
      </w:pPr>
    </w:p>
    <w:p>
      <w:pPr>
        <w:ind w:right="300" w:firstLine="4"/>
        <w:spacing w:after="0" w:line="258" w:lineRule="auto"/>
        <w:tabs>
          <w:tab w:leader="none" w:pos="238" w:val="left"/>
        </w:tabs>
        <w:numPr>
          <w:ilvl w:val="0"/>
          <w:numId w:val="616"/>
        </w:numPr>
        <w:rPr>
          <w:rFonts w:ascii="Arial" w:cs="Arial" w:eastAsia="Arial" w:hAnsi="Arial"/>
          <w:sz w:val="14"/>
          <w:szCs w:val="14"/>
          <w:b w:val="1"/>
          <w:bCs w:val="1"/>
          <w:color w:val="auto"/>
        </w:rPr>
      </w:pPr>
      <w:r>
        <w:rPr>
          <w:rFonts w:ascii="Arial" w:cs="Arial" w:eastAsia="Arial" w:hAnsi="Arial"/>
          <w:sz w:val="14"/>
          <w:szCs w:val="14"/>
          <w:color w:val="auto"/>
        </w:rPr>
        <w:t>of Annual Net Sales of such Licensed Product in such Calendar Year, in each case ((A) and (B)) with any excess deduction carried over and applied to amounts due to MacroGenics with respect to such Program DART or Licensed Product in subsequent Calendar Years.</w:t>
      </w:r>
    </w:p>
    <w:p>
      <w:pPr>
        <w:spacing w:after="0" w:line="108" w:lineRule="exact"/>
        <w:rPr>
          <w:sz w:val="20"/>
          <w:szCs w:val="20"/>
          <w:color w:val="auto"/>
        </w:rPr>
      </w:pPr>
    </w:p>
    <w:p>
      <w:pPr>
        <w:ind w:right="80" w:firstLine="458"/>
        <w:spacing w:after="0" w:line="255"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Healthcare Reform Tax</w:t>
      </w:r>
      <w:r>
        <w:rPr>
          <w:rFonts w:ascii="Arial" w:cs="Arial" w:eastAsia="Arial" w:hAnsi="Arial"/>
          <w:sz w:val="14"/>
          <w:szCs w:val="14"/>
          <w:color w:val="auto"/>
        </w:rPr>
        <w:t>. Notwithstanding anything herein to the contrary, for purposes of determining the sales milestones and royalties payable by Gilead under Sections 8.4 and 8.5, Gilead shall have the right to offset from Net Sales of Licensed Products sold in the United States that portion of the annual fee paid by Gilead and its Affiliates to the United States Government pursuant to Section 9008 of the Patient Protection and Affordable Care Act, Pub. L. No. 111-148 (as may be amended) reasonably attributable to Licensed Products, as determined in accordance with an equitable method as agreed in good faith by the Parties.</w:t>
      </w:r>
    </w:p>
    <w:p>
      <w:pPr>
        <w:spacing w:after="0" w:line="110"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u w:val="single" w:color="auto"/>
          <w:color w:val="auto"/>
        </w:rPr>
        <w:t>Reports; Payments</w:t>
      </w:r>
      <w:r>
        <w:rPr>
          <w:rFonts w:ascii="Arial" w:cs="Arial" w:eastAsia="Arial" w:hAnsi="Arial"/>
          <w:sz w:val="12"/>
          <w:szCs w:val="12"/>
          <w:color w:val="auto"/>
        </w:rPr>
        <w:t>. Within thirty (30) days after the end of each Calendar Quarter during which there are Net Sales or Net Receipts giving rise to a payment obligation under Section 8.4 or 8.5, Gilead shall submit to MacroGenics a report identifying for each Licensed Product, the Net Sales and/or Net Receipts for such Licensed Product for each country in the Gilead Territory for such Calendar Quarter, the calculation of royalties (including gross sales and all deductions taken from gross sales), and the royalties and the sales milestones payable to MacroGenics. Within fifteen (15) days of the delivery of each such report, Gilead shall pay to MacroGenics all royalties and sales milestones payable by it under Sections 8.4 and 8.5.</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Methods of Payments</w:t>
      </w:r>
      <w:r>
        <w:rPr>
          <w:rFonts w:ascii="Arial" w:cs="Arial" w:eastAsia="Arial" w:hAnsi="Arial"/>
          <w:sz w:val="14"/>
          <w:szCs w:val="14"/>
          <w:color w:val="auto"/>
        </w:rPr>
        <w:t>. All payments due under this Agreement shall be paid in Dollars by wire transfer to a bank in the United States designated in writing by MacroGenics.</w:t>
      </w:r>
    </w:p>
    <w:p>
      <w:pPr>
        <w:spacing w:after="0" w:line="132" w:lineRule="exact"/>
        <w:rPr>
          <w:sz w:val="20"/>
          <w:szCs w:val="20"/>
          <w:color w:val="auto"/>
        </w:rPr>
      </w:pPr>
    </w:p>
    <w:p>
      <w:pPr>
        <w:ind w:right="40" w:firstLine="458"/>
        <w:spacing w:after="0" w:line="258" w:lineRule="auto"/>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u w:val="single" w:color="auto"/>
          <w:color w:val="auto"/>
        </w:rPr>
        <w:t>Late Payments</w:t>
      </w:r>
      <w:r>
        <w:rPr>
          <w:rFonts w:ascii="Arial" w:cs="Arial" w:eastAsia="Arial" w:hAnsi="Arial"/>
          <w:sz w:val="14"/>
          <w:szCs w:val="14"/>
          <w:color w:val="auto"/>
        </w:rPr>
        <w:t xml:space="preserve">. Any amount owed by Gilead to MacroGenics under this Agreement that is not paid on or before the date such payment is due as set forth herein shall bear interest at a rate per annum equal to the one month USD-LIBOR as quoted on Bloomberg (or if it no longer exists, a similarly authoritative source) plus </w:t>
      </w:r>
      <w:r>
        <w:rPr>
          <w:rFonts w:ascii="Arial" w:cs="Arial" w:eastAsia="Arial" w:hAnsi="Arial"/>
          <w:sz w:val="14"/>
          <w:szCs w:val="14"/>
          <w:b w:val="1"/>
          <w:bCs w:val="1"/>
          <w:color w:val="auto"/>
        </w:rPr>
        <w:t>***</w:t>
      </w:r>
      <w:r>
        <w:rPr>
          <w:rFonts w:ascii="Arial" w:cs="Arial" w:eastAsia="Arial" w:hAnsi="Arial"/>
          <w:sz w:val="14"/>
          <w:szCs w:val="14"/>
          <w:color w:val="auto"/>
        </w:rPr>
        <w:t xml:space="preserve"> calculated on a daily basis, or, if lower, the highest rate permitted by applicable Law.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1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80" w:name="page581"/>
    <w:bookmarkEnd w:id="580"/>
    <w:p>
      <w:pPr>
        <w:ind w:right="60" w:firstLine="458"/>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8.10 </w:t>
      </w:r>
      <w:r>
        <w:rPr>
          <w:rFonts w:ascii="Arial" w:cs="Arial" w:eastAsia="Arial" w:hAnsi="Arial"/>
          <w:sz w:val="12"/>
          <w:szCs w:val="12"/>
          <w:u w:val="single" w:color="auto"/>
          <w:color w:val="auto"/>
        </w:rPr>
        <w:t>Taxes</w:t>
      </w:r>
      <w:r>
        <w:rPr>
          <w:rFonts w:ascii="Arial" w:cs="Arial" w:eastAsia="Arial" w:hAnsi="Arial"/>
          <w:sz w:val="12"/>
          <w:szCs w:val="12"/>
          <w:color w:val="auto"/>
        </w:rPr>
        <w:t>. All payments due and payable under this Agreement will be made without any deduction, unless such deduction or withholding tax is required by applicable Laws. If the paying Party is so required to deduct or withhold, such Party shall (a) promptly notify the other Party of such requirement; (b) pay to the relevant authorities the full amount required to be deducted or withheld promptly upon the earlier of determining that such deduction or withholding is required or receiving notice that such amount has been assessed against the other Party; and (c) promptly forward to the other Party an official receipt (or certified copy), or other documentation reasonably acceptable to the other Party evidencing such payment to such authorities. Notwithstanding the foregoing, if as a result of (i) the assignment of this Agreement by Gilead to an Affiliate or a Third Party outside of the United States or (ii) the exercise by Gilead of its rights under this Agreement through an Affiliate or Third Party outside the United States, withholding tax in excess of the withholding tax amount that would have been payable in the absence of such assignment or exercise of rights becomes payable with respect to any amount due to MacroGenics under this Agreement, then Gilead shall pay to MacroGenics such additional amounts as are necessary so that MacroGenics receives the amounts that MacroGenics would have received if such payments were not subject to such withholding tax as a consequence of such assignment or exercise.</w:t>
      </w:r>
    </w:p>
    <w:p>
      <w:pPr>
        <w:spacing w:after="0" w:line="87" w:lineRule="exact"/>
        <w:rPr>
          <w:sz w:val="20"/>
          <w:szCs w:val="20"/>
          <w:color w:val="auto"/>
        </w:rPr>
      </w:pPr>
    </w:p>
    <w:p>
      <w:pPr>
        <w:ind w:firstLine="458"/>
        <w:spacing w:after="0" w:line="296" w:lineRule="auto"/>
        <w:rPr>
          <w:sz w:val="20"/>
          <w:szCs w:val="20"/>
          <w:color w:val="auto"/>
        </w:rPr>
      </w:pPr>
      <w:r>
        <w:rPr>
          <w:rFonts w:ascii="Arial" w:cs="Arial" w:eastAsia="Arial" w:hAnsi="Arial"/>
          <w:sz w:val="12"/>
          <w:szCs w:val="12"/>
          <w:color w:val="auto"/>
        </w:rPr>
        <w:t xml:space="preserve">8.11 </w:t>
      </w:r>
      <w:r>
        <w:rPr>
          <w:rFonts w:ascii="Arial" w:cs="Arial" w:eastAsia="Arial" w:hAnsi="Arial"/>
          <w:sz w:val="12"/>
          <w:szCs w:val="12"/>
          <w:u w:val="single" w:color="auto"/>
          <w:color w:val="auto"/>
        </w:rPr>
        <w:t>Books and Records; Audit Rights</w:t>
      </w:r>
      <w:r>
        <w:rPr>
          <w:rFonts w:ascii="Arial" w:cs="Arial" w:eastAsia="Arial" w:hAnsi="Arial"/>
          <w:sz w:val="12"/>
          <w:szCs w:val="12"/>
          <w:color w:val="auto"/>
        </w:rPr>
        <w:t>. Each Party (the “</w:t>
      </w:r>
      <w:r>
        <w:rPr>
          <w:rFonts w:ascii="Arial" w:cs="Arial" w:eastAsia="Arial" w:hAnsi="Arial"/>
          <w:sz w:val="12"/>
          <w:szCs w:val="12"/>
          <w:u w:val="single" w:color="auto"/>
          <w:color w:val="auto"/>
        </w:rPr>
        <w:t>Audited Party</w:t>
      </w:r>
      <w:r>
        <w:rPr>
          <w:rFonts w:ascii="Arial" w:cs="Arial" w:eastAsia="Arial" w:hAnsi="Arial"/>
          <w:sz w:val="12"/>
          <w:szCs w:val="12"/>
          <w:color w:val="auto"/>
        </w:rPr>
        <w:t>”) shall keep (and, in the case of Gilead, shall cause its Affiliates and Sublicensees to keep) complete, true and accurate books and records in accordance with its Accounting Standards in sufficient detail for the other Party (the “</w:t>
      </w:r>
      <w:r>
        <w:rPr>
          <w:rFonts w:ascii="Arial" w:cs="Arial" w:eastAsia="Arial" w:hAnsi="Arial"/>
          <w:sz w:val="12"/>
          <w:szCs w:val="12"/>
          <w:u w:val="single" w:color="auto"/>
          <w:color w:val="auto"/>
        </w:rPr>
        <w:t>Auditing Party</w:t>
      </w:r>
      <w:r>
        <w:rPr>
          <w:rFonts w:ascii="Arial" w:cs="Arial" w:eastAsia="Arial" w:hAnsi="Arial"/>
          <w:sz w:val="12"/>
          <w:szCs w:val="12"/>
          <w:color w:val="auto"/>
        </w:rPr>
        <w:t xml:space="preserve">”) (a) with respect to Gilead as the Audited Party, to determine the payments due and (b) with respect to MacroGenics as the Audited Party, to determine costs incurred in the conduct of Research activities under this Agreement. Each Auditing Party shall have the right, </w:t>
      </w:r>
      <w:r>
        <w:rPr>
          <w:rFonts w:ascii="Arial" w:cs="Arial" w:eastAsia="Arial" w:hAnsi="Arial"/>
          <w:sz w:val="12"/>
          <w:szCs w:val="12"/>
          <w:b w:val="1"/>
          <w:bCs w:val="1"/>
          <w:color w:val="auto"/>
        </w:rPr>
        <w:t>***</w:t>
      </w:r>
      <w:r>
        <w:rPr>
          <w:rFonts w:ascii="Arial" w:cs="Arial" w:eastAsia="Arial" w:hAnsi="Arial"/>
          <w:sz w:val="12"/>
          <w:szCs w:val="12"/>
          <w:color w:val="auto"/>
        </w:rPr>
        <w:t xml:space="preserve"> at its own expense, to have an independent, certified public accounting firm of nationally recognized standing, selected by the Auditing Party and reasonably acceptable to the Audited Party, review any such records of the Audited Party in the location(s) where such records are maintained by the Audited Party upon reasonable notice (which shall be no less than thirty (30) days prior notice) and during regular business hours and under obligations of confidence, for the sole purpose of verifying the accuracy of the amounts paid under this Agreement within a </w:t>
      </w:r>
      <w:r>
        <w:rPr>
          <w:rFonts w:ascii="Arial" w:cs="Arial" w:eastAsia="Arial" w:hAnsi="Arial"/>
          <w:sz w:val="12"/>
          <w:szCs w:val="12"/>
          <w:b w:val="1"/>
          <w:bCs w:val="1"/>
          <w:color w:val="auto"/>
        </w:rPr>
        <w:t>***</w:t>
      </w:r>
      <w:r>
        <w:rPr>
          <w:rFonts w:ascii="Arial" w:cs="Arial" w:eastAsia="Arial" w:hAnsi="Arial"/>
          <w:sz w:val="12"/>
          <w:szCs w:val="12"/>
          <w:color w:val="auto"/>
        </w:rPr>
        <w:t>year period preceding the date of the request for review. The report of such accounting firm shall be limited to a certificate stating whether any report made or invoice or payment submitted by the Audited Party during such period is accurate or inaccurate and the actual amounts of Research costs and the amount of any Net Sales, milestone or royalty discrepancy. No other information shall be provided to the Auditing Party. The Audited Party shall receive a copy of each such report concurrently with receipt by the Auditing Party. Should such inspection lead to the discovery of a discrepancy to the Auditing Party’s detriment, the Audited Party shall pay the amount of the discrepancy within thirty (30) days after its receipt from the accounting firm of the certificate showing the amount of the discrepancy. The Auditing Party shall pay the full cost of the review unless the underpayment of milestones or royalties is greater than five percent (5%), or the overpayment of Research costs is greater than five percent (5%), of the amount due for the applicable period, in which case the Audited Party shall pay the reasonable costs charged by such accounting firm for such review.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1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81" w:name="page582"/>
    <w:bookmarkEnd w:id="58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9</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OWNERSHIP OF INTELLECTUAL PROPERTY RIGHTS</w:t>
      </w:r>
    </w:p>
    <w:p>
      <w:pPr>
        <w:spacing w:after="0" w:line="126"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Inventorship</w:t>
      </w:r>
      <w:r>
        <w:rPr>
          <w:rFonts w:ascii="Arial" w:cs="Arial" w:eastAsia="Arial" w:hAnsi="Arial"/>
          <w:sz w:val="14"/>
          <w:szCs w:val="14"/>
          <w:color w:val="auto"/>
        </w:rPr>
        <w:t>. Subject to Section 9.2, inventorship for patentable inventions conceived or reduced to practice during the course of the performance of activities pursuant to this Agreement shall be determined in accordance with the patent laws of the jurisdiction where the invention was invented.</w:t>
      </w:r>
    </w:p>
    <w:p>
      <w:pPr>
        <w:spacing w:after="0" w:line="101" w:lineRule="exact"/>
        <w:rPr>
          <w:sz w:val="20"/>
          <w:szCs w:val="20"/>
          <w:color w:val="auto"/>
        </w:rPr>
      </w:pPr>
    </w:p>
    <w:p>
      <w:pPr>
        <w:ind w:right="20" w:firstLine="458"/>
        <w:spacing w:after="0" w:line="299"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Ownership</w:t>
      </w:r>
      <w:r>
        <w:rPr>
          <w:rFonts w:ascii="Arial" w:cs="Arial" w:eastAsia="Arial" w:hAnsi="Arial"/>
          <w:sz w:val="12"/>
          <w:szCs w:val="12"/>
          <w:color w:val="auto"/>
        </w:rPr>
        <w:t>. Subject to the licenses and rights granted to Gilead under this Agreement, MacroGenics shall own the entire right, title and interest in and to all inventions and discoveries (and Patents claiming patentable inventions therein) first made or discovered solely by employees or consultants of MacroGenics or acquired solely by MacroGenics in the course of Research, Development, Manufacture or Commercialization of Program DARTs and/or Licensed Products. Subject to the licenses and rights granted to MacroGenics under this Agreement, Gilead shall own the entire right, title and interest in and to all inventions and discoveries (and Patents claiming patentable inventions therein) first made or discovered solely by employees or consultants of Gilead or acquired solely by Gilead in the course of Research, Development, Manufacture or Commercialization of Program DARTs and/or Licensed Products. The Parties shall jointly own any Joint IP. Subject to the terms and conditions of this Agreement, each Party shall retain its rights to practice its undivided, one-half interest in any Joint IP without the consent of and without accounting to the other. As between the Parties, the issue as to whether any invention or discovery is jointly made, and the rights of the Parties as joint owners, shall be determined in accordance with this Agreement and the applicable substantive Laws of the United States, irrespective of the country in which such invention or discovery is made or discovered.</w:t>
      </w:r>
    </w:p>
    <w:p>
      <w:pPr>
        <w:spacing w:after="0" w:line="87" w:lineRule="exact"/>
        <w:rPr>
          <w:sz w:val="20"/>
          <w:szCs w:val="20"/>
          <w:color w:val="auto"/>
        </w:rPr>
      </w:pPr>
    </w:p>
    <w:p>
      <w:pPr>
        <w:jc w:val="center"/>
        <w:ind w:right="8120"/>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Prosecution and Maintenance of Patents</w:t>
      </w:r>
      <w:r>
        <w:rPr>
          <w:rFonts w:ascii="Arial" w:cs="Arial" w:eastAsia="Arial" w:hAnsi="Arial"/>
          <w:sz w:val="14"/>
          <w:szCs w:val="14"/>
          <w:color w:val="auto"/>
        </w:rPr>
        <w:t>.</w:t>
      </w:r>
    </w:p>
    <w:p>
      <w:pPr>
        <w:spacing w:after="0" w:line="132" w:lineRule="exact"/>
        <w:rPr>
          <w:sz w:val="20"/>
          <w:szCs w:val="20"/>
          <w:color w:val="auto"/>
        </w:rPr>
      </w:pPr>
    </w:p>
    <w:p>
      <w:pPr>
        <w:jc w:val="center"/>
        <w:ind w:right="8160"/>
        <w:spacing w:after="0"/>
        <w:rPr>
          <w:sz w:val="20"/>
          <w:szCs w:val="20"/>
          <w:color w:val="auto"/>
        </w:rPr>
      </w:pPr>
      <w:r>
        <w:rPr>
          <w:rFonts w:ascii="Arial" w:cs="Arial" w:eastAsia="Arial" w:hAnsi="Arial"/>
          <w:sz w:val="14"/>
          <w:szCs w:val="14"/>
          <w:color w:val="auto"/>
        </w:rPr>
        <w:t xml:space="preserve">9.3.1 </w:t>
      </w:r>
      <w:r>
        <w:rPr>
          <w:rFonts w:ascii="Arial" w:cs="Arial" w:eastAsia="Arial" w:hAnsi="Arial"/>
          <w:sz w:val="14"/>
          <w:szCs w:val="14"/>
          <w:u w:val="single" w:color="auto"/>
          <w:color w:val="auto"/>
        </w:rPr>
        <w:t>MacroGenics Rights</w:t>
      </w:r>
      <w:r>
        <w:rPr>
          <w:rFonts w:ascii="Arial" w:cs="Arial" w:eastAsia="Arial" w:hAnsi="Arial"/>
          <w:sz w:val="14"/>
          <w:szCs w:val="14"/>
          <w:color w:val="auto"/>
        </w:rPr>
        <w:t>.</w:t>
      </w:r>
    </w:p>
    <w:p>
      <w:pPr>
        <w:spacing w:after="0" w:line="132" w:lineRule="exact"/>
        <w:rPr>
          <w:sz w:val="20"/>
          <w:szCs w:val="20"/>
          <w:color w:val="auto"/>
        </w:rPr>
      </w:pPr>
    </w:p>
    <w:p>
      <w:pPr>
        <w:ind w:right="60" w:firstLine="1493"/>
        <w:spacing w:after="0" w:line="311" w:lineRule="auto"/>
        <w:tabs>
          <w:tab w:leader="none" w:pos="1675" w:val="left"/>
        </w:tabs>
        <w:numPr>
          <w:ilvl w:val="0"/>
          <w:numId w:val="619"/>
        </w:numPr>
        <w:rPr>
          <w:rFonts w:ascii="Arial" w:cs="Arial" w:eastAsia="Arial" w:hAnsi="Arial"/>
          <w:sz w:val="12"/>
          <w:szCs w:val="12"/>
          <w:color w:val="auto"/>
        </w:rPr>
      </w:pPr>
      <w:r>
        <w:rPr>
          <w:rFonts w:ascii="Arial" w:cs="Arial" w:eastAsia="Arial" w:hAnsi="Arial"/>
          <w:sz w:val="12"/>
          <w:szCs w:val="12"/>
          <w:color w:val="auto"/>
        </w:rPr>
        <w:t>MacroGenics shall have (i) the sole right, at MacroGenics’ discretion (subject to the remainder of this Section 9.3.1), to file, prosecute, and maintain (including with respect to any interference, derivation, re-issuance, re-examination, opposition or other post-grant proceedings) (x) any Platform Patents throughout the world and (y) any MacroGenics Patents that are Other Patents, in the MacroGenics Territory; and (ii) the first right, at MacroGenics’ discretion (subject to the remainder of this Section 9.3.1), to file, prosecute, and maintain (including with respect to any interference, derivation, re-issuance, re-examination, opposition or other post-grant proceedings) any MacroGenics Patents that are Other Patents, in the Gilead Territory.</w:t>
      </w:r>
    </w:p>
    <w:p>
      <w:pPr>
        <w:spacing w:after="0" w:line="78" w:lineRule="exact"/>
        <w:rPr>
          <w:rFonts w:ascii="Arial" w:cs="Arial" w:eastAsia="Arial" w:hAnsi="Arial"/>
          <w:sz w:val="12"/>
          <w:szCs w:val="12"/>
          <w:color w:val="auto"/>
        </w:rPr>
      </w:pPr>
    </w:p>
    <w:p>
      <w:pPr>
        <w:ind w:firstLine="1493"/>
        <w:spacing w:after="0" w:line="321" w:lineRule="auto"/>
        <w:tabs>
          <w:tab w:leader="none" w:pos="1682" w:val="left"/>
        </w:tabs>
        <w:numPr>
          <w:ilvl w:val="0"/>
          <w:numId w:val="619"/>
        </w:numPr>
        <w:rPr>
          <w:rFonts w:ascii="Arial" w:cs="Arial" w:eastAsia="Arial" w:hAnsi="Arial"/>
          <w:sz w:val="12"/>
          <w:szCs w:val="12"/>
          <w:color w:val="auto"/>
        </w:rPr>
      </w:pPr>
      <w:r>
        <w:rPr>
          <w:rFonts w:ascii="Arial" w:cs="Arial" w:eastAsia="Arial" w:hAnsi="Arial"/>
          <w:sz w:val="12"/>
          <w:szCs w:val="12"/>
          <w:color w:val="auto"/>
        </w:rPr>
        <w:t>Gilead shall reimburse MacroGenics for the Out-of-Pocket Costs of MacroGenics in the filing, prosecution and maintenance of any Patents being filed, prosecuted or maintained by MacroGenics pursuant to Section 9.3.1(a) in the Gilead Territory; provided that if pursuant to MacroGenics’ agreement with any other Third Party licensee MacroGenics is reimbursed by such licensee for the Out-of-Pocket Costs of MacroGenics in the filing, prosecution and maintenance of any such Patents, Gilead and such licensee(s) shall, on a Patent-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2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4" w:right="219" w:bottom="1440" w:gutter="0" w:footer="0" w:header="0"/>
        </w:sectPr>
      </w:pPr>
    </w:p>
    <w:bookmarkStart w:id="582" w:name="page583"/>
    <w:bookmarkEnd w:id="582"/>
    <w:p>
      <w:pPr>
        <w:ind w:right="180"/>
        <w:spacing w:after="0" w:line="2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by-Patent basis, share in such Out-of-Pocket Costs with each party’s percentage share determined by dividing (i) one, by (ii) one plus the number of Third Parties (if any) that is(are) required to reimburse MacroGenics for such Out-of-Pocket Costs. With respect to any Patent owned by Gilead or any Joint Patent that is being filed, prosecuted or maintained by MacroGenics pursuant to Section 9.3.1(a) in any country in the Gilead Territory, Gilead shall have the right, in its sole discretion, to assign such Patent in such country (or, in the case of a Joint Patent, to assign Gilead’s interest in such Joint Patent in such country) to MacroGenics or to cause the abandonment of such Patent in such country (only in the case of a Patent owned by Gilead), as MacroGenics may elect, and thereby to terminate Gilead’s obligation to reimburse such costs incurred thereafter, upon *** to MacroGenics. With respect to any Patent (other than any Joint Patent) under which Gilead has a license hereunder that is being filed, prosecuted or maintained by MacroGenics pursuant to Section 9.3.1(a) in any country in the Gilead Territory, Gilead shall have the right, in its sole discretion, to terminate such license, and thereby to terminate Gilead’s obligation to reimburse such costs incurred thereafter, upon thirty (30) days’ written notice to MacroGenics, and following such***, Gilead shall have no rights hereunder with respect to such Patent in such country.</w:t>
      </w:r>
    </w:p>
    <w:p>
      <w:pPr>
        <w:spacing w:after="0" w:line="116" w:lineRule="exact"/>
        <w:rPr>
          <w:sz w:val="20"/>
          <w:szCs w:val="20"/>
          <w:color w:val="auto"/>
        </w:rPr>
      </w:pPr>
    </w:p>
    <w:p>
      <w:pPr>
        <w:jc w:val="both"/>
        <w:ind w:right="60" w:firstLine="1493"/>
        <w:spacing w:after="0" w:line="321" w:lineRule="auto"/>
        <w:tabs>
          <w:tab w:leader="none" w:pos="1675" w:val="left"/>
        </w:tabs>
        <w:numPr>
          <w:ilvl w:val="0"/>
          <w:numId w:val="621"/>
        </w:numPr>
        <w:rPr>
          <w:rFonts w:ascii="Arial" w:cs="Arial" w:eastAsia="Arial" w:hAnsi="Arial"/>
          <w:sz w:val="12"/>
          <w:szCs w:val="12"/>
          <w:color w:val="auto"/>
        </w:rPr>
      </w:pPr>
      <w:r>
        <w:rPr>
          <w:rFonts w:ascii="Arial" w:cs="Arial" w:eastAsia="Arial" w:hAnsi="Arial"/>
          <w:sz w:val="12"/>
          <w:szCs w:val="12"/>
          <w:color w:val="auto"/>
        </w:rPr>
        <w:t xml:space="preserve">MacroGenics shall use reasonable efforts to ensure that any Patents being filed, prosecuted or maintained by MacroGenics pursuant to Section 9.3.1(a) (excluding any Patents that are being filed, prosecuted or maintained by MacroGenics as a result of the operation of Section 9.3.2(c)) are not Mixed Patents. If any such Patent is a Mixed Patent, then such Patent shall be deemed a Product Patent (and not a Platform Patent) for all purposes under this Agreement (including this Section 9.3) for so long as such Patent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73" w:lineRule="exact"/>
        <w:rPr>
          <w:rFonts w:ascii="Arial" w:cs="Arial" w:eastAsia="Arial" w:hAnsi="Arial"/>
          <w:sz w:val="12"/>
          <w:szCs w:val="12"/>
          <w:color w:val="auto"/>
        </w:rPr>
      </w:pPr>
    </w:p>
    <w:p>
      <w:pPr>
        <w:ind w:firstLine="1493"/>
        <w:spacing w:after="0" w:line="302" w:lineRule="auto"/>
        <w:tabs>
          <w:tab w:leader="none" w:pos="1682" w:val="left"/>
        </w:tabs>
        <w:numPr>
          <w:ilvl w:val="0"/>
          <w:numId w:val="621"/>
        </w:numPr>
        <w:rPr>
          <w:rFonts w:ascii="Arial" w:cs="Arial" w:eastAsia="Arial" w:hAnsi="Arial"/>
          <w:sz w:val="12"/>
          <w:szCs w:val="12"/>
          <w:color w:val="auto"/>
        </w:rPr>
      </w:pPr>
      <w:r>
        <w:rPr>
          <w:rFonts w:ascii="Arial" w:cs="Arial" w:eastAsia="Arial" w:hAnsi="Arial"/>
          <w:sz w:val="12"/>
          <w:szCs w:val="12"/>
          <w:color w:val="auto"/>
        </w:rPr>
        <w:t>The Parties shall work together in good faith to agree upon a strategy for the prosecution of any Patents being prosecuted by MacroGenics pursuant to Section 9.3.1(a) in the Gilead Territory, including the list of countries in the Gilead Territory in which such Patents will be filed; provided, however, that (subject to Section 9.3.1(e)) MacroGenics shall have the final right to make such determinations. In addition, MacroGenics shall provide to Gilead such other information related to prosecution of any Patents being prosecuted by MacroGenics pursuant to Section 9.3.1(a) as Gilead may from time to time reasonably request to allow Gilead to track prosecution and maintenance of such Patents and shall consider in good faith any comments that Gilead may provide with respect to such matters. Without limiting the foregoing, MacroGenics shall keep Gilead informed as to the identity of its patent agents and attorneys and notify Gilead of any changes thereto and consider in good faith any comments that Gilead may provide with respect to the selection and engagement of patent agents and attorneys for the prosecution and maintenance of such Patents.</w:t>
      </w:r>
    </w:p>
    <w:p>
      <w:pPr>
        <w:spacing w:after="0" w:line="86" w:lineRule="exact"/>
        <w:rPr>
          <w:rFonts w:ascii="Arial" w:cs="Arial" w:eastAsia="Arial" w:hAnsi="Arial"/>
          <w:sz w:val="12"/>
          <w:szCs w:val="12"/>
          <w:color w:val="auto"/>
        </w:rPr>
      </w:pPr>
    </w:p>
    <w:p>
      <w:pPr>
        <w:ind w:firstLine="1493"/>
        <w:spacing w:after="0" w:line="253" w:lineRule="auto"/>
        <w:tabs>
          <w:tab w:leader="none" w:pos="1675" w:val="left"/>
        </w:tabs>
        <w:numPr>
          <w:ilvl w:val="0"/>
          <w:numId w:val="621"/>
        </w:numPr>
        <w:rPr>
          <w:rFonts w:ascii="Arial" w:cs="Arial" w:eastAsia="Arial" w:hAnsi="Arial"/>
          <w:sz w:val="14"/>
          <w:szCs w:val="14"/>
          <w:color w:val="auto"/>
        </w:rPr>
      </w:pPr>
      <w:r>
        <w:rPr>
          <w:rFonts w:ascii="Arial" w:cs="Arial" w:eastAsia="Arial" w:hAnsi="Arial"/>
          <w:sz w:val="14"/>
          <w:szCs w:val="14"/>
          <w:color w:val="auto"/>
        </w:rPr>
        <w:t>MacroGenics shall give Gilead written notice reasonably in advance of any decision by MacroGenics not to file an application for or to abandon the prosecution of or otherwise not maintain or extend any Patent described in clause (ii) of Section 9.3.1(a) in any applicable country. Upon receiving such notice, Gilead shall have the right, at its own cost, to file, prosecute, maintain and extend, as the case may be, such Patent, in Gilead’s name, in such country; provided, however, that Gilead shall not exercise such right without the prior written consent of MacroGenics (which MacroGenics may withhold in its sole discretion) if MacroGenics’ decision not to file an application for or to abandon the prosecution of or otherwise not maintain or extend such Patent is made for strategic business reasons (e.g., in countries with compulsory licensing policies).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2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83" w:name="page584"/>
    <w:bookmarkEnd w:id="583"/>
    <w:p>
      <w:pPr>
        <w:ind w:left="91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9.3.2 </w:t>
      </w:r>
      <w:r>
        <w:rPr>
          <w:rFonts w:ascii="Arial" w:cs="Arial" w:eastAsia="Arial" w:hAnsi="Arial"/>
          <w:sz w:val="14"/>
          <w:szCs w:val="14"/>
          <w:u w:val="single" w:color="auto"/>
          <w:color w:val="auto"/>
        </w:rPr>
        <w:t>Gilead Rights.</w:t>
      </w:r>
    </w:p>
    <w:p>
      <w:pPr>
        <w:spacing w:after="0" w:line="132" w:lineRule="exact"/>
        <w:rPr>
          <w:sz w:val="20"/>
          <w:szCs w:val="20"/>
          <w:color w:val="auto"/>
        </w:rPr>
      </w:pPr>
    </w:p>
    <w:p>
      <w:pPr>
        <w:ind w:left="-4" w:firstLine="1493"/>
        <w:spacing w:after="0" w:line="294" w:lineRule="auto"/>
        <w:tabs>
          <w:tab w:leader="none" w:pos="1671" w:val="left"/>
        </w:tabs>
        <w:numPr>
          <w:ilvl w:val="1"/>
          <w:numId w:val="623"/>
        </w:numPr>
        <w:rPr>
          <w:rFonts w:ascii="Arial" w:cs="Arial" w:eastAsia="Arial" w:hAnsi="Arial"/>
          <w:sz w:val="12"/>
          <w:szCs w:val="12"/>
          <w:color w:val="auto"/>
        </w:rPr>
      </w:pPr>
      <w:r>
        <w:rPr>
          <w:rFonts w:ascii="Arial" w:cs="Arial" w:eastAsia="Arial" w:hAnsi="Arial"/>
          <w:sz w:val="12"/>
          <w:szCs w:val="12"/>
          <w:color w:val="auto"/>
        </w:rPr>
        <w:t>Gilead shall have (i) the sole right, at Gilead’s discretion (subject to the remainder of this Section 9.3.2), to file, prosecute, and maintain (including with respect to any interference, derivation, re-issuance, re-examination, opposition or other post-grant proceedings) any Gilead Collaboration Patents that are Other Patents, in the Gilead Territory; and (ii) the first right, at Gilead’s discretion (subject to the remainder of this Section 9.3.2), to file, prosecute, and maintain (including with respect to any interference, derivation, re-issuance, re-examination, opposition or other post-grant proceedings)</w:t>
      </w:r>
    </w:p>
    <w:p>
      <w:pPr>
        <w:ind w:left="-4" w:right="100" w:firstLine="4"/>
        <w:spacing w:after="0" w:line="252" w:lineRule="auto"/>
        <w:tabs>
          <w:tab w:leader="none" w:pos="174" w:val="left"/>
        </w:tabs>
        <w:numPr>
          <w:ilvl w:val="0"/>
          <w:numId w:val="624"/>
        </w:numPr>
        <w:rPr>
          <w:rFonts w:ascii="Arial" w:cs="Arial" w:eastAsia="Arial" w:hAnsi="Arial"/>
          <w:sz w:val="14"/>
          <w:szCs w:val="14"/>
          <w:color w:val="auto"/>
        </w:rPr>
      </w:pPr>
      <w:r>
        <w:rPr>
          <w:rFonts w:ascii="Arial" w:cs="Arial" w:eastAsia="Arial" w:hAnsi="Arial"/>
          <w:sz w:val="14"/>
          <w:szCs w:val="14"/>
          <w:color w:val="auto"/>
        </w:rPr>
        <w:t>any Gilead Collaboration Patents that are Product Patents, in the Gilead Territory, (t) any Gilead Collaboration Patents that are Product Patents, in the MacroGenics Territory, (u) any Gilead Collaboration Patents that are Other Patents, in the MacroGenics Territory, (v) any MacroGenics Patents that are Product Patents, in the Gilead Territory, (w) any MacroGenics Patents that are Product Patents, in the MacroGenics Territory, (x) any Joint Patents that are Product Patents, in the Gilead Territory, (y) any Joint Patents that are Product Patents, in the MacroGenics Territory and (z) any Joint Patents that are Other Patents, throughout the world.</w:t>
      </w:r>
    </w:p>
    <w:p>
      <w:pPr>
        <w:spacing w:after="0" w:line="111" w:lineRule="exact"/>
        <w:rPr>
          <w:rFonts w:ascii="Arial" w:cs="Arial" w:eastAsia="Arial" w:hAnsi="Arial"/>
          <w:sz w:val="14"/>
          <w:szCs w:val="14"/>
          <w:color w:val="auto"/>
        </w:rPr>
      </w:pPr>
    </w:p>
    <w:p>
      <w:pPr>
        <w:ind w:left="-4" w:firstLine="1493"/>
        <w:spacing w:after="0" w:line="299" w:lineRule="auto"/>
        <w:tabs>
          <w:tab w:leader="none" w:pos="1679" w:val="left"/>
        </w:tabs>
        <w:numPr>
          <w:ilvl w:val="1"/>
          <w:numId w:val="624"/>
        </w:numPr>
        <w:rPr>
          <w:rFonts w:ascii="Arial" w:cs="Arial" w:eastAsia="Arial" w:hAnsi="Arial"/>
          <w:sz w:val="12"/>
          <w:szCs w:val="12"/>
          <w:color w:val="auto"/>
        </w:rPr>
      </w:pPr>
      <w:r>
        <w:rPr>
          <w:rFonts w:ascii="Arial" w:cs="Arial" w:eastAsia="Arial" w:hAnsi="Arial"/>
          <w:sz w:val="12"/>
          <w:szCs w:val="12"/>
          <w:color w:val="auto"/>
        </w:rPr>
        <w:t xml:space="preserve">MacroGenics shall reimburse Gilead for the Out-of-Pocket Costs of Gilead in the filing, prosecution and maintenance of any Patents being filed, prosecuted or maintained by Gilead pursuant to Section 9.3.2(a) in the MacroGenics Territory. With respect to any Patent owned by MacroGenics or any Joint Patent that is being filed, prosecuted or maintained by Gilead pursuant to Section 9.3.2(a) in any country in the MacroGenics Territory, MacroGenics shall have the right, in its sole discretion, to assign such Patent in such country (or, in case of a Joint Patent, to assign MacroGenics’ interest in such Joint Patent in such country) to Gilead or to cause the abandonment of such Patent in such country (only in the case of a Patent owned by MacroGenics), at Gilead’s election, and thereby to terminate MacroGenics’ obligation to reimburse such costs incurred thereafter,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to Gilead. With respect to any Patent (other than any Joint Patent) under which MacroGenics has a license hereunder that is being filed, prosecuted or maintained by Gilead pursuant to Section 9.3.2(a) in any country in the MacroGenics Territory, MacroGenics shall have the right, in its sole discretion, to terminate such license and thereby to terminate MacroGenics’ obligation to reimburse such costs incurred thereafter,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to Gilead, and following such thirty (30) day period, MacroGenics shall have no rights hereunder with respect to such Patent in such country.</w:t>
      </w:r>
    </w:p>
    <w:p>
      <w:pPr>
        <w:spacing w:after="0" w:line="87" w:lineRule="exact"/>
        <w:rPr>
          <w:rFonts w:ascii="Arial" w:cs="Arial" w:eastAsia="Arial" w:hAnsi="Arial"/>
          <w:sz w:val="12"/>
          <w:szCs w:val="12"/>
          <w:color w:val="auto"/>
        </w:rPr>
      </w:pPr>
    </w:p>
    <w:p>
      <w:pPr>
        <w:ind w:left="-4" w:right="20" w:firstLine="1493"/>
        <w:spacing w:after="0" w:line="321" w:lineRule="auto"/>
        <w:tabs>
          <w:tab w:leader="none" w:pos="1671" w:val="left"/>
        </w:tabs>
        <w:numPr>
          <w:ilvl w:val="1"/>
          <w:numId w:val="624"/>
        </w:numPr>
        <w:rPr>
          <w:rFonts w:ascii="Arial" w:cs="Arial" w:eastAsia="Arial" w:hAnsi="Arial"/>
          <w:sz w:val="12"/>
          <w:szCs w:val="12"/>
          <w:color w:val="auto"/>
        </w:rPr>
      </w:pPr>
      <w:r>
        <w:rPr>
          <w:rFonts w:ascii="Arial" w:cs="Arial" w:eastAsia="Arial" w:hAnsi="Arial"/>
          <w:sz w:val="12"/>
          <w:szCs w:val="12"/>
          <w:color w:val="auto"/>
        </w:rPr>
        <w:t>Gilead shall use reasonable efforts to ensure that any Patents being filed, prosecuted or maintained by Gilead pursuant to Section 9.3.2(a) (excluding any Patents that are being filed, prosecuted or maintained by Gilead as a result of the operation of Section 9.3.1(c)) are not Mixed Patents. If any such Patent is a Mixed Patent, then such Patent shall be deemed a Platform Patent (and not a Product Patent) for all purposes under this Agreement (including this Section 9.3) for so long as such Patent contains at least one Platform Claim.</w:t>
      </w:r>
    </w:p>
    <w:p>
      <w:pPr>
        <w:spacing w:after="0" w:line="73" w:lineRule="exact"/>
        <w:rPr>
          <w:rFonts w:ascii="Arial" w:cs="Arial" w:eastAsia="Arial" w:hAnsi="Arial"/>
          <w:sz w:val="12"/>
          <w:szCs w:val="12"/>
          <w:color w:val="auto"/>
        </w:rPr>
      </w:pPr>
    </w:p>
    <w:p>
      <w:pPr>
        <w:ind w:left="1676" w:hanging="187"/>
        <w:spacing w:after="0"/>
        <w:tabs>
          <w:tab w:leader="none" w:pos="1676" w:val="left"/>
        </w:tabs>
        <w:numPr>
          <w:ilvl w:val="1"/>
          <w:numId w:val="624"/>
        </w:numPr>
        <w:rPr>
          <w:rFonts w:ascii="Arial" w:cs="Arial" w:eastAsia="Arial" w:hAnsi="Arial"/>
          <w:sz w:val="14"/>
          <w:szCs w:val="14"/>
          <w:color w:val="auto"/>
        </w:rPr>
      </w:pPr>
      <w:r>
        <w:rPr>
          <w:rFonts w:ascii="Arial" w:cs="Arial" w:eastAsia="Arial" w:hAnsi="Arial"/>
          <w:sz w:val="14"/>
          <w:szCs w:val="14"/>
          <w:color w:val="auto"/>
        </w:rPr>
        <w:t>The Parties shall work together in good faith to agree upon a strategy for the prosecution of (i) any Patents being prosecuted by Gilead pursuant to Section</w:t>
      </w:r>
    </w:p>
    <w:p>
      <w:pPr>
        <w:spacing w:after="0" w:line="121"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53</w:t>
      </w:r>
    </w:p>
    <w:p>
      <w:pPr>
        <w:spacing w:after="0" w:line="12" w:lineRule="exact"/>
        <w:rPr>
          <w:sz w:val="20"/>
          <w:szCs w:val="20"/>
          <w:color w:val="auto"/>
        </w:rPr>
      </w:pPr>
    </w:p>
    <w:p>
      <w:pPr>
        <w:ind w:left="3836" w:right="2660" w:hanging="1135"/>
        <w:spacing w:after="0" w:line="341" w:lineRule="auto"/>
        <w:tabs>
          <w:tab w:leader="none" w:pos="2940" w:val="left"/>
        </w:tabs>
        <w:numPr>
          <w:ilvl w:val="0"/>
          <w:numId w:val="62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16"/>
          </w:cols>
          <w:pgMar w:left="224" w:top="246" w:right="259" w:bottom="1440" w:gutter="0" w:footer="0" w:header="0"/>
        </w:sectPr>
      </w:pPr>
    </w:p>
    <w:bookmarkStart w:id="584" w:name="page585"/>
    <w:bookmarkEnd w:id="584"/>
    <w:p>
      <w:pPr>
        <w:ind w:right="20"/>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9.3.2(a) in the MacroGenics Territory; (ii) any MacroGenics Patents that are Product Patents, in the Gilead Territory; and (iii) any Joint Patents being prosecuted by Gilead pursuant to Section 9.3.2(a), including the list of countries in which such Patents will be filed; provided, however, that (subject to Section 9.3.2(e)) Gilead shall have the final right to make such determinations. Gilead shall provide MacroGenics with a draft of any prosecution filing related to any such Patents being prosecuted by Gilead pursuant to Section 9.3.2(a) to be submitted to any patent office in the applicable Territory at least thirty (30) days in advance of submission and shall provide MacroGenics an opportunity to provide comments on and make requests of Gilead concerning such filing and shall consider in good faith any comments or requests regarding such filing that MacroGenics may timely provide. In addition, Gilead shall provide to MacroGenics such other information related to prosecution of any Patents being prosecuted by Gilead pursuant to Section 9.3.2(a) as MacroGenics may from time to time reasonably request to allow MacroGenics to track prosecution and maintenance of such Patents and shall consider in good faith any comments that MacroGenics may provide with respect to such matters. Without limiting the foregoing, Gilead shall keep MacroGenics informed as to the identity of its patent agents and attorneys and notify MacroGenics of any changes thereto and consider in good faith any comments that MacroGenics may provide with respect to the selection and engagement of patent agents and attorneys for the prosecution and maintenance of such Patents.</w:t>
      </w:r>
    </w:p>
    <w:p>
      <w:pPr>
        <w:spacing w:after="0" w:line="254" w:lineRule="exact"/>
        <w:rPr>
          <w:sz w:val="20"/>
          <w:szCs w:val="20"/>
          <w:color w:val="auto"/>
        </w:rPr>
      </w:pPr>
    </w:p>
    <w:p>
      <w:pPr>
        <w:ind w:firstLine="1493"/>
        <w:spacing w:after="0" w:line="297" w:lineRule="auto"/>
        <w:tabs>
          <w:tab w:leader="none" w:pos="1675" w:val="left"/>
        </w:tabs>
        <w:numPr>
          <w:ilvl w:val="0"/>
          <w:numId w:val="626"/>
        </w:numPr>
        <w:rPr>
          <w:rFonts w:ascii="Arial" w:cs="Arial" w:eastAsia="Arial" w:hAnsi="Arial"/>
          <w:sz w:val="12"/>
          <w:szCs w:val="12"/>
          <w:color w:val="auto"/>
        </w:rPr>
      </w:pPr>
      <w:r>
        <w:rPr>
          <w:rFonts w:ascii="Arial" w:cs="Arial" w:eastAsia="Arial" w:hAnsi="Arial"/>
          <w:sz w:val="12"/>
          <w:szCs w:val="12"/>
          <w:color w:val="auto"/>
        </w:rPr>
        <w:t>Gilead shall give MacroGenics written notice reasonably in advance of any decision by Gilead not to file an application for or to abandon the prosecution of or otherwise not maintain or extend any Patent described in clause (ii) of Section 9.3.2(a) in any applicable country. Upon receiving such notice, MacroGenics shall have the right, at its own cost, to file, prosecute, maintain and extend, as the case may be, such Patent, in MacroGenics’ name, in such country; provided, however, that MacroGenics shall not exercise such right (A) with respect to (1) any Patent described in clause (ii)(s) or (ii)(u) of Section 9.3.2(a) in any country or (2) any Patent described in clause (ii)(v) or (ii)(x) of Section 9.3.2(a) in any country in the Access Territory, in each case ((1) and (2)) without the prior written consent of Gilead (which Gilead may withhold in its sole discretion) if Gilead’s decision not to file an application for or to abandon the prosecution of or otherwise not maintain or extend such Patent is made for strategic business reasons (e.g., in countries with compulsory licensing policies), or (B) with respect to any Patent described in clause (ii)(v) or (ii)(x) of Section 9.3.2(a) in any country outside of the Access Territory, if there is at least one MacroGenics Patent or Joint Patent other than such Patent in such country that Covers the Program DART or Licensed Product Covered by such Patent. If MacroGenics exercises its rights under this Section 9.3.2(e) with respect to any Joint Patent in any country, Gilead shall (I) assign its entire right, title and interest in such Joint Product Patent in such country to MacroGenics, (II) use reasonable efforts to make its authorized attorneys, agents or representatives available to MacroGenics and to assist MacroGenics in obtaining and maintaining such patent protection, and (III) sign or use reasonable efforts to have signed all legal documents necessary to file and prosecute such Joint Patent or to obtain or maintain such Joint Product Patent.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Third Party Infringement</w:t>
      </w: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9.4.1 </w:t>
      </w:r>
      <w:r>
        <w:rPr>
          <w:rFonts w:ascii="Arial" w:cs="Arial" w:eastAsia="Arial" w:hAnsi="Arial"/>
          <w:sz w:val="12"/>
          <w:szCs w:val="12"/>
          <w:u w:val="single" w:color="auto"/>
          <w:color w:val="auto"/>
        </w:rPr>
        <w:t>Notice</w:t>
      </w:r>
      <w:r>
        <w:rPr>
          <w:rFonts w:ascii="Arial" w:cs="Arial" w:eastAsia="Arial" w:hAnsi="Arial"/>
          <w:sz w:val="12"/>
          <w:szCs w:val="12"/>
          <w:color w:val="auto"/>
        </w:rPr>
        <w:t>. Each Party shall promptly report in writing to the other Party any known or suspected (a) infringement of any of the MacroGenics Patents, Gilead Collaboration</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54</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2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85" w:name="page586"/>
    <w:bookmarkEnd w:id="585"/>
    <w:p>
      <w:pPr>
        <w:ind w:right="6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Patents or Joint Patents; (b) unauthorized use or misappropriation of any of the MacroGenics Know-How, Gilead Collaboration Know-How or Know-How included in the Joint IP of which such Party becomes aware; or (c) notification under the Biologics Price Competition and Innovation Act of 2009, as amended, or similar law, from a biosimilar applicant arising from the filing of an application for the Regulatory Approval of a product intending to show that such product is biosimilar to any Licensed Product that is a reference product for which a claim of infringement of any of the MacroGenics Patents, Joint Patents or Gilead Collaboration Patents by the manufacture or sale of such product could reasonably be asserted, and shall provide the other Party with all available evidence regarding such known or suspected infringement or unauthorized use.</w:t>
      </w:r>
    </w:p>
    <w:p>
      <w:pPr>
        <w:spacing w:after="0" w:line="113" w:lineRule="exact"/>
        <w:rPr>
          <w:sz w:val="20"/>
          <w:szCs w:val="20"/>
          <w:color w:val="auto"/>
        </w:rPr>
      </w:pPr>
    </w:p>
    <w:p>
      <w:pPr>
        <w:ind w:right="340" w:firstLine="917"/>
        <w:spacing w:after="0" w:line="267" w:lineRule="auto"/>
        <w:rPr>
          <w:sz w:val="20"/>
          <w:szCs w:val="20"/>
          <w:color w:val="auto"/>
        </w:rPr>
      </w:pPr>
      <w:r>
        <w:rPr>
          <w:rFonts w:ascii="Arial" w:cs="Arial" w:eastAsia="Arial" w:hAnsi="Arial"/>
          <w:sz w:val="14"/>
          <w:szCs w:val="14"/>
          <w:color w:val="auto"/>
        </w:rPr>
        <w:t xml:space="preserve">9.4.2 </w:t>
      </w:r>
      <w:r>
        <w:rPr>
          <w:rFonts w:ascii="Arial" w:cs="Arial" w:eastAsia="Arial" w:hAnsi="Arial"/>
          <w:sz w:val="14"/>
          <w:szCs w:val="14"/>
          <w:u w:val="single" w:color="auto"/>
          <w:color w:val="auto"/>
        </w:rPr>
        <w:t>Enforcement Rights</w:t>
      </w:r>
      <w:r>
        <w:rPr>
          <w:rFonts w:ascii="Arial" w:cs="Arial" w:eastAsia="Arial" w:hAnsi="Arial"/>
          <w:sz w:val="14"/>
          <w:szCs w:val="14"/>
          <w:color w:val="auto"/>
        </w:rPr>
        <w:t>. Subject to the requirements and limitations of any MacroGenics Third Party Agreements with respect to the enforcement of Patents, including any rights of, and timeframes for, such Third Party licensors to comment on and review any filings or materials related thereto, the Parties agree:</w:t>
      </w:r>
    </w:p>
    <w:p>
      <w:pPr>
        <w:spacing w:after="0" w:line="101" w:lineRule="exact"/>
        <w:rPr>
          <w:sz w:val="20"/>
          <w:szCs w:val="20"/>
          <w:color w:val="auto"/>
        </w:rPr>
      </w:pPr>
    </w:p>
    <w:p>
      <w:pPr>
        <w:ind w:firstLine="1493"/>
        <w:spacing w:after="0" w:line="296" w:lineRule="auto"/>
        <w:tabs>
          <w:tab w:leader="none" w:pos="1675" w:val="left"/>
        </w:tabs>
        <w:numPr>
          <w:ilvl w:val="0"/>
          <w:numId w:val="628"/>
        </w:numPr>
        <w:rPr>
          <w:rFonts w:ascii="Arial" w:cs="Arial" w:eastAsia="Arial" w:hAnsi="Arial"/>
          <w:sz w:val="12"/>
          <w:szCs w:val="12"/>
          <w:color w:val="auto"/>
        </w:rPr>
      </w:pPr>
      <w:r>
        <w:rPr>
          <w:rFonts w:ascii="Arial" w:cs="Arial" w:eastAsia="Arial" w:hAnsi="Arial"/>
          <w:sz w:val="12"/>
          <w:szCs w:val="12"/>
          <w:color w:val="auto"/>
        </w:rPr>
        <w:t>Gilead shall have (i) the sole right, but not the obligation, to initiate a lawsuit or take other reasonable action to enforce any Gilead Collaboration Patents that are Other Patents, in the Gilead Territory and (ii) the first right, but not the obligation, to initiate a lawsuit or take other reasonable action to enforce (t) any Gilead Collaboration Patents that are Product Patents, in the Gilead Territory, (u) any Gilead Collaboration Patents that are Platform Patents, with respect to Competitive Infringement in the Gilead Territory, (v) any Gilead Collaboration Patents that are Other Patents, in the MacroGenics Territory, (w) any MacroGenics Patents that are Product Patents, in the Gilead Territory, (x) any Joint Patents that are Product Patents, in the Gilead Territory, (y) any Joint Patents that are Platform Patents, with respect to Competitive Infringement in the Gilead Territory and (z) any Joint Patents that are Other Patents, in the Gilead Territory. Notwithstanding the foregoing sentence, Gilead shall not initiate any such lawsuit or take such other action with respect to any matter described in clause (ii) above without first consulting with MacroGenics and giving good faith consideration to any reasonable objection from MacroGenics regarding Gilead’s proposed course of action, and Gilead shall not initiate any such lawsuit or take such other action with respect to any matter described in clause (ii)(u) or (ii)(y) above without the prior written consent of MacroGenics, which MacroGenics may withhold in its sole discretion. MacroGenics shall cooperate in the prosecution of any suit under this Section 9.4.2(a) as may be reasonably requested by Gilead (including joining such suit as a plaintiff if Gilead is unable to initiate or prosecute such action solely in its own name); provided, however, that Gilead shall promptly reimburse all Out-of-Pocket Costs (including reasonable counsel fees and expenses) of MacroGenics in connection with such cooperation. In connection with any such proceeding, Gilead shall not enter into any settlement admitting the invalidity of, or otherwise impairing MacroGenics’ rights in, MacroGenics IP or Joint IP without the prior written consent of MacroGenics.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2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86" w:name="page587"/>
    <w:bookmarkEnd w:id="586"/>
    <w:p>
      <w:pPr>
        <w:ind w:left="1600" w:hanging="187"/>
        <w:spacing w:after="0"/>
        <w:tabs>
          <w:tab w:leader="none" w:pos="1600" w:val="left"/>
        </w:tabs>
        <w:numPr>
          <w:ilvl w:val="0"/>
          <w:numId w:val="63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Any recoveries resulting from such an action brought by Gilead in accordance with Section 9.4.2(a) shall be applied as follows:</w:t>
      </w:r>
    </w:p>
    <w:p>
      <w:pPr>
        <w:spacing w:after="0" w:line="131" w:lineRule="exact"/>
        <w:rPr>
          <w:rFonts w:ascii="Arial" w:cs="Arial" w:eastAsia="Arial" w:hAnsi="Arial"/>
          <w:sz w:val="14"/>
          <w:szCs w:val="14"/>
          <w:color w:val="auto"/>
        </w:rPr>
      </w:pPr>
    </w:p>
    <w:p>
      <w:pPr>
        <w:ind w:left="-80" w:right="120" w:firstLine="1952"/>
        <w:spacing w:after="0" w:line="267" w:lineRule="auto"/>
        <w:tabs>
          <w:tab w:leader="none" w:pos="2030" w:val="left"/>
        </w:tabs>
        <w:numPr>
          <w:ilvl w:val="1"/>
          <w:numId w:val="630"/>
        </w:numPr>
        <w:rPr>
          <w:rFonts w:ascii="Arial" w:cs="Arial" w:eastAsia="Arial" w:hAnsi="Arial"/>
          <w:sz w:val="14"/>
          <w:szCs w:val="14"/>
          <w:color w:val="auto"/>
        </w:rPr>
      </w:pPr>
      <w:r>
        <w:rPr>
          <w:rFonts w:ascii="Arial" w:cs="Arial" w:eastAsia="Arial" w:hAnsi="Arial"/>
          <w:sz w:val="14"/>
          <w:szCs w:val="14"/>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101" w:lineRule="exact"/>
        <w:rPr>
          <w:rFonts w:ascii="Arial" w:cs="Arial" w:eastAsia="Arial" w:hAnsi="Arial"/>
          <w:sz w:val="14"/>
          <w:szCs w:val="14"/>
          <w:color w:val="auto"/>
        </w:rPr>
      </w:pPr>
    </w:p>
    <w:p>
      <w:pPr>
        <w:jc w:val="both"/>
        <w:ind w:left="-80" w:right="40" w:firstLine="1952"/>
        <w:spacing w:after="0" w:line="311" w:lineRule="auto"/>
        <w:tabs>
          <w:tab w:leader="none" w:pos="2068" w:val="left"/>
        </w:tabs>
        <w:numPr>
          <w:ilvl w:val="1"/>
          <w:numId w:val="630"/>
        </w:numPr>
        <w:rPr>
          <w:rFonts w:ascii="Arial" w:cs="Arial" w:eastAsia="Arial" w:hAnsi="Arial"/>
          <w:sz w:val="12"/>
          <w:szCs w:val="12"/>
          <w:color w:val="auto"/>
        </w:rPr>
      </w:pPr>
      <w:r>
        <w:rPr>
          <w:rFonts w:ascii="Arial" w:cs="Arial" w:eastAsia="Arial" w:hAnsi="Arial"/>
          <w:sz w:val="12"/>
          <w:szCs w:val="12"/>
          <w:color w:val="auto"/>
        </w:rPr>
        <w:t>Second, the remainder of such recovery shall be retained by Gilead, provided that (x) to the extent the award to Gilead is based on lost profits with respect to a Licensed Product in the Gilead Territory, MacroGenics shall receive an amount equal to the royalty that would be payable, pursuant to Section 8.5, on the imputed amount of Net Sales of such Licensed Product(s) in the country(ies) in the Gilead Territory where such infringement occurred, and (y) to the extent the award reflects the amount of reasonable royalty payments due to Gilead with respect to a Licensed Product in the Gilead Territory (excluding, for clarity, any award to the extent described in clause (x) above), such award shall be considered as Net Sales subject to the applicable royalty in accordance to Section 8.5.</w:t>
      </w:r>
    </w:p>
    <w:p>
      <w:pPr>
        <w:spacing w:after="0" w:line="78" w:lineRule="exact"/>
        <w:rPr>
          <w:rFonts w:ascii="Arial" w:cs="Arial" w:eastAsia="Arial" w:hAnsi="Arial"/>
          <w:sz w:val="12"/>
          <w:szCs w:val="12"/>
          <w:color w:val="auto"/>
        </w:rPr>
      </w:pPr>
    </w:p>
    <w:p>
      <w:pPr>
        <w:ind w:left="-80" w:right="40" w:firstLine="1493"/>
        <w:spacing w:after="0" w:line="296" w:lineRule="auto"/>
        <w:tabs>
          <w:tab w:leader="none" w:pos="1595" w:val="left"/>
        </w:tabs>
        <w:numPr>
          <w:ilvl w:val="0"/>
          <w:numId w:val="630"/>
        </w:numPr>
        <w:rPr>
          <w:rFonts w:ascii="Arial" w:cs="Arial" w:eastAsia="Arial" w:hAnsi="Arial"/>
          <w:sz w:val="12"/>
          <w:szCs w:val="12"/>
          <w:color w:val="auto"/>
        </w:rPr>
      </w:pPr>
      <w:r>
        <w:rPr>
          <w:rFonts w:ascii="Arial" w:cs="Arial" w:eastAsia="Arial" w:hAnsi="Arial"/>
          <w:sz w:val="12"/>
          <w:szCs w:val="12"/>
          <w:color w:val="auto"/>
        </w:rPr>
        <w:t>MacroGenics shall have (i) the sole right, but not the obligation, to initiate a lawsuit or take other reasonable action to enforce (v) any Gilead Collaboration Patents that are Platform Patents, other than with respect to Competitive Infringement, throughout the world, (w) any MacroGenics Patents that are Platform Patents, throughout the world, (x) any MacroGenics Patents that are Other Patents, in the MacroGenics Territory, (y) any Joint Patents that are Platform Patents, with respect to Competitive Infringement in the MacroGenics Territory and (z) any Joint Patents that are Platform Patents, other than with respect to Competitive Infringement, throughout the world; and (ii) the first right, but not the obligation, to initiate a lawsuit or take other reasonable action to enforce (u) any Gilead Collaboration Patents that are Product Patents, in the MacroGenics Territory, (v) any Gilead Collaboration Patents that are Platform Patents, with respect to Competitive Infringement in the MacroGenics Territory, (w) any MacroGenics Patents that are Product Patents, in the MacroGenics Territory, (x) any MacroGenics Patents that are Other Patents, in the Gilead Territory, (y) any Joint Patents that are Product Patents, in the MacroGenics Territory and (z) any Joint Patents that are Other Patents, in the MacroGenics Territory. Notwithstanding the foregoing sentence, MacroGenics shall not initiate any such lawsuit or take such other action with respect to any matter described in clause (ii) above without first consulting with Gilead and giving good faith consideration to any reasonable objection from Gilead regarding MacroGenics’ proposed course of action. Gilead shall cooperate in the prosecution of any suit under this Section 9.4.2(c) as may be reasonably requested by MacroGenics (including joining such suit as a plaintiff if MacroGenics is unable to initiate or prosecute such action solely in its own name); provided, however, that MacroGenics shall promptly reimburse all Out-of-Pocket Costs (including reasonable counsel fees and expenses) of Gilead in connection with such cooperation. In connection with any such proceeding, MacroGenics shall not enter into any settlement admitting the invalidity of, or otherwise impairing Gilead’s rights in any Gilead Collaboration IP or Joint IP without the prior written consent of Gilead.</w:t>
      </w:r>
    </w:p>
    <w:p>
      <w:pPr>
        <w:spacing w:after="0" w:line="89" w:lineRule="exact"/>
        <w:rPr>
          <w:rFonts w:ascii="Arial" w:cs="Arial" w:eastAsia="Arial" w:hAnsi="Arial"/>
          <w:sz w:val="12"/>
          <w:szCs w:val="12"/>
          <w:color w:val="auto"/>
        </w:rPr>
      </w:pPr>
    </w:p>
    <w:p>
      <w:pPr>
        <w:ind w:left="-80" w:firstLine="1493"/>
        <w:spacing w:after="0" w:line="258" w:lineRule="auto"/>
        <w:tabs>
          <w:tab w:leader="none" w:pos="1602" w:val="left"/>
        </w:tabs>
        <w:numPr>
          <w:ilvl w:val="0"/>
          <w:numId w:val="630"/>
        </w:numPr>
        <w:rPr>
          <w:rFonts w:ascii="Arial" w:cs="Arial" w:eastAsia="Arial" w:hAnsi="Arial"/>
          <w:sz w:val="14"/>
          <w:szCs w:val="14"/>
          <w:color w:val="auto"/>
        </w:rPr>
      </w:pPr>
      <w:r>
        <w:rPr>
          <w:rFonts w:ascii="Arial" w:cs="Arial" w:eastAsia="Arial" w:hAnsi="Arial"/>
          <w:sz w:val="14"/>
          <w:szCs w:val="14"/>
          <w:color w:val="auto"/>
        </w:rPr>
        <w:t>With respect to any lawsuit initiated or other action taken by MacroGenics under clauses (ii)(u), (ii)(w) or (ii)(y) of Section 9.4.2(c), (i) MacroGenics shall keep Gilead reasonably informed of the status of such lawsuit or action; (ii) without limiting clause (i), MacroGenics shall provide Gilead with copies of any court filings or other material documents or correspondence received from any Third Party in connection with such lawsuit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12" w:lineRule="exact"/>
        <w:rPr>
          <w:sz w:val="20"/>
          <w:szCs w:val="20"/>
          <w:color w:val="auto"/>
        </w:rPr>
      </w:pPr>
    </w:p>
    <w:p>
      <w:pPr>
        <w:ind w:left="3760" w:right="2640" w:hanging="1135"/>
        <w:spacing w:after="0" w:line="341" w:lineRule="auto"/>
        <w:tabs>
          <w:tab w:leader="none" w:pos="2864" w:val="left"/>
        </w:tabs>
        <w:numPr>
          <w:ilvl w:val="0"/>
          <w:numId w:val="63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20"/>
          </w:cols>
          <w:pgMar w:left="300" w:top="246" w:right="279" w:bottom="1440" w:gutter="0" w:footer="0" w:header="0"/>
        </w:sectPr>
      </w:pPr>
    </w:p>
    <w:bookmarkStart w:id="587" w:name="page588"/>
    <w:bookmarkEnd w:id="587"/>
    <w:p>
      <w:pPr>
        <w:ind w:right="14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action promptly after such filings or documents or correspondence are received by MacroGenics; (iii) MacroGenics shall consult with Gilead with respect to such lawsuit or action and consider any comments from Gilead with respect to such lawsuit or action in good faith; and (iv) without limiting clause (iii), MacroGenics shall provide Gilead with drafts of any court filings or other material documents or correspondence to be filed or delivered by MacroGenics prior to the date of filing or delivery such that Gilead has a reasonable opportunity to review and provide comments, and to the extent Gilead provides comments thereon promptly and in sufficient time to allow MacroGenics to meet applicable filing requirements, MacroGenics shall consider such comments in good faith.</w:t>
      </w:r>
    </w:p>
    <w:p>
      <w:pPr>
        <w:spacing w:after="0" w:line="79" w:lineRule="exact"/>
        <w:rPr>
          <w:sz w:val="20"/>
          <w:szCs w:val="20"/>
          <w:color w:val="auto"/>
        </w:rPr>
      </w:pPr>
    </w:p>
    <w:p>
      <w:pPr>
        <w:ind w:left="1680" w:hanging="187"/>
        <w:spacing w:after="0"/>
        <w:tabs>
          <w:tab w:leader="none" w:pos="1680" w:val="left"/>
        </w:tabs>
        <w:numPr>
          <w:ilvl w:val="0"/>
          <w:numId w:val="632"/>
        </w:numPr>
        <w:rPr>
          <w:rFonts w:ascii="Arial" w:cs="Arial" w:eastAsia="Arial" w:hAnsi="Arial"/>
          <w:sz w:val="14"/>
          <w:szCs w:val="14"/>
          <w:color w:val="auto"/>
        </w:rPr>
      </w:pPr>
      <w:r>
        <w:rPr>
          <w:rFonts w:ascii="Arial" w:cs="Arial" w:eastAsia="Arial" w:hAnsi="Arial"/>
          <w:sz w:val="14"/>
          <w:szCs w:val="14"/>
          <w:color w:val="auto"/>
        </w:rPr>
        <w:t>Any recoveries resulting from such an action brought by MacroGenics in accordance with Section 9.4.2(c) shall be applied as follows:</w:t>
      </w:r>
    </w:p>
    <w:p>
      <w:pPr>
        <w:spacing w:after="0" w:line="131" w:lineRule="exact"/>
        <w:rPr>
          <w:rFonts w:ascii="Arial" w:cs="Arial" w:eastAsia="Arial" w:hAnsi="Arial"/>
          <w:sz w:val="14"/>
          <w:szCs w:val="14"/>
          <w:color w:val="auto"/>
        </w:rPr>
      </w:pPr>
    </w:p>
    <w:p>
      <w:pPr>
        <w:ind w:right="220" w:firstLine="1952"/>
        <w:spacing w:after="0" w:line="351" w:lineRule="auto"/>
        <w:tabs>
          <w:tab w:leader="none" w:pos="2110" w:val="left"/>
        </w:tabs>
        <w:numPr>
          <w:ilvl w:val="1"/>
          <w:numId w:val="632"/>
        </w:numPr>
        <w:rPr>
          <w:rFonts w:ascii="Arial" w:cs="Arial" w:eastAsia="Arial" w:hAnsi="Arial"/>
          <w:sz w:val="12"/>
          <w:szCs w:val="12"/>
          <w:color w:val="auto"/>
        </w:rPr>
      </w:pPr>
      <w:r>
        <w:rPr>
          <w:rFonts w:ascii="Arial" w:cs="Arial" w:eastAsia="Arial" w:hAnsi="Arial"/>
          <w:sz w:val="12"/>
          <w:szCs w:val="12"/>
          <w:color w:val="auto"/>
        </w:rPr>
        <w:t>First, to reimburse each Party for all Out-of-Pocket Costs in connection with such proceeding (excluding any costs incurred by Gilead in the exercise of its rights under Section 9.4.2(d)) (on a pro rata basis, based on each Party’s respective litigation costs, to the extent the recovery was less than all such litigation costs); and</w:t>
      </w:r>
    </w:p>
    <w:p>
      <w:pPr>
        <w:spacing w:after="0" w:line="56" w:lineRule="exact"/>
        <w:rPr>
          <w:rFonts w:ascii="Arial" w:cs="Arial" w:eastAsia="Arial" w:hAnsi="Arial"/>
          <w:sz w:val="12"/>
          <w:szCs w:val="12"/>
          <w:color w:val="auto"/>
        </w:rPr>
      </w:pPr>
    </w:p>
    <w:p>
      <w:pPr>
        <w:ind w:firstLine="1952"/>
        <w:spacing w:after="0" w:line="305" w:lineRule="auto"/>
        <w:tabs>
          <w:tab w:leader="none" w:pos="2148" w:val="left"/>
        </w:tabs>
        <w:numPr>
          <w:ilvl w:val="1"/>
          <w:numId w:val="632"/>
        </w:numPr>
        <w:rPr>
          <w:rFonts w:ascii="Arial" w:cs="Arial" w:eastAsia="Arial" w:hAnsi="Arial"/>
          <w:sz w:val="12"/>
          <w:szCs w:val="12"/>
          <w:color w:val="auto"/>
        </w:rPr>
      </w:pPr>
      <w:r>
        <w:rPr>
          <w:rFonts w:ascii="Arial" w:cs="Arial" w:eastAsia="Arial" w:hAnsi="Arial"/>
          <w:sz w:val="12"/>
          <w:szCs w:val="12"/>
          <w:color w:val="auto"/>
        </w:rPr>
        <w:t>Second, (x) to the extent the award is based on lost profits with respect to a Licensed Product in the Gilead Territory, any remainder of such recovery shall be retained by Gilead, provided that MacroGenics shall receive an amount equal to the royalty that would be payable, pursuant to Section 8.5, on the imputed amount of Net Sales of such Licensed Product(s) in the country(ies) in the Gilead Territory where such infringement occurred, (y) to the extent the award reflects the amount of reasonable royalty payments with respect to a Licensed Product in the Gilead Territory (excluding, for clarity, any award to the extent described in clause (x) above), any remainder of such recovery shall be retained by Gilead, provided that such award shall be considered as Net Sales subject to the applicable royalty in accordance to Section 8.5, and (z) to the extent the award is not described in clauses (x) or (y) above, any remainder of such recovery shall be retained by MacroGenics.</w:t>
      </w:r>
    </w:p>
    <w:p>
      <w:pPr>
        <w:spacing w:after="0" w:line="84" w:lineRule="exact"/>
        <w:rPr>
          <w:rFonts w:ascii="Arial" w:cs="Arial" w:eastAsia="Arial" w:hAnsi="Arial"/>
          <w:sz w:val="12"/>
          <w:szCs w:val="12"/>
          <w:color w:val="auto"/>
        </w:rPr>
      </w:pPr>
    </w:p>
    <w:p>
      <w:pPr>
        <w:ind w:right="60" w:firstLine="1493"/>
        <w:spacing w:after="0" w:line="292" w:lineRule="auto"/>
        <w:tabs>
          <w:tab w:leader="none" w:pos="1660" w:val="left"/>
        </w:tabs>
        <w:numPr>
          <w:ilvl w:val="0"/>
          <w:numId w:val="632"/>
        </w:numPr>
        <w:rPr>
          <w:rFonts w:ascii="Arial" w:cs="Arial" w:eastAsia="Arial" w:hAnsi="Arial"/>
          <w:sz w:val="12"/>
          <w:szCs w:val="12"/>
          <w:color w:val="auto"/>
        </w:rPr>
      </w:pPr>
      <w:r>
        <w:rPr>
          <w:rFonts w:ascii="Arial" w:cs="Arial" w:eastAsia="Arial" w:hAnsi="Arial"/>
          <w:sz w:val="12"/>
          <w:szCs w:val="12"/>
          <w:color w:val="auto"/>
        </w:rPr>
        <w:t xml:space="preserve">If Gilead in good faith does not intend to initiate a lawsuit or take other reasonable action with respect to any matter described in clause (ii) of Section 9.4.2(a), then Gilead shall notify MacroGenics thereof (i) if there is no time limit for the filing of such action, within sixty (60) days following the notice of alleged infringement or following a biosimilar applicant’s failure to act or (ii) if there is a time limit for the filing of such action (including those set forth in applicable Laws)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before the time limit, and upon receipt of such notice MacroGenics shall have the right, but not the obligation, to initiate such lawsuit or take such other action, after providing </w:t>
      </w:r>
      <w:r>
        <w:rPr>
          <w:rFonts w:ascii="Arial" w:cs="Arial" w:eastAsia="Arial" w:hAnsi="Arial"/>
          <w:sz w:val="12"/>
          <w:szCs w:val="12"/>
          <w:b w:val="1"/>
          <w:bCs w:val="1"/>
          <w:color w:val="auto"/>
        </w:rPr>
        <w:t>***</w:t>
      </w:r>
      <w:r>
        <w:rPr>
          <w:rFonts w:ascii="Arial" w:cs="Arial" w:eastAsia="Arial" w:hAnsi="Arial"/>
          <w:sz w:val="12"/>
          <w:szCs w:val="12"/>
          <w:color w:val="auto"/>
        </w:rPr>
        <w:t xml:space="preserve"> in the event there is a time limit) notice to Gilead and giving good faith consideration to Gilead’s reason(s) for not initiating a lawsuit or taking other action; provided, however, that MacroGenics shall not initiate such a lawsuit or take such other action with respect to any matter described in clause (ii)(t), (ii)(w) or (ii)(x) of</w:t>
      </w:r>
    </w:p>
    <w:p>
      <w:pPr>
        <w:spacing w:after="0" w:line="2" w:lineRule="exact"/>
        <w:rPr>
          <w:rFonts w:ascii="Arial" w:cs="Arial" w:eastAsia="Arial" w:hAnsi="Arial"/>
          <w:sz w:val="12"/>
          <w:szCs w:val="12"/>
          <w:color w:val="auto"/>
        </w:rPr>
      </w:pPr>
    </w:p>
    <w:p>
      <w:pPr>
        <w:ind w:right="80"/>
        <w:spacing w:after="0" w:line="253" w:lineRule="auto"/>
        <w:rPr>
          <w:rFonts w:ascii="Arial" w:cs="Arial" w:eastAsia="Arial" w:hAnsi="Arial"/>
          <w:sz w:val="12"/>
          <w:szCs w:val="12"/>
          <w:color w:val="auto"/>
        </w:rPr>
      </w:pPr>
      <w:r>
        <w:rPr>
          <w:rFonts w:ascii="Arial" w:cs="Arial" w:eastAsia="Arial" w:hAnsi="Arial"/>
          <w:sz w:val="14"/>
          <w:szCs w:val="14"/>
          <w:color w:val="auto"/>
        </w:rPr>
        <w:t>Section 9.4.2(a) without the prior written consent of Gilead (which Gilead may withhold in its sole discretion) if Gilead’s decision not to exercise its first right with respect thereto was made for strategic business reasons. Gilead shall cooperate in the prosecution of any suit initiated by MacroGenics to the extent permitted by the prior sentence as may be reasonably requested by MacroGenics (including joining such suit as a plaintiff if MacroGenics is unable to initiate or prosecute such</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12" w:lineRule="exact"/>
        <w:rPr>
          <w:sz w:val="20"/>
          <w:szCs w:val="20"/>
          <w:color w:val="auto"/>
        </w:rPr>
      </w:pPr>
    </w:p>
    <w:p>
      <w:pPr>
        <w:ind w:left="3840" w:right="2660" w:hanging="1135"/>
        <w:spacing w:after="0" w:line="341" w:lineRule="auto"/>
        <w:tabs>
          <w:tab w:leader="none" w:pos="2944" w:val="left"/>
        </w:tabs>
        <w:numPr>
          <w:ilvl w:val="0"/>
          <w:numId w:val="63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88" w:name="page589"/>
    <w:bookmarkEnd w:id="588"/>
    <w:p>
      <w:pPr>
        <w:ind w:right="14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action solely in its own name); provided, however, that MacroGenics shall promptly reimburse all Out-of-Pocket Costs (including reasonable counsel fees and expenses) of Gilead in connection with such cooperation. Any recoveries resulting from such an action brought by MacroGenics in accordance with this Section 9.4.2(f) will be retained by MacroGenics after payment of each Party’s costs and expenses.</w:t>
      </w:r>
    </w:p>
    <w:p>
      <w:pPr>
        <w:spacing w:after="0" w:line="56" w:lineRule="exact"/>
        <w:rPr>
          <w:sz w:val="20"/>
          <w:szCs w:val="20"/>
          <w:color w:val="auto"/>
        </w:rPr>
      </w:pPr>
    </w:p>
    <w:p>
      <w:pPr>
        <w:ind w:firstLine="1493"/>
        <w:spacing w:after="0" w:line="298" w:lineRule="auto"/>
        <w:tabs>
          <w:tab w:leader="none" w:pos="1682" w:val="left"/>
        </w:tabs>
        <w:numPr>
          <w:ilvl w:val="0"/>
          <w:numId w:val="634"/>
        </w:numPr>
        <w:rPr>
          <w:rFonts w:ascii="Arial" w:cs="Arial" w:eastAsia="Arial" w:hAnsi="Arial"/>
          <w:sz w:val="12"/>
          <w:szCs w:val="12"/>
          <w:color w:val="auto"/>
        </w:rPr>
      </w:pPr>
      <w:r>
        <w:rPr>
          <w:rFonts w:ascii="Arial" w:cs="Arial" w:eastAsia="Arial" w:hAnsi="Arial"/>
          <w:sz w:val="12"/>
          <w:szCs w:val="12"/>
          <w:color w:val="auto"/>
        </w:rPr>
        <w:t xml:space="preserve">If MacroGenics in good faith does not intend to initiate a lawsuit or take other reasonable action with respect to any matter described in clause (ii) of Section 9.4.2(c), then MacroGenics shall notify Gilead thereof (i) if there is no time limit for the filing of such action,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notice of alleged infringement or following a biosimilar applicant’s failure to act or (ii) if there is a time limit for the filing of such action (including those set forth in applicable Laws)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before the time limit, and upon receipt of such notice Gilead shall have the right, but not the obligation, to initiate such lawsuit or take such other action, after providing </w:t>
      </w:r>
      <w:r>
        <w:rPr>
          <w:rFonts w:ascii="Arial" w:cs="Arial" w:eastAsia="Arial" w:hAnsi="Arial"/>
          <w:sz w:val="12"/>
          <w:szCs w:val="12"/>
          <w:b w:val="1"/>
          <w:bCs w:val="1"/>
          <w:color w:val="auto"/>
        </w:rPr>
        <w:t>***</w:t>
      </w:r>
      <w:r>
        <w:rPr>
          <w:rFonts w:ascii="Arial" w:cs="Arial" w:eastAsia="Arial" w:hAnsi="Arial"/>
          <w:sz w:val="12"/>
          <w:szCs w:val="12"/>
          <w:color w:val="auto"/>
        </w:rPr>
        <w:t xml:space="preserve"> in the event there is a time limit) notice to MacroGenics and giving good faith consideration to MacroGenics’ reason(s) for not initiating a lawsuit or taking other action; provided, however, that Gilead shall not initiate such a lawsuit or take such other action with respect to any matter described in clause (ii)(w) of Section 9.4.2(c) without the prior written consent of MacroGenics (which MacroGenics may withhold in its sole discretion) if MacroGenics’ decision not to exercise its first right with respect thereto was made for strategic business reasons. MacroGenics shall cooperate in the prosecution of such suit as may be reasonably requested by Gilead (including joining such suit as a plaintiff if Gilead is unable to initiate or prosecute such action solely in its own name); provided, however, that Gilead shall promptly reimburse all Out-of-Pocket Costs (including reasonable counsel fees and expenses) of MacroGenics in connection with such cooperation. Any recoveries resulting from such an action brought by Gilead in accordance with this Section 9.4.2(g) will be retained by Gilead after payment of each Party’s costs and expenses.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9.4.3 </w:t>
      </w:r>
      <w:r>
        <w:rPr>
          <w:rFonts w:ascii="Arial" w:cs="Arial" w:eastAsia="Arial" w:hAnsi="Arial"/>
          <w:sz w:val="12"/>
          <w:szCs w:val="12"/>
          <w:u w:val="single" w:color="auto"/>
          <w:color w:val="auto"/>
        </w:rPr>
        <w:t>Conduct of Certain Actions; Costs</w:t>
      </w:r>
      <w:r>
        <w:rPr>
          <w:rFonts w:ascii="Arial" w:cs="Arial" w:eastAsia="Arial" w:hAnsi="Arial"/>
          <w:sz w:val="12"/>
          <w:szCs w:val="12"/>
          <w:color w:val="auto"/>
        </w:rPr>
        <w:t>. The Party initiating legal action shall have the sole and exclusive right to select counsel for any suit initiated by it pursuant to Section 9.4.2 (the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Initiating Party</w:t>
      </w:r>
      <w:r>
        <w:rPr>
          <w:rFonts w:ascii="Arial" w:cs="Arial" w:eastAsia="Arial" w:hAnsi="Arial"/>
          <w:sz w:val="12"/>
          <w:szCs w:val="12"/>
          <w:color w:val="auto"/>
        </w:rPr>
        <w:t>”). Unless otherwise expressly provided, the Initiating Party shall bear its own out-of-pocket costs incurred in any such legal action, including the fees and expenses of the counsel selected by it.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The other Party shall have the right to participate and be represented in any such legal action (in cases where such other Party has standing) by its own counsel at its own expense.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u w:val="single" w:color="auto"/>
          <w:color w:val="auto"/>
        </w:rPr>
        <w:t>Patent Invalidity Claim</w:t>
      </w:r>
      <w:r>
        <w:rPr>
          <w:rFonts w:ascii="Arial" w:cs="Arial" w:eastAsia="Arial" w:hAnsi="Arial"/>
          <w:sz w:val="12"/>
          <w:szCs w:val="12"/>
          <w:color w:val="auto"/>
        </w:rPr>
        <w:t>. Each Party shall promptly notify the other in the event of any legal action (excluding any actions covered by Section 9.3) by any Third Party with respect to the validity of 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Joint Patent, MacroGenics Patent or Gilead Collaboration Patent of which it becomes aware. With respect to any such action:</w:t>
      </w:r>
    </w:p>
    <w:p>
      <w:pPr>
        <w:spacing w:after="0" w:line="126" w:lineRule="exact"/>
        <w:rPr>
          <w:sz w:val="20"/>
          <w:szCs w:val="20"/>
          <w:color w:val="auto"/>
        </w:rPr>
      </w:pPr>
    </w:p>
    <w:p>
      <w:pPr>
        <w:ind w:right="20" w:firstLine="917"/>
        <w:spacing w:after="0" w:line="321" w:lineRule="auto"/>
        <w:rPr>
          <w:sz w:val="20"/>
          <w:szCs w:val="20"/>
          <w:color w:val="auto"/>
        </w:rPr>
      </w:pPr>
      <w:r>
        <w:rPr>
          <w:rFonts w:ascii="Arial" w:cs="Arial" w:eastAsia="Arial" w:hAnsi="Arial"/>
          <w:sz w:val="12"/>
          <w:szCs w:val="12"/>
          <w:color w:val="auto"/>
        </w:rPr>
        <w:t>9.5.1 Gilead shall have (i) the sole right, but not the obligation, at its expense, to defend against any such action relating to any Gilead Collaboration Patents that are Other Patents, in the Gilead Territory, and (ii) the first right, but not the obligation, at its expense, to defend against any such action relating to (v) any Gilead Collaboration Patents that are Product Patents, in the Gilead Territory, (w) any Gilead Collaboration Patents that are Other Patents, in the MacroGenics Territory, (x) any MacroGenics Patents that are Product Patents, in the Gilead</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12" w:lineRule="exact"/>
        <w:rPr>
          <w:sz w:val="20"/>
          <w:szCs w:val="20"/>
          <w:color w:val="auto"/>
        </w:rPr>
      </w:pPr>
    </w:p>
    <w:p>
      <w:pPr>
        <w:ind w:left="3840" w:right="2640" w:hanging="1135"/>
        <w:spacing w:after="0" w:line="341" w:lineRule="auto"/>
        <w:tabs>
          <w:tab w:leader="none" w:pos="2944" w:val="left"/>
        </w:tabs>
        <w:numPr>
          <w:ilvl w:val="0"/>
          <w:numId w:val="63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589" w:name="page590"/>
    <w:bookmarkEnd w:id="589"/>
    <w:p>
      <w:pPr>
        <w:ind w:right="2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Territory, (y) any Joint Patents that are Product Patents, in the Gilead Territory and (z) any Joint Patents that are Other Patents, in the Gilead Territory. If Gilead does not defend against any such action described in clause (ii) above, then MacroGenics shall have the right, but not the obligation, to defend such action at MacroGenics’ expense; provided, however, that MacroGenics shall not defend against any such action described in clause (ii)(v), (ii)(x) or (ii)(y) above without the prior written consent of Gilead (which Gilead may withhold in its sole discretion) if Gilead’s decision not to exercise its first right with respect thereto was made for strategic business reasons.</w:t>
      </w:r>
    </w:p>
    <w:p>
      <w:pPr>
        <w:spacing w:after="0" w:line="110" w:lineRule="exact"/>
        <w:rPr>
          <w:sz w:val="20"/>
          <w:szCs w:val="20"/>
          <w:color w:val="auto"/>
        </w:rPr>
      </w:pPr>
    </w:p>
    <w:p>
      <w:pPr>
        <w:ind w:right="20" w:firstLine="917"/>
        <w:spacing w:after="0" w:line="292" w:lineRule="auto"/>
        <w:rPr>
          <w:sz w:val="20"/>
          <w:szCs w:val="20"/>
          <w:color w:val="auto"/>
        </w:rPr>
      </w:pPr>
      <w:r>
        <w:rPr>
          <w:rFonts w:ascii="Arial" w:cs="Arial" w:eastAsia="Arial" w:hAnsi="Arial"/>
          <w:sz w:val="12"/>
          <w:szCs w:val="12"/>
          <w:color w:val="auto"/>
        </w:rPr>
        <w:t>9.5.2 MacroGenics shall have (i) the sole right, but not the obligation, at its expense, to defend against any such action relating to (x) any Platform Patents throughout the world and (y) any MacroGenics Patents that are Other Patents, in the MacroGenics Territory, and (ii) the first right, but not the obligation, at its expense, to defend against any such action relating to (v) any Gilead Collaboration Patents that are Product Patents, in the MacroGenics Territory, (w) any MacroGenics Patents that are Product Patents, in the MacroGenics Territory, (x) any MacroGenics Patents that are Other Patents, in the Gilead Territory, (y) any Joint Patents that are Product Patents, in the MacroGenics Territory and (z) any Joint Patents that are Other Patents, in the MacroGenics Territory. If MacroGenics does not defend against any such action described in clause (ii) above, then Gilead shall have the right, but not the obligation, to defend such action at Gilead’s expense. In addition, with respect to any such action described in clauses (ii)(v), (ii)(w) or (ii)(y) above, (A) to the extent permitted or required by applicable Law, Gilead shall have the right to participate and be represented in such action by its own counsel at its own expense;</w:t>
      </w:r>
    </w:p>
    <w:p>
      <w:pPr>
        <w:spacing w:after="0" w:line="1" w:lineRule="exact"/>
        <w:rPr>
          <w:sz w:val="20"/>
          <w:szCs w:val="20"/>
          <w:color w:val="auto"/>
        </w:rPr>
      </w:pPr>
    </w:p>
    <w:p>
      <w:pPr>
        <w:ind w:right="200" w:firstLine="4"/>
        <w:spacing w:after="0" w:line="251" w:lineRule="auto"/>
        <w:tabs>
          <w:tab w:leader="none" w:pos="215" w:val="left"/>
        </w:tabs>
        <w:numPr>
          <w:ilvl w:val="0"/>
          <w:numId w:val="636"/>
        </w:numPr>
        <w:rPr>
          <w:rFonts w:ascii="Arial" w:cs="Arial" w:eastAsia="Arial" w:hAnsi="Arial"/>
          <w:sz w:val="14"/>
          <w:szCs w:val="14"/>
          <w:color w:val="auto"/>
        </w:rPr>
      </w:pPr>
      <w:r>
        <w:rPr>
          <w:rFonts w:ascii="Arial" w:cs="Arial" w:eastAsia="Arial" w:hAnsi="Arial"/>
          <w:sz w:val="14"/>
          <w:szCs w:val="14"/>
          <w:color w:val="auto"/>
        </w:rPr>
        <w:t>MacroGenics shall keep Gilead reasonably informed of the status of such action; (C) without limiting clause (B), MacroGenics shall provide Gilead with copies of any court filings or other material documents or correspondence received from any Third Party in connection with such action promptly after such filings or documents or correspondence are received by MacroGenics; (D) MacroGenics shall consult with Gilead with respect to such action and consider any comments from Gilead with respect to such action in good faith; and (E) without limiting clause (D), MacroGenics shall provide Gilead with drafts of any court filings or other material documents or correspondence to be filed or delivered by MacroGenics prior to the date of filing or delivery such that Gilead has a reasonable opportunity to review and provide comments, and to the extent Gilead provides comments thereon promptly and in sufficient time to allow MacroGenics to meet applicable filing requirements, MacroGenics shall consider such comments in good faith.</w:t>
      </w:r>
    </w:p>
    <w:p>
      <w:pPr>
        <w:spacing w:after="0" w:line="11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Patent Term Extensions</w:t>
      </w:r>
      <w:r>
        <w:rPr>
          <w:rFonts w:ascii="Arial" w:cs="Arial" w:eastAsia="Arial" w:hAnsi="Arial"/>
          <w:sz w:val="14"/>
          <w:szCs w:val="14"/>
          <w:color w:val="auto"/>
        </w:rPr>
        <w:t>. The Parties shall cooperate with each other in obtaining patent term extensions or supplemental protection certificates or their equivalents in any country, where applicable to Joint Patents, MacroGenics Patents and Gilead Collaboration Patents.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u w:val="single" w:color="auto"/>
          <w:color w:val="auto"/>
        </w:rPr>
        <w:t>Patent Marking</w:t>
      </w:r>
      <w:r>
        <w:rPr>
          <w:rFonts w:ascii="Arial" w:cs="Arial" w:eastAsia="Arial" w:hAnsi="Arial"/>
          <w:sz w:val="12"/>
          <w:szCs w:val="12"/>
          <w:color w:val="auto"/>
        </w:rPr>
        <w:t>. Each Party shall comply with the patent marking statutes in each country in which a Licensed Product is sold by such Party, its Affiliates and/or its Sublicensees.</w:t>
      </w:r>
    </w:p>
    <w:p>
      <w:pPr>
        <w:spacing w:after="0" w:line="155"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Joint Research Agreement</w:t>
      </w:r>
      <w:r>
        <w:rPr>
          <w:rFonts w:ascii="Arial" w:cs="Arial" w:eastAsia="Arial" w:hAnsi="Arial"/>
          <w:sz w:val="14"/>
          <w:szCs w:val="14"/>
          <w:color w:val="auto"/>
        </w:rPr>
        <w:t>. This Agreement shall be understood to be a joint research agreement under 35 U.S.C. § 103(c)(3) entered into for the purpose of Researching and Developing Program DARTs and Licensed Products.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3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90" w:name="page591"/>
    <w:bookmarkEnd w:id="590"/>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10</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CONFIDENTIALITY</w:t>
      </w:r>
    </w:p>
    <w:p>
      <w:pPr>
        <w:spacing w:after="0" w:line="126" w:lineRule="exact"/>
        <w:rPr>
          <w:sz w:val="20"/>
          <w:szCs w:val="20"/>
          <w:color w:val="auto"/>
        </w:rPr>
      </w:pPr>
    </w:p>
    <w:p>
      <w:pPr>
        <w:ind w:firstLine="458"/>
        <w:spacing w:after="0" w:line="298"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Confidentiality; Exceptions</w:t>
      </w:r>
      <w:r>
        <w:rPr>
          <w:rFonts w:ascii="Arial" w:cs="Arial" w:eastAsia="Arial" w:hAnsi="Arial"/>
          <w:sz w:val="12"/>
          <w:szCs w:val="12"/>
          <w:color w:val="auto"/>
        </w:rPr>
        <w:t>. Except to the extent expressly authorized by this Agreement or otherwise agreed in writing, the Parties agree that the receiving Party (the “</w:t>
      </w:r>
      <w:r>
        <w:rPr>
          <w:rFonts w:ascii="Arial" w:cs="Arial" w:eastAsia="Arial" w:hAnsi="Arial"/>
          <w:sz w:val="12"/>
          <w:szCs w:val="12"/>
          <w:u w:val="single" w:color="auto"/>
          <w:color w:val="auto"/>
        </w:rPr>
        <w:t>Receiving Party</w:t>
      </w:r>
      <w:r>
        <w:rPr>
          <w:rFonts w:ascii="Arial" w:cs="Arial" w:eastAsia="Arial" w:hAnsi="Arial"/>
          <w:sz w:val="12"/>
          <w:szCs w:val="12"/>
          <w:color w:val="auto"/>
        </w:rPr>
        <w:t>”) shall keep confidential and shall not publish or otherwise disclose or use for any purpose other than as provided for in this Agreement any Know-How in any form (written, oral, photographic, electronic, magnetic, or otherwise) that is disclosed to the Receiving Party by the other Party (the “</w:t>
      </w:r>
      <w:r>
        <w:rPr>
          <w:rFonts w:ascii="Arial" w:cs="Arial" w:eastAsia="Arial" w:hAnsi="Arial"/>
          <w:sz w:val="12"/>
          <w:szCs w:val="12"/>
          <w:u w:val="single" w:color="auto"/>
          <w:color w:val="auto"/>
        </w:rPr>
        <w:t>Disclosing Party</w:t>
      </w:r>
      <w:r>
        <w:rPr>
          <w:rFonts w:ascii="Arial" w:cs="Arial" w:eastAsia="Arial" w:hAnsi="Arial"/>
          <w:sz w:val="12"/>
          <w:szCs w:val="12"/>
          <w:color w:val="auto"/>
        </w:rPr>
        <w:t>”) directly, or indirectly in the course of the Receiving Party’s performing its obligations or exercising its rights under this Agreement (collectively,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Notwithstanding anything to the contrary in this Agreement, (a) during the Agreement Term (except as provided in Sections 13.7.1(b) and 13.7.2(b)), any Know-How of one Party (excluding Know-How comprising the Joint IP) that (i) is developed or generated pursuant to this Agreement and exclusively licensed to the other Party pursuant to Section 4.1 or 4.2, as applicable, and (ii) relates to aspects of the structure or properties (including functionality) of any Program DART or Licensed Product that are specific to Program DARTs or Licensed Products or relates specifically to the Manufacture of Program DARTs or Licensed Products shall be deemed to be the Confidential Information of each Party; (b) any Know-How comprising the Joint IP (excluding any Platform IP) shall be deemed to be the Confidential Information of each Party; and (c) subject to Section 10.3, the terms of this Agreement shall be deemed to be the Confidential Information of each Party. Notwithstanding the foregoing, the restrictions set forth in the first sentence of this Section 10.1 shall not apply to Confidential Information of the Disclosing Party to the extent that it can be established by the Receiving Party that such Confidential Information:</w:t>
      </w:r>
    </w:p>
    <w:p>
      <w:pPr>
        <w:spacing w:after="0" w:line="255" w:lineRule="exact"/>
        <w:rPr>
          <w:sz w:val="20"/>
          <w:szCs w:val="20"/>
          <w:color w:val="auto"/>
        </w:rPr>
      </w:pPr>
    </w:p>
    <w:p>
      <w:pPr>
        <w:ind w:right="40" w:firstLine="917"/>
        <w:spacing w:after="0" w:line="351" w:lineRule="auto"/>
        <w:rPr>
          <w:sz w:val="20"/>
          <w:szCs w:val="20"/>
          <w:color w:val="auto"/>
        </w:rPr>
      </w:pPr>
      <w:r>
        <w:rPr>
          <w:rFonts w:ascii="Arial" w:cs="Arial" w:eastAsia="Arial" w:hAnsi="Arial"/>
          <w:sz w:val="12"/>
          <w:szCs w:val="12"/>
          <w:color w:val="auto"/>
        </w:rPr>
        <w:t>10.1.1 was in the lawful knowledge and possession of the Receiving Party prior to the time it was disclosed to, or learned by, the Receiving Party, or was otherwise developed independently by the Receiving Party, as evidenced by written records kept in the ordinary course of business, or other documentary proof of actual use by the Receiving Party;</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10.1.2 was generally available to the public or otherwise part of the public domain at the time of its disclosure to the Receiving Party;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10.1.3 became generally available to the public or otherwise part of the public domain after its disclosure and other than through any act or omission of the Receiving Party in breach of this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Agreement; or</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10.1.4 was disclosed to the Receiving Party, other than under an obligation of confidentiality, by a Third Party who had no obligation to the Disclosing Party not to disclose such information to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others.</w:t>
      </w:r>
    </w:p>
    <w:p>
      <w:pPr>
        <w:spacing w:after="0" w:line="126"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Authorized Disclosure</w:t>
      </w:r>
      <w:r>
        <w:rPr>
          <w:rFonts w:ascii="Arial" w:cs="Arial" w:eastAsia="Arial" w:hAnsi="Arial"/>
          <w:sz w:val="12"/>
          <w:szCs w:val="12"/>
          <w:color w:val="auto"/>
        </w:rPr>
        <w:t>. Except as expressly provided otherwise in this Agreement, a Receiving Party may use and disclose Confidential Information of the Disclosing Party as follows: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12" w:lineRule="exact"/>
        <w:rPr>
          <w:sz w:val="20"/>
          <w:szCs w:val="20"/>
          <w:color w:val="auto"/>
        </w:rPr>
      </w:pPr>
    </w:p>
    <w:p>
      <w:pPr>
        <w:ind w:left="3840" w:right="2640" w:hanging="1135"/>
        <w:spacing w:after="0" w:line="341" w:lineRule="auto"/>
        <w:tabs>
          <w:tab w:leader="none" w:pos="2944" w:val="left"/>
        </w:tabs>
        <w:numPr>
          <w:ilvl w:val="0"/>
          <w:numId w:val="63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591" w:name="page592"/>
    <w:bookmarkEnd w:id="591"/>
    <w:p>
      <w:pPr>
        <w:ind w:firstLine="917"/>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10.2.1 under appropriate confidentiality provisions similar to those in this Agreement, in connection with the performance of its obligations or exercise of rights expressly granted or reserved in this Agreement, including (subject to any applicable restrictions set forth in any other provisions of this Agreement, including Section 10.2.4) conducting activities with respect to DARTs and products other than Program DARTs or Licensed Products; 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however, that the Receiving Party shall remain responsible for any violation of such confidentiality provisions by any Person receiving such Confidential Information;</w:t>
      </w:r>
    </w:p>
    <w:p>
      <w:pPr>
        <w:spacing w:after="0" w:line="110" w:lineRule="exact"/>
        <w:rPr>
          <w:sz w:val="20"/>
          <w:szCs w:val="20"/>
          <w:color w:val="auto"/>
        </w:rPr>
      </w:pPr>
    </w:p>
    <w:p>
      <w:pPr>
        <w:ind w:right="20" w:firstLine="917"/>
        <w:spacing w:after="0" w:line="253" w:lineRule="auto"/>
        <w:rPr>
          <w:sz w:val="20"/>
          <w:szCs w:val="20"/>
          <w:color w:val="auto"/>
        </w:rPr>
      </w:pPr>
      <w:r>
        <w:rPr>
          <w:rFonts w:ascii="Arial" w:cs="Arial" w:eastAsia="Arial" w:hAnsi="Arial"/>
          <w:sz w:val="14"/>
          <w:szCs w:val="14"/>
          <w:color w:val="auto"/>
        </w:rPr>
        <w:t>10.2.2 to the extent such disclosure is reasonably necessary in filing or prosecuting patent and copyright applications, prosecuting or defending litigation, complying with applicable governmental regulations (including the rules and regulations of any stock exchange or NASDAQ), preparing and submitting filings to Regulatory Authorities or as otherwise required by Law; provided, however, that if a Receiving Party is required by Law to make any such disclosure of a Disclosing Party’s Confidential Information (other than a disclosure to a Regulatory Authority in a filing required by Law) it will give reasonable advance notice to the Disclosing Party of such disclosure requirement and shall furnish only that portion of the Disclosing Party’s Confidential Information that the Receiving Party is legally required to furnish;</w:t>
      </w:r>
    </w:p>
    <w:p>
      <w:pPr>
        <w:spacing w:after="0" w:line="113" w:lineRule="exact"/>
        <w:rPr>
          <w:sz w:val="20"/>
          <w:szCs w:val="20"/>
          <w:color w:val="auto"/>
        </w:rPr>
      </w:pPr>
    </w:p>
    <w:p>
      <w:pPr>
        <w:ind w:right="180" w:firstLine="917"/>
        <w:spacing w:after="0" w:line="321" w:lineRule="auto"/>
        <w:rPr>
          <w:sz w:val="20"/>
          <w:szCs w:val="20"/>
          <w:color w:val="auto"/>
        </w:rPr>
      </w:pPr>
      <w:r>
        <w:rPr>
          <w:rFonts w:ascii="Arial" w:cs="Arial" w:eastAsia="Arial" w:hAnsi="Arial"/>
          <w:sz w:val="12"/>
          <w:szCs w:val="12"/>
          <w:color w:val="auto"/>
        </w:rPr>
        <w:t>10.2.3 in communications with existing or bona fide prospective acquirers, merger partners, lenders or investors, and consultants and advisors of the Receiving Party in connection with transactions or bona fide prospective transactions with the foregoing, in each case on a need to know basis and under appropriate confidentiality provisions substantially equivalent to those of this Agreement; provided, however, that the Receiving Party shall remain responsible for any violation of such confidentiality provisions by any Person receiving such Confidential Information;</w:t>
      </w:r>
    </w:p>
    <w:p>
      <w:pPr>
        <w:spacing w:after="0" w:line="73" w:lineRule="exact"/>
        <w:rPr>
          <w:sz w:val="20"/>
          <w:szCs w:val="20"/>
          <w:color w:val="auto"/>
        </w:rPr>
      </w:pPr>
    </w:p>
    <w:p>
      <w:pPr>
        <w:ind w:right="60" w:firstLine="917"/>
        <w:spacing w:after="0" w:line="298" w:lineRule="auto"/>
        <w:rPr>
          <w:sz w:val="20"/>
          <w:szCs w:val="20"/>
          <w:color w:val="auto"/>
        </w:rPr>
      </w:pPr>
      <w:r>
        <w:rPr>
          <w:rFonts w:ascii="Arial" w:cs="Arial" w:eastAsia="Arial" w:hAnsi="Arial"/>
          <w:sz w:val="12"/>
          <w:szCs w:val="12"/>
          <w:color w:val="auto"/>
        </w:rPr>
        <w:t>10.2.4 in communications with existing or bona fide prospective licensees, sublicensees or collaborators, and consultants and advisors of the Receiving Party in connection with transactions or bona fide prospective transactions with the foregoing, in each case on a need to know basis and under appropriate confidentiality provisions substantially equivalent to those of this Agreement; provided</w:t>
      </w:r>
      <w:r>
        <w:rPr>
          <w:rFonts w:ascii="Arial" w:cs="Arial" w:eastAsia="Arial" w:hAnsi="Arial"/>
          <w:sz w:val="12"/>
          <w:szCs w:val="12"/>
          <w:i w:val="1"/>
          <w:iCs w:val="1"/>
          <w:color w:val="auto"/>
        </w:rPr>
        <w:t>,</w:t>
      </w:r>
      <w:r>
        <w:rPr>
          <w:rFonts w:ascii="Arial" w:cs="Arial" w:eastAsia="Arial" w:hAnsi="Arial"/>
          <w:sz w:val="12"/>
          <w:szCs w:val="12"/>
          <w:color w:val="auto"/>
        </w:rPr>
        <w:t xml:space="preserve"> however, that (a) the Receiving Party shall remain responsible for any violation of such confidentiality provisions by any Person receiving such Confidential Information; (b) MacroGenics shall not disclose the terms of this Agreement to any such licensee, sublicensee or collaborator without Gilead’s prior written consent, except that MacroGenics may disclose the terms of this Agreement to the extent they relate specifically to the ***Licensed Program, solely as reasonably necessary in connection with such transactions and after redacting any commercially sensitive terms, to any such licensee, sublicensee or collaborator with respect to ***Program DARTs or ***Licensed Products; (c) Gilead shall not disclose the terms of this Agreement to any such licensee, sublicensee or collaborator without MacroGenics’ prior written consent, except that Gilead may disclose the terms of this Agreement to the extent they relate specifically to any Licensed Program, solely as reasonably necessary in connection with such transactions and after redacting any commercially sensitive terms, to any such licensee, sublicensee or collaborator with respect to Program DARTs or Licensed Products from such Licensed Program; (d) except as set forth in clause (e) below with respect to Gilead Collaboration Know-How related to the ***Licensed Program, MacroGenics shall not disclose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3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592" w:name="page593"/>
    <w:bookmarkEnd w:id="592"/>
    <w:p>
      <w:pPr>
        <w:ind w:right="8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any Confidential Information of Gilead in a manner that would disclose the identity of Gilead to such licensee, sublicensee or collaborator; and (e) MacroGenics shall not disclose to any such licensee, sublicensee or collaborator any Confidential Information of Gilead other than MacroGenics Know-How that is developed prior to the end of the Research Term for the Research Program associated with the Licensed Program to which such Confidential Information relates, except that MacroGenics may disclose any MacroGenics Know-How, Gilead Collaboration Know-How or Know-How comprising Joint IP to the extent related to the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Program, solely as reasonably necessary in connection with such transactions, to any such licensee, sublicensee or collaborator with respect to </w:t>
      </w:r>
      <w:r>
        <w:rPr>
          <w:rFonts w:ascii="Arial" w:cs="Arial" w:eastAsia="Arial" w:hAnsi="Arial"/>
          <w:sz w:val="14"/>
          <w:szCs w:val="14"/>
          <w:b w:val="1"/>
          <w:bCs w:val="1"/>
          <w:color w:val="auto"/>
        </w:rPr>
        <w:t>***</w:t>
      </w:r>
      <w:r>
        <w:rPr>
          <w:rFonts w:ascii="Arial" w:cs="Arial" w:eastAsia="Arial" w:hAnsi="Arial"/>
          <w:sz w:val="14"/>
          <w:szCs w:val="14"/>
          <w:color w:val="auto"/>
        </w:rPr>
        <w:t xml:space="preserve">Program DARTs or </w:t>
      </w:r>
      <w:r>
        <w:rPr>
          <w:rFonts w:ascii="Arial" w:cs="Arial" w:eastAsia="Arial" w:hAnsi="Arial"/>
          <w:sz w:val="14"/>
          <w:szCs w:val="14"/>
          <w:b w:val="1"/>
          <w:bCs w:val="1"/>
          <w:color w:val="auto"/>
        </w:rPr>
        <w:t>***</w:t>
      </w:r>
      <w:r>
        <w:rPr>
          <w:rFonts w:ascii="Arial" w:cs="Arial" w:eastAsia="Arial" w:hAnsi="Arial"/>
          <w:sz w:val="14"/>
          <w:szCs w:val="14"/>
          <w:color w:val="auto"/>
        </w:rPr>
        <w:t>Licensed Products; or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10.2.5 to the extent mutually agreed to in writing by the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Press Release; Disclosure of Agreement</w:t>
      </w:r>
      <w:r>
        <w:rPr>
          <w:rFonts w:ascii="Arial" w:cs="Arial" w:eastAsia="Arial" w:hAnsi="Arial"/>
          <w:sz w:val="14"/>
          <w:szCs w:val="14"/>
          <w:color w:val="auto"/>
        </w:rPr>
        <w:t>.</w:t>
      </w:r>
    </w:p>
    <w:p>
      <w:pPr>
        <w:spacing w:after="0" w:line="132" w:lineRule="exact"/>
        <w:rPr>
          <w:sz w:val="20"/>
          <w:szCs w:val="20"/>
          <w:color w:val="auto"/>
        </w:rPr>
      </w:pPr>
    </w:p>
    <w:p>
      <w:pPr>
        <w:ind w:firstLine="917"/>
        <w:spacing w:after="0" w:line="294" w:lineRule="auto"/>
        <w:rPr>
          <w:sz w:val="20"/>
          <w:szCs w:val="20"/>
          <w:color w:val="auto"/>
        </w:rPr>
      </w:pPr>
      <w:r>
        <w:rPr>
          <w:rFonts w:ascii="Arial" w:cs="Arial" w:eastAsia="Arial" w:hAnsi="Arial"/>
          <w:sz w:val="12"/>
          <w:szCs w:val="12"/>
          <w:color w:val="auto"/>
        </w:rPr>
        <w:t xml:space="preserve">10.3.1 On or promptly after the Effective Date, the Parties shall jointly issue a public announcement of the execution of this Agreement in the form attached hereto as </w:t>
      </w:r>
      <w:r>
        <w:rPr>
          <w:rFonts w:ascii="Arial" w:cs="Arial" w:eastAsia="Arial" w:hAnsi="Arial"/>
          <w:sz w:val="12"/>
          <w:szCs w:val="12"/>
          <w:u w:val="single" w:color="auto"/>
          <w:color w:val="auto"/>
        </w:rPr>
        <w:t>Exhibit F</w:t>
      </w:r>
      <w:r>
        <w:rPr>
          <w:rFonts w:ascii="Arial" w:cs="Arial" w:eastAsia="Arial" w:hAnsi="Arial"/>
          <w:sz w:val="12"/>
          <w:szCs w:val="12"/>
          <w:color w:val="auto"/>
        </w:rPr>
        <w:t>. Neither Party shall issue any subsequent press release regarding this Agreement or the Parties’ activities hereunder without the prior written consent of the other Party. Neither Party shall make any other disclosures regarding this Agreement or the Parties’ activities hereunder, or any results or data arising hereunder, except (a) with respect to any Confidential Information of the other Party, to the extent permitted by Section 10.2;</w:t>
      </w:r>
    </w:p>
    <w:p>
      <w:pPr>
        <w:ind w:right="260" w:firstLine="4"/>
        <w:spacing w:after="0" w:line="253" w:lineRule="auto"/>
        <w:tabs>
          <w:tab w:leader="none" w:pos="192" w:val="left"/>
        </w:tabs>
        <w:numPr>
          <w:ilvl w:val="0"/>
          <w:numId w:val="640"/>
        </w:numPr>
        <w:rPr>
          <w:rFonts w:ascii="Arial" w:cs="Arial" w:eastAsia="Arial" w:hAnsi="Arial"/>
          <w:sz w:val="14"/>
          <w:szCs w:val="14"/>
          <w:color w:val="auto"/>
        </w:rPr>
      </w:pPr>
      <w:r>
        <w:rPr>
          <w:rFonts w:ascii="Arial" w:cs="Arial" w:eastAsia="Arial" w:hAnsi="Arial"/>
          <w:sz w:val="14"/>
          <w:szCs w:val="14"/>
          <w:color w:val="auto"/>
        </w:rPr>
        <w:t>in accordance with Section 10.6; or (c) for any disclosure that is reasonably necessary to comply with applicable securities exchange listing requirements or other applicable Laws. Notwithstanding the foregoing, to the extent information regarding this Agreement has already been publicly disclosed, either Party may subsequently disclose the same information to the public without the consent of the other Party.</w:t>
      </w:r>
    </w:p>
    <w:p>
      <w:pPr>
        <w:spacing w:after="0" w:line="112" w:lineRule="exact"/>
        <w:rPr>
          <w:sz w:val="20"/>
          <w:szCs w:val="20"/>
          <w:color w:val="auto"/>
        </w:rPr>
      </w:pPr>
    </w:p>
    <w:p>
      <w:pPr>
        <w:ind w:right="160" w:firstLine="917"/>
        <w:spacing w:after="0" w:line="255" w:lineRule="auto"/>
        <w:rPr>
          <w:sz w:val="20"/>
          <w:szCs w:val="20"/>
          <w:color w:val="auto"/>
        </w:rPr>
      </w:pPr>
      <w:r>
        <w:rPr>
          <w:rFonts w:ascii="Arial" w:cs="Arial" w:eastAsia="Arial" w:hAnsi="Arial"/>
          <w:sz w:val="14"/>
          <w:szCs w:val="14"/>
          <w:color w:val="auto"/>
        </w:rPr>
        <w:t>10.3.2 Each Party shall, if practicable, give the other Party a reasonable opportunity to review those portions of all filings with the United States Securities and Exchange Commission (or any stock exchange, including Nasdaq, or any similar regulatory agency in any country other than the United States) describing the terms of this Agreement (including any filings of this Agreement) prior to submission of such filings, and shall give due consideration to any reasonable comments by the non-filing Party relating to such filing, including the provisions of this Agreement for which confidential treatment should be sought.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10.4</w:t>
      </w:r>
      <w:r>
        <w:rPr>
          <w:rFonts w:ascii="Arial" w:cs="Arial" w:eastAsia="Arial" w:hAnsi="Arial"/>
          <w:sz w:val="14"/>
          <w:szCs w:val="14"/>
          <w:u w:val="single" w:color="auto"/>
          <w:color w:val="auto"/>
        </w:rPr>
        <w:t>***</w:t>
      </w:r>
    </w:p>
    <w:p>
      <w:pPr>
        <w:spacing w:after="0" w:line="132" w:lineRule="exact"/>
        <w:rPr>
          <w:sz w:val="20"/>
          <w:szCs w:val="20"/>
          <w:color w:val="auto"/>
        </w:rPr>
      </w:pPr>
    </w:p>
    <w:p>
      <w:pPr>
        <w:ind w:firstLine="458"/>
        <w:spacing w:after="0" w:line="351" w:lineRule="auto"/>
        <w:rPr>
          <w:sz w:val="20"/>
          <w:szCs w:val="20"/>
          <w:color w:val="auto"/>
        </w:rPr>
      </w:pPr>
      <w:r>
        <w:rPr>
          <w:rFonts w:ascii="Arial" w:cs="Arial" w:eastAsia="Arial" w:hAnsi="Arial"/>
          <w:sz w:val="12"/>
          <w:szCs w:val="12"/>
          <w:color w:val="auto"/>
        </w:rPr>
        <w:t xml:space="preserve">10.5 </w:t>
      </w:r>
      <w:r>
        <w:rPr>
          <w:rFonts w:ascii="Arial" w:cs="Arial" w:eastAsia="Arial" w:hAnsi="Arial"/>
          <w:sz w:val="12"/>
          <w:szCs w:val="12"/>
          <w:u w:val="single" w:color="auto"/>
          <w:color w:val="auto"/>
        </w:rPr>
        <w:t>Remedies</w:t>
      </w:r>
      <w:r>
        <w:rPr>
          <w:rFonts w:ascii="Arial" w:cs="Arial" w:eastAsia="Arial" w:hAnsi="Arial"/>
          <w:sz w:val="12"/>
          <w:szCs w:val="12"/>
          <w:color w:val="auto"/>
        </w:rPr>
        <w:t>. In the event a Party breaches the confidentiality obligations set forth in this ARTICLE 10, the other Party shall be entitled to seek, in addition to any other right or remedy it may have, at Law or in equity, a temporary injunction, without the posting of any bond or other security, enjoining or restraining the breaching Party from any violation or threatened violation of this ARTICLE 10.</w:t>
      </w:r>
    </w:p>
    <w:p>
      <w:pPr>
        <w:spacing w:after="0" w:line="56"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Publications</w:t>
      </w:r>
      <w:r>
        <w:rPr>
          <w:rFonts w:ascii="Arial" w:cs="Arial" w:eastAsia="Arial" w:hAnsi="Arial"/>
          <w:sz w:val="14"/>
          <w:szCs w:val="14"/>
          <w:color w:val="auto"/>
        </w:rPr>
        <w:t>. The Parties recognize that it may be useful or required to publish or publicly disclose the results of Research and Development work on Program DARTs and Licensed Products, and each Party (and its Affiliates) shall be free to publish or publicly disclose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12" w:lineRule="exact"/>
        <w:rPr>
          <w:sz w:val="20"/>
          <w:szCs w:val="20"/>
          <w:color w:val="auto"/>
        </w:rPr>
      </w:pPr>
    </w:p>
    <w:p>
      <w:pPr>
        <w:ind w:left="3840" w:right="2660" w:hanging="1135"/>
        <w:spacing w:after="0" w:line="341" w:lineRule="auto"/>
        <w:tabs>
          <w:tab w:leader="none" w:pos="2944" w:val="left"/>
        </w:tabs>
        <w:numPr>
          <w:ilvl w:val="0"/>
          <w:numId w:val="64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93" w:name="page594"/>
    <w:bookmarkEnd w:id="593"/>
    <w:p>
      <w:pPr>
        <w:spacing w:after="0" w:line="29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such results, subject, in the case of any such results containing Confidential Information of the other Party, to prior review by the other Party for patentability and protection of its Confidential Information in accordance with this Section 10.6. The Party that desires to publish such results shall provide the other Party with a copy of the applicable proposed abstract, manuscript, or presentation no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its intended submission for publication. The reviewing Party shall respond in writing promptly and in no event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of the proposed material with any concerns regarding patentability or protection of such reviewing Party’s Confidential Information. In the event of concern over patent protection, the publishing Party agrees not to submit such publication or to make such presentation that contains such information until the reviewing Party is given a reasonable period of time, and in no event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to seek patent protection for any material in such publication or presentation which it believes is patentable. Subject to Section 10.2, any Confidential Information of the reviewing Party shall, if requested by the reviewing Party, be removed by the other Party; provided, however, that (a) Gilead as the publishing Party shall have no obligation to remove any Confidential Information of MacroGenics to the extent such Confidential Information is (i) described in clause (a) of the second sentence of Section 10.1 or (ii) Know-How comprising the Joint IP that relates to </w:t>
      </w:r>
      <w:r>
        <w:rPr>
          <w:rFonts w:ascii="Arial" w:cs="Arial" w:eastAsia="Arial" w:hAnsi="Arial"/>
          <w:sz w:val="12"/>
          <w:szCs w:val="12"/>
          <w:b w:val="1"/>
          <w:bCs w:val="1"/>
          <w:color w:val="auto"/>
        </w:rPr>
        <w:t>***</w:t>
      </w:r>
      <w:r>
        <w:rPr>
          <w:rFonts w:ascii="Arial" w:cs="Arial" w:eastAsia="Arial" w:hAnsi="Arial"/>
          <w:sz w:val="12"/>
          <w:szCs w:val="12"/>
          <w:color w:val="auto"/>
        </w:rPr>
        <w:t xml:space="preserve">; and (b) Gilead as the reviewing Party shall not unreasonably request removal of any Confidential Information of Gilead to the extent such Confidential Information is (i) (x) MacroGenics Know-How described in clause (a) of the second sentence of Section 10.1 and (y) related to the *** Licensed Program or (ii) Know-How comprising the Joint IP that relates to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255" w:lineRule="exact"/>
        <w:rPr>
          <w:sz w:val="20"/>
          <w:szCs w:val="20"/>
          <w:color w:val="auto"/>
        </w:rPr>
      </w:pPr>
    </w:p>
    <w:p>
      <w:pPr>
        <w:ind w:firstLine="458"/>
        <w:spacing w:after="0" w:line="296"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u w:val="single" w:color="auto"/>
          <w:color w:val="auto"/>
        </w:rPr>
        <w:t>Return of Confidential Information</w:t>
      </w:r>
      <w:r>
        <w:rPr>
          <w:rFonts w:ascii="Arial" w:cs="Arial" w:eastAsia="Arial" w:hAnsi="Arial"/>
          <w:sz w:val="12"/>
          <w:szCs w:val="12"/>
          <w:color w:val="auto"/>
        </w:rPr>
        <w:t>. Upon the expiration or termination of this Agreement, the Receiving Party shall return to the Disclosing Party all Confidential Information of the Disclosing Party in its possession (and all copies and reproductions thereof). In addition, the Receiving Party shall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Alternatively, upon written request of the Disclosing Party, upon such expiration or termination, the Receiving Party shall destroy all Confidential Information of the Disclosing Party in its possession (and all copies and reproductions thereof) and any notes, reports or other documents prepared by the Receiving Party which contain Confidential Information of the Disclosing Party. Nothing in this Section 10.7 shall require the alteration, modification, deletion or destruction of archival tapes or other electronic back-up media made in the ordinary course of business; provided that the Receiving Party shall continue to be bound by its obligations of confidentiality and other obligations under this ARTICLE 10 with respect to any Confidential Information contained in such archival tapes or other electronic back-up media. Any requested destruction of Confidential Information shall be certified in writing to the Disclosing Party. Notwithstanding the foregoing, (i) the Receiving Party’s legal counsel may retain one copy of the Disclosing Party’s Confidential Information solely for the purpose of determining the Receiving Party’s continuing obligations under this ARTICLE 10 and (ii) the Receiving Party may retain the Disclosing Party’s Confidential Information and its own notes, reports and other documents to the extent reasonably required (x) to comply with applicable Law and regulatory requirements; (y) to exercise the rights and licenses of the Receiving Party expressly surviving expiration or termination of this Agreement; and (z) to perform the obligations of the Receiving Party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94" w:name="page595"/>
    <w:bookmarkEnd w:id="594"/>
    <w:p>
      <w:pPr>
        <w:ind w:right="1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expressly surviving expiration or termination of this Agreement. Notwithstanding the return or destruction of the Disclosing Party’s Confidential Information, the Receiving Party shall continue to be bound by its obligations of confidentiality and other obligations under this ARTICLE 10.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AND WARRANTIES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u w:val="single" w:color="auto"/>
          <w:color w:val="auto"/>
        </w:rPr>
        <w:t>Representations and Warranties of Both Parties</w:t>
      </w:r>
      <w:r>
        <w:rPr>
          <w:rFonts w:ascii="Arial" w:cs="Arial" w:eastAsia="Arial" w:hAnsi="Arial"/>
          <w:sz w:val="14"/>
          <w:szCs w:val="14"/>
          <w:color w:val="auto"/>
        </w:rPr>
        <w:t>. Each Party hereby represents and warrants to the other Party, as of the Effective Date, that:</w:t>
      </w:r>
    </w:p>
    <w:p>
      <w:pPr>
        <w:spacing w:after="0" w:line="132" w:lineRule="exact"/>
        <w:rPr>
          <w:sz w:val="20"/>
          <w:szCs w:val="20"/>
          <w:color w:val="auto"/>
        </w:rPr>
      </w:pPr>
    </w:p>
    <w:p>
      <w:pPr>
        <w:ind w:right="320" w:firstLine="917"/>
        <w:spacing w:after="0" w:line="267" w:lineRule="auto"/>
        <w:rPr>
          <w:sz w:val="20"/>
          <w:szCs w:val="20"/>
          <w:color w:val="auto"/>
        </w:rPr>
      </w:pPr>
      <w:r>
        <w:rPr>
          <w:rFonts w:ascii="Arial" w:cs="Arial" w:eastAsia="Arial" w:hAnsi="Arial"/>
          <w:sz w:val="14"/>
          <w:szCs w:val="14"/>
          <w:color w:val="auto"/>
        </w:rPr>
        <w:t>11.1.1 Such Party is duly organized, validly existing and in good standing under the Laws of the jurisdiction of its incorporation and has full corporate power and authority to enter into this Agreement and to carry out the provisions hereof.</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11.1.2 Such Party has taken all necessary action on its part to authorize the execution and delivery of this Agreement and the performance of its obligations hereunder.</w:t>
      </w:r>
    </w:p>
    <w:p>
      <w:pPr>
        <w:spacing w:after="0" w:line="132" w:lineRule="exact"/>
        <w:rPr>
          <w:sz w:val="20"/>
          <w:szCs w:val="20"/>
          <w:color w:val="auto"/>
        </w:rPr>
      </w:pPr>
    </w:p>
    <w:p>
      <w:pPr>
        <w:ind w:right="20" w:firstLine="917"/>
        <w:spacing w:after="0" w:line="258" w:lineRule="auto"/>
        <w:rPr>
          <w:sz w:val="20"/>
          <w:szCs w:val="20"/>
          <w:color w:val="auto"/>
        </w:rPr>
      </w:pPr>
      <w:r>
        <w:rPr>
          <w:rFonts w:ascii="Arial" w:cs="Arial" w:eastAsia="Arial" w:hAnsi="Arial"/>
          <w:sz w:val="14"/>
          <w:szCs w:val="14"/>
          <w:color w:val="auto"/>
        </w:rPr>
        <w:t>11.1.3 This Agreement has been duly executed and delivered on behalf of such Party, and constitutes a legal, valid, binding obligation, enforceable against it in accordance with the terms hereof,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p>
      <w:pPr>
        <w:spacing w:after="0" w:line="108" w:lineRule="exact"/>
        <w:rPr>
          <w:sz w:val="20"/>
          <w:szCs w:val="20"/>
          <w:color w:val="auto"/>
        </w:rPr>
      </w:pPr>
    </w:p>
    <w:p>
      <w:pPr>
        <w:ind w:right="360" w:firstLine="917"/>
        <w:spacing w:after="0" w:line="267" w:lineRule="auto"/>
        <w:rPr>
          <w:sz w:val="20"/>
          <w:szCs w:val="20"/>
          <w:color w:val="auto"/>
        </w:rPr>
      </w:pPr>
      <w:r>
        <w:rPr>
          <w:rFonts w:ascii="Arial" w:cs="Arial" w:eastAsia="Arial" w:hAnsi="Arial"/>
          <w:sz w:val="14"/>
          <w:szCs w:val="14"/>
          <w:color w:val="auto"/>
        </w:rPr>
        <w:t>11.1.4 The execution, delivery and performance of this Agreement by such Party does not conflict with any agreement or any provision thereof, or any instrument or understanding, oral or written, to which it is a party or by which it is bound, nor violate any applicable Law.</w:t>
      </w:r>
    </w:p>
    <w:p>
      <w:pPr>
        <w:spacing w:after="0" w:line="101" w:lineRule="exact"/>
        <w:rPr>
          <w:sz w:val="20"/>
          <w:szCs w:val="20"/>
          <w:color w:val="auto"/>
        </w:rPr>
      </w:pPr>
    </w:p>
    <w:p>
      <w:pPr>
        <w:ind w:firstLine="917"/>
        <w:spacing w:after="0" w:line="321" w:lineRule="auto"/>
        <w:rPr>
          <w:sz w:val="20"/>
          <w:szCs w:val="20"/>
          <w:color w:val="auto"/>
        </w:rPr>
      </w:pPr>
      <w:r>
        <w:rPr>
          <w:rFonts w:ascii="Arial" w:cs="Arial" w:eastAsia="Arial" w:hAnsi="Arial"/>
          <w:sz w:val="12"/>
          <w:szCs w:val="12"/>
          <w:color w:val="auto"/>
        </w:rPr>
        <w:t>11.1.5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transactions contemplated by this Agreement, or for the performance by it of its obligations under this Agreement, except as necessary to conduct clinical trials or to seek or obtain Regulatory Approvals or as may be required under the HSR Act.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Representations, Warranties and Covenants of MacroGenics</w:t>
      </w:r>
      <w:r>
        <w:rPr>
          <w:rFonts w:ascii="Arial" w:cs="Arial" w:eastAsia="Arial" w:hAnsi="Arial"/>
          <w:sz w:val="14"/>
          <w:szCs w:val="14"/>
          <w:color w:val="auto"/>
        </w:rPr>
        <w:t>. MacroGenics hereby represents, warrants and covenants to Gilead that:</w:t>
      </w:r>
    </w:p>
    <w:p>
      <w:pPr>
        <w:spacing w:after="0" w:line="132" w:lineRule="exact"/>
        <w:rPr>
          <w:sz w:val="20"/>
          <w:szCs w:val="20"/>
          <w:color w:val="auto"/>
        </w:rPr>
      </w:pPr>
    </w:p>
    <w:p>
      <w:pPr>
        <w:ind w:firstLine="917"/>
        <w:spacing w:after="0" w:line="321" w:lineRule="auto"/>
        <w:rPr>
          <w:sz w:val="20"/>
          <w:szCs w:val="20"/>
          <w:color w:val="auto"/>
        </w:rPr>
      </w:pPr>
      <w:r>
        <w:rPr>
          <w:rFonts w:ascii="Arial" w:cs="Arial" w:eastAsia="Arial" w:hAnsi="Arial"/>
          <w:sz w:val="12"/>
          <w:szCs w:val="12"/>
          <w:color w:val="auto"/>
        </w:rPr>
        <w:t>11.2.1 MacroGenics is as of the Effective Date, and (subject to Section 15.4) will at all times during the Agreement Term be, the sole and exclusive owner of all of the MacroGenics IP that exists as of the Effective Date. Subject to (a) any MacroGenics Third Party Agreements, (b) any rights of any collaborator of MacroGenics or its Affiliates as joint owner of any MacroGenics IP and (c) Section 15.4, MacroGenics and its Affiliates will at all times during the Agreement Term be the sole and exclusive owner of all of the MacroGenics IP that does not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4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95" w:name="page596"/>
    <w:bookmarkEnd w:id="595"/>
    <w:p>
      <w:pPr>
        <w:jc w:val="both"/>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exist as of the Effective Date. MacroGenics’ rights to the MacroGenics IP are as of the Effective Date, and at all times during the Agreement Term will be, free of all liens, mortgages, encumbrances, pledges and security interests by any Third Party (including any rights of any Governmental Authority) other than licenses granted to Third Parties that are not inconsistent with the rights and licenses granted to Gilead under this Agreement. As of the Effective Date, there are no MacroGenics Third Party Agreements.</w:t>
      </w:r>
    </w:p>
    <w:p>
      <w:pPr>
        <w:spacing w:after="0" w:line="108" w:lineRule="exact"/>
        <w:rPr>
          <w:sz w:val="20"/>
          <w:szCs w:val="20"/>
          <w:color w:val="auto"/>
        </w:rPr>
      </w:pPr>
    </w:p>
    <w:p>
      <w:pPr>
        <w:ind w:right="240" w:firstLine="917"/>
        <w:spacing w:after="0" w:line="258" w:lineRule="auto"/>
        <w:rPr>
          <w:sz w:val="20"/>
          <w:szCs w:val="20"/>
          <w:color w:val="auto"/>
        </w:rPr>
      </w:pPr>
      <w:r>
        <w:rPr>
          <w:rFonts w:ascii="Arial" w:cs="Arial" w:eastAsia="Arial" w:hAnsi="Arial"/>
          <w:sz w:val="14"/>
          <w:szCs w:val="14"/>
          <w:color w:val="auto"/>
        </w:rPr>
        <w:t xml:space="preserve">11.2.2 The MacroGenics Patents existing as of the Effective Date are listed on </w:t>
      </w:r>
      <w:r>
        <w:rPr>
          <w:rFonts w:ascii="Arial" w:cs="Arial" w:eastAsia="Arial" w:hAnsi="Arial"/>
          <w:sz w:val="14"/>
          <w:szCs w:val="14"/>
          <w:u w:val="single" w:color="auto"/>
          <w:color w:val="auto"/>
        </w:rPr>
        <w:t>Exhibit C</w:t>
      </w:r>
      <w:r>
        <w:rPr>
          <w:rFonts w:ascii="Arial" w:cs="Arial" w:eastAsia="Arial" w:hAnsi="Arial"/>
          <w:sz w:val="14"/>
          <w:szCs w:val="14"/>
          <w:color w:val="auto"/>
        </w:rPr>
        <w:t>. As of the Effective Date, all documents required to be filed and all payments required to be made in order to maintain each MacroGenics Patent have been filed or made, as the case may be, in a timely manner, and no action has been taken that would constitute waiver, abandonment or any similar relinquishment of rights with respect to any such Patent.</w:t>
      </w:r>
    </w:p>
    <w:p>
      <w:pPr>
        <w:spacing w:after="0" w:line="108" w:lineRule="exact"/>
        <w:rPr>
          <w:sz w:val="20"/>
          <w:szCs w:val="20"/>
          <w:color w:val="auto"/>
        </w:rPr>
      </w:pPr>
    </w:p>
    <w:p>
      <w:pPr>
        <w:ind w:right="60" w:firstLine="917"/>
        <w:spacing w:after="0" w:line="305" w:lineRule="auto"/>
        <w:rPr>
          <w:sz w:val="20"/>
          <w:szCs w:val="20"/>
          <w:color w:val="auto"/>
        </w:rPr>
      </w:pPr>
      <w:r>
        <w:rPr>
          <w:rFonts w:ascii="Arial" w:cs="Arial" w:eastAsia="Arial" w:hAnsi="Arial"/>
          <w:sz w:val="12"/>
          <w:szCs w:val="12"/>
          <w:color w:val="auto"/>
        </w:rPr>
        <w:t xml:space="preserve">11.2.3 As of the Effective Date, to the knowledge of MacroGenics, the MacroGenics IP existing as of the Effective Date is not invalid or unenforceable, in whole or in part. As of the Effective Date, the conception, development and reduction to practice of the MacroGenics IP existing as of the Effective Date have not constituted or involved the misappropriation of trade secrets or other rights or property of any Person. Except as disclosed on </w:t>
      </w:r>
      <w:r>
        <w:rPr>
          <w:rFonts w:ascii="Arial" w:cs="Arial" w:eastAsia="Arial" w:hAnsi="Arial"/>
          <w:sz w:val="12"/>
          <w:szCs w:val="12"/>
          <w:u w:val="single" w:color="auto"/>
          <w:color w:val="auto"/>
        </w:rPr>
        <w:t>Schedule 11.2.3</w:t>
      </w:r>
      <w:r>
        <w:rPr>
          <w:rFonts w:ascii="Arial" w:cs="Arial" w:eastAsia="Arial" w:hAnsi="Arial"/>
          <w:sz w:val="12"/>
          <w:szCs w:val="12"/>
          <w:color w:val="auto"/>
        </w:rPr>
        <w:t>, there are not as of the Effective Date, nor have there been over the three (3) year period immediately preceding the Effective Date, any actual (or, to MacroGenics’ knowledge, threatened) claims, lawsuits, arbitrations, legal or administrative or regulatory proceedings, charges, complaints or investigations by any Government Authority (except in the ordinary administrative course of the granting of patents and proceedings relating thereto) or by any Third Party relating to the MacroGenics IP.</w:t>
      </w:r>
    </w:p>
    <w:p>
      <w:pPr>
        <w:spacing w:after="0" w:line="84"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11.2.4 As of the Effective Date, to the knowledge of MacroGenics, the exercise by Gilead of the rights and licenses granted to Gilead by MacroGenics under this Agreement will not infringe any of the intellectual property rights of any Third Party.</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11.2.5 As of the Effective Date, to the knowledge of MacroGenics, there is no actual infringement or misappropriation or threatened infringement or misappropriation of any MacroGenics IP by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any Person.</w:t>
      </w:r>
    </w:p>
    <w:p>
      <w:pPr>
        <w:spacing w:after="0" w:line="126" w:lineRule="exact"/>
        <w:rPr>
          <w:sz w:val="20"/>
          <w:szCs w:val="20"/>
          <w:color w:val="auto"/>
        </w:rPr>
      </w:pPr>
    </w:p>
    <w:p>
      <w:pPr>
        <w:ind w:right="80" w:firstLine="917"/>
        <w:spacing w:after="0" w:line="258" w:lineRule="auto"/>
        <w:rPr>
          <w:sz w:val="20"/>
          <w:szCs w:val="20"/>
          <w:color w:val="auto"/>
        </w:rPr>
      </w:pPr>
      <w:r>
        <w:rPr>
          <w:rFonts w:ascii="Arial" w:cs="Arial" w:eastAsia="Arial" w:hAnsi="Arial"/>
          <w:sz w:val="14"/>
          <w:szCs w:val="14"/>
          <w:color w:val="auto"/>
        </w:rPr>
        <w:t>11.2.6 As of the Effective Date, MacroGenics has not (a) employed or used a contractor or consultant that has employed, any individual or entity debarred by the FDA (or subject to a similar sanction of EMA), or (b) employed any individual who or entity that is the subject of an FDA debarment investigation or proceeding (or similar proceeding of EMA), in the conduct of any pre-clinical activities or clinical studies of Program DARTs.</w:t>
      </w:r>
    </w:p>
    <w:p>
      <w:pPr>
        <w:spacing w:after="0" w:line="108"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11.2.7 As of the Effective Date, there is no Regulatory Documentation that (a) is relevant to the Licensed Programs or any Program DARTs and (b) applicable Law requires MacroGenics to have prepared, filed or maintained.</w:t>
      </w:r>
    </w:p>
    <w:p>
      <w:pPr>
        <w:spacing w:after="0" w:line="101" w:lineRule="exact"/>
        <w:rPr>
          <w:sz w:val="20"/>
          <w:szCs w:val="20"/>
          <w:color w:val="auto"/>
        </w:rPr>
      </w:pPr>
    </w:p>
    <w:p>
      <w:pPr>
        <w:ind w:right="420" w:firstLine="917"/>
        <w:spacing w:after="0" w:line="267" w:lineRule="auto"/>
        <w:rPr>
          <w:sz w:val="20"/>
          <w:szCs w:val="20"/>
          <w:color w:val="auto"/>
        </w:rPr>
      </w:pPr>
      <w:r>
        <w:rPr>
          <w:rFonts w:ascii="Arial" w:cs="Arial" w:eastAsia="Arial" w:hAnsi="Arial"/>
          <w:sz w:val="14"/>
          <w:szCs w:val="14"/>
          <w:color w:val="auto"/>
        </w:rPr>
        <w:t>11.2.8 As of the Effective Date, all activities conducted by or on behalf of MacroGenics with respect to Program DARTs have been conducted, in all material respects, in accordance with applicable Law, GLP, GCP and GMP, as applicable.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4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596" w:name="page597"/>
    <w:bookmarkEnd w:id="596"/>
    <w:p>
      <w:pPr>
        <w:ind w:right="120" w:firstLine="917"/>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11.2.9 Without limitation of the generality of Section 11.1.4, as of the Effective Date, MacroGenics has the right to grant all rights and licenses it purports to grant to Gilead with respect to the MacroGenics IP under this Agreement and has not granted to any Third Party any license, right or interest in, to or under MacroGenics IP that is inconsistent with the licenses and rights granted to Gilead in Section 4.1.</w:t>
      </w:r>
    </w:p>
    <w:p>
      <w:pPr>
        <w:spacing w:after="0" w:line="108" w:lineRule="exact"/>
        <w:rPr>
          <w:sz w:val="20"/>
          <w:szCs w:val="20"/>
          <w:color w:val="auto"/>
        </w:rPr>
      </w:pPr>
    </w:p>
    <w:p>
      <w:pPr>
        <w:ind w:right="40" w:firstLine="917"/>
        <w:spacing w:after="0" w:line="311" w:lineRule="auto"/>
        <w:rPr>
          <w:sz w:val="20"/>
          <w:szCs w:val="20"/>
          <w:color w:val="auto"/>
        </w:rPr>
      </w:pPr>
      <w:r>
        <w:rPr>
          <w:rFonts w:ascii="Arial" w:cs="Arial" w:eastAsia="Arial" w:hAnsi="Arial"/>
          <w:sz w:val="12"/>
          <w:szCs w:val="12"/>
          <w:color w:val="auto"/>
        </w:rPr>
        <w:t>11.2.10 As of the Effective Date, MacroGenics has not granted to any Third Party the sole or first right to file, prosecute or maintain Patents that contain Platform Claims. As of the Effective Date, MacroGenics has not granted to any Third Party the sole right to enforce any Platform Claims. MacroGenics as of the Effective Date has not granted, and during the Agreement Term will not grant, to any Third Party any rights (a) to prosecute, maintain or enforce any Product Patents, except for any such rights in the MacroGenics Territory granted to any Third Party licensee, sublicensee or collaborator of MacroGenics with respect to ***Program DARTs or ***Licensed Products, or (b) to enforce any Platform Patents with respect to a Competitive Infringement.</w:t>
      </w:r>
    </w:p>
    <w:p>
      <w:pPr>
        <w:spacing w:after="0" w:line="79" w:lineRule="exact"/>
        <w:rPr>
          <w:sz w:val="20"/>
          <w:szCs w:val="20"/>
          <w:color w:val="auto"/>
        </w:rPr>
      </w:pPr>
    </w:p>
    <w:p>
      <w:pPr>
        <w:jc w:val="center"/>
        <w:ind w:right="6320"/>
        <w:spacing w:after="0"/>
        <w:rPr>
          <w:sz w:val="20"/>
          <w:szCs w:val="20"/>
          <w:color w:val="auto"/>
        </w:rPr>
      </w:pPr>
      <w:r>
        <w:rPr>
          <w:rFonts w:ascii="Arial" w:cs="Arial" w:eastAsia="Arial" w:hAnsi="Arial"/>
          <w:sz w:val="14"/>
          <w:szCs w:val="14"/>
          <w:color w:val="auto"/>
        </w:rPr>
        <w:t xml:space="preserve">11.2.11 Each Patent listed on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is a Platform Patent.</w:t>
      </w:r>
    </w:p>
    <w:p>
      <w:pPr>
        <w:spacing w:after="0" w:line="132" w:lineRule="exact"/>
        <w:rPr>
          <w:sz w:val="20"/>
          <w:szCs w:val="20"/>
          <w:color w:val="auto"/>
        </w:rPr>
      </w:pPr>
    </w:p>
    <w:p>
      <w:pPr>
        <w:jc w:val="center"/>
        <w:ind w:right="6340"/>
        <w:spacing w:after="0"/>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Mutual Covenants</w:t>
      </w:r>
      <w:r>
        <w:rPr>
          <w:rFonts w:ascii="Arial" w:cs="Arial" w:eastAsia="Arial" w:hAnsi="Arial"/>
          <w:sz w:val="14"/>
          <w:szCs w:val="14"/>
          <w:color w:val="auto"/>
        </w:rPr>
        <w:t>. Each Party hereby covenants to the other Party that: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11.3.1 Such Party shall comply with all applicable Laws in connection with this Agreement and the transactions contemplated hereby.</w:t>
      </w:r>
    </w:p>
    <w:p>
      <w:pPr>
        <w:spacing w:after="0" w:line="132" w:lineRule="exact"/>
        <w:rPr>
          <w:sz w:val="20"/>
          <w:szCs w:val="20"/>
          <w:color w:val="auto"/>
        </w:rPr>
      </w:pPr>
    </w:p>
    <w:p>
      <w:pPr>
        <w:ind w:right="560" w:firstLine="917"/>
        <w:spacing w:after="0" w:line="267" w:lineRule="auto"/>
        <w:rPr>
          <w:sz w:val="20"/>
          <w:szCs w:val="20"/>
          <w:color w:val="auto"/>
        </w:rPr>
      </w:pPr>
      <w:r>
        <w:rPr>
          <w:rFonts w:ascii="Arial" w:cs="Arial" w:eastAsia="Arial" w:hAnsi="Arial"/>
          <w:sz w:val="14"/>
          <w:szCs w:val="14"/>
          <w:color w:val="auto"/>
        </w:rPr>
        <w:t>11.3.2 Such Party will impose on all employees of such Party or its Affiliates who perform work under this Agreement the obligation to assign all right, title and interest in and to their inventions and discoveries, whether or not patentable, to such Party as the sole owner thereof.</w:t>
      </w:r>
    </w:p>
    <w:p>
      <w:pPr>
        <w:spacing w:after="0" w:line="101" w:lineRule="exact"/>
        <w:rPr>
          <w:sz w:val="20"/>
          <w:szCs w:val="20"/>
          <w:color w:val="auto"/>
        </w:rPr>
      </w:pPr>
    </w:p>
    <w:p>
      <w:pPr>
        <w:ind w:firstLine="917"/>
        <w:spacing w:after="0" w:line="305" w:lineRule="auto"/>
        <w:rPr>
          <w:sz w:val="20"/>
          <w:szCs w:val="20"/>
          <w:color w:val="auto"/>
        </w:rPr>
      </w:pPr>
      <w:r>
        <w:rPr>
          <w:rFonts w:ascii="Arial" w:cs="Arial" w:eastAsia="Arial" w:hAnsi="Arial"/>
          <w:sz w:val="12"/>
          <w:szCs w:val="12"/>
          <w:color w:val="auto"/>
        </w:rPr>
        <w:t>11.3.3 Such Party will not (a) employ or use any contractor or consultant that employs any individual or entity debarred by the FDA (or subject to a similar sanction of EMA); or (b) employ any individual who or entity that is the subject of an FDA debarment investigation or proceeding (or similar proceeding of EMA), in each of clauses (a) and (b) in the conduct of its activities under this Agreement. If, at any time during the term of this Agreement, (x) any individual or entity employed by such Party or any contractor or consultant used by such Party in the conduct of its activities under this Agreement becomes debarred by the FDA (or subject to a similar sanction of EMA) or (y) any individual or entity employed by such Party in the conduct of its activities under this Agreement becomes the subject of, or is threatened to be made the subject of, an FDA debarment investigation or proceeding (or similar proceeding of EMA), such Party shall immediately notify the other Party.</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11.3.4 Such Party shall perform its activities pursuant to this Agreement in compliance in all material respects with GLP, GCP and cGMP (including those specified by the ICH), in each case 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applicable.</w:t>
      </w:r>
    </w:p>
    <w:p>
      <w:pPr>
        <w:spacing w:after="0" w:line="126"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11.3.5 Neither Party shall, during the Agreement Term, grant any right or license to any Third Party relating to any of the intellectual property rights it owns or Controls which would conflict with any of the rights or licenses granted or to be granted to the other Party hereunder pursuant to the provisions of ARTICLE 4.</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12" w:lineRule="exact"/>
        <w:rPr>
          <w:sz w:val="20"/>
          <w:szCs w:val="20"/>
          <w:color w:val="auto"/>
        </w:rPr>
      </w:pPr>
    </w:p>
    <w:p>
      <w:pPr>
        <w:ind w:left="3840" w:right="2660" w:hanging="1135"/>
        <w:spacing w:after="0" w:line="341" w:lineRule="auto"/>
        <w:tabs>
          <w:tab w:leader="none" w:pos="2944" w:val="left"/>
        </w:tabs>
        <w:numPr>
          <w:ilvl w:val="0"/>
          <w:numId w:val="64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597" w:name="page598"/>
    <w:bookmarkEnd w:id="597"/>
    <w:p>
      <w:pPr>
        <w:ind w:right="80" w:firstLine="458"/>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11.4 </w:t>
      </w:r>
      <w:r>
        <w:rPr>
          <w:rFonts w:ascii="Arial" w:cs="Arial" w:eastAsia="Arial" w:hAnsi="Arial"/>
          <w:sz w:val="12"/>
          <w:szCs w:val="12"/>
          <w:u w:val="single" w:color="auto"/>
          <w:color w:val="auto"/>
        </w:rPr>
        <w:t>Disclaimer</w:t>
      </w:r>
      <w:r>
        <w:rPr>
          <w:rFonts w:ascii="Arial" w:cs="Arial" w:eastAsia="Arial" w:hAnsi="Arial"/>
          <w:sz w:val="12"/>
          <w:szCs w:val="12"/>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 Without limiting the generality of the foregoing except as otherwise expressly set forth in this Agreement, each Party disclaims any warranties with regards to: (a) the success of any study or test commenced under this Agreement; (b) the safety or usefulness for any purpose of the technology or materials, including any compounds, it provides or discovers under this Agreement; or (c) the validity, enforceability, or non-infringement of any intellectual property rights or technology it provides or licenses to the other Party under this Agreement. Data and regulatory materials are given by each Party to the other Party, except as otherwise provided herein, on an “as is” basis without any warranty of any kind.</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12</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INDEMNIFICATION AND INSURANCE</w:t>
      </w:r>
    </w:p>
    <w:p>
      <w:pPr>
        <w:spacing w:after="0" w:line="126" w:lineRule="exact"/>
        <w:rPr>
          <w:sz w:val="20"/>
          <w:szCs w:val="20"/>
          <w:color w:val="auto"/>
        </w:rPr>
      </w:pPr>
    </w:p>
    <w:p>
      <w:pPr>
        <w:ind w:firstLine="458"/>
        <w:spacing w:after="0" w:line="297" w:lineRule="auto"/>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u w:val="single" w:color="auto"/>
          <w:color w:val="auto"/>
        </w:rPr>
        <w:t>Indemnification by Gilead</w:t>
      </w:r>
      <w:r>
        <w:rPr>
          <w:rFonts w:ascii="Arial" w:cs="Arial" w:eastAsia="Arial" w:hAnsi="Arial"/>
          <w:sz w:val="12"/>
          <w:szCs w:val="12"/>
          <w:color w:val="auto"/>
        </w:rPr>
        <w:t>. Gilead shall defend, indemnify and hold harmless the MacroGenics Indemnitees from and against any and all losses, damages, fees, expenses, settlement amounts or costs (including reasonable attorneys’ fees and witness fees) (“</w:t>
      </w:r>
      <w:r>
        <w:rPr>
          <w:rFonts w:ascii="Arial" w:cs="Arial" w:eastAsia="Arial" w:hAnsi="Arial"/>
          <w:sz w:val="12"/>
          <w:szCs w:val="12"/>
          <w:u w:val="single" w:color="auto"/>
          <w:color w:val="auto"/>
        </w:rPr>
        <w:t>Losses</w:t>
      </w:r>
      <w:r>
        <w:rPr>
          <w:rFonts w:ascii="Arial" w:cs="Arial" w:eastAsia="Arial" w:hAnsi="Arial"/>
          <w:sz w:val="12"/>
          <w:szCs w:val="12"/>
          <w:color w:val="auto"/>
        </w:rPr>
        <w:t>”) relating to or in connection with a Third Party claim arising out of (a) any death, personal bodily injury or damage to real or tangible personal property alleged or proven to result, directly or indirectly, from the possession, use or consumption of, or treatment with, a Program DART or Licensed Product Researched, Developed, Manufactured or Commercialized in the Gilead Territory for the applicable Licensed Program (or, as permitted under this Agreement, the MacroGenics Territory for the applicable Licensed Program), in each case by or on behalf of Gilead or its Affiliates or Sublicensees, including any product liability claims; (b) the Commercialization by or on behalf of Gilead or its Affiliates or Sublicensees of any Program DART or Licensed Product in the Gilead Territory; (c) any actual or alleged infringement or unauthorized use or misappropriation of any Patent or other intellectual property right of a Third Party with respect to the activities of Gilead or its Affiliates or Sublicensees hereunder; (d) any breach by Gilead of its representations, warranties or covenants made under this Agreement; or (e) any illegal or negligent act or omission or willful misconduct of Gilead or its Affiliates or Sublicensees or any of their employees, contractors or agents, in performing Gilead’s obligations or exercising Gilead’s rights under this Agreement; provided, however, that the foregoing indemnity shall not apply to the extent that any such Losses (i) are attributable to an illegal act by or the gross negligence or willful misconduct of any MacroGenics Indemnitees, or (ii) are otherwise subject to an obligation by MacroGenics to indemnify the Gilead Indemnitees under Section 12.2, as to which Losses the provisions of Section 12.4 shall apply.</w:t>
      </w:r>
    </w:p>
    <w:p>
      <w:pPr>
        <w:spacing w:after="0" w:line="89" w:lineRule="exact"/>
        <w:rPr>
          <w:sz w:val="20"/>
          <w:szCs w:val="20"/>
          <w:color w:val="auto"/>
        </w:rPr>
      </w:pPr>
    </w:p>
    <w:p>
      <w:pPr>
        <w:ind w:right="220" w:firstLine="458"/>
        <w:spacing w:after="0" w:line="267"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Indemnification by MacroGenics</w:t>
      </w:r>
      <w:r>
        <w:rPr>
          <w:rFonts w:ascii="Arial" w:cs="Arial" w:eastAsia="Arial" w:hAnsi="Arial"/>
          <w:sz w:val="14"/>
          <w:szCs w:val="14"/>
          <w:color w:val="auto"/>
        </w:rPr>
        <w:t>. MacroGenics shall defend, indemnify and hold harmless the Gilead Indemnitees from and against any and all Losses relating to or in connection with a Third Party claim arising out of (a) any death, personal bodily injury or damage to real or</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67</w:t>
      </w:r>
    </w:p>
    <w:p>
      <w:pPr>
        <w:spacing w:after="0" w:line="12" w:lineRule="exact"/>
        <w:rPr>
          <w:sz w:val="20"/>
          <w:szCs w:val="20"/>
          <w:color w:val="auto"/>
        </w:rPr>
      </w:pPr>
    </w:p>
    <w:p>
      <w:pPr>
        <w:ind w:left="3840" w:right="2620" w:hanging="1135"/>
        <w:spacing w:after="0" w:line="341" w:lineRule="auto"/>
        <w:tabs>
          <w:tab w:leader="none" w:pos="2944" w:val="left"/>
        </w:tabs>
        <w:numPr>
          <w:ilvl w:val="0"/>
          <w:numId w:val="64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20" w:top="246" w:right="299" w:bottom="1440" w:gutter="0" w:footer="0" w:header="0"/>
        </w:sectPr>
      </w:pPr>
    </w:p>
    <w:bookmarkStart w:id="598" w:name="page599"/>
    <w:bookmarkEnd w:id="598"/>
    <w:p>
      <w:pPr>
        <w:ind w:right="40"/>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tangible personal property alleged or proven to result, directly or indirectly, from the possession, use or consumption of, or treatment with, a Program DART or Licensed Product Researched, Developed, Manufactured or Commercialized in the MacroGenics Territory for the applicable Licensed Program (or, as permitted under this Agreement, the Gilead Territory for the applicable Licensed Program), in each case by or on behalf of MacroGenics or its Affiliates or Sublicensees, including any product liability claims; (b) the Commercialization by or on behalf of MacroGenics or its Affiliates or Sublicensees of any Program DART or Licensed Product in the MacroGenics Territory, or the Manufacture of any Program DART or Licensed Product on behalf of MacroGenics by any Third Party pursuant to any consent or approval granted by Gilead under Section 3.2.5(e); (c) any actual or alleged infringement or unauthorized use or misappropriation of any Patent or other intellectual property right of a Third Party with respect to the activities of MacroGenics or its Affiliates or Sublicensees hereunder; (d) any breach by MacroGenics of its representations, warranties or covenants made under this Agreement; (e) any illegal or negligent act or omission or willful misconduct of MacroGenics or its Affiliates or Sublicenses or any of their employees, contractors or agents, in performing MacroGenics’ obligations or exercising MacroGenics’ rights under this Agreement; or (f) any exercise by MacroGenics of its rights under the license grant by Gilead in Section 4.2(d); provided, however, that the foregoing indemnity shall not apply to the extent that any such Losses are attributable to (i) an illegal act by or the gross negligence or willful misconduct of any Gilead Indemnitees, or (ii) are otherwise subject to an obligation by Gilead to indemnify the MacroGenics Indemnitees under Section 12.1, as to which Losses the provisions of Section 12.4 shall apply.</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u w:val="single" w:color="auto"/>
          <w:color w:val="auto"/>
        </w:rPr>
        <w:t>Procedure</w:t>
      </w:r>
      <w:r>
        <w:rPr>
          <w:rFonts w:ascii="Arial" w:cs="Arial" w:eastAsia="Arial" w:hAnsi="Arial"/>
          <w:sz w:val="14"/>
          <w:szCs w:val="14"/>
          <w:color w:val="auto"/>
        </w:rPr>
        <w:t>.</w:t>
      </w:r>
    </w:p>
    <w:p>
      <w:pPr>
        <w:spacing w:after="0" w:line="132" w:lineRule="exact"/>
        <w:rPr>
          <w:sz w:val="20"/>
          <w:szCs w:val="20"/>
          <w:color w:val="auto"/>
        </w:rPr>
      </w:pPr>
    </w:p>
    <w:p>
      <w:pPr>
        <w:ind w:firstLine="917"/>
        <w:spacing w:after="0" w:line="297" w:lineRule="auto"/>
        <w:rPr>
          <w:sz w:val="20"/>
          <w:szCs w:val="20"/>
          <w:color w:val="auto"/>
        </w:rPr>
      </w:pPr>
      <w:r>
        <w:rPr>
          <w:rFonts w:ascii="Arial" w:cs="Arial" w:eastAsia="Arial" w:hAnsi="Arial"/>
          <w:sz w:val="12"/>
          <w:szCs w:val="12"/>
          <w:color w:val="auto"/>
        </w:rPr>
        <w:t>12.3.1 In the event of a claim by a Third Party against any Person entitled to indemnification under this Agreement, the Party claiming indemnification (in such capacity, the “</w:t>
      </w:r>
      <w:r>
        <w:rPr>
          <w:rFonts w:ascii="Arial" w:cs="Arial" w:eastAsia="Arial" w:hAnsi="Arial"/>
          <w:sz w:val="12"/>
          <w:szCs w:val="12"/>
          <w:u w:val="single" w:color="auto"/>
          <w:color w:val="auto"/>
        </w:rPr>
        <w:t>Indemnified</w:t>
      </w:r>
      <w:r>
        <w:rPr>
          <w:rFonts w:ascii="Arial" w:cs="Arial" w:eastAsia="Arial" w:hAnsi="Arial"/>
          <w:sz w:val="12"/>
          <w:szCs w:val="12"/>
          <w:color w:val="auto"/>
        </w:rPr>
        <w:t xml:space="preserve"> </w:t>
      </w:r>
      <w:r>
        <w:rPr>
          <w:rFonts w:ascii="Arial" w:cs="Arial" w:eastAsia="Arial" w:hAnsi="Arial"/>
          <w:sz w:val="12"/>
          <w:szCs w:val="12"/>
          <w:u w:val="single" w:color="auto"/>
          <w:color w:val="auto"/>
        </w:rPr>
        <w:t>Party</w:t>
      </w:r>
      <w:r>
        <w:rPr>
          <w:rFonts w:ascii="Arial" w:cs="Arial" w:eastAsia="Arial" w:hAnsi="Arial"/>
          <w:sz w:val="12"/>
          <w:szCs w:val="12"/>
          <w:color w:val="auto"/>
        </w:rPr>
        <w:t>”) shall promptly notify the other Party (in such capacity, the “</w:t>
      </w:r>
      <w:r>
        <w:rPr>
          <w:rFonts w:ascii="Arial" w:cs="Arial" w:eastAsia="Arial" w:hAnsi="Arial"/>
          <w:sz w:val="12"/>
          <w:szCs w:val="12"/>
          <w:u w:val="single" w:color="auto"/>
          <w:color w:val="auto"/>
        </w:rPr>
        <w:t>Indemnifying Party</w:t>
      </w:r>
      <w:r>
        <w:rPr>
          <w:rFonts w:ascii="Arial" w:cs="Arial" w:eastAsia="Arial" w:hAnsi="Arial"/>
          <w:sz w:val="12"/>
          <w:szCs w:val="12"/>
          <w:color w:val="auto"/>
        </w:rPr>
        <w:t>”) in writing of the claim (it being understood that the failure by the Indemnified Party to give prompt notice of a Third Party claim as provided in this Section 12.3 shall not relieve the Indemnifying Party of its indemnification obligation under this Agreement except and only to the extent that such Indemnifying Party is actually prejudiced as a result of such failure to give prompt notice). Within thirty (30) days after delivery of such notification, the Indemnifying Party may, upon written notice thereof to the Indemnified Party, undertake and solely manage and control, at its sole expense and with counsel reasonably satisfactory to the Indemnified Party, the defense of the claim; provided, however, that if MacroGenics is the Indemnifying Party and the claim relates to a Program DART or Licensed Product with respect to which a Phase 2 Clinical Trial has been Completed, then Gilead may, at any time upon written notice to MacroGenics, assume sole management and control of the defense of the claim, at its sole expense (provided, however, that Gilead shall not be required to reimburse MacroGenics for any expenses incurred by MacroGenics in connection with MacroGenics’ defense of the claim prior to such assumption). If the Indemnifying Party does not undertake such defense in accordance with the preceding sentence, the Indemnified Party shall control such defense. The Party not controlling such defense shall cooperate with the other Party and may, at its option and expense, participate in such defense with counsel of its choice; provided, however, that if the Indemnifying Party assumes control of such defense as set forth above and the Indemnified Party in good faith concludes, based on advice from counsel, that the Indemnifying Party and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4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599" w:name="page600"/>
    <w:bookmarkEnd w:id="599"/>
    <w:p>
      <w:pPr>
        <w:ind w:right="20"/>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Indemnified Party (or the relevant MacroGenics Indemnitee or Gilead Indemnitee seeking indemnification) have conflicting interests with respect to such action, suit, proceeding or claim, the Indemnified Party’s counsel may fully participate in such defense and the Indemnifying Party shall be responsible for the reasonable fees and expenses of one counsel to the indemnified Persons solely in connection therewith. The Party controlling such defense shall keep the other Party advised of the status of such action, suit, proceeding or claim and the defense thereof, shall provide the other Party copies of material documents and filings related to such action, suit, proceeding or claim and shall consider recommendations made by the other Party with respect thereto. Except if the Indemnifying Party did not undertake defense of the claim as set forth above, or if the Indemnifying Party and the Indemnified Party (or the relevant MacroGenics Indemnitee or Gilead Indemnitee seeking indemnification) have conflicting interests with respect to such action, suit, proceeding or claim and the Indemnified Party engages separate counsel, as provided above, the Indemnifying Party shall not be liable for any litigation costs or expenses incurred by the Indemnified Party without the Indemnifying Party’s written consent. The Indemnified Party shall not settle any such action, suit, proceeding or claim without the prior written consent of the Indemnifying Party, which shall not be unreasonably withheld, delayed or conditioned. The Indemnifying Party shall not settle, without the prior written consent of the Indemnified Party, any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89" w:lineRule="exact"/>
        <w:rPr>
          <w:sz w:val="20"/>
          <w:szCs w:val="20"/>
          <w:color w:val="auto"/>
        </w:rPr>
      </w:pPr>
    </w:p>
    <w:p>
      <w:pPr>
        <w:ind w:firstLine="917"/>
        <w:spacing w:after="0" w:line="351" w:lineRule="auto"/>
        <w:rPr>
          <w:sz w:val="20"/>
          <w:szCs w:val="20"/>
          <w:color w:val="auto"/>
        </w:rPr>
      </w:pPr>
      <w:r>
        <w:rPr>
          <w:rFonts w:ascii="Arial" w:cs="Arial" w:eastAsia="Arial" w:hAnsi="Arial"/>
          <w:sz w:val="12"/>
          <w:szCs w:val="12"/>
          <w:color w:val="auto"/>
        </w:rPr>
        <w:t>12.3.2 Notwithstanding anything to the contrary above, in the event of any claim or criminal action brought by a Governmental Authority against a Gilead Indemnitee for which indemnification may be sought under this Section 12.3, Gilead shall have the right to control the defense, litigation, settlement, appeal or other disposition of the claim or action at MacroGenics’ expense.</w:t>
      </w:r>
    </w:p>
    <w:p>
      <w:pPr>
        <w:spacing w:after="0" w:line="56" w:lineRule="exact"/>
        <w:rPr>
          <w:sz w:val="20"/>
          <w:szCs w:val="20"/>
          <w:color w:val="auto"/>
        </w:rPr>
      </w:pPr>
    </w:p>
    <w:p>
      <w:pPr>
        <w:ind w:right="440" w:firstLine="458"/>
        <w:spacing w:after="0" w:line="267" w:lineRule="auto"/>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u w:val="single" w:color="auto"/>
          <w:color w:val="auto"/>
        </w:rPr>
        <w:t>Allocation</w:t>
      </w:r>
      <w:r>
        <w:rPr>
          <w:rFonts w:ascii="Arial" w:cs="Arial" w:eastAsia="Arial" w:hAnsi="Arial"/>
          <w:sz w:val="14"/>
          <w:szCs w:val="14"/>
          <w:color w:val="auto"/>
        </w:rPr>
        <w:t>. In the event a claim falls within the scope of the indemnity given by each Party in Section 12.1 or 12.2, as the case may be, any payments in connection with such claim shall be apportioned between the Parties in accordance with the degree of fault attributable to each Party.</w:t>
      </w:r>
    </w:p>
    <w:p>
      <w:pPr>
        <w:spacing w:after="0" w:line="101" w:lineRule="exact"/>
        <w:rPr>
          <w:sz w:val="20"/>
          <w:szCs w:val="20"/>
          <w:color w:val="auto"/>
        </w:rPr>
      </w:pPr>
    </w:p>
    <w:p>
      <w:pPr>
        <w:ind w:right="80" w:firstLine="458"/>
        <w:spacing w:after="0" w:line="253" w:lineRule="auto"/>
        <w:rPr>
          <w:sz w:val="20"/>
          <w:szCs w:val="20"/>
          <w:color w:val="auto"/>
        </w:rPr>
      </w:pPr>
      <w:r>
        <w:rPr>
          <w:rFonts w:ascii="Arial" w:cs="Arial" w:eastAsia="Arial" w:hAnsi="Arial"/>
          <w:sz w:val="14"/>
          <w:szCs w:val="14"/>
          <w:color w:val="auto"/>
        </w:rPr>
        <w:t xml:space="preserve">12.5 </w:t>
      </w:r>
      <w:r>
        <w:rPr>
          <w:rFonts w:ascii="Arial" w:cs="Arial" w:eastAsia="Arial" w:hAnsi="Arial"/>
          <w:sz w:val="14"/>
          <w:szCs w:val="14"/>
          <w:u w:val="single" w:color="auto"/>
          <w:color w:val="auto"/>
        </w:rPr>
        <w:t>EXCLUSION OF CONSEQUENTIAL DAMAGES</w:t>
      </w:r>
      <w:r>
        <w:rPr>
          <w:rFonts w:ascii="Arial" w:cs="Arial" w:eastAsia="Arial" w:hAnsi="Arial"/>
          <w:sz w:val="14"/>
          <w:szCs w:val="14"/>
          <w:color w:val="auto"/>
        </w:rPr>
        <w:t>. EXCEPT WITH RESPECT TO A BREACH OF SECTION 4.9, ARTICLE 10 OR THIRD PARTY CLAIMS THAT ARE SUBJECT TO INDEMNIFICATION UNDER THIS ARTICLE 12, NEITHER MACROGENICS NOR GILEAD, NOR ANY OF THEIR RESPECTIVE AFFILIATES, WILL BE LIABLE FOR ANY INDIRECT, INCIDENTAL, CONSEQUENTIAL, SPECIAL OR PUNITIVE DAMAGES, WHETHER LIABILITY IS ASSERTED IN CONTRACT, TORT (INCLUDING NEGLIGENCE AND STRICT PRODUCT LIABILITY), INDEMNITY OR CONTRIBUTION, AND IRRESPECTIVE OF WHETHER SUCH PARTY OR ANY REPRESENTATIVE OF SUCH PARTY HAS BEEN ADVISED OF, OR OTHERWISE MIGHT HAVE ANTICIPATED THE POSSIBILITY OF, ANY SUCH LOSS OR DAMAGE.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12" w:lineRule="exact"/>
        <w:rPr>
          <w:sz w:val="20"/>
          <w:szCs w:val="20"/>
          <w:color w:val="auto"/>
        </w:rPr>
      </w:pPr>
    </w:p>
    <w:p>
      <w:pPr>
        <w:ind w:left="3840" w:right="2640" w:hanging="1135"/>
        <w:spacing w:after="0" w:line="341" w:lineRule="auto"/>
        <w:tabs>
          <w:tab w:leader="none" w:pos="2944" w:val="left"/>
        </w:tabs>
        <w:numPr>
          <w:ilvl w:val="0"/>
          <w:numId w:val="64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600" w:name="page601"/>
    <w:bookmarkEnd w:id="60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12.6 </w:t>
      </w:r>
      <w:r>
        <w:rPr>
          <w:rFonts w:ascii="Arial" w:cs="Arial" w:eastAsia="Arial" w:hAnsi="Arial"/>
          <w:sz w:val="14"/>
          <w:szCs w:val="14"/>
          <w:u w:val="single" w:color="auto"/>
          <w:color w:val="auto"/>
        </w:rPr>
        <w:t>Insurance</w:t>
      </w: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12.6.1 MacroGenics shall, at its own cost and expense, obtain and maintain in full force and effect the following insurance:</w:t>
      </w:r>
    </w:p>
    <w:p>
      <w:pPr>
        <w:spacing w:after="0" w:line="132" w:lineRule="exact"/>
        <w:rPr>
          <w:sz w:val="20"/>
          <w:szCs w:val="20"/>
          <w:color w:val="auto"/>
        </w:rPr>
      </w:pPr>
    </w:p>
    <w:p>
      <w:pPr>
        <w:ind w:left="1680" w:hanging="187"/>
        <w:spacing w:after="0"/>
        <w:tabs>
          <w:tab w:leader="none" w:pos="1680" w:val="left"/>
        </w:tabs>
        <w:numPr>
          <w:ilvl w:val="0"/>
          <w:numId w:val="649"/>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649"/>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firstLine="1493"/>
        <w:spacing w:after="0" w:line="267" w:lineRule="auto"/>
        <w:tabs>
          <w:tab w:leader="none" w:pos="1675" w:val="left"/>
        </w:tabs>
        <w:numPr>
          <w:ilvl w:val="0"/>
          <w:numId w:val="649"/>
        </w:numPr>
        <w:rPr>
          <w:rFonts w:ascii="Arial" w:cs="Arial" w:eastAsia="Arial" w:hAnsi="Arial"/>
          <w:sz w:val="14"/>
          <w:szCs w:val="14"/>
          <w:color w:val="auto"/>
        </w:rPr>
      </w:pPr>
      <w:r>
        <w:rPr>
          <w:rFonts w:ascii="Arial" w:cs="Arial" w:eastAsia="Arial" w:hAnsi="Arial"/>
          <w:sz w:val="14"/>
          <w:szCs w:val="14"/>
          <w:color w:val="auto"/>
        </w:rPr>
        <w:t>Upon initiation by MacroGenics of human clinical trials of any Program DART or Licensed Product, Clinical Trials insurance in accordance with applicable Law in the jurisdiction where such trials will be performed; and</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649"/>
        </w:numPr>
        <w:rPr>
          <w:rFonts w:ascii="Arial" w:cs="Arial" w:eastAsia="Arial" w:hAnsi="Arial"/>
          <w:sz w:val="14"/>
          <w:szCs w:val="14"/>
          <w:color w:val="auto"/>
        </w:rPr>
      </w:pPr>
      <w:r>
        <w:rPr>
          <w:rFonts w:ascii="Arial" w:cs="Arial" w:eastAsia="Arial" w:hAnsi="Arial"/>
          <w:sz w:val="14"/>
          <w:szCs w:val="14"/>
          <w:color w:val="auto"/>
        </w:rPr>
        <w:t>***</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In the event that any of the required policies of insurance are written on a claims made basis, then such policies shall be maintained for a period of not less than five (5) years following the termination or expiration of this Agreement. Each insurance policy that is required under this Section 12.6.1 shall be obtained from an insurance carrier with an A.M. Best rating of at least A-VII. MacroGenics shall furnish a certificate of insurance for any of the required policies as soon as practicable after the Effective Date (or, with respect to clauses (b) and (c) above, such time as MacroGenics obtains the applicable policy) and upon any renewal thereof.</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12.6.2 Gilead shall at its own cost and expense, obtain and maintain in full force and effect the following insurance:</w:t>
      </w:r>
    </w:p>
    <w:p>
      <w:pPr>
        <w:spacing w:after="0" w:line="132" w:lineRule="exact"/>
        <w:rPr>
          <w:sz w:val="20"/>
          <w:szCs w:val="20"/>
          <w:color w:val="auto"/>
        </w:rPr>
      </w:pPr>
    </w:p>
    <w:p>
      <w:pPr>
        <w:ind w:firstLine="1493"/>
        <w:spacing w:after="0" w:line="267" w:lineRule="auto"/>
        <w:tabs>
          <w:tab w:leader="none" w:pos="1675" w:val="left"/>
        </w:tabs>
        <w:numPr>
          <w:ilvl w:val="0"/>
          <w:numId w:val="650"/>
        </w:numPr>
        <w:rPr>
          <w:rFonts w:ascii="Arial" w:cs="Arial" w:eastAsia="Arial" w:hAnsi="Arial"/>
          <w:sz w:val="14"/>
          <w:szCs w:val="14"/>
          <w:color w:val="auto"/>
        </w:rPr>
      </w:pPr>
      <w:r>
        <w:rPr>
          <w:rFonts w:ascii="Arial" w:cs="Arial" w:eastAsia="Arial" w:hAnsi="Arial"/>
          <w:sz w:val="14"/>
          <w:szCs w:val="14"/>
          <w:color w:val="auto"/>
        </w:rPr>
        <w:t>Upon initiation by Gilead of human clinical trials of any Program DART or Licensed Product, Clinical Trials insurance in accordance with applicable Law in the jurisdiction where such trials will be performed; and</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650"/>
        </w:numPr>
        <w:rPr>
          <w:rFonts w:ascii="Arial" w:cs="Arial" w:eastAsia="Arial" w:hAnsi="Arial"/>
          <w:sz w:val="14"/>
          <w:szCs w:val="14"/>
          <w:color w:val="auto"/>
        </w:rPr>
      </w:pPr>
      <w:r>
        <w:rPr>
          <w:rFonts w:ascii="Arial" w:cs="Arial" w:eastAsia="Arial" w:hAnsi="Arial"/>
          <w:sz w:val="14"/>
          <w:szCs w:val="14"/>
          <w:color w:val="auto"/>
        </w:rPr>
        <w:t>***.</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In lieu of insurance, Gilead may self-insure any or a portion of the above required insurance. In the event that any of the required policies of insurance are written on a claims made basis, then such policies shall be maintained for a period of not less than five (5) years following the termination or expiration of this Agreement. Subject to Gilead’s right to self-insure, each insurance policy that is required under this Section 12.6.2 shall be obtained from an insurance carrier with an A.M. Best rating of at least A-VII. Gilead shall furnish a certificate of insurance for any of the required policies as soon as practicable after Gilead obtains the applicable policy and upon any renewal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 AND TERMINATION</w:t>
      </w:r>
    </w:p>
    <w:p>
      <w:pPr>
        <w:spacing w:after="0" w:line="126" w:lineRule="exact"/>
        <w:rPr>
          <w:sz w:val="20"/>
          <w:szCs w:val="20"/>
          <w:color w:val="auto"/>
        </w:rPr>
      </w:pPr>
    </w:p>
    <w:p>
      <w:pPr>
        <w:ind w:right="140" w:firstLine="458"/>
        <w:spacing w:after="0" w:line="351"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u w:val="single" w:color="auto"/>
          <w:color w:val="auto"/>
        </w:rPr>
        <w:t>Agreement Term; Expiration</w:t>
      </w:r>
      <w:r>
        <w:rPr>
          <w:rFonts w:ascii="Arial" w:cs="Arial" w:eastAsia="Arial" w:hAnsi="Arial"/>
          <w:sz w:val="12"/>
          <w:szCs w:val="12"/>
          <w:color w:val="auto"/>
        </w:rPr>
        <w:t>. This Agreement shall become effective as of the Effective Date and, unless earlier terminated in accordance herewith, shall continue in full force with respect to any Licensed Program until the expiration of the last to expire Royalty Term for a Licensed Product from such Licensed Program with respect to each country in the Gilead Territory for such Licensed Program.</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5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601" w:name="page602"/>
    <w:bookmarkEnd w:id="601"/>
    <w:p>
      <w:pPr>
        <w:ind w:firstLine="458"/>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13.2 </w:t>
      </w:r>
      <w:r>
        <w:rPr>
          <w:rFonts w:ascii="Arial" w:cs="Arial" w:eastAsia="Arial" w:hAnsi="Arial"/>
          <w:sz w:val="12"/>
          <w:szCs w:val="12"/>
          <w:u w:val="single" w:color="auto"/>
          <w:color w:val="auto"/>
        </w:rPr>
        <w:t>Termination for Cause</w:t>
      </w:r>
      <w:r>
        <w:rPr>
          <w:rFonts w:ascii="Arial" w:cs="Arial" w:eastAsia="Arial" w:hAnsi="Arial"/>
          <w:sz w:val="12"/>
          <w:szCs w:val="12"/>
          <w:color w:val="auto"/>
        </w:rPr>
        <w:t>. Either Party (the “</w:t>
      </w:r>
      <w:r>
        <w:rPr>
          <w:rFonts w:ascii="Arial" w:cs="Arial" w:eastAsia="Arial" w:hAnsi="Arial"/>
          <w:sz w:val="12"/>
          <w:szCs w:val="12"/>
          <w:u w:val="single" w:color="auto"/>
          <w:color w:val="auto"/>
        </w:rPr>
        <w:t>Non-Breaching Party</w:t>
      </w:r>
      <w:r>
        <w:rPr>
          <w:rFonts w:ascii="Arial" w:cs="Arial" w:eastAsia="Arial" w:hAnsi="Arial"/>
          <w:sz w:val="12"/>
          <w:szCs w:val="12"/>
          <w:color w:val="auto"/>
        </w:rPr>
        <w:t>”) may, without prejudice to any other remedies available to it under applicable Law or in equity, terminate this Agreement in its entirety or with respect to any Licensed Program if the other Party (the “</w:t>
      </w:r>
      <w:r>
        <w:rPr>
          <w:rFonts w:ascii="Arial" w:cs="Arial" w:eastAsia="Arial" w:hAnsi="Arial"/>
          <w:sz w:val="12"/>
          <w:szCs w:val="12"/>
          <w:u w:val="single" w:color="auto"/>
          <w:color w:val="auto"/>
        </w:rPr>
        <w:t>Breaching Party</w:t>
      </w:r>
      <w:r>
        <w:rPr>
          <w:rFonts w:ascii="Arial" w:cs="Arial" w:eastAsia="Arial" w:hAnsi="Arial"/>
          <w:sz w:val="12"/>
          <w:szCs w:val="12"/>
          <w:color w:val="auto"/>
        </w:rPr>
        <w:t xml:space="preserve">”) shall have materially breached or defaulted in the performance of its obligations hereunder with respect to such Licensed Program, and such default shall have continued for </w:t>
      </w:r>
      <w:r>
        <w:rPr>
          <w:rFonts w:ascii="Arial" w:cs="Arial" w:eastAsia="Arial" w:hAnsi="Arial"/>
          <w:sz w:val="12"/>
          <w:szCs w:val="12"/>
          <w:b w:val="1"/>
          <w:bCs w:val="1"/>
          <w:color w:val="auto"/>
        </w:rPr>
        <w:t>***</w:t>
      </w:r>
      <w:r>
        <w:rPr>
          <w:rFonts w:ascii="Arial" w:cs="Arial" w:eastAsia="Arial" w:hAnsi="Arial"/>
          <w:sz w:val="12"/>
          <w:szCs w:val="12"/>
          <w:color w:val="auto"/>
        </w:rPr>
        <w:t xml:space="preserve"> after written notice thereof was provided to the Breaching Party by the Non-Breaching Party, such notice describing the alleged breach. Any such termination shall become effective at the end of such </w:t>
      </w:r>
      <w:r>
        <w:rPr>
          <w:rFonts w:ascii="Arial" w:cs="Arial" w:eastAsia="Arial" w:hAnsi="Arial"/>
          <w:sz w:val="12"/>
          <w:szCs w:val="12"/>
          <w:b w:val="1"/>
          <w:bCs w:val="1"/>
          <w:color w:val="auto"/>
        </w:rPr>
        <w:t>***</w:t>
      </w:r>
      <w:r>
        <w:rPr>
          <w:rFonts w:ascii="Arial" w:cs="Arial" w:eastAsia="Arial" w:hAnsi="Arial"/>
          <w:sz w:val="12"/>
          <w:szCs w:val="12"/>
          <w:color w:val="auto"/>
        </w:rPr>
        <w:t xml:space="preserve"> cure period, unless the Breaching Party has cured such breach or default prior to the expiration of such cure period; provided, however, that if the Breaching Party notifies the Non-Breaching Party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that the Breaching Party disagrees in good faith with such asserted basis for termination, the termination of this Agreement in its entirety or with respect to the applicable Licensed Program shall not be effective unless and until the matter has been finally resolved in accordance with Section 15.2 and the decision by the applicable court rendered in accordance with Section 15.2 holds that the Breaching Party materially breached this Agreement. The right of either Party to terminate this Agreement as provided in this Section 13.2 shall not be affected in any way by such Party’s waiver or failure to take action with respect to any previous default.</w:t>
      </w:r>
    </w:p>
    <w:p>
      <w:pPr>
        <w:spacing w:after="0" w:line="87" w:lineRule="exact"/>
        <w:rPr>
          <w:sz w:val="20"/>
          <w:szCs w:val="20"/>
          <w:color w:val="auto"/>
        </w:rPr>
      </w:pPr>
    </w:p>
    <w:p>
      <w:pPr>
        <w:ind w:firstLine="458"/>
        <w:spacing w:after="0" w:line="252"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u w:val="single" w:color="auto"/>
          <w:color w:val="auto"/>
        </w:rPr>
        <w:t>Termination for Patent Challenge</w:t>
      </w:r>
      <w:r>
        <w:rPr>
          <w:rFonts w:ascii="Arial" w:cs="Arial" w:eastAsia="Arial" w:hAnsi="Arial"/>
          <w:sz w:val="14"/>
          <w:szCs w:val="14"/>
          <w:color w:val="auto"/>
        </w:rPr>
        <w:t xml:space="preserve">. If either Party or any of its Affiliates: (a) commences or otherwise voluntarily determines to participate in any action or proceeding (including any patent opposition or re-examination proceeding), challenging or denying the validity of any of the other Party’s Patents or Joint Patents licensed hereunder or any claim thereof, excluding any such challenge asserted as a counterclaim in litigation initiated by the other Party or its Affiliates, or (b) actively assists any other Person in bringing or prosecuting any action or proceeding (including any patent opposition or re-examination proceeding) challenging or denying the validity of any of such Patents or any claim thereof, the non-challenging Party shall have the right to terminate this Agreement with respect to the Licensed Program to which such Patents are subject upon </w:t>
      </w:r>
      <w:r>
        <w:rPr>
          <w:rFonts w:ascii="Arial" w:cs="Arial" w:eastAsia="Arial" w:hAnsi="Arial"/>
          <w:sz w:val="14"/>
          <w:szCs w:val="14"/>
          <w:b w:val="1"/>
          <w:bCs w:val="1"/>
          <w:color w:val="auto"/>
        </w:rPr>
        <w:t>***</w:t>
      </w:r>
      <w:r>
        <w:rPr>
          <w:rFonts w:ascii="Arial" w:cs="Arial" w:eastAsia="Arial" w:hAnsi="Arial"/>
          <w:sz w:val="14"/>
          <w:szCs w:val="14"/>
          <w:color w:val="auto"/>
        </w:rPr>
        <w:t xml:space="preserve"> written notice to the other Party. Any such termination shall only become effective if the challenging Party or its Affiliate, as applicable, has not withdrawn such action before the end of the above notice period.</w:t>
      </w:r>
    </w:p>
    <w:p>
      <w:pPr>
        <w:spacing w:after="0" w:line="112" w:lineRule="exact"/>
        <w:rPr>
          <w:sz w:val="20"/>
          <w:szCs w:val="20"/>
          <w:color w:val="auto"/>
        </w:rPr>
      </w:pPr>
    </w:p>
    <w:p>
      <w:pPr>
        <w:ind w:right="260" w:firstLine="458"/>
        <w:spacing w:after="0" w:line="297"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Termination for Convenience</w:t>
      </w:r>
      <w:r>
        <w:rPr>
          <w:rFonts w:ascii="Arial" w:cs="Arial" w:eastAsia="Arial" w:hAnsi="Arial"/>
          <w:sz w:val="12"/>
          <w:szCs w:val="12"/>
          <w:color w:val="auto"/>
        </w:rPr>
        <w:t xml:space="preserve">. Gilead may terminate this Agreement with respect to any Licensed Program at any time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to MacroGenics if the effective date of such termination is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Effective Date; provided, however, that Gilead may terminate this Agreement with respect to a Licensed Program at any time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to MacroGenics if there is a</w:t>
      </w:r>
    </w:p>
    <w:p>
      <w:pPr>
        <w:spacing w:after="0" w:line="1" w:lineRule="exact"/>
        <w:rPr>
          <w:sz w:val="20"/>
          <w:szCs w:val="20"/>
          <w:color w:val="auto"/>
        </w:rPr>
      </w:pPr>
    </w:p>
    <w:p>
      <w:pPr>
        <w:ind w:right="60"/>
        <w:spacing w:after="0" w:line="316" w:lineRule="auto"/>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 and provided, further, that if the Research Term of the Research Program associated with any terminated Licensed Program has not expired as of the effective date of such termination, (a) the Parties shall</w:t>
      </w:r>
      <w:r>
        <w:rPr>
          <w:rFonts w:ascii="Arial" w:cs="Arial" w:eastAsia="Arial" w:hAnsi="Arial"/>
          <w:sz w:val="12"/>
          <w:szCs w:val="12"/>
          <w:b w:val="1"/>
          <w:bCs w:val="1"/>
          <w:color w:val="auto"/>
        </w:rPr>
        <w:t xml:space="preserve"> </w:t>
      </w:r>
      <w:r>
        <w:rPr>
          <w:rFonts w:ascii="Arial" w:cs="Arial" w:eastAsia="Arial" w:hAnsi="Arial"/>
          <w:sz w:val="12"/>
          <w:szCs w:val="12"/>
          <w:color w:val="auto"/>
        </w:rPr>
        <w:t>use good faith efforts to reallocate the FTEs for such Research Program, first to other active Research Programs (if any), and second to any other research programs of MacroGenics, and (b) Gilead shall pay the reasonable, documented Out-of-Pocket Costs and FTE Costs of MacroGenics incurred in winding down such Research Program.</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5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602" w:name="page603"/>
    <w:bookmarkEnd w:id="602"/>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13.5 </w:t>
      </w:r>
      <w:r>
        <w:rPr>
          <w:rFonts w:ascii="Arial" w:cs="Arial" w:eastAsia="Arial" w:hAnsi="Arial"/>
          <w:sz w:val="12"/>
          <w:szCs w:val="12"/>
          <w:u w:val="single" w:color="auto"/>
          <w:color w:val="auto"/>
        </w:rPr>
        <w:t>Termination for Insolvency Event</w:t>
      </w:r>
      <w:r>
        <w:rPr>
          <w:rFonts w:ascii="Arial" w:cs="Arial" w:eastAsia="Arial" w:hAnsi="Arial"/>
          <w:sz w:val="12"/>
          <w:szCs w:val="12"/>
          <w:color w:val="auto"/>
        </w:rPr>
        <w:t>: Either Party may terminate this Agreement in its entirety upon written notice to the other Party if the other Party suffers an Insolvency Event.</w:t>
      </w:r>
    </w:p>
    <w:p>
      <w:pPr>
        <w:spacing w:after="0" w:line="153"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4"/>
          <w:szCs w:val="14"/>
          <w:color w:val="auto"/>
        </w:rPr>
        <w:t xml:space="preserve">13.6 </w:t>
      </w:r>
      <w:r>
        <w:rPr>
          <w:rFonts w:ascii="Arial" w:cs="Arial" w:eastAsia="Arial" w:hAnsi="Arial"/>
          <w:sz w:val="14"/>
          <w:szCs w:val="14"/>
          <w:u w:val="single" w:color="auto"/>
          <w:color w:val="auto"/>
        </w:rPr>
        <w:t>Termination for HSR Act Delay</w:t>
      </w:r>
      <w:r>
        <w:rPr>
          <w:rFonts w:ascii="Arial" w:cs="Arial" w:eastAsia="Arial" w:hAnsi="Arial"/>
          <w:sz w:val="14"/>
          <w:szCs w:val="14"/>
          <w:color w:val="auto"/>
        </w:rPr>
        <w:t xml:space="preserve">. Gilead may terminate this Agreement with respect to the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or the </w:t>
      </w:r>
      <w:r>
        <w:rPr>
          <w:rFonts w:ascii="Arial" w:cs="Arial" w:eastAsia="Arial" w:hAnsi="Arial"/>
          <w:sz w:val="14"/>
          <w:szCs w:val="14"/>
          <w:b w:val="1"/>
          <w:bCs w:val="1"/>
          <w:color w:val="auto"/>
        </w:rPr>
        <w:t>***</w:t>
      </w:r>
      <w:r>
        <w:rPr>
          <w:rFonts w:ascii="Arial" w:cs="Arial" w:eastAsia="Arial" w:hAnsi="Arial"/>
          <w:sz w:val="14"/>
          <w:szCs w:val="14"/>
          <w:color w:val="auto"/>
        </w:rPr>
        <w:t>Licensed Program, as applicable, upon written notice to MacroGenics if an HSR Filing with respect to such Licensed Program is made under Section 3.2.2(c) and the waiting period (or any extension thereof) under the HSR Act has not terminated or expired as of sixty (60) days after the date on which such HSR Filing is made.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13.7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w:t>
      </w:r>
    </w:p>
    <w:p>
      <w:pPr>
        <w:spacing w:after="0" w:line="132"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13.7.1 Subject to Section 13.8, upon termination of this Agreement by MacroGenics in whole or with respect to one or more Terminated Programs pursuant to Section 13.2, 13.3, 13.5 or 15.5 or by Gilead with respect to one or more Terminated Programs pursuant to Section 13.4:</w:t>
      </w:r>
    </w:p>
    <w:p>
      <w:pPr>
        <w:spacing w:after="0" w:line="101" w:lineRule="exact"/>
        <w:rPr>
          <w:sz w:val="20"/>
          <w:szCs w:val="20"/>
          <w:color w:val="auto"/>
        </w:rPr>
      </w:pPr>
    </w:p>
    <w:p>
      <w:pPr>
        <w:ind w:right="60" w:firstLine="1493"/>
        <w:spacing w:after="0" w:line="267" w:lineRule="auto"/>
        <w:tabs>
          <w:tab w:leader="none" w:pos="1675" w:val="left"/>
        </w:tabs>
        <w:numPr>
          <w:ilvl w:val="0"/>
          <w:numId w:val="653"/>
        </w:numPr>
        <w:rPr>
          <w:rFonts w:ascii="Arial" w:cs="Arial" w:eastAsia="Arial" w:hAnsi="Arial"/>
          <w:sz w:val="14"/>
          <w:szCs w:val="14"/>
          <w:color w:val="auto"/>
        </w:rPr>
      </w:pPr>
      <w:r>
        <w:rPr>
          <w:rFonts w:ascii="Arial" w:cs="Arial" w:eastAsia="Arial" w:hAnsi="Arial"/>
          <w:sz w:val="14"/>
          <w:szCs w:val="14"/>
          <w:color w:val="auto"/>
        </w:rPr>
        <w:t>all rights, licenses and options granted by MacroGenics to Gilead with respect to each Terminated Program hereunder shall terminate and Gilead shall not have any rights to use or exercise any rights under the MacroGenics IP with respect to any such Terminated Program;</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653"/>
        </w:numPr>
        <w:rPr>
          <w:rFonts w:ascii="Arial" w:cs="Arial" w:eastAsia="Arial" w:hAnsi="Arial"/>
          <w:sz w:val="12"/>
          <w:szCs w:val="12"/>
          <w:color w:val="auto"/>
        </w:rPr>
      </w:pPr>
      <w:r>
        <w:rPr>
          <w:rFonts w:ascii="Arial" w:cs="Arial" w:eastAsia="Arial" w:hAnsi="Arial"/>
          <w:sz w:val="12"/>
          <w:szCs w:val="12"/>
          <w:color w:val="auto"/>
        </w:rPr>
        <w:t>any Gilead Collaboration Know-How described in clause (a) of the second sentence of Section 10.1 shall continue to be deemed to be the Confidential Information of each Party;</w:t>
      </w:r>
    </w:p>
    <w:p>
      <w:pPr>
        <w:spacing w:after="0" w:line="154" w:lineRule="exact"/>
        <w:rPr>
          <w:rFonts w:ascii="Arial" w:cs="Arial" w:eastAsia="Arial" w:hAnsi="Arial"/>
          <w:sz w:val="12"/>
          <w:szCs w:val="12"/>
          <w:color w:val="auto"/>
        </w:rPr>
      </w:pPr>
    </w:p>
    <w:p>
      <w:pPr>
        <w:ind w:right="120" w:firstLine="1493"/>
        <w:spacing w:after="0" w:line="351" w:lineRule="auto"/>
        <w:tabs>
          <w:tab w:leader="none" w:pos="1675" w:val="left"/>
        </w:tabs>
        <w:numPr>
          <w:ilvl w:val="0"/>
          <w:numId w:val="653"/>
        </w:numPr>
        <w:rPr>
          <w:rFonts w:ascii="Arial" w:cs="Arial" w:eastAsia="Arial" w:hAnsi="Arial"/>
          <w:sz w:val="12"/>
          <w:szCs w:val="12"/>
          <w:color w:val="auto"/>
        </w:rPr>
      </w:pPr>
      <w:r>
        <w:rPr>
          <w:rFonts w:ascii="Arial" w:cs="Arial" w:eastAsia="Arial" w:hAnsi="Arial"/>
          <w:sz w:val="12"/>
          <w:szCs w:val="12"/>
          <w:color w:val="auto"/>
        </w:rPr>
        <w:t>if such termination occurs during a Research Term, Gilead shall promptly transfer and assign to MacroGenics all Supplemental Data and Gilead Collaboration IP that was created by or on behalf of Gilead or its Affiliates, or both, whether solely or jointly with MacroGenics, in the course of conducting activities under the Terminated Program;</w:t>
      </w:r>
    </w:p>
    <w:p>
      <w:pPr>
        <w:spacing w:after="0" w:line="56" w:lineRule="exact"/>
        <w:rPr>
          <w:rFonts w:ascii="Arial" w:cs="Arial" w:eastAsia="Arial" w:hAnsi="Arial"/>
          <w:sz w:val="12"/>
          <w:szCs w:val="12"/>
          <w:color w:val="auto"/>
        </w:rPr>
      </w:pPr>
    </w:p>
    <w:p>
      <w:pPr>
        <w:ind w:left="1680" w:hanging="187"/>
        <w:spacing w:after="0"/>
        <w:tabs>
          <w:tab w:leader="none" w:pos="1680" w:val="left"/>
        </w:tabs>
        <w:numPr>
          <w:ilvl w:val="0"/>
          <w:numId w:val="653"/>
        </w:numPr>
        <w:rPr>
          <w:rFonts w:ascii="Arial" w:cs="Arial" w:eastAsia="Arial" w:hAnsi="Arial"/>
          <w:sz w:val="14"/>
          <w:szCs w:val="14"/>
          <w:color w:val="auto"/>
        </w:rPr>
      </w:pPr>
      <w:r>
        <w:rPr>
          <w:rFonts w:ascii="Arial" w:cs="Arial" w:eastAsia="Arial" w:hAnsi="Arial"/>
          <w:sz w:val="14"/>
          <w:szCs w:val="14"/>
          <w:color w:val="auto"/>
        </w:rPr>
        <w:t>if such termination occurs after the Research Term and during a License Term:</w:t>
      </w:r>
    </w:p>
    <w:p>
      <w:pPr>
        <w:spacing w:after="0" w:line="131" w:lineRule="exact"/>
        <w:rPr>
          <w:rFonts w:ascii="Arial" w:cs="Arial" w:eastAsia="Arial" w:hAnsi="Arial"/>
          <w:sz w:val="14"/>
          <w:szCs w:val="14"/>
          <w:color w:val="auto"/>
        </w:rPr>
      </w:pPr>
    </w:p>
    <w:p>
      <w:pPr>
        <w:ind w:right="580" w:firstLine="1952"/>
        <w:spacing w:after="0" w:line="351" w:lineRule="auto"/>
        <w:tabs>
          <w:tab w:leader="none" w:pos="2110" w:val="left"/>
        </w:tabs>
        <w:numPr>
          <w:ilvl w:val="1"/>
          <w:numId w:val="653"/>
        </w:numPr>
        <w:rPr>
          <w:rFonts w:ascii="Arial" w:cs="Arial" w:eastAsia="Arial" w:hAnsi="Arial"/>
          <w:sz w:val="12"/>
          <w:szCs w:val="12"/>
          <w:color w:val="auto"/>
        </w:rPr>
      </w:pPr>
      <w:r>
        <w:rPr>
          <w:rFonts w:ascii="Arial" w:cs="Arial" w:eastAsia="Arial" w:hAnsi="Arial"/>
          <w:sz w:val="12"/>
          <w:szCs w:val="12"/>
          <w:color w:val="auto"/>
        </w:rPr>
        <w:t xml:space="preserve">to the extent Gilead has conducted any Research, Development or Commercialization activities with respect to such Terminated Program, Gilead shall provide to MacroGenics a fair and accurate detailed written description of the status of such activities through the effective date of termination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of such termination;</w:t>
      </w:r>
    </w:p>
    <w:p>
      <w:pPr>
        <w:spacing w:after="0" w:line="56" w:lineRule="exact"/>
        <w:rPr>
          <w:rFonts w:ascii="Arial" w:cs="Arial" w:eastAsia="Arial" w:hAnsi="Arial"/>
          <w:sz w:val="12"/>
          <w:szCs w:val="12"/>
          <w:color w:val="auto"/>
        </w:rPr>
      </w:pPr>
    </w:p>
    <w:p>
      <w:pPr>
        <w:ind w:right="180" w:firstLine="1952"/>
        <w:spacing w:after="0" w:line="258" w:lineRule="auto"/>
        <w:tabs>
          <w:tab w:leader="none" w:pos="2148" w:val="left"/>
        </w:tabs>
        <w:numPr>
          <w:ilvl w:val="1"/>
          <w:numId w:val="653"/>
        </w:numPr>
        <w:rPr>
          <w:rFonts w:ascii="Arial" w:cs="Arial" w:eastAsia="Arial" w:hAnsi="Arial"/>
          <w:sz w:val="14"/>
          <w:szCs w:val="14"/>
          <w:color w:val="auto"/>
        </w:rPr>
      </w:pPr>
      <w:r>
        <w:rPr>
          <w:rFonts w:ascii="Arial" w:cs="Arial" w:eastAsia="Arial" w:hAnsi="Arial"/>
          <w:sz w:val="14"/>
          <w:szCs w:val="14"/>
          <w:color w:val="auto"/>
        </w:rPr>
        <w:t>the licenses granted to MacroGenics pursuant to Section 4.2 shall remain in effect and with respect to any Terminated Program shall become irrevocable; provided, however, that MacroGenics shall not use any Gilead Collaboration IP in connection with any activities in the Gilead Territory, except in accordance with (x) the license grants set forth in clauses (c) and (d) of Section 4.2 or (y) any rights of MacroGenics under any agreement entered into pursuant to Section 13.7.1(d)(vi);</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5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603" w:name="page604"/>
    <w:bookmarkEnd w:id="603"/>
    <w:p>
      <w:pPr>
        <w:ind w:left="2180" w:hanging="228"/>
        <w:spacing w:after="0"/>
        <w:tabs>
          <w:tab w:leader="none" w:pos="2180" w:val="left"/>
        </w:tabs>
        <w:numPr>
          <w:ilvl w:val="0"/>
          <w:numId w:val="65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rights granted to MacroGenics under Section 9.3.2 shall survive;</w:t>
      </w:r>
    </w:p>
    <w:p>
      <w:pPr>
        <w:spacing w:after="0" w:line="131" w:lineRule="exact"/>
        <w:rPr>
          <w:rFonts w:ascii="Arial" w:cs="Arial" w:eastAsia="Arial" w:hAnsi="Arial"/>
          <w:sz w:val="14"/>
          <w:szCs w:val="14"/>
          <w:color w:val="auto"/>
        </w:rPr>
      </w:pPr>
    </w:p>
    <w:p>
      <w:pPr>
        <w:ind w:right="400" w:firstLine="1952"/>
        <w:spacing w:after="0" w:line="351" w:lineRule="auto"/>
        <w:tabs>
          <w:tab w:leader="none" w:pos="2178" w:val="left"/>
        </w:tabs>
        <w:numPr>
          <w:ilvl w:val="0"/>
          <w:numId w:val="655"/>
        </w:numPr>
        <w:rPr>
          <w:rFonts w:ascii="Arial" w:cs="Arial" w:eastAsia="Arial" w:hAnsi="Arial"/>
          <w:sz w:val="12"/>
          <w:szCs w:val="12"/>
          <w:color w:val="auto"/>
        </w:rPr>
      </w:pPr>
      <w:r>
        <w:rPr>
          <w:rFonts w:ascii="Arial" w:cs="Arial" w:eastAsia="Arial" w:hAnsi="Arial"/>
          <w:sz w:val="12"/>
          <w:szCs w:val="12"/>
          <w:color w:val="auto"/>
        </w:rPr>
        <w:t>Gilead shall, to the extent it has not already done so, provide to MacroGenics copies of all Gilead Collaboration IP that was created by or on behalf of Gilead or its Affiliates in the course of conducting activities under the Terminated Program, solely to the extent necessary for MacroGenics to exercise its rights under clauses (ii) and (v) of this Section 13.7.1(d);</w:t>
      </w:r>
    </w:p>
    <w:p>
      <w:pPr>
        <w:spacing w:after="0" w:line="56" w:lineRule="exact"/>
        <w:rPr>
          <w:rFonts w:ascii="Arial" w:cs="Arial" w:eastAsia="Arial" w:hAnsi="Arial"/>
          <w:sz w:val="12"/>
          <w:szCs w:val="12"/>
          <w:color w:val="auto"/>
        </w:rPr>
      </w:pPr>
    </w:p>
    <w:p>
      <w:pPr>
        <w:ind w:firstLine="1952"/>
        <w:spacing w:after="0" w:line="293" w:lineRule="auto"/>
        <w:tabs>
          <w:tab w:leader="none" w:pos="2141" w:val="left"/>
        </w:tabs>
        <w:numPr>
          <w:ilvl w:val="0"/>
          <w:numId w:val="655"/>
        </w:numPr>
        <w:rPr>
          <w:rFonts w:ascii="Arial" w:cs="Arial" w:eastAsia="Arial" w:hAnsi="Arial"/>
          <w:sz w:val="12"/>
          <w:szCs w:val="12"/>
          <w:color w:val="auto"/>
        </w:rPr>
      </w:pPr>
      <w:r>
        <w:rPr>
          <w:rFonts w:ascii="Arial" w:cs="Arial" w:eastAsia="Arial" w:hAnsi="Arial"/>
          <w:sz w:val="12"/>
          <w:szCs w:val="12"/>
          <w:color w:val="auto"/>
        </w:rPr>
        <w:t>Gilead hereby grants to MacroGenics, effective upon such termination, a non-exclusive, royalty-free, non-transferable (except in accordance with Section 15.4) license, with the right to sublicense (subject to Section 4.3), under (A) Gilead’s and its Affiliates’ interest in Gilead Collaboration IP and Joint IP that are Platform IP and that were created by or on behalf of Gilead or its Affiliates, or both, whether solely or jointly with MacroGenics, in the course of conducting activities under the Terminated Program, to Research, Develop, Manufacture and Commercialize throughout the world DARTs; and (B) if the ***Licensed Program is the Terminated Program, clinical data included in the Gilead Collaboration Know-How that results from any Phase 1 Clinical Trial or Phase 2 Clinical Trial of any</w:t>
      </w:r>
    </w:p>
    <w:p>
      <w:pPr>
        <w:spacing w:after="0"/>
        <w:rPr>
          <w:rFonts w:ascii="Arial" w:cs="Arial" w:eastAsia="Arial" w:hAnsi="Arial"/>
          <w:sz w:val="12"/>
          <w:szCs w:val="12"/>
          <w:color w:val="auto"/>
        </w:rPr>
      </w:pPr>
      <w:r>
        <w:rPr>
          <w:rFonts w:ascii="Arial" w:cs="Arial" w:eastAsia="Arial" w:hAnsi="Arial"/>
          <w:sz w:val="14"/>
          <w:szCs w:val="14"/>
          <w:color w:val="auto"/>
        </w:rPr>
        <w:t>***Program DART or ***Licensed Product, to Research, Develop, Manufacture and Commercialize ***Program DARTS and ***Licensed Products throughout the world; and</w:t>
      </w:r>
    </w:p>
    <w:p>
      <w:pPr>
        <w:spacing w:after="0" w:line="125" w:lineRule="exact"/>
        <w:rPr>
          <w:rFonts w:ascii="Arial" w:cs="Arial" w:eastAsia="Arial" w:hAnsi="Arial"/>
          <w:sz w:val="12"/>
          <w:szCs w:val="12"/>
          <w:color w:val="auto"/>
        </w:rPr>
      </w:pPr>
    </w:p>
    <w:p>
      <w:pPr>
        <w:ind w:firstLine="1952"/>
        <w:spacing w:after="0" w:line="253" w:lineRule="auto"/>
        <w:tabs>
          <w:tab w:leader="none" w:pos="2178" w:val="left"/>
        </w:tabs>
        <w:numPr>
          <w:ilvl w:val="0"/>
          <w:numId w:val="655"/>
        </w:numPr>
        <w:rPr>
          <w:rFonts w:ascii="Arial" w:cs="Arial" w:eastAsia="Arial" w:hAnsi="Arial"/>
          <w:sz w:val="14"/>
          <w:szCs w:val="14"/>
          <w:color w:val="auto"/>
        </w:rPr>
      </w:pPr>
      <w:r>
        <w:rPr>
          <w:rFonts w:ascii="Arial" w:cs="Arial" w:eastAsia="Arial" w:hAnsi="Arial"/>
          <w:sz w:val="14"/>
          <w:szCs w:val="14"/>
          <w:color w:val="auto"/>
        </w:rPr>
        <w:t>the Parties shall enter into good faith negotiations with respect to an agreement pursuant to which Gilead would grant to MacroGenics a license under Gilead Collaboration IP (other than any Gilead Collaboration Know-How licensed to MacroGenics in accordance with clause (v) above) to Research, Develop, Manufacture and Commercialize the Licensed Product(s) from such Terminated Program, with terms regarding degree of exclusivity, royalty or other payments, access to or assignment of relevant Regulatory Documentation and other technical and other information or materials in Gilead’s or its Affiliates’ possession or control, transfer or amendment of applicable agreements or arrangements with Third Parties and other appropriate transition matters to be negotiated in good faith.</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13.7.2 Subject to Section 13.8, upon termination of this Agreement by Gilead in whole or with respect to one or more Terminated Programs pursuant to Section 13.2, 13.3, 13.5 or 15.5:</w:t>
      </w:r>
    </w:p>
    <w:p>
      <w:pPr>
        <w:spacing w:after="0" w:line="155" w:lineRule="exact"/>
        <w:rPr>
          <w:sz w:val="20"/>
          <w:szCs w:val="20"/>
          <w:color w:val="auto"/>
        </w:rPr>
      </w:pPr>
    </w:p>
    <w:p>
      <w:pPr>
        <w:ind w:firstLine="1493"/>
        <w:spacing w:after="0" w:line="267" w:lineRule="auto"/>
        <w:tabs>
          <w:tab w:leader="none" w:pos="1675" w:val="left"/>
        </w:tabs>
        <w:numPr>
          <w:ilvl w:val="0"/>
          <w:numId w:val="656"/>
        </w:numPr>
        <w:rPr>
          <w:rFonts w:ascii="Arial" w:cs="Arial" w:eastAsia="Arial" w:hAnsi="Arial"/>
          <w:sz w:val="14"/>
          <w:szCs w:val="14"/>
          <w:color w:val="auto"/>
        </w:rPr>
      </w:pPr>
      <w:r>
        <w:rPr>
          <w:rFonts w:ascii="Arial" w:cs="Arial" w:eastAsia="Arial" w:hAnsi="Arial"/>
          <w:sz w:val="14"/>
          <w:szCs w:val="14"/>
          <w:color w:val="auto"/>
        </w:rPr>
        <w:t>all rights, licenses and options of or granted to Gilead, its Affiliates or Sublicensees pursuant to this Agreement with respect to such Terminated Program, including in Sections 4.1, 6.2.2 and ARTICLE 9, shall remain in effect;</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656"/>
        </w:numPr>
        <w:rPr>
          <w:rFonts w:ascii="Arial" w:cs="Arial" w:eastAsia="Arial" w:hAnsi="Arial"/>
          <w:sz w:val="12"/>
          <w:szCs w:val="12"/>
          <w:color w:val="auto"/>
        </w:rPr>
      </w:pPr>
      <w:r>
        <w:rPr>
          <w:rFonts w:ascii="Arial" w:cs="Arial" w:eastAsia="Arial" w:hAnsi="Arial"/>
          <w:sz w:val="12"/>
          <w:szCs w:val="12"/>
          <w:color w:val="auto"/>
        </w:rPr>
        <w:t>any MacroGenics Know-How described in clause (a) of the second sentence of Section 10.1 shall continue to be deemed to be the Confidential Information of each Party;</w:t>
      </w:r>
    </w:p>
    <w:p>
      <w:pPr>
        <w:spacing w:after="0" w:line="154" w:lineRule="exact"/>
        <w:rPr>
          <w:rFonts w:ascii="Arial" w:cs="Arial" w:eastAsia="Arial" w:hAnsi="Arial"/>
          <w:sz w:val="12"/>
          <w:szCs w:val="12"/>
          <w:color w:val="auto"/>
        </w:rPr>
      </w:pPr>
    </w:p>
    <w:p>
      <w:pPr>
        <w:ind w:left="1680" w:hanging="187"/>
        <w:spacing w:after="0"/>
        <w:tabs>
          <w:tab w:leader="none" w:pos="1680" w:val="left"/>
        </w:tabs>
        <w:numPr>
          <w:ilvl w:val="0"/>
          <w:numId w:val="656"/>
        </w:numPr>
        <w:rPr>
          <w:rFonts w:ascii="Arial" w:cs="Arial" w:eastAsia="Arial" w:hAnsi="Arial"/>
          <w:sz w:val="14"/>
          <w:szCs w:val="14"/>
          <w:color w:val="auto"/>
        </w:rPr>
      </w:pPr>
      <w:r>
        <w:rPr>
          <w:rFonts w:ascii="Arial" w:cs="Arial" w:eastAsia="Arial" w:hAnsi="Arial"/>
          <w:sz w:val="14"/>
          <w:szCs w:val="14"/>
          <w:color w:val="auto"/>
        </w:rPr>
        <w:t>all payment obligations under ARTICLE 8 with respect to such Terminated Program shall remain in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5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604" w:name="page605"/>
    <w:bookmarkEnd w:id="604"/>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 all license grants, including under Section 4.2(d), by Gilead, its Affiliates or Sublicensees to MacroGenics pursuant to this Agreement with respect to such Terminated Program</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shall terminate; and</w:t>
      </w:r>
    </w:p>
    <w:p>
      <w:pPr>
        <w:spacing w:after="0" w:line="126" w:lineRule="exact"/>
        <w:rPr>
          <w:sz w:val="20"/>
          <w:szCs w:val="20"/>
          <w:color w:val="auto"/>
        </w:rPr>
      </w:pPr>
    </w:p>
    <w:p>
      <w:pPr>
        <w:ind w:right="520" w:firstLine="1493"/>
        <w:spacing w:after="0" w:line="267" w:lineRule="auto"/>
        <w:tabs>
          <w:tab w:leader="none" w:pos="1675" w:val="left"/>
        </w:tabs>
        <w:numPr>
          <w:ilvl w:val="0"/>
          <w:numId w:val="658"/>
        </w:numPr>
        <w:rPr>
          <w:rFonts w:ascii="Arial" w:cs="Arial" w:eastAsia="Arial" w:hAnsi="Arial"/>
          <w:sz w:val="14"/>
          <w:szCs w:val="14"/>
          <w:color w:val="auto"/>
        </w:rPr>
      </w:pPr>
      <w:r>
        <w:rPr>
          <w:rFonts w:ascii="Arial" w:cs="Arial" w:eastAsia="Arial" w:hAnsi="Arial"/>
          <w:sz w:val="14"/>
          <w:szCs w:val="14"/>
          <w:color w:val="auto"/>
        </w:rPr>
        <w:t>MacroGenics shall provide to Gilead copies of such technical and other information and materials in MacroGenics’ or its Affiliates’ possession or control as of the date of termination, in each case that relate to such Terminated Program, to the extent not previously provided to Gilead hereunder.</w:t>
      </w:r>
    </w:p>
    <w:p>
      <w:pPr>
        <w:spacing w:after="0" w:line="99" w:lineRule="exact"/>
        <w:rPr>
          <w:sz w:val="20"/>
          <w:szCs w:val="20"/>
          <w:color w:val="auto"/>
        </w:rPr>
      </w:pPr>
    </w:p>
    <w:p>
      <w:pPr>
        <w:ind w:right="360" w:firstLine="917"/>
        <w:spacing w:after="0" w:line="270" w:lineRule="auto"/>
        <w:rPr>
          <w:sz w:val="20"/>
          <w:szCs w:val="20"/>
          <w:color w:val="auto"/>
        </w:rPr>
      </w:pPr>
      <w:r>
        <w:rPr>
          <w:rFonts w:ascii="Arial" w:cs="Arial" w:eastAsia="Arial" w:hAnsi="Arial"/>
          <w:sz w:val="14"/>
          <w:szCs w:val="14"/>
          <w:color w:val="auto"/>
        </w:rPr>
        <w:t xml:space="preserve">13.7.3 Subject to Section 13.8, upon termination of this Agreement by Gilead with respect to </w:t>
      </w:r>
      <w:r>
        <w:rPr>
          <w:rFonts w:ascii="Arial" w:cs="Arial" w:eastAsia="Arial" w:hAnsi="Arial"/>
          <w:sz w:val="14"/>
          <w:szCs w:val="14"/>
          <w:b w:val="1"/>
          <w:bCs w:val="1"/>
          <w:color w:val="auto"/>
        </w:rPr>
        <w:t>***</w:t>
      </w:r>
      <w:r>
        <w:rPr>
          <w:rFonts w:ascii="Arial" w:cs="Arial" w:eastAsia="Arial" w:hAnsi="Arial"/>
          <w:sz w:val="14"/>
          <w:szCs w:val="14"/>
          <w:color w:val="auto"/>
        </w:rPr>
        <w:t xml:space="preserve">Licensed Program,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or the </w:t>
      </w:r>
      <w:r>
        <w:rPr>
          <w:rFonts w:ascii="Arial" w:cs="Arial" w:eastAsia="Arial" w:hAnsi="Arial"/>
          <w:sz w:val="14"/>
          <w:szCs w:val="14"/>
          <w:b w:val="1"/>
          <w:bCs w:val="1"/>
          <w:color w:val="auto"/>
        </w:rPr>
        <w:t>***</w:t>
      </w:r>
      <w:r>
        <w:rPr>
          <w:rFonts w:ascii="Arial" w:cs="Arial" w:eastAsia="Arial" w:hAnsi="Arial"/>
          <w:sz w:val="14"/>
          <w:szCs w:val="14"/>
          <w:color w:val="auto"/>
        </w:rPr>
        <w:t xml:space="preserve"> Licensed Program, as applicable, pursuant to Section 13.6, all rights and obligations of each Party hereunder with respect to such Terminated Program shall terminate.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13.8 </w:t>
      </w:r>
      <w:r>
        <w:rPr>
          <w:rFonts w:ascii="Arial" w:cs="Arial" w:eastAsia="Arial" w:hAnsi="Arial"/>
          <w:sz w:val="14"/>
          <w:szCs w:val="14"/>
          <w:u w:val="single" w:color="auto"/>
          <w:color w:val="auto"/>
        </w:rPr>
        <w:t>Accrued Rights; Surviving Provisions of the Agreement</w:t>
      </w:r>
      <w:r>
        <w:rPr>
          <w:rFonts w:ascii="Arial" w:cs="Arial" w:eastAsia="Arial" w:hAnsi="Arial"/>
          <w:sz w:val="14"/>
          <w:szCs w:val="14"/>
          <w:color w:val="auto"/>
        </w:rPr>
        <w:t>.</w:t>
      </w:r>
    </w:p>
    <w:p>
      <w:pPr>
        <w:spacing w:after="0" w:line="132" w:lineRule="exact"/>
        <w:rPr>
          <w:sz w:val="20"/>
          <w:szCs w:val="20"/>
          <w:color w:val="auto"/>
        </w:rPr>
      </w:pPr>
    </w:p>
    <w:p>
      <w:pPr>
        <w:jc w:val="both"/>
        <w:ind w:right="40" w:firstLine="917"/>
        <w:spacing w:after="0" w:line="321" w:lineRule="auto"/>
        <w:rPr>
          <w:sz w:val="20"/>
          <w:szCs w:val="20"/>
          <w:color w:val="auto"/>
        </w:rPr>
      </w:pPr>
      <w:r>
        <w:rPr>
          <w:rFonts w:ascii="Arial" w:cs="Arial" w:eastAsia="Arial" w:hAnsi="Arial"/>
          <w:sz w:val="12"/>
          <w:szCs w:val="12"/>
          <w:color w:val="auto"/>
        </w:rPr>
        <w:t xml:space="preserve">13.8.1 </w:t>
      </w:r>
      <w:r>
        <w:rPr>
          <w:rFonts w:ascii="Arial" w:cs="Arial" w:eastAsia="Arial" w:hAnsi="Arial"/>
          <w:sz w:val="12"/>
          <w:szCs w:val="12"/>
          <w:u w:val="single" w:color="auto"/>
          <w:color w:val="auto"/>
        </w:rPr>
        <w:t>Accrued Rights</w:t>
      </w:r>
      <w:r>
        <w:rPr>
          <w:rFonts w:ascii="Arial" w:cs="Arial" w:eastAsia="Arial" w:hAnsi="Arial"/>
          <w:sz w:val="12"/>
          <w:szCs w:val="12"/>
          <w:color w:val="auto"/>
        </w:rPr>
        <w:t>. Termination or expiration of any aspect of this Agreement for any reason shall be without prejudice to any rights that shall have accrued to the benefit of any Party prior to such termination or expiration, including the payment obligations under ARTICLE 8 and any rights of Gilead under the last sentence of Section 8.5.4(b), and any and all damages or remedies arising from any breach hereunder. Such termination or expiration shall not relieve any Party from obligations which are expressly indicated to survive termination of this Agreement.</w:t>
      </w:r>
    </w:p>
    <w:p>
      <w:pPr>
        <w:spacing w:after="0" w:line="73" w:lineRule="exact"/>
        <w:rPr>
          <w:sz w:val="20"/>
          <w:szCs w:val="20"/>
          <w:color w:val="auto"/>
        </w:rPr>
      </w:pPr>
    </w:p>
    <w:p>
      <w:pPr>
        <w:ind w:firstLine="917"/>
        <w:spacing w:after="0" w:line="255" w:lineRule="auto"/>
        <w:rPr>
          <w:sz w:val="20"/>
          <w:szCs w:val="20"/>
          <w:color w:val="auto"/>
        </w:rPr>
      </w:pPr>
      <w:r>
        <w:rPr>
          <w:rFonts w:ascii="Arial" w:cs="Arial" w:eastAsia="Arial" w:hAnsi="Arial"/>
          <w:sz w:val="14"/>
          <w:szCs w:val="14"/>
          <w:color w:val="auto"/>
        </w:rPr>
        <w:t xml:space="preserve">13.8.2 </w:t>
      </w:r>
      <w:r>
        <w:rPr>
          <w:rFonts w:ascii="Arial" w:cs="Arial" w:eastAsia="Arial" w:hAnsi="Arial"/>
          <w:sz w:val="14"/>
          <w:szCs w:val="14"/>
          <w:u w:val="single" w:color="auto"/>
          <w:color w:val="auto"/>
        </w:rPr>
        <w:t>Surviving Provisions of the Agreement</w:t>
      </w:r>
      <w:r>
        <w:rPr>
          <w:rFonts w:ascii="Arial" w:cs="Arial" w:eastAsia="Arial" w:hAnsi="Arial"/>
          <w:sz w:val="14"/>
          <w:szCs w:val="14"/>
          <w:color w:val="auto"/>
        </w:rPr>
        <w:t>. The provisions of Sections 4.8, 8.7 - 8.10 (with regard to accrued but unpaid amounts), 8.11, 9.2, 11.4, 13.7 and 13.8 and ARTICLE 12 and ARTICLE 15, and any applicable definitions in ARTICLE 1, shall survive any partial or entire termination of this Agreement or partial or entire expiration of this Agreement for any reason, in accordance with their respective terms and conditions, and for the duration stated, and where no duration is stated, shall survive indefinitely. ARTICLE 10 shall survive for a period of seven (7) years after the effective date of the entire termination or expiration of this Agreement.</w:t>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ARTICLE 14</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STANDSTILL</w:t>
      </w:r>
    </w:p>
    <w:p>
      <w:pPr>
        <w:spacing w:after="0" w:line="124" w:lineRule="exact"/>
        <w:rPr>
          <w:sz w:val="20"/>
          <w:szCs w:val="20"/>
          <w:color w:val="auto"/>
        </w:rPr>
      </w:pPr>
    </w:p>
    <w:p>
      <w:pPr>
        <w:ind w:right="140" w:firstLine="458"/>
        <w:spacing w:after="0" w:line="355"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Standstill</w:t>
      </w:r>
      <w:r>
        <w:rPr>
          <w:rFonts w:ascii="Arial" w:cs="Arial" w:eastAsia="Arial" w:hAnsi="Arial"/>
          <w:sz w:val="12"/>
          <w:szCs w:val="12"/>
          <w:color w:val="auto"/>
        </w:rPr>
        <w:t>. In the event that the common stock of MacroGenics becomes listed on a national securities exchange in an initial public offering (an “</w:t>
      </w:r>
      <w:r>
        <w:rPr>
          <w:rFonts w:ascii="Arial" w:cs="Arial" w:eastAsia="Arial" w:hAnsi="Arial"/>
          <w:sz w:val="12"/>
          <w:szCs w:val="12"/>
          <w:u w:val="single" w:color="auto"/>
          <w:color w:val="auto"/>
        </w:rPr>
        <w:t>IPO</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Gilead agrees that neither it nor any of its Affiliates, acting alone or as part of any 13D Group, shall directly or indirectly, for a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Standstill Period</w:t>
      </w:r>
      <w:r>
        <w:rPr>
          <w:rFonts w:ascii="Arial" w:cs="Arial" w:eastAsia="Arial" w:hAnsi="Arial"/>
          <w:sz w:val="12"/>
          <w:szCs w:val="12"/>
          <w:color w:val="auto"/>
        </w:rPr>
        <w:t>”), without the prior written approval of MacroGenics’ Board of Directors:</w:t>
      </w:r>
    </w:p>
    <w:p>
      <w:pPr>
        <w:spacing w:after="0" w:line="53"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14.1.1 acquire or agree, offer, seek or propose to acquire, or cause to be acquired, ownership (including, but not limited to, beneficial ownership as defined in Rule 13d-3 under the Securities and Exchange Act of 1934) of any substantial part of the assets or businesses of MacroGenics or of any voting securities of MacroGenics, or any rights or options to acquire any such ownership (including from a third party);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5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605" w:name="page606"/>
    <w:bookmarkEnd w:id="605"/>
    <w:p>
      <w:pPr>
        <w:ind w:right="6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14.1.2 make, or in any way participate, directly or indirectly, in any “solicitation” of “proxies” (as such terms are used in the proxy rules of the Securities and Exchange Commission) to vote, or seek to advise or influence any person with respect to the voting of any voting securities of MacroGenics;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14.1.3 form, join or in any way participate in, a “group” (within the meaning of Section 13(d)(3) of the Securities Exchange Act of 1934) (“</w:t>
      </w:r>
      <w:r>
        <w:rPr>
          <w:rFonts w:ascii="Arial" w:cs="Arial" w:eastAsia="Arial" w:hAnsi="Arial"/>
          <w:sz w:val="12"/>
          <w:szCs w:val="12"/>
          <w:u w:val="single" w:color="auto"/>
          <w:color w:val="auto"/>
        </w:rPr>
        <w:t>13D Group</w:t>
      </w:r>
      <w:r>
        <w:rPr>
          <w:rFonts w:ascii="Arial" w:cs="Arial" w:eastAsia="Arial" w:hAnsi="Arial"/>
          <w:sz w:val="12"/>
          <w:szCs w:val="12"/>
          <w:color w:val="auto"/>
        </w:rPr>
        <w:t>”) with respect to any voting securities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MacroGenics;</w:t>
      </w:r>
    </w:p>
    <w:p>
      <w:pPr>
        <w:spacing w:after="0" w:line="126" w:lineRule="exact"/>
        <w:rPr>
          <w:sz w:val="20"/>
          <w:szCs w:val="20"/>
          <w:color w:val="auto"/>
        </w:rPr>
      </w:pPr>
    </w:p>
    <w:p>
      <w:pPr>
        <w:ind w:right="100" w:firstLine="917"/>
        <w:spacing w:after="0" w:line="258" w:lineRule="auto"/>
        <w:rPr>
          <w:sz w:val="20"/>
          <w:szCs w:val="20"/>
          <w:color w:val="auto"/>
        </w:rPr>
      </w:pPr>
      <w:r>
        <w:rPr>
          <w:rFonts w:ascii="Arial" w:cs="Arial" w:eastAsia="Arial" w:hAnsi="Arial"/>
          <w:sz w:val="14"/>
          <w:szCs w:val="14"/>
          <w:color w:val="auto"/>
        </w:rPr>
        <w:t>14.1.4 otherwise act, whether alone or in concert with others, to seek to propose to MacroGenics any merger, business combination, restructuring, recapitalization or similar transaction with respect to or with MacroGenics or otherwise act, whether alone or in concert with others, to seek to control, change the management or Board of Directors of MacroGenics, or nominate any person as a director of MacroGenics who is not nominated by the then incumbent directors;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14.1.5 enter into any discussion, negotiations, arrangements or understandings with any third party with respect to, any of the foregoing; or</w:t>
      </w:r>
    </w:p>
    <w:p>
      <w:pPr>
        <w:spacing w:after="0" w:line="132"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Notwithstanding the foregoing, nothing in this Agreement shall limit Gilead’s ability to (x) inquire or make a request, orally or in writing, to the chief executive officer or the chairman of the board of directors of MacroGenics with respect to any amendment or waiver of any provision of this Section 14.1 or (y) make or submit to the chief executive officer or the chairman of the board of directors of MacroGenics a bona fide non-public proposal so long as such action would not reasonably be expected to require MacroGenics to make a public announcement relating thereto. If at any time during the Standstill Period, Gilead or, to its knowledge, any of its representatives are approached by any Third Party concerning Gilead’s participation in a transaction of the type referred to in Sections 14.1.1 through 14.1.5, Gilead shall, or shall use commercially reasonable efforts to cause its representative (as applicable) to, promptly inform such Third Party that Gilead is bound by certain confidentiality obligations in respect of MacroGenics.</w:t>
      </w:r>
    </w:p>
    <w:p>
      <w:pPr>
        <w:spacing w:after="0" w:line="84" w:lineRule="exact"/>
        <w:rPr>
          <w:sz w:val="20"/>
          <w:szCs w:val="20"/>
          <w:color w:val="auto"/>
        </w:rPr>
      </w:pPr>
    </w:p>
    <w:p>
      <w:pPr>
        <w:ind w:right="20" w:firstLine="458"/>
        <w:spacing w:after="0" w:line="305" w:lineRule="auto"/>
        <w:rPr>
          <w:sz w:val="20"/>
          <w:szCs w:val="20"/>
          <w:color w:val="auto"/>
        </w:rPr>
      </w:pPr>
      <w:r>
        <w:rPr>
          <w:rFonts w:ascii="Arial" w:cs="Arial" w:eastAsia="Arial" w:hAnsi="Arial"/>
          <w:sz w:val="12"/>
          <w:szCs w:val="12"/>
          <w:color w:val="auto"/>
        </w:rPr>
        <w:t xml:space="preserve">14.2 The restrictions set forth in Section 14.1 shall terminate immediately if: (a) a Person or 13D Group not including Gilead or its Affiliates (i) commences or publicly announces its intent to commence a tender or exchange offer for voting securities of MacroGenics representing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then-outstanding voting power of the voting securities of MacroGenics or (ii) publicly announces a bona fide unsolicited proposal to enter into a transaction described in clause (b)(i) or (ii) below and, prior to the termination, withdrawal or abandonment of such proposal by such Person or 13D Group (as evidenced by a subsequent public announcement or by a written communication to MacroGenics that is either publicly announced or provided by MacroGenics to Gilead), either (x) MacroGenics publicly announces its willingness to consider such proposal or alternative proposals for a transaction described in clause (b)(i) or (ii) below, (y) the Board of Directors of MacroGenics determines to engage in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6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606" w:name="page607"/>
    <w:bookmarkEnd w:id="606"/>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negotiations with such Person or 13D Group or any other party other than Gilead or its Affiliates with respect to a transaction described in clause (b)(i) or (ii) below, or (z) such offer or proposal is not publicly rejected or recommended against by MacroGenics within ten (10) Business Days after such offer or proposal becomes public, or (b) MacroGenics or its Affiliates initiates a process to consider or enter into a transaction described in clause (i) or (ii) below, or enters into a letter of intent or definitive agreement with any party other than Gilead or its Affiliates regarding (i) any merger, sale, reorganization, recapitalization or other business combination pursuant to which the outstanding shares of MacroGenics would be converted into cash or securities of a Person or a 13D Group not including Gilead or its Affiliates and the stockholders of MacroGenics immediately prior to such transaction would own immediately after consummation of such a transaction less than fifty percent (50%) of the voting power of the voting securities of MacroGenics or the entity surviving such transaction; or (ii) any transaction that would result directly or indirectly in all or substantially all of MacroGenics’ assets being sold to any Person or 13D Group not including Gilead or its Affiliates. In the event that the transactions contemplated by clauses (a) and/or (b) shall have been terminated or abandoned, and such termination or abandonment is demonstrable by a press release issued by MacroGenics (or, in the case of clause (a), by the party that initially made the public announcement), then Section 14.1 shall again be applicable for the remainder of the Standstill Period.</w:t>
      </w:r>
    </w:p>
    <w:p>
      <w:pPr>
        <w:spacing w:after="0" w:line="254" w:lineRule="exact"/>
        <w:rPr>
          <w:sz w:val="20"/>
          <w:szCs w:val="20"/>
          <w:color w:val="auto"/>
        </w:rPr>
      </w:pPr>
    </w:p>
    <w:p>
      <w:pPr>
        <w:jc w:val="both"/>
        <w:ind w:right="260" w:firstLine="458"/>
        <w:spacing w:after="0" w:line="255" w:lineRule="auto"/>
        <w:rPr>
          <w:sz w:val="20"/>
          <w:szCs w:val="20"/>
          <w:color w:val="auto"/>
        </w:rPr>
      </w:pPr>
      <w:r>
        <w:rPr>
          <w:rFonts w:ascii="Arial" w:cs="Arial" w:eastAsia="Arial" w:hAnsi="Arial"/>
          <w:sz w:val="14"/>
          <w:szCs w:val="14"/>
          <w:color w:val="auto"/>
        </w:rPr>
        <w:t>14.3 Nothing in this ARTICLE 14 shall prohibit Gilead or its Affiliates from acquiring securities of MacroGenics by or through (a) a diversified mutual or pension fund managed by an independent investment adviser or pension plan established for the benefit of the employees of Gilead or its Affiliates, (b) any employee benefit plan of Gilead or its Affiliates or (c) any stock portfolios not controlled by Gilead or its Affiliates that invest in MacroGenics among other companies, provided in each case that Gilead and its Affiliates do not, directly or indirectly, request the trustee or administrator or investment adviser of such fund, plan or portfolio to acquire such securities.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26" w:lineRule="exact"/>
        <w:rPr>
          <w:sz w:val="20"/>
          <w:szCs w:val="20"/>
          <w:color w:val="auto"/>
        </w:rPr>
      </w:pPr>
    </w:p>
    <w:p>
      <w:pPr>
        <w:ind w:right="20" w:firstLine="458"/>
        <w:spacing w:after="0" w:line="302"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Informal Dispute Resolution</w:t>
      </w:r>
      <w:r>
        <w:rPr>
          <w:rFonts w:ascii="Arial" w:cs="Arial" w:eastAsia="Arial" w:hAnsi="Arial"/>
          <w:sz w:val="12"/>
          <w:szCs w:val="12"/>
          <w:color w:val="auto"/>
        </w:rPr>
        <w:t>. The Parties agree to refer to the Alliance Managers for resolution any dispute, claim or controversy of any nature arising out of or relating to this Agreement, including any action or claim based on tort, contract or statute, or concerning the interpretation, effect, termination, validity, performance and/or breach of this Agreement (including any amendments hereto), including any matters referred by the JRC to the Alliance Managers for resolution (each, a “</w:t>
      </w:r>
      <w:r>
        <w:rPr>
          <w:rFonts w:ascii="Arial" w:cs="Arial" w:eastAsia="Arial" w:hAnsi="Arial"/>
          <w:sz w:val="12"/>
          <w:szCs w:val="12"/>
          <w:u w:val="single" w:color="auto"/>
          <w:color w:val="auto"/>
        </w:rPr>
        <w:t>Dispute</w:t>
      </w:r>
      <w:r>
        <w:rPr>
          <w:rFonts w:ascii="Arial" w:cs="Arial" w:eastAsia="Arial" w:hAnsi="Arial"/>
          <w:sz w:val="12"/>
          <w:szCs w:val="12"/>
          <w:color w:val="auto"/>
        </w:rPr>
        <w:t xml:space="preserve">”). The Alliance Managers shall attempt to resolve each Dispute through good faith discussion for a period of not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such Dispute is referred to the Alliance Managers by the JRC or either Party. In the event the Alliance Managers are not able to resolve any Dispute in such time period, the Dispute shall be referred to the Executive Officers, who shall attempt to resolve such Dispute through good faith discussion for a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such Dispute is referred the Executive Officers. In the event that the Dispute involves a modification to a Research Plan, and such Dispute is not resolved pursuant to this Section 15.1, then Gilead may exercise its deciding vote with respect thereto pursuant to Section 2.3.5.</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6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607" w:name="page608"/>
    <w:bookmarkEnd w:id="607"/>
    <w:p>
      <w:pPr>
        <w:ind w:right="20" w:firstLine="458"/>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15.2 </w:t>
      </w:r>
      <w:r>
        <w:rPr>
          <w:rFonts w:ascii="Arial" w:cs="Arial" w:eastAsia="Arial" w:hAnsi="Arial"/>
          <w:sz w:val="14"/>
          <w:szCs w:val="14"/>
          <w:u w:val="single" w:color="auto"/>
          <w:color w:val="auto"/>
        </w:rPr>
        <w:t>Jurisdiction and Venue</w:t>
      </w:r>
      <w:r>
        <w:rPr>
          <w:rFonts w:ascii="Arial" w:cs="Arial" w:eastAsia="Arial" w:hAnsi="Arial"/>
          <w:sz w:val="14"/>
          <w:szCs w:val="14"/>
          <w:color w:val="auto"/>
        </w:rPr>
        <w:t xml:space="preserve">. Each Party (a) irrevocably submits to the exclusive jurisdiction of the federal and state courts located in the </w:t>
      </w:r>
      <w:r>
        <w:rPr>
          <w:rFonts w:ascii="Arial" w:cs="Arial" w:eastAsia="Arial" w:hAnsi="Arial"/>
          <w:sz w:val="14"/>
          <w:szCs w:val="14"/>
          <w:b w:val="1"/>
          <w:bCs w:val="1"/>
          <w:color w:val="auto"/>
        </w:rPr>
        <w:t>***</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Court</w:t>
      </w:r>
      <w:r>
        <w:rPr>
          <w:rFonts w:ascii="Arial" w:cs="Arial" w:eastAsia="Arial" w:hAnsi="Arial"/>
          <w:sz w:val="14"/>
          <w:szCs w:val="14"/>
          <w:color w:val="auto"/>
        </w:rPr>
        <w:t>”) with respect to any Dispute, and (b) agrees not to raise any objection at any time to the laying or maintaining of the venue of any action, suit or proceeding for such purpose in any such Court,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and (c) agrees not to commence any action, suit or proceeding with respect to any Dispute except in such Court. Each Party further agrees that service of any process, summons, notice or document by U.S. registered mail to such Party’s notice address provided for in this Agreement shall be effective service of process for any action, suit or proceeding in the Court with respect to any matters to which it has submitted to jurisdiction in this Section 15.2.</w:t>
      </w:r>
    </w:p>
    <w:p>
      <w:pPr>
        <w:spacing w:after="0" w:line="110" w:lineRule="exact"/>
        <w:rPr>
          <w:sz w:val="20"/>
          <w:szCs w:val="20"/>
          <w:color w:val="auto"/>
        </w:rPr>
      </w:pPr>
    </w:p>
    <w:p>
      <w:pPr>
        <w:ind w:right="180" w:firstLine="458"/>
        <w:spacing w:after="0" w:line="270"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u w:val="single" w:color="auto"/>
          <w:color w:val="auto"/>
        </w:rPr>
        <w:t>Governing Law</w:t>
      </w:r>
      <w:r>
        <w:rPr>
          <w:rFonts w:ascii="Arial" w:cs="Arial" w:eastAsia="Arial" w:hAnsi="Arial"/>
          <w:sz w:val="14"/>
          <w:szCs w:val="14"/>
          <w:color w:val="auto"/>
        </w:rPr>
        <w:t xml:space="preserve">. This Agreement and any dispute arising from the performance or breach hereof shall be governed by and construed and enforced in accordance with the </w:t>
      </w:r>
      <w:r>
        <w:rPr>
          <w:rFonts w:ascii="Arial" w:cs="Arial" w:eastAsia="Arial" w:hAnsi="Arial"/>
          <w:sz w:val="14"/>
          <w:szCs w:val="14"/>
          <w:b w:val="1"/>
          <w:bCs w:val="1"/>
          <w:color w:val="auto"/>
        </w:rPr>
        <w:t>***</w:t>
      </w:r>
      <w:r>
        <w:rPr>
          <w:rFonts w:ascii="Arial" w:cs="Arial" w:eastAsia="Arial" w:hAnsi="Arial"/>
          <w:sz w:val="14"/>
          <w:szCs w:val="14"/>
          <w:color w:val="auto"/>
        </w:rPr>
        <w:t xml:space="preserve"> without reference to conflicts of laws principles.</w:t>
      </w:r>
    </w:p>
    <w:p>
      <w:pPr>
        <w:spacing w:after="0" w:line="99" w:lineRule="exact"/>
        <w:rPr>
          <w:sz w:val="20"/>
          <w:szCs w:val="20"/>
          <w:color w:val="auto"/>
        </w:rPr>
      </w:pPr>
    </w:p>
    <w:p>
      <w:pPr>
        <w:ind w:firstLine="458"/>
        <w:spacing w:after="0" w:line="295" w:lineRule="auto"/>
        <w:rPr>
          <w:sz w:val="20"/>
          <w:szCs w:val="20"/>
          <w:color w:val="auto"/>
        </w:rPr>
      </w:pPr>
      <w:r>
        <w:rPr>
          <w:rFonts w:ascii="Arial" w:cs="Arial" w:eastAsia="Arial" w:hAnsi="Arial"/>
          <w:sz w:val="12"/>
          <w:szCs w:val="12"/>
          <w:color w:val="auto"/>
        </w:rPr>
        <w:t xml:space="preserve">15.4 </w:t>
      </w:r>
      <w:r>
        <w:rPr>
          <w:rFonts w:ascii="Arial" w:cs="Arial" w:eastAsia="Arial" w:hAnsi="Arial"/>
          <w:sz w:val="12"/>
          <w:szCs w:val="12"/>
          <w:u w:val="single" w:color="auto"/>
          <w:color w:val="auto"/>
        </w:rPr>
        <w:t>Assignment</w:t>
      </w:r>
      <w:r>
        <w:rPr>
          <w:rFonts w:ascii="Arial" w:cs="Arial" w:eastAsia="Arial" w:hAnsi="Arial"/>
          <w:sz w:val="12"/>
          <w:szCs w:val="12"/>
          <w:color w:val="auto"/>
        </w:rPr>
        <w:t>. Neither Party may assign this Agreement or any of its rights or obligations hereunder without the prior written consent of the other Party, which consent will not be unreasonably withheld or delayed. Notwithstanding the foregoing, this Agreement may be assigned as follows: (a) subject to the next sentence, either Party may assign its rights and obligations under this Agreement by way of sale of itself or the sale of the portion of its business to which this Agreement relates, through merger, sale of assets or sale of stock or ownership interest, provided that the assignee shall expressly agree to be bound by such Party’s obligations under this Agreement and that such sale is not primarily for the benefit of its creditors, and (b) either Party may assign its rights and obligations under this Agreement to any of its Affiliates, provided that the assignee shall expressly agree to be bound by such Party’s obligations under this Agreement and that such Party shall remain liable for all of its rights and obligations under this Agreement. In the event of (x) an acquisition of either Party or its assets or equity by a Third Party, such acquisition shall not provide the other Party with rights or access to (A) any Patents or Know-How of such Third Party, or any Affiliate of such Third Party that becomes an Affiliate of such acquired Party as a result of such acquisition, that exists as of the date of such acquisition or (B) any Patents or Know-How of such Third Party, or any Affiliate of such Third Party that becomes an Affiliate of such acquired Party as a result of such acquisition, that are filed or developed, as the case may be, after the date of such acquisition, for so long as the acquired Party and such Third Party (or such Affiliate of such Third Party) continue to conduct their applicable Research and Development activities independently of each other, without any sharing or transfer of relevant Know-How, and (y) an acquisition of MacroGenics or its assets or equity by a Third Party, such Third Party shall not be permitted to use any MacroGenics IP, other than MacroGenics IP Controlled by MacroGenics or its Affiliates on the Effective Date, in the Research, Development or Commercialization of any Competing Product (as defined in the first sentence of Section 1.23) being Researched, Developed or Commercialized by such Third Party immediately prior to such acquisition (provided, for clarity, that any use by such Third Party of any MacroGenics IP, including any MacroGenics IP Controlled by MacroGenics or its Affiliates on the Effective Date, shall be subject to any licenses granted to, or other rights of, Gilead hereunder). This Agreement shall be binding upon the successors and permitted assigns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608" w:name="page609"/>
    <w:bookmarkEnd w:id="60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of the Parties and the name of a Party appearing herein shall be deemed to include the names of such Party’s successors and permitted assigns to the extent necessary to carry out the intent of this Agreement.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Any assignment not in accordance with this Section 15.4 shall be void.</w:t>
      </w:r>
    </w:p>
    <w:p>
      <w:pPr>
        <w:spacing w:after="0" w:line="126" w:lineRule="exact"/>
        <w:rPr>
          <w:sz w:val="20"/>
          <w:szCs w:val="20"/>
          <w:color w:val="auto"/>
        </w:rPr>
      </w:pPr>
    </w:p>
    <w:p>
      <w:pPr>
        <w:ind w:right="20" w:firstLine="458"/>
        <w:spacing w:after="0" w:line="300" w:lineRule="auto"/>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Force Majeure</w:t>
      </w:r>
      <w:r>
        <w:rPr>
          <w:rFonts w:ascii="Arial" w:cs="Arial" w:eastAsia="Arial" w:hAnsi="Arial"/>
          <w:sz w:val="12"/>
          <w:szCs w:val="12"/>
          <w:color w:val="auto"/>
        </w:rPr>
        <w:t xml:space="preserve">. Each Party shall be excused from the performance of its obligations under this Agreement to the extent that such performance is prevented by force majeure (defined below) and the nonperforming Party promptly provides notice of the prevention to the other Party. Such excuse shall be continued so long as the condition constituting force majeure continues and the nonperforming Party takes Commercially Reasonable Efforts to remove the condition; provided, that if the nonperformance is material and continues for more than </w:t>
      </w:r>
      <w:r>
        <w:rPr>
          <w:rFonts w:ascii="Arial" w:cs="Arial" w:eastAsia="Arial" w:hAnsi="Arial"/>
          <w:sz w:val="12"/>
          <w:szCs w:val="12"/>
          <w:b w:val="1"/>
          <w:bCs w:val="1"/>
          <w:color w:val="auto"/>
        </w:rPr>
        <w:t>***</w:t>
      </w:r>
      <w:r>
        <w:rPr>
          <w:rFonts w:ascii="Arial" w:cs="Arial" w:eastAsia="Arial" w:hAnsi="Arial"/>
          <w:sz w:val="12"/>
          <w:szCs w:val="12"/>
          <w:color w:val="auto"/>
        </w:rPr>
        <w:t>, the Party other than the nonperforming Party shall have the right to terminate this Agreement (i) in its entirety, (ii) solely with respect to the affected Licensed Program, or (iii) if MacroGenics is the nonperforming Party, solely with respect to the affected Research Plan (if any), in each case effective upon written notice to the nonperforming Party. For purposes of this Agreement, “force majeure” shall include conditions beyond the control of the Parties, including an act of God, voluntary or involuntary compliance with any regulation, Law or order of any government, war, act of terror, civil commotion, labor strike or lock-out, epidemic, failure or default of public utilities or common carriers, destruction of production facilities or materials by fire, earthquake, storm or like catastrophe.</w:t>
      </w:r>
    </w:p>
    <w:p>
      <w:pPr>
        <w:spacing w:after="0" w:line="88"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4"/>
          <w:szCs w:val="14"/>
          <w:color w:val="auto"/>
        </w:rPr>
        <w:t xml:space="preserve">15.6 </w:t>
      </w:r>
      <w:r>
        <w:rPr>
          <w:rFonts w:ascii="Arial" w:cs="Arial" w:eastAsia="Arial" w:hAnsi="Arial"/>
          <w:sz w:val="14"/>
          <w:szCs w:val="14"/>
          <w:u w:val="single" w:color="auto"/>
          <w:color w:val="auto"/>
        </w:rPr>
        <w:t>Notices</w:t>
      </w:r>
      <w:r>
        <w:rPr>
          <w:rFonts w:ascii="Arial" w:cs="Arial" w:eastAsia="Arial" w:hAnsi="Arial"/>
          <w:sz w:val="14"/>
          <w:szCs w:val="14"/>
          <w:color w:val="auto"/>
        </w:rPr>
        <w:t>. Any notice or request required or permitted to be given under or in connection with this Agreement shall be deemed to have been sufficiently given if in writing and personally delivered or sent by certified mail (return receipt requested), facsimile transmission (receipt verified), or reputable international business courier (signature required), prepaid, to the Party for which such notice is intended, at the address set forth for such Party below:</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to MacroGenics,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addressed to:</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MacroGenics, Inc.</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9640 Medical Center Drive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Rockville, MD 20850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Attention: Chief Executive Officer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to Gilead,</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addressed to:</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Gilead Sciences, Inc.</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333 Lakeside Drive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Foster City, CA 94404</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Attention: General Counsel</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or to such other address for such Party as it shall have specified by like notice to the other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notices of a change of address shall be effective only upon receipt thereof.</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66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609" w:name="page610"/>
    <w:bookmarkEnd w:id="609"/>
    <w:p>
      <w:pPr>
        <w:ind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effective date of any notice shall be (a) the date of delivery, if personally delivered during the recipient’s normal business hours (and otherwise the first (1st) Business Day after the date of delivery), (b) the third (3rd) Business Day following the date of mailing, if sent by certified mail, (c) the Business Day following verification of receipt, if sent by facsimile, and (d) the Business Day after dispatch, if sent by international business courier.</w:t>
      </w:r>
    </w:p>
    <w:p>
      <w:pPr>
        <w:spacing w:after="0" w:line="108"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 xml:space="preserve">15.7 </w:t>
      </w:r>
      <w:r>
        <w:rPr>
          <w:rFonts w:ascii="Arial" w:cs="Arial" w:eastAsia="Arial" w:hAnsi="Arial"/>
          <w:sz w:val="14"/>
          <w:szCs w:val="14"/>
          <w:u w:val="single" w:color="auto"/>
          <w:color w:val="auto"/>
        </w:rPr>
        <w:t>Export Clause</w:t>
      </w:r>
      <w:r>
        <w:rPr>
          <w:rFonts w:ascii="Arial" w:cs="Arial" w:eastAsia="Arial" w:hAnsi="Arial"/>
          <w:sz w:val="14"/>
          <w:szCs w:val="14"/>
          <w:color w:val="auto"/>
        </w:rPr>
        <w:t>. Each Party agrees that, as of the Effective Date, it will not export or re-export restricted commodities or the technical data of the other Party in any form except in compliance with applicable Law (including obtaining any required United States and non-United States government licenses).</w:t>
      </w:r>
    </w:p>
    <w:p>
      <w:pPr>
        <w:spacing w:after="0" w:line="101" w:lineRule="exact"/>
        <w:rPr>
          <w:sz w:val="20"/>
          <w:szCs w:val="20"/>
          <w:color w:val="auto"/>
        </w:rPr>
      </w:pPr>
    </w:p>
    <w:p>
      <w:pPr>
        <w:jc w:val="both"/>
        <w:ind w:right="60" w:firstLine="458"/>
        <w:spacing w:after="0" w:line="258" w:lineRule="auto"/>
        <w:rPr>
          <w:sz w:val="20"/>
          <w:szCs w:val="20"/>
          <w:color w:val="auto"/>
        </w:rPr>
      </w:pPr>
      <w:r>
        <w:rPr>
          <w:rFonts w:ascii="Arial" w:cs="Arial" w:eastAsia="Arial" w:hAnsi="Arial"/>
          <w:sz w:val="14"/>
          <w:szCs w:val="14"/>
          <w:color w:val="auto"/>
        </w:rPr>
        <w:t xml:space="preserve">15.8 </w:t>
      </w:r>
      <w:r>
        <w:rPr>
          <w:rFonts w:ascii="Arial" w:cs="Arial" w:eastAsia="Arial" w:hAnsi="Arial"/>
          <w:sz w:val="14"/>
          <w:szCs w:val="14"/>
          <w:u w:val="single" w:color="auto"/>
          <w:color w:val="auto"/>
        </w:rPr>
        <w:t>Waiver</w:t>
      </w:r>
      <w:r>
        <w:rPr>
          <w:rFonts w:ascii="Arial" w:cs="Arial" w:eastAsia="Arial" w:hAnsi="Arial"/>
          <w:sz w:val="14"/>
          <w:szCs w:val="14"/>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08"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 xml:space="preserve">15.9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73" w:lineRule="exact"/>
        <w:rPr>
          <w:sz w:val="20"/>
          <w:szCs w:val="20"/>
          <w:color w:val="auto"/>
        </w:rPr>
      </w:pPr>
    </w:p>
    <w:p>
      <w:pPr>
        <w:ind w:right="80" w:firstLine="458"/>
        <w:spacing w:after="0" w:line="311" w:lineRule="auto"/>
        <w:rPr>
          <w:sz w:val="20"/>
          <w:szCs w:val="20"/>
          <w:color w:val="auto"/>
        </w:rPr>
      </w:pPr>
      <w:r>
        <w:rPr>
          <w:rFonts w:ascii="Arial" w:cs="Arial" w:eastAsia="Arial" w:hAnsi="Arial"/>
          <w:sz w:val="12"/>
          <w:szCs w:val="12"/>
          <w:color w:val="auto"/>
        </w:rPr>
        <w:t xml:space="preserve">15.10 </w:t>
      </w:r>
      <w:r>
        <w:rPr>
          <w:rFonts w:ascii="Arial" w:cs="Arial" w:eastAsia="Arial" w:hAnsi="Arial"/>
          <w:sz w:val="12"/>
          <w:szCs w:val="12"/>
          <w:u w:val="single" w:color="auto"/>
          <w:color w:val="auto"/>
        </w:rPr>
        <w:t>Covenant</w:t>
      </w:r>
      <w:r>
        <w:rPr>
          <w:rFonts w:ascii="Arial" w:cs="Arial" w:eastAsia="Arial" w:hAnsi="Arial"/>
          <w:sz w:val="12"/>
          <w:szCs w:val="12"/>
          <w:color w:val="auto"/>
        </w:rPr>
        <w:t>. MacroGenics acknowledges that Gilead is a publicly traded company and that, under this Agreement, MacroGenics may learn of material, non-public information regarding Gilead. MacroGenics understands that federal and state securities laws prohibit MacroGenics’ employees from purchasing or selling securities of Gilead while in possession of any such information or from disclosing such information to others. Accordingly, MacroGenics shall take reasonable actions to inform and instruct its employees who receive or have access to Confidential Information of Gilead not to buy or sell securities of Gilead while in possession of any material, non-public information regarding Gilead, and shall not advise others to do so.</w:t>
      </w:r>
    </w:p>
    <w:p>
      <w:pPr>
        <w:spacing w:after="0" w:line="79" w:lineRule="exact"/>
        <w:rPr>
          <w:sz w:val="20"/>
          <w:szCs w:val="20"/>
          <w:color w:val="auto"/>
        </w:rPr>
      </w:pPr>
    </w:p>
    <w:p>
      <w:pPr>
        <w:ind w:right="20" w:firstLine="458"/>
        <w:spacing w:after="0" w:line="302" w:lineRule="auto"/>
        <w:rPr>
          <w:sz w:val="20"/>
          <w:szCs w:val="20"/>
          <w:color w:val="auto"/>
        </w:rPr>
      </w:pPr>
      <w:r>
        <w:rPr>
          <w:rFonts w:ascii="Arial" w:cs="Arial" w:eastAsia="Arial" w:hAnsi="Arial"/>
          <w:sz w:val="12"/>
          <w:szCs w:val="12"/>
          <w:color w:val="auto"/>
        </w:rPr>
        <w:t xml:space="preserve">15.11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together with the Schedules and Exhibits hereto, set forth all the covenants, promises, agreements, warranties, representations, conditions and understandings between the Parties as to the subject matter of this Agreement and supersedes and terminates all prior agreements and understanding between the Parties with respect to the subject matter hereof.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as to the subject matter of this Agreement other than as set forth herein and therein. No subsequent alteration, amendment, change or addition to this Agreement shall be binding upon the Parties hereto unless reduced to writing and signed by the respective authorized officers of the Parties.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12" w:lineRule="exact"/>
        <w:rPr>
          <w:sz w:val="20"/>
          <w:szCs w:val="20"/>
          <w:color w:val="auto"/>
        </w:rPr>
      </w:pPr>
    </w:p>
    <w:p>
      <w:pPr>
        <w:ind w:left="3840" w:right="2640" w:hanging="1135"/>
        <w:spacing w:after="0" w:line="341" w:lineRule="auto"/>
        <w:tabs>
          <w:tab w:leader="none" w:pos="2944" w:val="left"/>
        </w:tabs>
        <w:numPr>
          <w:ilvl w:val="0"/>
          <w:numId w:val="66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610" w:name="page611"/>
    <w:bookmarkEnd w:id="610"/>
    <w:p>
      <w:pPr>
        <w:jc w:val="both"/>
        <w:ind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15.12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08" w:lineRule="exact"/>
        <w:rPr>
          <w:sz w:val="20"/>
          <w:szCs w:val="20"/>
          <w:color w:val="auto"/>
        </w:rPr>
      </w:pPr>
    </w:p>
    <w:p>
      <w:pPr>
        <w:ind w:firstLine="458"/>
        <w:spacing w:after="0" w:line="296" w:lineRule="auto"/>
        <w:rPr>
          <w:sz w:val="20"/>
          <w:szCs w:val="20"/>
          <w:color w:val="auto"/>
        </w:rPr>
      </w:pPr>
      <w:r>
        <w:rPr>
          <w:rFonts w:ascii="Arial" w:cs="Arial" w:eastAsia="Arial" w:hAnsi="Arial"/>
          <w:sz w:val="12"/>
          <w:szCs w:val="12"/>
          <w:color w:val="auto"/>
        </w:rPr>
        <w:t xml:space="preserve">15.13 </w:t>
      </w:r>
      <w:r>
        <w:rPr>
          <w:rFonts w:ascii="Arial" w:cs="Arial" w:eastAsia="Arial" w:hAnsi="Arial"/>
          <w:sz w:val="12"/>
          <w:szCs w:val="12"/>
          <w:u w:val="single" w:color="auto"/>
          <w:color w:val="auto"/>
        </w:rPr>
        <w:t>Headings; Construction; Interpretation</w:t>
      </w:r>
      <w:r>
        <w:rPr>
          <w:rFonts w:ascii="Arial" w:cs="Arial" w:eastAsia="Arial" w:hAnsi="Arial"/>
          <w:sz w:val="12"/>
          <w:szCs w:val="12"/>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as from time to time enacted, repealed or amended; (c) the words “herein,” “hereof” and “hereunder,” and words of similar import, refer to this Agreement in its entirety and not to any particular provision hereof; (d) the words “include,” “includes,” “including,” “exclude,” “excludes,” and “excluding,” shall be deemed to be followed by the phrase “but not limited to,” “without limitation” or words of similar import; and (e) any reference to Program DARTs or Licensed Products “from” a Licensed Program shall be deemed to include any Program DARTs, and Licensed Products that comprise or incorporate Program DARTs, that bind to the Program Target for such Licensed Program.</w:t>
      </w:r>
    </w:p>
    <w:p>
      <w:pPr>
        <w:spacing w:after="0" w:line="259" w:lineRule="exact"/>
        <w:rPr>
          <w:sz w:val="20"/>
          <w:szCs w:val="20"/>
          <w:color w:val="auto"/>
        </w:rPr>
      </w:pPr>
    </w:p>
    <w:p>
      <w:pPr>
        <w:ind w:right="340" w:firstLine="458"/>
        <w:spacing w:after="0" w:line="267" w:lineRule="auto"/>
        <w:rPr>
          <w:sz w:val="20"/>
          <w:szCs w:val="20"/>
          <w:color w:val="auto"/>
        </w:rPr>
      </w:pPr>
      <w:r>
        <w:rPr>
          <w:rFonts w:ascii="Arial" w:cs="Arial" w:eastAsia="Arial" w:hAnsi="Arial"/>
          <w:sz w:val="14"/>
          <w:szCs w:val="14"/>
          <w:color w:val="auto"/>
        </w:rPr>
        <w:t xml:space="preserve">15.14 </w:t>
      </w:r>
      <w:r>
        <w:rPr>
          <w:rFonts w:ascii="Arial" w:cs="Arial" w:eastAsia="Arial" w:hAnsi="Arial"/>
          <w:sz w:val="14"/>
          <w:szCs w:val="14"/>
          <w:u w:val="single" w:color="auto"/>
          <w:color w:val="auto"/>
        </w:rPr>
        <w:t>Further Actions</w:t>
      </w:r>
      <w:r>
        <w:rPr>
          <w:rFonts w:ascii="Arial" w:cs="Arial" w:eastAsia="Arial" w:hAnsi="Arial"/>
          <w:sz w:val="14"/>
          <w:szCs w:val="14"/>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101"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 xml:space="preserve">15.15 </w:t>
      </w:r>
      <w:r>
        <w:rPr>
          <w:rFonts w:ascii="Arial" w:cs="Arial" w:eastAsia="Arial" w:hAnsi="Arial"/>
          <w:sz w:val="14"/>
          <w:szCs w:val="14"/>
          <w:u w:val="single" w:color="auto"/>
          <w:color w:val="auto"/>
        </w:rPr>
        <w:t>Parties in Interest</w:t>
      </w:r>
      <w:r>
        <w:rPr>
          <w:rFonts w:ascii="Arial" w:cs="Arial" w:eastAsia="Arial" w:hAnsi="Arial"/>
          <w:sz w:val="14"/>
          <w:szCs w:val="14"/>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15.16 </w:t>
      </w:r>
      <w:r>
        <w:rPr>
          <w:rFonts w:ascii="Arial" w:cs="Arial" w:eastAsia="Arial" w:hAnsi="Arial"/>
          <w:sz w:val="12"/>
          <w:szCs w:val="12"/>
          <w:u w:val="single" w:color="auto"/>
          <w:color w:val="auto"/>
        </w:rPr>
        <w:t>Performance by Affiliates</w:t>
      </w:r>
      <w:r>
        <w:rPr>
          <w:rFonts w:ascii="Arial" w:cs="Arial" w:eastAsia="Arial" w:hAnsi="Arial"/>
          <w:sz w:val="12"/>
          <w:szCs w:val="12"/>
          <w:color w:val="auto"/>
        </w:rPr>
        <w:t>. To the extent that this Agreement imposes obligations on Affiliates of a Party, such Party agrees to cause its Affiliates to perform such obligations.</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80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66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611" w:name="page612"/>
    <w:bookmarkEnd w:id="611"/>
    <w:p>
      <w:pPr>
        <w:ind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15.17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portable document format (PDF) shall be treated as original signatures.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Signature page to follow</w:t>
      </w:r>
      <w:r>
        <w:rPr>
          <w:rFonts w:ascii="Arial" w:cs="Arial" w:eastAsia="Arial" w:hAnsi="Arial"/>
          <w:sz w:val="14"/>
          <w:szCs w:val="14"/>
          <w:b w:val="1"/>
          <w:bCs w:val="1"/>
          <w:i w:val="1"/>
          <w:iCs w:val="1"/>
          <w:color w:val="auto"/>
        </w:rPr>
        <w:t>]</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81</w:t>
      </w:r>
    </w:p>
    <w:p>
      <w:pPr>
        <w:spacing w:after="0" w:line="12" w:lineRule="exact"/>
        <w:rPr>
          <w:sz w:val="20"/>
          <w:szCs w:val="20"/>
          <w:color w:val="auto"/>
        </w:rPr>
      </w:pPr>
    </w:p>
    <w:p>
      <w:pPr>
        <w:ind w:left="3840" w:right="2540" w:hanging="1135"/>
        <w:spacing w:after="0" w:line="341" w:lineRule="auto"/>
        <w:tabs>
          <w:tab w:leader="none" w:pos="2944" w:val="left"/>
        </w:tabs>
        <w:numPr>
          <w:ilvl w:val="0"/>
          <w:numId w:val="66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00"/>
          </w:cols>
          <w:pgMar w:left="220" w:top="247" w:right="379" w:bottom="1440" w:gutter="0" w:footer="0" w:header="0"/>
        </w:sectPr>
      </w:pPr>
    </w:p>
    <w:bookmarkStart w:id="612" w:name="page613"/>
    <w:bookmarkEnd w:id="61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IN WITNESS WHEREOF, and intending to be legally bound hereby, the Parties have caused this Agreement to be executed by their duly authorized representatives as of the Effective Date.</w:t>
      </w:r>
    </w:p>
    <w:p>
      <w:pPr>
        <w:sectPr>
          <w:pgSz w:w="11900" w:h="16838" w:orient="portrait"/>
          <w:cols w:equalWidth="0" w:num="1">
            <w:col w:w="10280"/>
          </w:cols>
          <w:pgMar w:left="680" w:top="247" w:right="93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 Scott Koenig</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30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vMerge w:val="continue"/>
          </w:tcPr>
          <w:p>
            <w:pPr>
              <w:spacing w:after="0"/>
              <w:rPr>
                <w:sz w:val="13"/>
                <w:szCs w:val="13"/>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Scott Koenig</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CEO</w:t>
            </w:r>
          </w:p>
        </w:tc>
        <w:tc>
          <w:tcPr>
            <w:tcW w:w="0" w:type="dxa"/>
            <w:vAlign w:val="bottom"/>
          </w:tcPr>
          <w:p>
            <w:pPr>
              <w:spacing w:after="0"/>
              <w:rPr>
                <w:sz w:val="1"/>
                <w:szCs w:val="1"/>
                <w:color w:val="auto"/>
              </w:rPr>
            </w:pPr>
          </w:p>
        </w:tc>
      </w:tr>
      <w:tr>
        <w:trPr>
          <w:trHeight w:val="334"/>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GILEAD SCIENCES, INC.</w:t>
            </w:r>
          </w:p>
        </w:tc>
        <w:tc>
          <w:tcPr>
            <w:tcW w:w="0" w:type="dxa"/>
            <w:vAlign w:val="bottom"/>
          </w:tcPr>
          <w:p>
            <w:pPr>
              <w:spacing w:after="0"/>
              <w:rPr>
                <w:sz w:val="1"/>
                <w:szCs w:val="1"/>
                <w:color w:val="auto"/>
              </w:rPr>
            </w:pPr>
          </w:p>
        </w:tc>
      </w:tr>
      <w:tr>
        <w:trPr>
          <w:trHeight w:val="336"/>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 John F. Milligan</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30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vMerge w:val="continue"/>
          </w:tcPr>
          <w:p>
            <w:pPr>
              <w:spacing w:after="0"/>
              <w:rPr>
                <w:sz w:val="13"/>
                <w:szCs w:val="13"/>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John F. Milligan</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President and CEO</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[Signature page]</w:t>
      </w:r>
    </w:p>
    <w:p>
      <w:pPr>
        <w:spacing w:after="0" w:line="121" w:lineRule="exact"/>
        <w:rPr>
          <w:sz w:val="20"/>
          <w:szCs w:val="20"/>
          <w:color w:val="auto"/>
        </w:rPr>
      </w:pPr>
    </w:p>
    <w:p>
      <w:pPr>
        <w:ind w:left="3380" w:right="1980" w:hanging="1135"/>
        <w:spacing w:after="0" w:line="351" w:lineRule="auto"/>
        <w:tabs>
          <w:tab w:leader="none" w:pos="2484" w:val="left"/>
        </w:tabs>
        <w:numPr>
          <w:ilvl w:val="0"/>
          <w:numId w:val="66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80"/>
          </w:cols>
          <w:pgMar w:left="680" w:top="247" w:right="939" w:bottom="1440" w:gutter="0" w:footer="0" w:header="0"/>
          <w:type w:val="continuous"/>
        </w:sectPr>
      </w:pPr>
    </w:p>
    <w:bookmarkStart w:id="613" w:name="page614"/>
    <w:bookmarkEnd w:id="613"/>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A</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Access Territory as of the Effective Date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Exhibit A - 1</w:t>
      </w:r>
    </w:p>
    <w:p>
      <w:pPr>
        <w:spacing w:after="0" w:line="12" w:lineRule="exact"/>
        <w:rPr>
          <w:sz w:val="20"/>
          <w:szCs w:val="20"/>
          <w:color w:val="auto"/>
        </w:rPr>
      </w:pPr>
    </w:p>
    <w:p>
      <w:pPr>
        <w:ind w:left="3840" w:right="1479" w:hanging="1135"/>
        <w:spacing w:after="0" w:line="341" w:lineRule="auto"/>
        <w:tabs>
          <w:tab w:leader="none" w:pos="2944" w:val="left"/>
        </w:tabs>
        <w:numPr>
          <w:ilvl w:val="0"/>
          <w:numId w:val="66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614" w:name="page615"/>
    <w:bookmarkEnd w:id="614"/>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B</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DART Platform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Exhibit B - 1</w:t>
      </w:r>
    </w:p>
    <w:p>
      <w:pPr>
        <w:spacing w:after="0" w:line="12" w:lineRule="exact"/>
        <w:rPr>
          <w:sz w:val="20"/>
          <w:szCs w:val="20"/>
          <w:color w:val="auto"/>
        </w:rPr>
      </w:pPr>
    </w:p>
    <w:p>
      <w:pPr>
        <w:ind w:left="3840" w:right="1479" w:hanging="1135"/>
        <w:spacing w:after="0" w:line="341" w:lineRule="auto"/>
        <w:tabs>
          <w:tab w:leader="none" w:pos="2944" w:val="left"/>
        </w:tabs>
        <w:numPr>
          <w:ilvl w:val="0"/>
          <w:numId w:val="66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615" w:name="page616"/>
    <w:bookmarkEnd w:id="61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Patents</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5720" w:type="dxa"/>
            <w:vAlign w:val="bottom"/>
            <w:gridSpan w:val="3"/>
          </w:tcPr>
          <w:p>
            <w:pPr>
              <w:ind w:left="3400"/>
              <w:spacing w:after="0"/>
              <w:rPr>
                <w:sz w:val="20"/>
                <w:szCs w:val="20"/>
                <w:color w:val="auto"/>
              </w:rPr>
            </w:pPr>
            <w:r>
              <w:rPr>
                <w:rFonts w:ascii="Arial" w:cs="Arial" w:eastAsia="Arial" w:hAnsi="Arial"/>
                <w:sz w:val="10"/>
                <w:szCs w:val="10"/>
                <w:b w:val="1"/>
                <w:bCs w:val="1"/>
                <w:color w:val="auto"/>
              </w:rPr>
              <w:t>Pending Application</w:t>
            </w:r>
          </w:p>
        </w:tc>
        <w:tc>
          <w:tcPr>
            <w:tcW w:w="15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7"/>
        </w:trPr>
        <w:tc>
          <w:tcPr>
            <w:tcW w:w="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7"/>
              </w:rPr>
              <w:t>Title</w:t>
            </w:r>
          </w:p>
        </w:tc>
        <w:tc>
          <w:tcPr>
            <w:tcW w:w="3660" w:type="dxa"/>
            <w:vAlign w:val="bottom"/>
          </w:tcPr>
          <w:p>
            <w:pPr>
              <w:spacing w:after="0"/>
              <w:rPr>
                <w:sz w:val="11"/>
                <w:szCs w:val="11"/>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Number</w:t>
            </w:r>
          </w:p>
        </w:tc>
        <w:tc>
          <w:tcPr>
            <w:tcW w:w="1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Foreign Rights</w:t>
            </w:r>
          </w:p>
        </w:tc>
      </w:tr>
      <w:tr>
        <w:trPr>
          <w:trHeight w:val="249"/>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3660" w:type="dxa"/>
            <w:vAlign w:val="bottom"/>
          </w:tcPr>
          <w:p>
            <w:pPr>
              <w:ind w:left="3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gridSpan w:val="2"/>
          </w:tcPr>
          <w:p>
            <w:pPr>
              <w:jc w:val="center"/>
              <w:ind w:left="1432"/>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3660" w:type="dxa"/>
            <w:vAlign w:val="bottom"/>
          </w:tcPr>
          <w:p>
            <w:pPr>
              <w:ind w:left="3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gridSpan w:val="2"/>
          </w:tcPr>
          <w:p>
            <w:pPr>
              <w:jc w:val="center"/>
              <w:ind w:left="1432"/>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3660" w:type="dxa"/>
            <w:vAlign w:val="bottom"/>
          </w:tcPr>
          <w:p>
            <w:pPr>
              <w:ind w:left="3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gridSpan w:val="2"/>
          </w:tcPr>
          <w:p>
            <w:pPr>
              <w:jc w:val="center"/>
              <w:ind w:left="1432"/>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4040" w:type="dxa"/>
            <w:vAlign w:val="bottom"/>
            <w:gridSpan w:val="2"/>
          </w:tcPr>
          <w:p>
            <w:pPr>
              <w:ind w:left="3740"/>
              <w:spacing w:after="0"/>
              <w:rPr>
                <w:sz w:val="20"/>
                <w:szCs w:val="20"/>
                <w:color w:val="auto"/>
              </w:rPr>
            </w:pPr>
            <w:r>
              <w:rPr>
                <w:rFonts w:ascii="Arial" w:cs="Arial" w:eastAsia="Arial" w:hAnsi="Arial"/>
                <w:sz w:val="14"/>
                <w:szCs w:val="14"/>
                <w:color w:val="auto"/>
              </w:rPr>
              <w:t>***</w:t>
            </w:r>
          </w:p>
        </w:tc>
        <w:tc>
          <w:tcPr>
            <w:tcW w:w="1680" w:type="dxa"/>
            <w:vAlign w:val="bottom"/>
          </w:tcPr>
          <w:p>
            <w:pPr>
              <w:spacing w:after="0"/>
              <w:rPr>
                <w:sz w:val="21"/>
                <w:szCs w:val="21"/>
                <w:color w:val="auto"/>
              </w:rPr>
            </w:pPr>
          </w:p>
        </w:tc>
        <w:tc>
          <w:tcPr>
            <w:tcW w:w="220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4040" w:type="dxa"/>
            <w:vAlign w:val="bottom"/>
            <w:gridSpan w:val="2"/>
          </w:tcPr>
          <w:p>
            <w:pPr>
              <w:ind w:left="3740"/>
              <w:spacing w:after="0"/>
              <w:rPr>
                <w:sz w:val="20"/>
                <w:szCs w:val="20"/>
                <w:color w:val="auto"/>
              </w:rPr>
            </w:pPr>
            <w:r>
              <w:rPr>
                <w:rFonts w:ascii="Arial" w:cs="Arial" w:eastAsia="Arial" w:hAnsi="Arial"/>
                <w:sz w:val="14"/>
                <w:szCs w:val="14"/>
                <w:color w:val="auto"/>
              </w:rPr>
              <w:t>***</w:t>
            </w:r>
          </w:p>
        </w:tc>
        <w:tc>
          <w:tcPr>
            <w:tcW w:w="1680" w:type="dxa"/>
            <w:vAlign w:val="bottom"/>
          </w:tcPr>
          <w:p>
            <w:pPr>
              <w:spacing w:after="0"/>
              <w:rPr>
                <w:sz w:val="21"/>
                <w:szCs w:val="21"/>
                <w:color w:val="auto"/>
              </w:rPr>
            </w:pPr>
          </w:p>
        </w:tc>
        <w:tc>
          <w:tcPr>
            <w:tcW w:w="220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4040" w:type="dxa"/>
            <w:vAlign w:val="bottom"/>
            <w:gridSpan w:val="2"/>
          </w:tcPr>
          <w:p>
            <w:pPr>
              <w:ind w:left="3740"/>
              <w:spacing w:after="0"/>
              <w:rPr>
                <w:sz w:val="20"/>
                <w:szCs w:val="20"/>
                <w:color w:val="auto"/>
              </w:rPr>
            </w:pPr>
            <w:r>
              <w:rPr>
                <w:rFonts w:ascii="Arial" w:cs="Arial" w:eastAsia="Arial" w:hAnsi="Arial"/>
                <w:sz w:val="14"/>
                <w:szCs w:val="14"/>
                <w:color w:val="auto"/>
              </w:rPr>
              <w:t>***</w:t>
            </w:r>
          </w:p>
        </w:tc>
        <w:tc>
          <w:tcPr>
            <w:tcW w:w="1680" w:type="dxa"/>
            <w:vAlign w:val="bottom"/>
          </w:tcPr>
          <w:p>
            <w:pPr>
              <w:spacing w:after="0"/>
              <w:rPr>
                <w:sz w:val="21"/>
                <w:szCs w:val="21"/>
                <w:color w:val="auto"/>
              </w:rPr>
            </w:pPr>
          </w:p>
        </w:tc>
        <w:tc>
          <w:tcPr>
            <w:tcW w:w="220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C - 1</w:t>
      </w:r>
    </w:p>
    <w:p>
      <w:pPr>
        <w:spacing w:after="0" w:line="12" w:lineRule="exact"/>
        <w:rPr>
          <w:sz w:val="20"/>
          <w:szCs w:val="20"/>
          <w:color w:val="auto"/>
        </w:rPr>
      </w:pPr>
    </w:p>
    <w:p>
      <w:pPr>
        <w:ind w:left="2620" w:right="1479" w:hanging="1135"/>
        <w:spacing w:after="0" w:line="341" w:lineRule="auto"/>
        <w:tabs>
          <w:tab w:leader="none" w:pos="1724" w:val="left"/>
        </w:tabs>
        <w:numPr>
          <w:ilvl w:val="0"/>
          <w:numId w:val="67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5" w:right="1440" w:bottom="1440" w:gutter="0" w:footer="0" w:header="0"/>
        </w:sectPr>
      </w:pPr>
    </w:p>
    <w:bookmarkStart w:id="616" w:name="page617"/>
    <w:bookmarkEnd w:id="616"/>
    <w:p>
      <w:pPr>
        <w:ind w:left="5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D</w:t>
      </w:r>
    </w:p>
    <w:p>
      <w:pPr>
        <w:spacing w:after="0" w:line="13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Content of Pre-Clinical Data Package for *** Research Program</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Exhibit D - 1</w:t>
      </w:r>
    </w:p>
    <w:p>
      <w:pPr>
        <w:spacing w:after="0" w:line="12" w:lineRule="exact"/>
        <w:rPr>
          <w:sz w:val="20"/>
          <w:szCs w:val="20"/>
          <w:color w:val="auto"/>
        </w:rPr>
      </w:pPr>
    </w:p>
    <w:p>
      <w:pPr>
        <w:ind w:left="3840" w:right="1479" w:hanging="1135"/>
        <w:spacing w:after="0" w:line="341" w:lineRule="auto"/>
        <w:tabs>
          <w:tab w:leader="none" w:pos="2944" w:val="left"/>
        </w:tabs>
        <w:numPr>
          <w:ilvl w:val="0"/>
          <w:numId w:val="67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4" w:right="1440" w:bottom="1440" w:gutter="0" w:footer="0" w:header="0"/>
        </w:sectPr>
      </w:pPr>
    </w:p>
    <w:bookmarkStart w:id="617" w:name="page618"/>
    <w:bookmarkEnd w:id="61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Research Plan for the *** Research Program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 - 1</w:t>
      </w:r>
    </w:p>
    <w:p>
      <w:pPr>
        <w:spacing w:after="0" w:line="12" w:lineRule="exact"/>
        <w:rPr>
          <w:sz w:val="20"/>
          <w:szCs w:val="20"/>
          <w:color w:val="auto"/>
        </w:rPr>
      </w:pPr>
    </w:p>
    <w:p>
      <w:pPr>
        <w:ind w:left="2620" w:right="1479" w:hanging="1135"/>
        <w:spacing w:after="0" w:line="341" w:lineRule="auto"/>
        <w:tabs>
          <w:tab w:leader="none" w:pos="1724" w:val="left"/>
        </w:tabs>
        <w:numPr>
          <w:ilvl w:val="0"/>
          <w:numId w:val="67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6" w:right="1440" w:bottom="1440" w:gutter="0" w:footer="0" w:header="0"/>
        </w:sectPr>
      </w:pPr>
    </w:p>
    <w:bookmarkStart w:id="618" w:name="page619"/>
    <w:bookmarkEnd w:id="618"/>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 - 2</w:t>
      </w:r>
    </w:p>
    <w:p>
      <w:pPr>
        <w:spacing w:after="0" w:line="12" w:lineRule="exact"/>
        <w:rPr>
          <w:sz w:val="20"/>
          <w:szCs w:val="20"/>
          <w:color w:val="auto"/>
        </w:rPr>
      </w:pPr>
    </w:p>
    <w:p>
      <w:pPr>
        <w:ind w:left="2620" w:right="1479" w:hanging="1135"/>
        <w:spacing w:after="0" w:line="341" w:lineRule="auto"/>
        <w:tabs>
          <w:tab w:leader="none" w:pos="1724" w:val="left"/>
        </w:tabs>
        <w:numPr>
          <w:ilvl w:val="0"/>
          <w:numId w:val="67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6" w:right="1440" w:bottom="1440" w:gutter="0" w:footer="0" w:header="0"/>
        </w:sectPr>
      </w:pPr>
    </w:p>
    <w:bookmarkStart w:id="619" w:name="page620"/>
    <w:bookmarkEnd w:id="61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316470" cy="33020"/>
                    </a:xfrm>
                    <a:prstGeom prst="rect">
                      <a:avLst/>
                    </a:prstGeom>
                    <a:noFill/>
                  </pic:spPr>
                </pic:pic>
              </a:graphicData>
            </a:graphic>
          </wp:anchor>
        </w:drawing>
        <w:t>***</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Exhibit E - 3</w:t>
      </w:r>
    </w:p>
    <w:p>
      <w:pPr>
        <w:spacing w:after="0" w:line="12" w:lineRule="exact"/>
        <w:rPr>
          <w:sz w:val="20"/>
          <w:szCs w:val="20"/>
          <w:color w:val="auto"/>
        </w:rPr>
      </w:pPr>
    </w:p>
    <w:p>
      <w:pPr>
        <w:ind w:left="3840" w:right="1479" w:hanging="1135"/>
        <w:spacing w:after="0" w:line="341" w:lineRule="auto"/>
        <w:tabs>
          <w:tab w:leader="none" w:pos="2944" w:val="left"/>
        </w:tabs>
        <w:numPr>
          <w:ilvl w:val="0"/>
          <w:numId w:val="67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8" w:right="1440" w:bottom="1440" w:gutter="0" w:footer="0" w:header="0"/>
        </w:sectPr>
      </w:pPr>
    </w:p>
    <w:bookmarkStart w:id="620" w:name="page621"/>
    <w:bookmarkEnd w:id="62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Press Release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 - 1</w:t>
      </w:r>
    </w:p>
    <w:p>
      <w:pPr>
        <w:spacing w:after="0" w:line="12" w:lineRule="exact"/>
        <w:rPr>
          <w:sz w:val="20"/>
          <w:szCs w:val="20"/>
          <w:color w:val="auto"/>
        </w:rPr>
      </w:pPr>
    </w:p>
    <w:p>
      <w:pPr>
        <w:ind w:left="2620" w:right="1479" w:hanging="1135"/>
        <w:spacing w:after="0" w:line="341" w:lineRule="auto"/>
        <w:tabs>
          <w:tab w:leader="none" w:pos="1724" w:val="left"/>
        </w:tabs>
        <w:numPr>
          <w:ilvl w:val="0"/>
          <w:numId w:val="67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6" w:right="1440" w:bottom="1440" w:gutter="0" w:footer="0" w:header="0"/>
        </w:sectPr>
      </w:pPr>
    </w:p>
    <w:bookmarkStart w:id="621" w:name="page622"/>
    <w:bookmarkEnd w:id="621"/>
    <w:p>
      <w:pPr>
        <w:ind w:left="53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Schedule 11.2.3</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1</w:t>
      </w:r>
    </w:p>
    <w:p>
      <w:pPr>
        <w:spacing w:after="0" w:line="12" w:lineRule="exact"/>
        <w:rPr>
          <w:sz w:val="20"/>
          <w:szCs w:val="20"/>
          <w:color w:val="auto"/>
        </w:rPr>
      </w:pPr>
    </w:p>
    <w:p>
      <w:pPr>
        <w:ind w:left="3840" w:right="1479" w:hanging="1135"/>
        <w:spacing w:after="0" w:line="341" w:lineRule="auto"/>
        <w:tabs>
          <w:tab w:leader="none" w:pos="2944" w:val="left"/>
        </w:tabs>
        <w:numPr>
          <w:ilvl w:val="0"/>
          <w:numId w:val="67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622" w:name="page623"/>
    <w:bookmarkEnd w:id="622"/>
    <w:p>
      <w:pPr>
        <w:jc w:val="right"/>
        <w:spacing w:after="0"/>
        <w:rPr>
          <w:sz w:val="20"/>
          <w:szCs w:val="20"/>
          <w:color w:val="auto"/>
        </w:rPr>
      </w:pPr>
      <w:r>
        <w:rPr>
          <w:rFonts w:ascii="Arial" w:cs="Arial" w:eastAsia="Arial" w:hAnsi="Arial"/>
          <w:sz w:val="14"/>
          <w:szCs w:val="14"/>
          <w:b w:val="1"/>
          <w:bCs w:val="1"/>
          <w:color w:val="auto"/>
        </w:rPr>
        <w:t>Exhibit 10.17</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Materials omitted and filed separately with the Securities and Exchange Commission.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COLLABORATION AGREEMENT</w:t>
      </w:r>
    </w:p>
    <w:p>
      <w:pPr>
        <w:spacing w:after="0" w:line="132" w:lineRule="exact"/>
        <w:rPr>
          <w:sz w:val="20"/>
          <w:szCs w:val="20"/>
          <w:color w:val="auto"/>
        </w:rPr>
      </w:pPr>
    </w:p>
    <w:p>
      <w:pPr>
        <w:ind w:right="120" w:firstLine="458"/>
        <w:spacing w:after="0" w:line="259" w:lineRule="auto"/>
        <w:rPr>
          <w:sz w:val="20"/>
          <w:szCs w:val="20"/>
          <w:color w:val="auto"/>
        </w:rPr>
      </w:pPr>
      <w:r>
        <w:rPr>
          <w:rFonts w:ascii="Arial" w:cs="Arial" w:eastAsia="Arial" w:hAnsi="Arial"/>
          <w:sz w:val="14"/>
          <w:szCs w:val="14"/>
          <w:color w:val="auto"/>
        </w:rPr>
        <w:t>This Collaboration Agreement (“</w:t>
      </w:r>
      <w:r>
        <w:rPr>
          <w:rFonts w:ascii="Arial" w:cs="Arial" w:eastAsia="Arial" w:hAnsi="Arial"/>
          <w:sz w:val="14"/>
          <w:szCs w:val="14"/>
          <w:b w:val="1"/>
          <w:bCs w:val="1"/>
          <w:color w:val="auto"/>
        </w:rPr>
        <w:t>Agreement</w:t>
      </w:r>
      <w:r>
        <w:rPr>
          <w:rFonts w:ascii="Arial" w:cs="Arial" w:eastAsia="Arial" w:hAnsi="Arial"/>
          <w:sz w:val="14"/>
          <w:szCs w:val="14"/>
          <w:color w:val="auto"/>
        </w:rPr>
        <w:t>”), effective as of June 30, 2010 (the “</w:t>
      </w:r>
      <w:r>
        <w:rPr>
          <w:rFonts w:ascii="Arial" w:cs="Arial" w:eastAsia="Arial" w:hAnsi="Arial"/>
          <w:sz w:val="14"/>
          <w:szCs w:val="14"/>
          <w:b w:val="1"/>
          <w:bCs w:val="1"/>
          <w:color w:val="auto"/>
        </w:rPr>
        <w:t>Effective Date</w:t>
      </w:r>
      <w:r>
        <w:rPr>
          <w:rFonts w:ascii="Arial" w:cs="Arial" w:eastAsia="Arial" w:hAnsi="Arial"/>
          <w:sz w:val="14"/>
          <w:szCs w:val="14"/>
          <w:color w:val="auto"/>
        </w:rPr>
        <w:t>”), is entered into by and between MacroGenics, Inc., a Delaware corporation with a place of business at 1500 East Gude Drive, Rockville, MD 20850 (“</w:t>
      </w:r>
      <w:r>
        <w:rPr>
          <w:rFonts w:ascii="Arial" w:cs="Arial" w:eastAsia="Arial" w:hAnsi="Arial"/>
          <w:sz w:val="14"/>
          <w:szCs w:val="14"/>
          <w:b w:val="1"/>
          <w:bCs w:val="1"/>
          <w:color w:val="auto"/>
        </w:rPr>
        <w:t>MacroGenics</w:t>
      </w:r>
      <w:r>
        <w:rPr>
          <w:rFonts w:ascii="Arial" w:cs="Arial" w:eastAsia="Arial" w:hAnsi="Arial"/>
          <w:sz w:val="14"/>
          <w:szCs w:val="14"/>
          <w:color w:val="auto"/>
        </w:rPr>
        <w:t>”), and Green Cross Corp., a Korean company with a place of business at 303 Bojeong-Dong, Giheung-Gu, Yongin, 446-770, Korea (“</w:t>
      </w:r>
      <w:r>
        <w:rPr>
          <w:rFonts w:ascii="Arial" w:cs="Arial" w:eastAsia="Arial" w:hAnsi="Arial"/>
          <w:sz w:val="14"/>
          <w:szCs w:val="14"/>
          <w:b w:val="1"/>
          <w:bCs w:val="1"/>
          <w:color w:val="auto"/>
        </w:rPr>
        <w:t>Green</w:t>
      </w:r>
      <w:r>
        <w:rPr>
          <w:rFonts w:ascii="Arial" w:cs="Arial" w:eastAsia="Arial" w:hAnsi="Arial"/>
          <w:sz w:val="14"/>
          <w:szCs w:val="14"/>
          <w:color w:val="auto"/>
        </w:rPr>
        <w:t xml:space="preserve"> </w:t>
      </w:r>
      <w:r>
        <w:rPr>
          <w:rFonts w:ascii="Arial" w:cs="Arial" w:eastAsia="Arial" w:hAnsi="Arial"/>
          <w:sz w:val="14"/>
          <w:szCs w:val="14"/>
          <w:b w:val="1"/>
          <w:bCs w:val="1"/>
          <w:color w:val="auto"/>
        </w:rPr>
        <w:t>Cross</w:t>
      </w:r>
      <w:r>
        <w:rPr>
          <w:rFonts w:ascii="Arial" w:cs="Arial" w:eastAsia="Arial" w:hAnsi="Arial"/>
          <w:sz w:val="14"/>
          <w:szCs w:val="14"/>
          <w:color w:val="auto"/>
        </w:rPr>
        <w:t>”). MacroGenics and Green Cross may be referred to herein individually as a “</w:t>
      </w:r>
      <w:r>
        <w:rPr>
          <w:rFonts w:ascii="Arial" w:cs="Arial" w:eastAsia="Arial" w:hAnsi="Arial"/>
          <w:sz w:val="14"/>
          <w:szCs w:val="14"/>
          <w:b w:val="1"/>
          <w:bCs w:val="1"/>
          <w:color w:val="auto"/>
        </w:rPr>
        <w:t>Party</w:t>
      </w:r>
      <w:r>
        <w:rPr>
          <w:rFonts w:ascii="Arial" w:cs="Arial" w:eastAsia="Arial" w:hAnsi="Arial"/>
          <w:sz w:val="14"/>
          <w:szCs w:val="14"/>
          <w:color w:val="auto"/>
        </w:rPr>
        <w:t>” or collectively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MacroGenics has expertise in, and platforms for, the discovery and development of products for the treatment of patients with cancer, inflammatory and infectious diseases.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Green Cross conducts research and development with respect to, and sells, pharmaceutical products.</w:t>
      </w:r>
    </w:p>
    <w:p>
      <w:pPr>
        <w:spacing w:after="0" w:line="132" w:lineRule="exact"/>
        <w:rPr>
          <w:sz w:val="20"/>
          <w:szCs w:val="20"/>
          <w:color w:val="auto"/>
        </w:rPr>
      </w:pPr>
    </w:p>
    <w:p>
      <w:pPr>
        <w:ind w:right="580" w:firstLine="458"/>
        <w:spacing w:after="0" w:line="267" w:lineRule="auto"/>
        <w:rPr>
          <w:sz w:val="20"/>
          <w:szCs w:val="20"/>
          <w:color w:val="auto"/>
        </w:rPr>
      </w:pPr>
      <w:r>
        <w:rPr>
          <w:rFonts w:ascii="Arial" w:cs="Arial" w:eastAsia="Arial" w:hAnsi="Arial"/>
          <w:sz w:val="14"/>
          <w:szCs w:val="14"/>
          <w:color w:val="auto"/>
        </w:rPr>
        <w:t>C. Green Cross and MacroGenics desire to enter into collaboration for the development of MacroGenics’ anti-HER2 Antibody known as MGAH22, and if approved for commercialization, the commercialization of a Product in South Korea, all upon the terms and conditions set forth in this Agreement.</w:t>
      </w:r>
    </w:p>
    <w:p>
      <w:pPr>
        <w:spacing w:after="0" w:line="101"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D. MacroGenics desires to grant to Green Cross, and Green Cross desires to receive, an exclusive license for all Indications for all pharmaceutical forms of MGAH22 for South Korea, upon the terms and conditions set forth in this Agreement.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consideration of the foregoing premises and the mutual covenants herein contained, the Parties hereby agree as follows: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b w:val="1"/>
          <w:bCs w:val="1"/>
          <w:color w:val="auto"/>
        </w:rPr>
        <w:t>D</w:t>
      </w:r>
      <w:r>
        <w:rPr>
          <w:rFonts w:ascii="Arial" w:cs="Arial" w:eastAsia="Arial" w:hAnsi="Arial"/>
          <w:sz w:val="10"/>
          <w:szCs w:val="10"/>
          <w:b w:val="1"/>
          <w:bCs w:val="1"/>
          <w:color w:val="auto"/>
        </w:rPr>
        <w:t>EFINITIONS</w:t>
      </w:r>
      <w:r>
        <w:rPr>
          <w:rFonts w:ascii="Arial" w:cs="Arial" w:eastAsia="Arial" w:hAnsi="Arial"/>
          <w:sz w:val="12"/>
          <w:szCs w:val="12"/>
          <w:b w:val="1"/>
          <w:bCs w:val="1"/>
          <w:color w:val="auto"/>
        </w:rPr>
        <w:t>.</w:t>
      </w:r>
      <w:r>
        <w:rPr>
          <w:rFonts w:ascii="Arial" w:cs="Arial" w:eastAsia="Arial" w:hAnsi="Arial"/>
          <w:sz w:val="12"/>
          <w:szCs w:val="12"/>
          <w:color w:val="auto"/>
        </w:rPr>
        <w:t xml:space="preserve"> Unless specifically set forth to the contrary herein, the following capitalized terms, whether used in the singular or plural, shall have the respective meanings set forth below:</w:t>
      </w:r>
    </w:p>
    <w:p>
      <w:pPr>
        <w:spacing w:after="0" w:line="155"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1.1 “</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Party, any person or entity controlling, controlled by or under common control with such Party. For purposes of this Section 1.1, “control” means (a) in the case of a corporate entity, direct or indirect</w:t>
      </w:r>
    </w:p>
    <w:p>
      <w:pPr>
        <w:sectPr>
          <w:pgSz w:w="11900" w:h="16838" w:orient="portrait"/>
          <w:cols w:equalWidth="0" w:num="1">
            <w:col w:w="11460"/>
          </w:cols>
          <w:pgMar w:left="220" w:top="131" w:right="219" w:bottom="1440" w:gutter="0" w:footer="0" w:header="0"/>
        </w:sectPr>
      </w:pPr>
    </w:p>
    <w:bookmarkStart w:id="623" w:name="page624"/>
    <w:bookmarkEnd w:id="623"/>
    <w:p>
      <w:pPr>
        <w:ind w:right="2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ownership of at least fifty percent (50%) or more of the stock or shares having the right to vote for the election of directors of such corporate entity and (b) in the case of an entity that is not a corporate entity, the possession, directly or indirectly, of the power to direct, or cause the direction of, the management or policies of such entity, whether through the ownership of voting securities, by contract or otherwise.</w:t>
      </w:r>
    </w:p>
    <w:p>
      <w:pPr>
        <w:spacing w:after="0" w:line="54" w:lineRule="exact"/>
        <w:rPr>
          <w:sz w:val="20"/>
          <w:szCs w:val="20"/>
          <w:color w:val="auto"/>
        </w:rPr>
      </w:pPr>
    </w:p>
    <w:p>
      <w:pPr>
        <w:ind w:right="60" w:firstLine="458"/>
        <w:spacing w:after="0" w:line="355" w:lineRule="auto"/>
        <w:rPr>
          <w:sz w:val="20"/>
          <w:szCs w:val="20"/>
          <w:color w:val="auto"/>
        </w:rPr>
      </w:pPr>
      <w:r>
        <w:rPr>
          <w:rFonts w:ascii="Arial" w:cs="Arial" w:eastAsia="Arial" w:hAnsi="Arial"/>
          <w:sz w:val="12"/>
          <w:szCs w:val="12"/>
          <w:color w:val="auto"/>
        </w:rPr>
        <w:t>1.2 “</w:t>
      </w:r>
      <w:r>
        <w:rPr>
          <w:rFonts w:ascii="Arial" w:cs="Arial" w:eastAsia="Arial" w:hAnsi="Arial"/>
          <w:sz w:val="12"/>
          <w:szCs w:val="12"/>
          <w:b w:val="1"/>
          <w:bCs w:val="1"/>
          <w:color w:val="auto"/>
        </w:rPr>
        <w:t>Allocable Overhead</w:t>
      </w:r>
      <w:r>
        <w:rPr>
          <w:rFonts w:ascii="Arial" w:cs="Arial" w:eastAsia="Arial" w:hAnsi="Arial"/>
          <w:sz w:val="12"/>
          <w:szCs w:val="12"/>
          <w:color w:val="auto"/>
        </w:rPr>
        <w:t xml:space="preserve">” means costs incurred by each Party that are attributable to that Party’s </w:t>
      </w:r>
      <w:r>
        <w:rPr>
          <w:rFonts w:ascii="Arial" w:cs="Arial" w:eastAsia="Arial" w:hAnsi="Arial"/>
          <w:sz w:val="12"/>
          <w:szCs w:val="12"/>
          <w:b w:val="1"/>
          <w:bCs w:val="1"/>
          <w:color w:val="auto"/>
        </w:rPr>
        <w:t>***</w:t>
      </w:r>
      <w:r>
        <w:rPr>
          <w:rFonts w:ascii="Arial" w:cs="Arial" w:eastAsia="Arial" w:hAnsi="Arial"/>
          <w:sz w:val="12"/>
          <w:szCs w:val="12"/>
          <w:color w:val="auto"/>
        </w:rPr>
        <w:t xml:space="preserve"> reasonably allocated to the Party’s departments or functions, or used to support activities under the Collaboration based on space occupied or headcount or other activity-based methods consistently applied by each Party. The Allocable Overhead shall not include any costs attributable to </w:t>
      </w:r>
      <w:r>
        <w:rPr>
          <w:rFonts w:ascii="Arial" w:cs="Arial" w:eastAsia="Arial" w:hAnsi="Arial"/>
          <w:sz w:val="12"/>
          <w:szCs w:val="12"/>
          <w:b w:val="1"/>
          <w:bCs w:val="1"/>
          <w:color w:val="auto"/>
        </w:rPr>
        <w:t>***</w:t>
      </w:r>
    </w:p>
    <w:p>
      <w:pPr>
        <w:spacing w:after="0" w:line="51" w:lineRule="exact"/>
        <w:rPr>
          <w:sz w:val="20"/>
          <w:szCs w:val="20"/>
          <w:color w:val="auto"/>
        </w:rPr>
      </w:pPr>
    </w:p>
    <w:p>
      <w:pPr>
        <w:ind w:right="20" w:firstLine="458"/>
        <w:spacing w:after="0" w:line="254" w:lineRule="auto"/>
        <w:rPr>
          <w:sz w:val="20"/>
          <w:szCs w:val="20"/>
          <w:color w:val="auto"/>
        </w:rPr>
      </w:pPr>
      <w:r>
        <w:rPr>
          <w:rFonts w:ascii="Arial" w:cs="Arial" w:eastAsia="Arial" w:hAnsi="Arial"/>
          <w:sz w:val="14"/>
          <w:szCs w:val="14"/>
          <w:color w:val="auto"/>
        </w:rPr>
        <w:t>1.3 “</w:t>
      </w:r>
      <w:r>
        <w:rPr>
          <w:rFonts w:ascii="Arial" w:cs="Arial" w:eastAsia="Arial" w:hAnsi="Arial"/>
          <w:sz w:val="14"/>
          <w:szCs w:val="14"/>
          <w:b w:val="1"/>
          <w:bCs w:val="1"/>
          <w:color w:val="auto"/>
        </w:rPr>
        <w:t>Antibody</w:t>
      </w:r>
      <w:r>
        <w:rPr>
          <w:rFonts w:ascii="Arial" w:cs="Arial" w:eastAsia="Arial" w:hAnsi="Arial"/>
          <w:sz w:val="14"/>
          <w:szCs w:val="14"/>
          <w:color w:val="auto"/>
        </w:rPr>
        <w:t>” means a molecule comprising or containing: (a) one or more immunoglobulin variable domains; (b) fragments, variants, modifications or derivatives of such immunoglobulin variable domains; and (c) the nucleic acid consisting of a sequence of nucleotides encoding (or complementary to a nucleic acid encoding) the foregoing molecules in (a) or (b). The term “Antibody” shall include any monospecific antibodies; less than full-length antibody forms such as Fv, Fab, and F(ab’); single-chain antibodies; and an antibody bound to a drug, label or other moiety and any antibody that is conjugated or fused to any other composition, including for example, a toxin, radionucleotide, small molecule, polypeptide or polypeptide fragment. The term Antibody also includes, without limitation to its source or method of manufacture, any human, humanized, primatized, chimeric or other antibody.</w:t>
      </w:r>
    </w:p>
    <w:p>
      <w:pPr>
        <w:spacing w:after="0" w:line="109" w:lineRule="exact"/>
        <w:rPr>
          <w:sz w:val="20"/>
          <w:szCs w:val="20"/>
          <w:color w:val="auto"/>
        </w:rPr>
      </w:pPr>
    </w:p>
    <w:p>
      <w:pPr>
        <w:ind w:firstLine="458"/>
        <w:spacing w:after="0" w:line="355" w:lineRule="auto"/>
        <w:rPr>
          <w:sz w:val="20"/>
          <w:szCs w:val="20"/>
          <w:color w:val="auto"/>
        </w:rPr>
      </w:pPr>
      <w:r>
        <w:rPr>
          <w:rFonts w:ascii="Arial" w:cs="Arial" w:eastAsia="Arial" w:hAnsi="Arial"/>
          <w:sz w:val="12"/>
          <w:szCs w:val="12"/>
          <w:color w:val="auto"/>
        </w:rPr>
        <w:t>1.4 “</w:t>
      </w:r>
      <w:r>
        <w:rPr>
          <w:rFonts w:ascii="Arial" w:cs="Arial" w:eastAsia="Arial" w:hAnsi="Arial"/>
          <w:sz w:val="12"/>
          <w:szCs w:val="12"/>
          <w:b w:val="1"/>
          <w:bCs w:val="1"/>
          <w:color w:val="auto"/>
        </w:rPr>
        <w:t>Applicable Laws and Regulations</w:t>
      </w:r>
      <w:r>
        <w:rPr>
          <w:rFonts w:ascii="Arial" w:cs="Arial" w:eastAsia="Arial" w:hAnsi="Arial"/>
          <w:sz w:val="12"/>
          <w:szCs w:val="12"/>
          <w:color w:val="auto"/>
        </w:rPr>
        <w:t>” means all international, national, federal, state, regional, provincial and local government laws, rules, and regulations that apply to either Party or to the conduct of the Collaboration under this Agreement including without limitation cGMP, GCP, GBPS, and the laws, rules and regulations of the ICH, that may be in effect, as applicable and amended from time to time.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 “</w:t>
      </w:r>
      <w:r>
        <w:rPr>
          <w:rFonts w:ascii="Arial" w:cs="Arial" w:eastAsia="Arial" w:hAnsi="Arial"/>
          <w:sz w:val="14"/>
          <w:szCs w:val="14"/>
          <w:b w:val="1"/>
          <w:bCs w:val="1"/>
          <w:color w:val="auto"/>
        </w:rPr>
        <w:t>Arbitral Tribunal</w:t>
      </w:r>
      <w:r>
        <w:rPr>
          <w:rFonts w:ascii="Arial" w:cs="Arial" w:eastAsia="Arial" w:hAnsi="Arial"/>
          <w:sz w:val="14"/>
          <w:szCs w:val="14"/>
          <w:color w:val="auto"/>
        </w:rPr>
        <w:t>” has the meaning set forth in Section 17.7(a).</w:t>
      </w:r>
    </w:p>
    <w:p>
      <w:pPr>
        <w:spacing w:after="0" w:line="132" w:lineRule="exact"/>
        <w:rPr>
          <w:sz w:val="20"/>
          <w:szCs w:val="20"/>
          <w:color w:val="auto"/>
        </w:rPr>
      </w:pPr>
    </w:p>
    <w:p>
      <w:pPr>
        <w:ind w:right="200" w:firstLine="458"/>
        <w:spacing w:after="0" w:line="256"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color w:val="auto"/>
        </w:rPr>
        <w:t>BLA</w:t>
      </w:r>
      <w:r>
        <w:rPr>
          <w:rFonts w:ascii="Arial" w:cs="Arial" w:eastAsia="Arial" w:hAnsi="Arial"/>
          <w:sz w:val="14"/>
          <w:szCs w:val="14"/>
          <w:color w:val="auto"/>
        </w:rPr>
        <w:t>” means (a) a Biologics License Application or New Drug Application (“</w:t>
      </w:r>
      <w:r>
        <w:rPr>
          <w:rFonts w:ascii="Arial" w:cs="Arial" w:eastAsia="Arial" w:hAnsi="Arial"/>
          <w:sz w:val="14"/>
          <w:szCs w:val="14"/>
          <w:b w:val="1"/>
          <w:bCs w:val="1"/>
          <w:color w:val="auto"/>
        </w:rPr>
        <w:t>NDA</w:t>
      </w:r>
      <w:r>
        <w:rPr>
          <w:rFonts w:ascii="Arial" w:cs="Arial" w:eastAsia="Arial" w:hAnsi="Arial"/>
          <w:sz w:val="14"/>
          <w:szCs w:val="14"/>
          <w:color w:val="auto"/>
        </w:rPr>
        <w:t>”) filed with the FDA for marketing approval of a Product or any successor applications or procedures, and all supplements and amendments that may be filed with respect to the foregoing, or similar filings outside the Territory with applicable Regulatory Authorities, for approval to commercially market and sell a Product, or (b) similar filings in the Territory with applicable Regulatory Authorities, including the KFDA, for approval to commercially market and sell a Product. The term BLA shall exclude pricing and reimbursement approvals.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color w:val="auto"/>
        </w:rPr>
        <w:t>Calendar Quarter</w:t>
      </w:r>
      <w:r>
        <w:rPr>
          <w:rFonts w:ascii="Arial" w:cs="Arial" w:eastAsia="Arial" w:hAnsi="Arial"/>
          <w:sz w:val="14"/>
          <w:szCs w:val="14"/>
          <w:color w:val="auto"/>
        </w:rPr>
        <w:t>” means the respective periods of three (3) consecutive calendar months ending on March 31, June 30, September 30 and December 31.</w:t>
      </w:r>
    </w:p>
    <w:p>
      <w:pPr>
        <w:spacing w:after="0" w:line="123" w:lineRule="exact"/>
        <w:rPr>
          <w:sz w:val="20"/>
          <w:szCs w:val="20"/>
          <w:color w:val="auto"/>
        </w:rPr>
      </w:pPr>
    </w:p>
    <w:p>
      <w:pPr>
        <w:ind w:left="5700" w:right="1560" w:hanging="5696"/>
        <w:spacing w:after="0" w:line="438" w:lineRule="auto"/>
        <w:tabs>
          <w:tab w:leader="none" w:pos="241" w:val="left"/>
        </w:tabs>
        <w:numPr>
          <w:ilvl w:val="0"/>
          <w:numId w:val="67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w:t>
      </w:r>
    </w:p>
    <w:p>
      <w:pPr>
        <w:sectPr>
          <w:pgSz w:w="11900" w:h="16838" w:orient="portrait"/>
          <w:cols w:equalWidth="0" w:num="1">
            <w:col w:w="11460"/>
          </w:cols>
          <w:pgMar w:left="220" w:top="246" w:right="219" w:bottom="1440" w:gutter="0" w:footer="0" w:header="0"/>
        </w:sectPr>
      </w:pPr>
    </w:p>
    <w:bookmarkStart w:id="624" w:name="page625"/>
    <w:bookmarkEnd w:id="62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1.8 “</w:t>
      </w:r>
      <w:r>
        <w:rPr>
          <w:rFonts w:ascii="Arial" w:cs="Arial" w:eastAsia="Arial" w:hAnsi="Arial"/>
          <w:sz w:val="14"/>
          <w:szCs w:val="14"/>
          <w:b w:val="1"/>
          <w:bCs w:val="1"/>
          <w:color w:val="auto"/>
        </w:rPr>
        <w:t>Calendar Year</w:t>
      </w:r>
      <w:r>
        <w:rPr>
          <w:rFonts w:ascii="Arial" w:cs="Arial" w:eastAsia="Arial" w:hAnsi="Arial"/>
          <w:sz w:val="14"/>
          <w:szCs w:val="14"/>
          <w:color w:val="auto"/>
        </w:rPr>
        <w:t>” means the respective periods of twelve (12) months commencing on January 1 and ending on December 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1.9 “</w:t>
      </w:r>
      <w:r>
        <w:rPr>
          <w:rFonts w:ascii="Arial" w:cs="Arial" w:eastAsia="Arial" w:hAnsi="Arial"/>
          <w:sz w:val="12"/>
          <w:szCs w:val="12"/>
          <w:b w:val="1"/>
          <w:bCs w:val="1"/>
          <w:color w:val="auto"/>
        </w:rPr>
        <w:t>cGMP</w:t>
      </w:r>
      <w:r>
        <w:rPr>
          <w:rFonts w:ascii="Arial" w:cs="Arial" w:eastAsia="Arial" w:hAnsi="Arial"/>
          <w:sz w:val="12"/>
          <w:szCs w:val="12"/>
          <w:color w:val="auto"/>
        </w:rPr>
        <w:t>” means current good manufacturing practices and general biologics products standards as promulgated under the FDCA or Applicable Law and Regulations in the Territory, as applicable.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color w:val="auto"/>
        </w:rPr>
        <w:t>Change in Control</w:t>
      </w:r>
      <w:r>
        <w:rPr>
          <w:rFonts w:ascii="Arial" w:cs="Arial" w:eastAsia="Arial" w:hAnsi="Arial"/>
          <w:sz w:val="14"/>
          <w:szCs w:val="14"/>
          <w:color w:val="auto"/>
        </w:rPr>
        <w:t>” means the occurrence of any of the following:</w:t>
      </w:r>
    </w:p>
    <w:p>
      <w:pPr>
        <w:spacing w:after="0" w:line="134" w:lineRule="exact"/>
        <w:rPr>
          <w:sz w:val="20"/>
          <w:szCs w:val="20"/>
          <w:color w:val="auto"/>
        </w:rPr>
      </w:pPr>
    </w:p>
    <w:p>
      <w:pPr>
        <w:ind w:firstLine="920"/>
        <w:spacing w:after="0" w:line="299" w:lineRule="auto"/>
        <w:tabs>
          <w:tab w:leader="none" w:pos="1101" w:val="left"/>
        </w:tabs>
        <w:numPr>
          <w:ilvl w:val="0"/>
          <w:numId w:val="678"/>
        </w:numPr>
        <w:rPr>
          <w:rFonts w:ascii="Arial" w:cs="Arial" w:eastAsia="Arial" w:hAnsi="Arial"/>
          <w:sz w:val="12"/>
          <w:szCs w:val="12"/>
          <w:color w:val="auto"/>
        </w:rPr>
      </w:pPr>
      <w:r>
        <w:rPr>
          <w:rFonts w:ascii="Arial" w:cs="Arial" w:eastAsia="Arial" w:hAnsi="Arial"/>
          <w:sz w:val="12"/>
          <w:szCs w:val="12"/>
          <w:color w:val="auto"/>
        </w:rPr>
        <w:t>Either Party to this Agreement enters into a merger, consolidation, stock sale or sale or transfer of all or substantially all of its assets, or other similar transaction or series of transactions with another Person unless, following such transaction or transactions, (i) the individuals and entities who were the beneficial owners of the outstanding voting securities of the subject Party immediately prior to such transaction beneficially own, directly or indirectly, at least fifty percent (50%) of the combined voting power of the then outstanding voting securities entitled to vote generally in the election of directors or similar governing persons of the corporation or other entity resulting from such transaction (“</w:t>
      </w:r>
      <w:r>
        <w:rPr>
          <w:rFonts w:ascii="Arial" w:cs="Arial" w:eastAsia="Arial" w:hAnsi="Arial"/>
          <w:sz w:val="12"/>
          <w:szCs w:val="12"/>
          <w:b w:val="1"/>
          <w:bCs w:val="1"/>
          <w:color w:val="auto"/>
        </w:rPr>
        <w:t>Successor</w:t>
      </w:r>
      <w:r>
        <w:rPr>
          <w:rFonts w:ascii="Arial" w:cs="Arial" w:eastAsia="Arial" w:hAnsi="Arial"/>
          <w:sz w:val="12"/>
          <w:szCs w:val="12"/>
          <w:color w:val="auto"/>
        </w:rPr>
        <w:t>”) in substantially the same proportions as their ownership immediately prior to such transaction of such outstanding voting securities, (ii) at least fifty percent (50%) of the members of the Board of Directors or similar governing body of the Successor were members of the Board of Directors of the subject Party at the time of the execution of the initial agreement, or the action of the Board of Directors of the subject Party, providing for such transaction; (iii) the subject Party retains title ownership after the transaction or transactions to properties and assets (x) representing more than fifty percent (50%) of such Person’s consolidated total assets or (y) from which more than fifty percent (50%) of such Person’s consolidated operating income for its most recent fiscal was derived, and (iv) the subject Party is the surviving entity in such transaction or transactions;</w:t>
      </w:r>
    </w:p>
    <w:p>
      <w:pPr>
        <w:spacing w:after="0" w:line="87" w:lineRule="exact"/>
        <w:rPr>
          <w:rFonts w:ascii="Arial" w:cs="Arial" w:eastAsia="Arial" w:hAnsi="Arial"/>
          <w:sz w:val="12"/>
          <w:szCs w:val="12"/>
          <w:color w:val="auto"/>
        </w:rPr>
      </w:pPr>
    </w:p>
    <w:p>
      <w:pPr>
        <w:ind w:right="120" w:firstLine="920"/>
        <w:spacing w:after="0" w:line="267" w:lineRule="auto"/>
        <w:tabs>
          <w:tab w:leader="none" w:pos="1109" w:val="left"/>
        </w:tabs>
        <w:numPr>
          <w:ilvl w:val="0"/>
          <w:numId w:val="678"/>
        </w:numPr>
        <w:rPr>
          <w:rFonts w:ascii="Arial" w:cs="Arial" w:eastAsia="Arial" w:hAnsi="Arial"/>
          <w:sz w:val="14"/>
          <w:szCs w:val="14"/>
          <w:color w:val="auto"/>
        </w:rPr>
      </w:pPr>
      <w:r>
        <w:rPr>
          <w:rFonts w:ascii="Arial" w:cs="Arial" w:eastAsia="Arial" w:hAnsi="Arial"/>
          <w:sz w:val="14"/>
          <w:szCs w:val="14"/>
          <w:color w:val="auto"/>
        </w:rPr>
        <w:t>any transaction or series of related transactions in which any Person or group of Persons acquires beneficial ownership of securities of the subject Party representing more than fifty percent (50%) of the combined voting power of the then outstanding securities of the subject Party.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color w:val="auto"/>
        </w:rPr>
        <w:t>Clinical Data</w:t>
      </w:r>
      <w:r>
        <w:rPr>
          <w:rFonts w:ascii="Arial" w:cs="Arial" w:eastAsia="Arial" w:hAnsi="Arial"/>
          <w:sz w:val="14"/>
          <w:szCs w:val="14"/>
          <w:color w:val="auto"/>
        </w:rPr>
        <w:t>” means all data generated or arising from the conduct of a clinical trial or other Development efforts under this Agreement.</w:t>
      </w:r>
    </w:p>
    <w:p>
      <w:pPr>
        <w:spacing w:after="0" w:line="132" w:lineRule="exact"/>
        <w:rPr>
          <w:sz w:val="20"/>
          <w:szCs w:val="20"/>
          <w:color w:val="auto"/>
        </w:rPr>
      </w:pPr>
    </w:p>
    <w:p>
      <w:pPr>
        <w:ind w:right="380" w:firstLine="458"/>
        <w:spacing w:after="0" w:line="270"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color w:val="auto"/>
        </w:rPr>
        <w:t>Clinical Material(s)</w:t>
      </w:r>
      <w:r>
        <w:rPr>
          <w:rFonts w:ascii="Arial" w:cs="Arial" w:eastAsia="Arial" w:hAnsi="Arial"/>
          <w:sz w:val="14"/>
          <w:szCs w:val="14"/>
          <w:color w:val="auto"/>
        </w:rPr>
        <w:t>” means MGAH22 and Product formulated in accordance with the specifications as adopted by the JSC and United States and Korean laws, rules and regulations (a) for preclinical activities, and (b) for administration to subjects in clinical trials.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1.13 “</w:t>
      </w:r>
      <w:r>
        <w:rPr>
          <w:rFonts w:ascii="Arial" w:cs="Arial" w:eastAsia="Arial" w:hAnsi="Arial"/>
          <w:sz w:val="14"/>
          <w:szCs w:val="14"/>
          <w:b w:val="1"/>
          <w:bCs w:val="1"/>
          <w:color w:val="auto"/>
        </w:rPr>
        <w:t>CMC</w:t>
      </w:r>
      <w:r>
        <w:rPr>
          <w:rFonts w:ascii="Arial" w:cs="Arial" w:eastAsia="Arial" w:hAnsi="Arial"/>
          <w:sz w:val="14"/>
          <w:szCs w:val="14"/>
          <w:color w:val="auto"/>
        </w:rPr>
        <w:t>” means Chemistry Manufacturing and Controls.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Collaboration</w:t>
      </w:r>
      <w:r>
        <w:rPr>
          <w:rFonts w:ascii="Arial" w:cs="Arial" w:eastAsia="Arial" w:hAnsi="Arial"/>
          <w:sz w:val="14"/>
          <w:szCs w:val="14"/>
          <w:color w:val="auto"/>
        </w:rPr>
        <w:t>” means the program established under this Agreement, which includes collaborative development of Products.</w:t>
      </w:r>
    </w:p>
    <w:p>
      <w:pPr>
        <w:spacing w:after="0" w:line="123" w:lineRule="exact"/>
        <w:rPr>
          <w:sz w:val="20"/>
          <w:szCs w:val="20"/>
          <w:color w:val="auto"/>
        </w:rPr>
      </w:pPr>
    </w:p>
    <w:p>
      <w:pPr>
        <w:ind w:left="5700" w:right="1540" w:hanging="5696"/>
        <w:spacing w:after="0" w:line="438" w:lineRule="auto"/>
        <w:tabs>
          <w:tab w:leader="none" w:pos="241" w:val="left"/>
        </w:tabs>
        <w:numPr>
          <w:ilvl w:val="0"/>
          <w:numId w:val="679"/>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3</w:t>
      </w:r>
    </w:p>
    <w:p>
      <w:pPr>
        <w:sectPr>
          <w:pgSz w:w="11900" w:h="16838" w:orient="portrait"/>
          <w:cols w:equalWidth="0" w:num="1">
            <w:col w:w="11440"/>
          </w:cols>
          <w:pgMar w:left="220" w:top="246" w:right="239" w:bottom="1440" w:gutter="0" w:footer="0" w:header="0"/>
        </w:sectPr>
      </w:pPr>
    </w:p>
    <w:bookmarkStart w:id="625" w:name="page626"/>
    <w:bookmarkEnd w:id="62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1.15 “</w:t>
      </w:r>
      <w:r>
        <w:rPr>
          <w:rFonts w:ascii="Arial" w:cs="Arial" w:eastAsia="Arial" w:hAnsi="Arial"/>
          <w:sz w:val="14"/>
          <w:szCs w:val="14"/>
          <w:b w:val="1"/>
          <w:bCs w:val="1"/>
          <w:color w:val="auto"/>
        </w:rPr>
        <w:t>Commencement</w:t>
      </w:r>
      <w:r>
        <w:rPr>
          <w:rFonts w:ascii="Arial" w:cs="Arial" w:eastAsia="Arial" w:hAnsi="Arial"/>
          <w:sz w:val="14"/>
          <w:szCs w:val="14"/>
          <w:color w:val="auto"/>
        </w:rPr>
        <w:t>” means the first dosing of a human subject with the applicable Product in the applicable human clinical trial.</w:t>
      </w:r>
    </w:p>
    <w:p>
      <w:pPr>
        <w:spacing w:after="0" w:line="132" w:lineRule="exact"/>
        <w:rPr>
          <w:sz w:val="20"/>
          <w:szCs w:val="20"/>
          <w:color w:val="auto"/>
        </w:rPr>
      </w:pPr>
    </w:p>
    <w:p>
      <w:pPr>
        <w:ind w:right="80" w:firstLine="458"/>
        <w:spacing w:after="0" w:line="355" w:lineRule="auto"/>
        <w:rPr>
          <w:sz w:val="20"/>
          <w:szCs w:val="20"/>
          <w:color w:val="auto"/>
        </w:rPr>
      </w:pPr>
      <w:r>
        <w:rPr>
          <w:rFonts w:ascii="Arial" w:cs="Arial" w:eastAsia="Arial" w:hAnsi="Arial"/>
          <w:sz w:val="12"/>
          <w:szCs w:val="12"/>
          <w:color w:val="auto"/>
        </w:rPr>
        <w:t>1.16 “</w:t>
      </w:r>
      <w:r>
        <w:rPr>
          <w:rFonts w:ascii="Arial" w:cs="Arial" w:eastAsia="Arial" w:hAnsi="Arial"/>
          <w:sz w:val="12"/>
          <w:szCs w:val="12"/>
          <w:b w:val="1"/>
          <w:bCs w:val="1"/>
          <w:color w:val="auto"/>
        </w:rPr>
        <w:t>Commercial Supply Costs</w:t>
      </w:r>
      <w:r>
        <w:rPr>
          <w:rFonts w:ascii="Arial" w:cs="Arial" w:eastAsia="Arial" w:hAnsi="Arial"/>
          <w:sz w:val="12"/>
          <w:szCs w:val="12"/>
          <w:color w:val="auto"/>
        </w:rPr>
        <w:t>” shall mean the costs paid by Green Cross to MacroGenics for the commercial supply of Product pursuant to Section 6.2(d), provided that Commercial Supply Costs for a Product shall not be deemed incurred by Green Cross for purposes of this Agreement until the Calendar Quarter in which such Product is sold by Green Cross or any of its Related Parties.</w:t>
      </w:r>
    </w:p>
    <w:p>
      <w:pPr>
        <w:spacing w:after="0" w:line="51" w:lineRule="exact"/>
        <w:rPr>
          <w:sz w:val="20"/>
          <w:szCs w:val="20"/>
          <w:color w:val="auto"/>
        </w:rPr>
      </w:pPr>
    </w:p>
    <w:p>
      <w:pPr>
        <w:ind w:firstLine="458"/>
        <w:spacing w:after="0" w:line="312"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b w:val="1"/>
          <w:bCs w:val="1"/>
          <w:color w:val="auto"/>
        </w:rPr>
        <w:t>Commercialization</w:t>
      </w:r>
      <w:r>
        <w:rPr>
          <w:rFonts w:ascii="Arial" w:cs="Arial" w:eastAsia="Arial" w:hAnsi="Arial"/>
          <w:sz w:val="12"/>
          <w:szCs w:val="12"/>
          <w:color w:val="auto"/>
        </w:rPr>
        <w:t>” or “</w:t>
      </w:r>
      <w:r>
        <w:rPr>
          <w:rFonts w:ascii="Arial" w:cs="Arial" w:eastAsia="Arial" w:hAnsi="Arial"/>
          <w:sz w:val="12"/>
          <w:szCs w:val="12"/>
          <w:b w:val="1"/>
          <w:bCs w:val="1"/>
          <w:color w:val="auto"/>
        </w:rPr>
        <w:t>Commercialize</w:t>
      </w:r>
      <w:r>
        <w:rPr>
          <w:rFonts w:ascii="Arial" w:cs="Arial" w:eastAsia="Arial" w:hAnsi="Arial"/>
          <w:sz w:val="12"/>
          <w:szCs w:val="12"/>
          <w:color w:val="auto"/>
        </w:rPr>
        <w:t>” means activities taken before and after obtaining Regulatory Approval relating specifically to the pre-launch, launch, promotion, marketing, sales force recruitment, sale and distribution of a pharmaceutical product and post-launch medical activities, including without limitation: (a) distribution for commercial sale; (b) strategic marketing, sales force Detailing, advertising, and market and product support; (c) medical education and liaison and any Phase IV Clinical Trials, to the extent permitted by this Agreement; (d) all customer support and product distribution, invoicing and sales activities; and (e) all post-approval regulatory activities, including those necessary to maintain Regulatory Approvals.</w:t>
      </w:r>
    </w:p>
    <w:p>
      <w:pPr>
        <w:spacing w:after="0" w:line="76" w:lineRule="exact"/>
        <w:rPr>
          <w:sz w:val="20"/>
          <w:szCs w:val="20"/>
          <w:color w:val="auto"/>
        </w:rPr>
      </w:pPr>
    </w:p>
    <w:p>
      <w:pPr>
        <w:ind w:right="20" w:firstLine="458"/>
        <w:spacing w:after="0" w:line="306" w:lineRule="auto"/>
        <w:rPr>
          <w:sz w:val="20"/>
          <w:szCs w:val="20"/>
          <w:color w:val="auto"/>
        </w:rPr>
      </w:pPr>
      <w:r>
        <w:rPr>
          <w:rFonts w:ascii="Arial" w:cs="Arial" w:eastAsia="Arial" w:hAnsi="Arial"/>
          <w:sz w:val="12"/>
          <w:szCs w:val="12"/>
          <w:color w:val="auto"/>
        </w:rPr>
        <w:t>1.18 “</w:t>
      </w:r>
      <w:r>
        <w:rPr>
          <w:rFonts w:ascii="Arial" w:cs="Arial" w:eastAsia="Arial" w:hAnsi="Arial"/>
          <w:sz w:val="12"/>
          <w:szCs w:val="12"/>
          <w:b w:val="1"/>
          <w:bCs w:val="1"/>
          <w:color w:val="auto"/>
        </w:rPr>
        <w:t>Commercially Reasonable Efforts</w:t>
      </w:r>
      <w:r>
        <w:rPr>
          <w:rFonts w:ascii="Arial" w:cs="Arial" w:eastAsia="Arial" w:hAnsi="Arial"/>
          <w:sz w:val="12"/>
          <w:szCs w:val="12"/>
          <w:color w:val="auto"/>
        </w:rPr>
        <w:t>” means with respect to the efforts to be expended by a Party with respect to any objective under this Agreement, reasonable, good faith efforts to accomplish such objective as such Party would normally use to accomplish a similar objective of such Party under similar circumstances, it being understood and agreed that with respect to the Development or Commercialization of MGAH22 and Products, such efforts shall be similar to those efforts and resources commonly used by a Party for a similar biological or pharmaceutical product owned by it or to which it has rights, which product is at a similar stage in its development or product life and is of similar market potential taking into account efficacy, safety, approved labeling, the competitiveness of alternative products in the marketplace, the patent and other proprietary position of the product, and the likelihood of regulatory approval given the regulatory structure involved.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1.19 “</w:t>
      </w:r>
      <w:r>
        <w:rPr>
          <w:rFonts w:ascii="Arial" w:cs="Arial" w:eastAsia="Arial" w:hAnsi="Arial"/>
          <w:sz w:val="14"/>
          <w:szCs w:val="14"/>
          <w:b w:val="1"/>
          <w:bCs w:val="1"/>
          <w:color w:val="auto"/>
        </w:rPr>
        <w:t>Competing Product</w:t>
      </w:r>
      <w:r>
        <w:rPr>
          <w:rFonts w:ascii="Arial" w:cs="Arial" w:eastAsia="Arial" w:hAnsi="Arial"/>
          <w:sz w:val="14"/>
          <w:szCs w:val="14"/>
          <w:color w:val="auto"/>
        </w:rPr>
        <w:t>” means any Antibody that binds to the protein termed “HER2/Neu”, other than a Product.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1.20 “</w:t>
      </w:r>
      <w:r>
        <w:rPr>
          <w:rFonts w:ascii="Arial" w:cs="Arial" w:eastAsia="Arial" w:hAnsi="Arial"/>
          <w:sz w:val="12"/>
          <w:szCs w:val="12"/>
          <w:b w:val="1"/>
          <w:bCs w:val="1"/>
          <w:color w:val="auto"/>
        </w:rPr>
        <w:t>Completion</w:t>
      </w:r>
      <w:r>
        <w:rPr>
          <w:rFonts w:ascii="Arial" w:cs="Arial" w:eastAsia="Arial" w:hAnsi="Arial"/>
          <w:sz w:val="12"/>
          <w:szCs w:val="12"/>
          <w:color w:val="auto"/>
        </w:rPr>
        <w:t>” or “</w:t>
      </w:r>
      <w:r>
        <w:rPr>
          <w:rFonts w:ascii="Arial" w:cs="Arial" w:eastAsia="Arial" w:hAnsi="Arial"/>
          <w:sz w:val="12"/>
          <w:szCs w:val="12"/>
          <w:b w:val="1"/>
          <w:bCs w:val="1"/>
          <w:color w:val="auto"/>
        </w:rPr>
        <w:t>Completed</w:t>
      </w:r>
      <w:r>
        <w:rPr>
          <w:rFonts w:ascii="Arial" w:cs="Arial" w:eastAsia="Arial" w:hAnsi="Arial"/>
          <w:sz w:val="12"/>
          <w:szCs w:val="12"/>
          <w:color w:val="auto"/>
        </w:rPr>
        <w:t xml:space="preserve">” for a clinical trial means the later of the following dates: (a) the date on which all patients have completed protocol-defined study drug administration, and (b) </w:t>
      </w:r>
      <w:r>
        <w:rPr>
          <w:rFonts w:ascii="Arial" w:cs="Arial" w:eastAsia="Arial" w:hAnsi="Arial"/>
          <w:sz w:val="12"/>
          <w:szCs w:val="12"/>
          <w:b w:val="1"/>
          <w:bCs w:val="1"/>
          <w:color w:val="auto"/>
        </w:rPr>
        <w:t>***</w:t>
      </w:r>
    </w:p>
    <w:p>
      <w:pPr>
        <w:spacing w:after="0" w:line="155"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any and all non-public scientific, pre-clinical, clinical, regulatory, manufacturing, marketing, financial and commercial information and data, in any tangible or intangible form, including all Know-how subject to Section 12.</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1.22 “</w:t>
      </w:r>
      <w:r>
        <w:rPr>
          <w:rFonts w:ascii="Arial" w:cs="Arial" w:eastAsia="Arial" w:hAnsi="Arial"/>
          <w:sz w:val="14"/>
          <w:szCs w:val="14"/>
          <w:b w:val="1"/>
          <w:bCs w:val="1"/>
          <w:color w:val="auto"/>
        </w:rPr>
        <w:t>Control</w:t>
      </w:r>
      <w:r>
        <w:rPr>
          <w:rFonts w:ascii="Arial" w:cs="Arial" w:eastAsia="Arial" w:hAnsi="Arial"/>
          <w:sz w:val="14"/>
          <w:szCs w:val="14"/>
          <w:color w:val="auto"/>
        </w:rPr>
        <w:t>,” “</w:t>
      </w:r>
      <w:r>
        <w:rPr>
          <w:rFonts w:ascii="Arial" w:cs="Arial" w:eastAsia="Arial" w:hAnsi="Arial"/>
          <w:sz w:val="14"/>
          <w:szCs w:val="14"/>
          <w:b w:val="1"/>
          <w:bCs w:val="1"/>
          <w:color w:val="auto"/>
        </w:rPr>
        <w:t>Controls</w:t>
      </w:r>
      <w:r>
        <w:rPr>
          <w:rFonts w:ascii="Arial" w:cs="Arial" w:eastAsia="Arial" w:hAnsi="Arial"/>
          <w:sz w:val="14"/>
          <w:szCs w:val="14"/>
          <w:color w:val="auto"/>
        </w:rPr>
        <w:t>” or “</w:t>
      </w:r>
      <w:r>
        <w:rPr>
          <w:rFonts w:ascii="Arial" w:cs="Arial" w:eastAsia="Arial" w:hAnsi="Arial"/>
          <w:sz w:val="14"/>
          <w:szCs w:val="14"/>
          <w:b w:val="1"/>
          <w:bCs w:val="1"/>
          <w:color w:val="auto"/>
        </w:rPr>
        <w:t>Controlled by</w:t>
      </w:r>
      <w:r>
        <w:rPr>
          <w:rFonts w:ascii="Arial" w:cs="Arial" w:eastAsia="Arial" w:hAnsi="Arial"/>
          <w:sz w:val="14"/>
          <w:szCs w:val="14"/>
          <w:color w:val="auto"/>
        </w:rPr>
        <w:t>” means (except as used in Section 1.1), with respect to any item of or right under Patents or Know-how, the ability</w:t>
      </w:r>
    </w:p>
    <w:p>
      <w:pPr>
        <w:spacing w:after="0" w:line="123" w:lineRule="exact"/>
        <w:rPr>
          <w:sz w:val="20"/>
          <w:szCs w:val="20"/>
          <w:color w:val="auto"/>
        </w:rPr>
      </w:pPr>
    </w:p>
    <w:p>
      <w:pPr>
        <w:ind w:left="5700" w:right="1480" w:hanging="5696"/>
        <w:spacing w:after="0" w:line="438" w:lineRule="auto"/>
        <w:tabs>
          <w:tab w:leader="none" w:pos="241" w:val="left"/>
        </w:tabs>
        <w:numPr>
          <w:ilvl w:val="0"/>
          <w:numId w:val="68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4</w:t>
      </w:r>
    </w:p>
    <w:p>
      <w:pPr>
        <w:sectPr>
          <w:pgSz w:w="11900" w:h="16838" w:orient="portrait"/>
          <w:cols w:equalWidth="0" w:num="1">
            <w:col w:w="11380"/>
          </w:cols>
          <w:pgMar w:left="220" w:top="244" w:right="299" w:bottom="1440" w:gutter="0" w:footer="0" w:header="0"/>
        </w:sectPr>
      </w:pPr>
    </w:p>
    <w:bookmarkStart w:id="626" w:name="page627"/>
    <w:bookmarkEnd w:id="626"/>
    <w:p>
      <w:pPr>
        <w:ind w:right="14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of a Party (whether through ownership or license, other than pursuant to this Agreement) to grant access to, or a license or sublicense of, such item or right as provided for herein without violating the terms of any agreement or other arrangement with any Third Party existing at the time such Party would be required hereunder to grant the other Party such access or license or sublicense.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1.23 “</w:t>
      </w:r>
      <w:r>
        <w:rPr>
          <w:rFonts w:ascii="Arial" w:cs="Arial" w:eastAsia="Arial" w:hAnsi="Arial"/>
          <w:sz w:val="14"/>
          <w:szCs w:val="14"/>
          <w:b w:val="1"/>
          <w:bCs w:val="1"/>
          <w:color w:val="auto"/>
        </w:rPr>
        <w:t>CRO</w:t>
      </w:r>
      <w:r>
        <w:rPr>
          <w:rFonts w:ascii="Arial" w:cs="Arial" w:eastAsia="Arial" w:hAnsi="Arial"/>
          <w:sz w:val="14"/>
          <w:szCs w:val="14"/>
          <w:color w:val="auto"/>
        </w:rPr>
        <w:t>” means a clinical research organization.</w:t>
      </w:r>
    </w:p>
    <w:p>
      <w:pPr>
        <w:spacing w:after="0" w:line="132"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color w:val="auto"/>
        </w:rPr>
        <w:t>1.24 “</w:t>
      </w:r>
      <w:r>
        <w:rPr>
          <w:rFonts w:ascii="Arial" w:cs="Arial" w:eastAsia="Arial" w:hAnsi="Arial"/>
          <w:sz w:val="14"/>
          <w:szCs w:val="14"/>
          <w:b w:val="1"/>
          <w:bCs w:val="1"/>
          <w:color w:val="auto"/>
        </w:rPr>
        <w:t>CTA</w:t>
      </w:r>
      <w:r>
        <w:rPr>
          <w:rFonts w:ascii="Arial" w:cs="Arial" w:eastAsia="Arial" w:hAnsi="Arial"/>
          <w:sz w:val="14"/>
          <w:szCs w:val="14"/>
          <w:color w:val="auto"/>
        </w:rPr>
        <w:t>” means a Clinical Trial Application or its equivalent used to obtain approval to conduct human clinical investigations filed with or submitted to the KFDA in order to establish the clinical safety and/or efficacy of one or more investigational products in conformance with the requirements of the KFDA.</w:t>
      </w:r>
    </w:p>
    <w:p>
      <w:pPr>
        <w:spacing w:after="0" w:line="97" w:lineRule="exact"/>
        <w:rPr>
          <w:sz w:val="20"/>
          <w:szCs w:val="20"/>
          <w:color w:val="auto"/>
        </w:rPr>
      </w:pPr>
    </w:p>
    <w:p>
      <w:pPr>
        <w:ind w:right="200" w:firstLine="458"/>
        <w:spacing w:after="0" w:line="355" w:lineRule="auto"/>
        <w:rPr>
          <w:sz w:val="20"/>
          <w:szCs w:val="20"/>
          <w:color w:val="auto"/>
        </w:rPr>
      </w:pPr>
      <w:r>
        <w:rPr>
          <w:rFonts w:ascii="Arial" w:cs="Arial" w:eastAsia="Arial" w:hAnsi="Arial"/>
          <w:sz w:val="12"/>
          <w:szCs w:val="12"/>
          <w:color w:val="auto"/>
        </w:rPr>
        <w:t>1.25 “</w:t>
      </w:r>
      <w:r>
        <w:rPr>
          <w:rFonts w:ascii="Arial" w:cs="Arial" w:eastAsia="Arial" w:hAnsi="Arial"/>
          <w:sz w:val="12"/>
          <w:szCs w:val="12"/>
          <w:b w:val="1"/>
          <w:bCs w:val="1"/>
          <w:color w:val="auto"/>
        </w:rPr>
        <w:t>Data Exclusivity Period</w:t>
      </w:r>
      <w:r>
        <w:rPr>
          <w:rFonts w:ascii="Arial" w:cs="Arial" w:eastAsia="Arial" w:hAnsi="Arial"/>
          <w:sz w:val="12"/>
          <w:szCs w:val="12"/>
          <w:color w:val="auto"/>
        </w:rPr>
        <w:t>” means the period during which the FDA or KFDA (or, in countries other than the United States or South Korea, an equivalent regulatory agency) prohibits reference, without the consent of the owner of a BLA, to the clinical and other data that is contained in such BLA, and that is not published or publicly available outside of such BLA.</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1.26 “</w:t>
      </w:r>
      <w:r>
        <w:rPr>
          <w:rFonts w:ascii="Arial" w:cs="Arial" w:eastAsia="Arial" w:hAnsi="Arial"/>
          <w:sz w:val="12"/>
          <w:szCs w:val="12"/>
          <w:b w:val="1"/>
          <w:bCs w:val="1"/>
          <w:color w:val="auto"/>
        </w:rPr>
        <w:t>Details</w:t>
      </w:r>
      <w:r>
        <w:rPr>
          <w:rFonts w:ascii="Arial" w:cs="Arial" w:eastAsia="Arial" w:hAnsi="Arial"/>
          <w:sz w:val="12"/>
          <w:szCs w:val="12"/>
          <w:color w:val="auto"/>
        </w:rPr>
        <w:t xml:space="preserve">” </w:t>
      </w:r>
      <w:r>
        <w:rPr>
          <w:rFonts w:ascii="Arial" w:cs="Arial" w:eastAsia="Arial" w:hAnsi="Arial"/>
          <w:sz w:val="12"/>
          <w:szCs w:val="12"/>
          <w:b w:val="1"/>
          <w:bCs w:val="1"/>
          <w:color w:val="auto"/>
        </w:rPr>
        <w:t>or</w:t>
      </w:r>
      <w:r>
        <w:rPr>
          <w:rFonts w:ascii="Arial" w:cs="Arial" w:eastAsia="Arial" w:hAnsi="Arial"/>
          <w:sz w:val="12"/>
          <w:szCs w:val="12"/>
          <w:color w:val="auto"/>
        </w:rPr>
        <w:t xml:space="preserve"> “</w:t>
      </w:r>
      <w:r>
        <w:rPr>
          <w:rFonts w:ascii="Arial" w:cs="Arial" w:eastAsia="Arial" w:hAnsi="Arial"/>
          <w:sz w:val="12"/>
          <w:szCs w:val="12"/>
          <w:b w:val="1"/>
          <w:bCs w:val="1"/>
          <w:color w:val="auto"/>
        </w:rPr>
        <w:t>Detailing</w:t>
      </w:r>
      <w:r>
        <w:rPr>
          <w:rFonts w:ascii="Arial" w:cs="Arial" w:eastAsia="Arial" w:hAnsi="Arial"/>
          <w:sz w:val="12"/>
          <w:szCs w:val="12"/>
          <w:color w:val="auto"/>
        </w:rPr>
        <w:t>” means face-to-face sales presentations made to physicians, nurses, pharmacists, and other individuals who provide healthcare services to patients, in their capacity as such.</w:t>
      </w:r>
    </w:p>
    <w:p>
      <w:pPr>
        <w:spacing w:after="0" w:line="155" w:lineRule="exact"/>
        <w:rPr>
          <w:sz w:val="20"/>
          <w:szCs w:val="20"/>
          <w:color w:val="auto"/>
        </w:rPr>
      </w:pPr>
    </w:p>
    <w:p>
      <w:pPr>
        <w:ind w:right="200" w:firstLine="458"/>
        <w:spacing w:after="0" w:line="322" w:lineRule="auto"/>
        <w:rPr>
          <w:sz w:val="20"/>
          <w:szCs w:val="20"/>
          <w:color w:val="auto"/>
        </w:rPr>
      </w:pPr>
      <w:r>
        <w:rPr>
          <w:rFonts w:ascii="Arial" w:cs="Arial" w:eastAsia="Arial" w:hAnsi="Arial"/>
          <w:sz w:val="12"/>
          <w:szCs w:val="12"/>
          <w:color w:val="auto"/>
        </w:rPr>
        <w:t>1.27 “</w:t>
      </w:r>
      <w:r>
        <w:rPr>
          <w:rFonts w:ascii="Arial" w:cs="Arial" w:eastAsia="Arial" w:hAnsi="Arial"/>
          <w:sz w:val="12"/>
          <w:szCs w:val="12"/>
          <w:b w:val="1"/>
          <w:bCs w:val="1"/>
          <w:color w:val="auto"/>
        </w:rPr>
        <w:t>Develop</w:t>
      </w:r>
      <w:r>
        <w:rPr>
          <w:rFonts w:ascii="Arial" w:cs="Arial" w:eastAsia="Arial" w:hAnsi="Arial"/>
          <w:sz w:val="12"/>
          <w:szCs w:val="12"/>
          <w:color w:val="auto"/>
        </w:rPr>
        <w:t>” or “</w:t>
      </w:r>
      <w:r>
        <w:rPr>
          <w:rFonts w:ascii="Arial" w:cs="Arial" w:eastAsia="Arial" w:hAnsi="Arial"/>
          <w:sz w:val="12"/>
          <w:szCs w:val="12"/>
          <w:b w:val="1"/>
          <w:bCs w:val="1"/>
          <w:color w:val="auto"/>
        </w:rPr>
        <w:t>Development</w:t>
      </w:r>
      <w:r>
        <w:rPr>
          <w:rFonts w:ascii="Arial" w:cs="Arial" w:eastAsia="Arial" w:hAnsi="Arial"/>
          <w:sz w:val="12"/>
          <w:szCs w:val="12"/>
          <w:color w:val="auto"/>
        </w:rPr>
        <w:t>” or “</w:t>
      </w:r>
      <w:r>
        <w:rPr>
          <w:rFonts w:ascii="Arial" w:cs="Arial" w:eastAsia="Arial" w:hAnsi="Arial"/>
          <w:sz w:val="12"/>
          <w:szCs w:val="12"/>
          <w:b w:val="1"/>
          <w:bCs w:val="1"/>
          <w:color w:val="auto"/>
        </w:rPr>
        <w:t>Developing</w:t>
      </w:r>
      <w:r>
        <w:rPr>
          <w:rFonts w:ascii="Arial" w:cs="Arial" w:eastAsia="Arial" w:hAnsi="Arial"/>
          <w:sz w:val="12"/>
          <w:szCs w:val="12"/>
          <w:color w:val="auto"/>
        </w:rPr>
        <w:t>” means research, discovery, process development, manufacturing for preclinical and clinical uses, and preclinical and clinical drug or biological development activities, including, without limitation, test method development and stability testing, toxicology, formulation, quality assurance/quality control development, statistical analysis, preclinical and clinical studies and regulatory affairs, approval and registration, in each case, of MGAH22 or a Product for therapy of human diseases.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b w:val="1"/>
          <w:bCs w:val="1"/>
          <w:color w:val="auto"/>
        </w:rPr>
        <w:t>Development Costs</w:t>
      </w:r>
      <w:r>
        <w:rPr>
          <w:rFonts w:ascii="Arial" w:cs="Arial" w:eastAsia="Arial" w:hAnsi="Arial"/>
          <w:sz w:val="14"/>
          <w:szCs w:val="14"/>
          <w:color w:val="auto"/>
        </w:rPr>
        <w:t>” means all costs incurred in connection with any Development activities.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1.29 “</w:t>
      </w:r>
      <w:r>
        <w:rPr>
          <w:rFonts w:ascii="Arial" w:cs="Arial" w:eastAsia="Arial" w:hAnsi="Arial"/>
          <w:sz w:val="14"/>
          <w:szCs w:val="14"/>
          <w:b w:val="1"/>
          <w:bCs w:val="1"/>
          <w:color w:val="auto"/>
        </w:rPr>
        <w:t>FDA</w:t>
      </w:r>
      <w:r>
        <w:rPr>
          <w:rFonts w:ascii="Arial" w:cs="Arial" w:eastAsia="Arial" w:hAnsi="Arial"/>
          <w:sz w:val="14"/>
          <w:szCs w:val="14"/>
          <w:color w:val="auto"/>
        </w:rPr>
        <w:t>” means the United States Food and Drug Administration, or any successor agency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color w:val="auto"/>
        </w:rPr>
        <w:t>FDCA</w:t>
      </w:r>
      <w:r>
        <w:rPr>
          <w:rFonts w:ascii="Arial" w:cs="Arial" w:eastAsia="Arial" w:hAnsi="Arial"/>
          <w:sz w:val="14"/>
          <w:szCs w:val="14"/>
          <w:color w:val="auto"/>
        </w:rPr>
        <w:t>” means the Federal Food, Drug and Cosmetic Act, as amended.</w:t>
      </w:r>
    </w:p>
    <w:p>
      <w:pPr>
        <w:spacing w:after="0" w:line="132" w:lineRule="exact"/>
        <w:rPr>
          <w:sz w:val="20"/>
          <w:szCs w:val="20"/>
          <w:color w:val="auto"/>
        </w:rPr>
      </w:pPr>
    </w:p>
    <w:p>
      <w:pPr>
        <w:ind w:firstLine="458"/>
        <w:spacing w:after="0" w:line="355" w:lineRule="auto"/>
        <w:rPr>
          <w:sz w:val="20"/>
          <w:szCs w:val="20"/>
          <w:color w:val="auto"/>
        </w:rPr>
      </w:pPr>
      <w:r>
        <w:rPr>
          <w:rFonts w:ascii="Arial" w:cs="Arial" w:eastAsia="Arial" w:hAnsi="Arial"/>
          <w:sz w:val="12"/>
          <w:szCs w:val="12"/>
          <w:color w:val="auto"/>
        </w:rPr>
        <w:t>1.31 “</w:t>
      </w:r>
      <w:r>
        <w:rPr>
          <w:rFonts w:ascii="Arial" w:cs="Arial" w:eastAsia="Arial" w:hAnsi="Arial"/>
          <w:sz w:val="12"/>
          <w:szCs w:val="12"/>
          <w:b w:val="1"/>
          <w:bCs w:val="1"/>
          <w:color w:val="auto"/>
        </w:rPr>
        <w:t>Field</w:t>
      </w:r>
      <w:r>
        <w:rPr>
          <w:rFonts w:ascii="Arial" w:cs="Arial" w:eastAsia="Arial" w:hAnsi="Arial"/>
          <w:sz w:val="12"/>
          <w:szCs w:val="12"/>
          <w:color w:val="auto"/>
        </w:rPr>
        <w:t>” means all oncology therapies; provided, however, that in the case of any Products covered by a Patent or other intellectual property right licensed in one or more Upstream Licenses, “Field” shall be limited to the minimum extent necessary to comply with the terms of such Upstream License for so long as such limitation is necessary to avoid breach of the Upstream License.</w:t>
      </w:r>
    </w:p>
    <w:p>
      <w:pPr>
        <w:spacing w:after="0" w:line="43" w:lineRule="exact"/>
        <w:rPr>
          <w:sz w:val="20"/>
          <w:szCs w:val="20"/>
          <w:color w:val="auto"/>
        </w:rPr>
      </w:pPr>
    </w:p>
    <w:p>
      <w:pPr>
        <w:ind w:left="5700" w:right="1540" w:hanging="5696"/>
        <w:spacing w:after="0" w:line="438" w:lineRule="auto"/>
        <w:tabs>
          <w:tab w:leader="none" w:pos="241" w:val="left"/>
        </w:tabs>
        <w:numPr>
          <w:ilvl w:val="0"/>
          <w:numId w:val="68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w:t>
      </w:r>
    </w:p>
    <w:p>
      <w:pPr>
        <w:sectPr>
          <w:pgSz w:w="11900" w:h="16838" w:orient="portrait"/>
          <w:cols w:equalWidth="0" w:num="1">
            <w:col w:w="11440"/>
          </w:cols>
          <w:pgMar w:left="220" w:top="248" w:right="239" w:bottom="1440" w:gutter="0" w:footer="0" w:header="0"/>
        </w:sectPr>
      </w:pPr>
    </w:p>
    <w:bookmarkStart w:id="627" w:name="page628"/>
    <w:bookmarkEnd w:id="62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1.32 “</w:t>
      </w:r>
      <w:r>
        <w:rPr>
          <w:rFonts w:ascii="Arial" w:cs="Arial" w:eastAsia="Arial" w:hAnsi="Arial"/>
          <w:sz w:val="14"/>
          <w:szCs w:val="14"/>
          <w:b w:val="1"/>
          <w:bCs w:val="1"/>
          <w:color w:val="auto"/>
        </w:rPr>
        <w:t>Filing of a BLA</w:t>
      </w:r>
      <w:r>
        <w:rPr>
          <w:rFonts w:ascii="Arial" w:cs="Arial" w:eastAsia="Arial" w:hAnsi="Arial"/>
          <w:sz w:val="14"/>
          <w:szCs w:val="14"/>
          <w:color w:val="auto"/>
        </w:rPr>
        <w:t>” means the acceptance by a Regulatory Authority of such BLA for filing.</w:t>
      </w:r>
    </w:p>
    <w:p>
      <w:pPr>
        <w:spacing w:after="0" w:line="132"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1.33 “</w:t>
      </w:r>
      <w:r>
        <w:rPr>
          <w:rFonts w:ascii="Arial" w:cs="Arial" w:eastAsia="Arial" w:hAnsi="Arial"/>
          <w:sz w:val="14"/>
          <w:szCs w:val="14"/>
          <w:b w:val="1"/>
          <w:bCs w:val="1"/>
          <w:color w:val="auto"/>
        </w:rPr>
        <w:t>First Commercial Sale</w:t>
      </w:r>
      <w:r>
        <w:rPr>
          <w:rFonts w:ascii="Arial" w:cs="Arial" w:eastAsia="Arial" w:hAnsi="Arial"/>
          <w:sz w:val="14"/>
          <w:szCs w:val="14"/>
          <w:color w:val="auto"/>
        </w:rPr>
        <w:t>” means, with respect to any Product, the first sale to a Third Party for end use or consumption of such Product in the Territory after Regulatory Approval has been granted by the Regulatory Agency for the Product in the Territory.</w:t>
      </w:r>
    </w:p>
    <w:p>
      <w:pPr>
        <w:spacing w:after="0" w:line="97" w:lineRule="exact"/>
        <w:rPr>
          <w:sz w:val="20"/>
          <w:szCs w:val="20"/>
          <w:color w:val="auto"/>
        </w:rPr>
      </w:pPr>
    </w:p>
    <w:p>
      <w:pPr>
        <w:ind w:right="280" w:firstLine="458"/>
        <w:spacing w:after="0" w:line="259"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b w:val="1"/>
          <w:bCs w:val="1"/>
          <w:color w:val="auto"/>
        </w:rPr>
        <w:t>Fully Burdened Manufacturing Cost</w:t>
      </w:r>
      <w:r>
        <w:rPr>
          <w:rFonts w:ascii="Arial" w:cs="Arial" w:eastAsia="Arial" w:hAnsi="Arial"/>
          <w:sz w:val="14"/>
          <w:szCs w:val="14"/>
          <w:color w:val="auto"/>
        </w:rPr>
        <w:t>” or “</w:t>
      </w:r>
      <w:r>
        <w:rPr>
          <w:rFonts w:ascii="Arial" w:cs="Arial" w:eastAsia="Arial" w:hAnsi="Arial"/>
          <w:sz w:val="14"/>
          <w:szCs w:val="14"/>
          <w:b w:val="1"/>
          <w:bCs w:val="1"/>
          <w:color w:val="auto"/>
        </w:rPr>
        <w:t>FBMC</w:t>
      </w:r>
      <w:r>
        <w:rPr>
          <w:rFonts w:ascii="Arial" w:cs="Arial" w:eastAsia="Arial" w:hAnsi="Arial"/>
          <w:sz w:val="14"/>
          <w:szCs w:val="14"/>
          <w:color w:val="auto"/>
        </w:rPr>
        <w:t xml:space="preserve">” means one hundred percent (100%) of MacroGenics’ actual manufacturing cost of goods produced, as determined for each stage of the manufacturing process, in accordance with GAAP, including product quality assurance/control costs, failed lots, plus applicable Allocable Overhead. Such Fully Burdened Manufacturing Cost shall include, without limitation: (i) </w:t>
      </w:r>
      <w:r>
        <w:rPr>
          <w:rFonts w:ascii="Arial" w:cs="Arial" w:eastAsia="Arial" w:hAnsi="Arial"/>
          <w:sz w:val="14"/>
          <w:szCs w:val="14"/>
          <w:b w:val="1"/>
          <w:bCs w:val="1"/>
          <w:color w:val="auto"/>
        </w:rPr>
        <w: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1.35 “</w:t>
      </w:r>
      <w:r>
        <w:rPr>
          <w:rFonts w:ascii="Arial" w:cs="Arial" w:eastAsia="Arial" w:hAnsi="Arial"/>
          <w:sz w:val="14"/>
          <w:szCs w:val="14"/>
          <w:b w:val="1"/>
          <w:bCs w:val="1"/>
          <w:color w:val="auto"/>
        </w:rPr>
        <w:t>GAAP</w:t>
      </w:r>
      <w:r>
        <w:rPr>
          <w:rFonts w:ascii="Arial" w:cs="Arial" w:eastAsia="Arial" w:hAnsi="Arial"/>
          <w:sz w:val="14"/>
          <w:szCs w:val="14"/>
          <w:color w:val="auto"/>
        </w:rPr>
        <w:t>” means U.S. Generally Accepted Accounting Principles as the same may be in effect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1.36 “</w:t>
      </w:r>
      <w:r>
        <w:rPr>
          <w:rFonts w:ascii="Arial" w:cs="Arial" w:eastAsia="Arial" w:hAnsi="Arial"/>
          <w:sz w:val="14"/>
          <w:szCs w:val="14"/>
          <w:b w:val="1"/>
          <w:bCs w:val="1"/>
          <w:color w:val="auto"/>
        </w:rPr>
        <w:t>GBPS</w:t>
      </w:r>
      <w:r>
        <w:rPr>
          <w:rFonts w:ascii="Arial" w:cs="Arial" w:eastAsia="Arial" w:hAnsi="Arial"/>
          <w:sz w:val="14"/>
          <w:szCs w:val="14"/>
          <w:color w:val="auto"/>
        </w:rPr>
        <w:t>” means the General Biological Products Standards as set forth in 21 C.F.R. Part 610, to the extent applicable to the Collaboration.</w:t>
      </w:r>
    </w:p>
    <w:p>
      <w:pPr>
        <w:spacing w:after="0" w:line="132"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color w:val="auto"/>
        </w:rPr>
        <w:t xml:space="preserve">1.37 </w:t>
      </w:r>
      <w:r>
        <w:rPr>
          <w:rFonts w:ascii="Arial" w:cs="Arial" w:eastAsia="Arial" w:hAnsi="Arial"/>
          <w:sz w:val="12"/>
          <w:szCs w:val="12"/>
          <w:b w:val="1"/>
          <w:bCs w:val="1"/>
          <w:color w:val="auto"/>
        </w:rPr>
        <w:t>cGMP</w:t>
      </w:r>
      <w:r>
        <w:rPr>
          <w:rFonts w:ascii="Arial" w:cs="Arial" w:eastAsia="Arial" w:hAnsi="Arial"/>
          <w:sz w:val="12"/>
          <w:szCs w:val="12"/>
          <w:color w:val="auto"/>
        </w:rPr>
        <w:t>” or “</w:t>
      </w:r>
      <w:r>
        <w:rPr>
          <w:rFonts w:ascii="Arial" w:cs="Arial" w:eastAsia="Arial" w:hAnsi="Arial"/>
          <w:sz w:val="12"/>
          <w:szCs w:val="12"/>
          <w:b w:val="1"/>
          <w:bCs w:val="1"/>
          <w:color w:val="auto"/>
        </w:rPr>
        <w:t>current Good Manufacturing Practices</w:t>
      </w:r>
      <w:r>
        <w:rPr>
          <w:rFonts w:ascii="Arial" w:cs="Arial" w:eastAsia="Arial" w:hAnsi="Arial"/>
          <w:sz w:val="12"/>
          <w:szCs w:val="12"/>
          <w:color w:val="auto"/>
        </w:rPr>
        <w:t>” means current Good Manufacturing Practices as set forth in the FDCA and the Public Health Service Act (the “</w:t>
      </w:r>
      <w:r>
        <w:rPr>
          <w:rFonts w:ascii="Arial" w:cs="Arial" w:eastAsia="Arial" w:hAnsi="Arial"/>
          <w:sz w:val="12"/>
          <w:szCs w:val="12"/>
          <w:b w:val="1"/>
          <w:bCs w:val="1"/>
          <w:color w:val="auto"/>
        </w:rPr>
        <w:t>PHS Act</w:t>
      </w:r>
      <w:r>
        <w:rPr>
          <w:rFonts w:ascii="Arial" w:cs="Arial" w:eastAsia="Arial" w:hAnsi="Arial"/>
          <w:sz w:val="12"/>
          <w:szCs w:val="12"/>
          <w:color w:val="auto"/>
        </w:rPr>
        <w:t>”), and in regulations at 21 C.F.R. Parts 210, 211 and 600, as in effect at the time when any clinical trial regarding a Product is being conducted, provided, and to the extent applicable to such clinical trial, as such regulations are interpreted and enforced by the FDA, including as set forth in applicable guidance documents issued by the FDA, and in accordance with applicable, generally accepted industry standards.</w:t>
      </w:r>
    </w:p>
    <w:p>
      <w:pPr>
        <w:spacing w:after="0" w:line="71" w:lineRule="exact"/>
        <w:rPr>
          <w:sz w:val="20"/>
          <w:szCs w:val="20"/>
          <w:color w:val="auto"/>
        </w:rPr>
      </w:pPr>
    </w:p>
    <w:p>
      <w:pPr>
        <w:ind w:right="80" w:firstLine="458"/>
        <w:spacing w:after="0" w:line="303" w:lineRule="auto"/>
        <w:rPr>
          <w:sz w:val="20"/>
          <w:szCs w:val="20"/>
          <w:color w:val="auto"/>
        </w:rPr>
      </w:pPr>
      <w:r>
        <w:rPr>
          <w:rFonts w:ascii="Arial" w:cs="Arial" w:eastAsia="Arial" w:hAnsi="Arial"/>
          <w:sz w:val="12"/>
          <w:szCs w:val="12"/>
          <w:color w:val="auto"/>
        </w:rPr>
        <w:t>1.38 “</w:t>
      </w:r>
      <w:r>
        <w:rPr>
          <w:rFonts w:ascii="Arial" w:cs="Arial" w:eastAsia="Arial" w:hAnsi="Arial"/>
          <w:sz w:val="12"/>
          <w:szCs w:val="12"/>
          <w:b w:val="1"/>
          <w:bCs w:val="1"/>
          <w:color w:val="auto"/>
        </w:rPr>
        <w:t>GCP</w:t>
      </w:r>
      <w:r>
        <w:rPr>
          <w:rFonts w:ascii="Arial" w:cs="Arial" w:eastAsia="Arial" w:hAnsi="Arial"/>
          <w:sz w:val="12"/>
          <w:szCs w:val="12"/>
          <w:color w:val="auto"/>
        </w:rPr>
        <w:t>” or “</w:t>
      </w:r>
      <w:r>
        <w:rPr>
          <w:rFonts w:ascii="Arial" w:cs="Arial" w:eastAsia="Arial" w:hAnsi="Arial"/>
          <w:sz w:val="12"/>
          <w:szCs w:val="12"/>
          <w:b w:val="1"/>
          <w:bCs w:val="1"/>
          <w:color w:val="auto"/>
        </w:rPr>
        <w:t>Good Clinical Practices</w:t>
      </w:r>
      <w:r>
        <w:rPr>
          <w:rFonts w:ascii="Arial" w:cs="Arial" w:eastAsia="Arial" w:hAnsi="Arial"/>
          <w:sz w:val="12"/>
          <w:szCs w:val="12"/>
          <w:color w:val="auto"/>
        </w:rPr>
        <w:t>” means current Good Clinical Practices as set forth in the Applicable Laws and Regulations, such as FDCA and the PHS Act and regulations set forth at 21 C.F.R. Part 312, as well as (but not limited to) the requirements set forth in Directive 2001/20/EC of the European Parliament and of the Council of 4 April 2001 and Commission Directive 2005/28/EC of 8 April 2005, to the extent applicable to a clinical trial regarding any Product, as such obligations are interpreted and enforced by the applicable Regulatory Authority (e.g., FDA and Member States of the European Union), and as interpreted under prevailing industry standards, including standards of medical ethics, applicable guidance documents issued by the FDA and any other Regulatory Authority, including ICH GCP, the informed consent requirements set forth in 21 C.F.R. Part 50 and the equivalent legal requirements in other applicable jurisdictions, the requirements relating to Institutional Review Boards set forth in 21 C.F.R. Part 56 and the equivalent legal requirements in other applicable jurisdictions, all as the same may be amended from time to time.</w:t>
      </w:r>
    </w:p>
    <w:p>
      <w:pPr>
        <w:spacing w:after="0" w:line="8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1.39 “</w:t>
      </w:r>
      <w:r>
        <w:rPr>
          <w:rFonts w:ascii="Arial" w:cs="Arial" w:eastAsia="Arial" w:hAnsi="Arial"/>
          <w:sz w:val="14"/>
          <w:szCs w:val="14"/>
          <w:b w:val="1"/>
          <w:bCs w:val="1"/>
          <w:color w:val="auto"/>
        </w:rPr>
        <w:t>GLP</w:t>
      </w:r>
      <w:r>
        <w:rPr>
          <w:rFonts w:ascii="Arial" w:cs="Arial" w:eastAsia="Arial" w:hAnsi="Arial"/>
          <w:sz w:val="14"/>
          <w:szCs w:val="14"/>
          <w:color w:val="auto"/>
        </w:rPr>
        <w:t>” or “</w:t>
      </w:r>
      <w:r>
        <w:rPr>
          <w:rFonts w:ascii="Arial" w:cs="Arial" w:eastAsia="Arial" w:hAnsi="Arial"/>
          <w:sz w:val="14"/>
          <w:szCs w:val="14"/>
          <w:b w:val="1"/>
          <w:bCs w:val="1"/>
          <w:color w:val="auto"/>
        </w:rPr>
        <w:t>Good Laboratory Practices</w:t>
      </w:r>
      <w:r>
        <w:rPr>
          <w:rFonts w:ascii="Arial" w:cs="Arial" w:eastAsia="Arial" w:hAnsi="Arial"/>
          <w:sz w:val="14"/>
          <w:szCs w:val="14"/>
          <w:color w:val="auto"/>
        </w:rPr>
        <w:t>” means the recognized rules governing the conduct of non-clinical safety studies and ensuring the quality, integrity and reliability of study data as set forth in Applicable Laws and Regulations, such as 21 C.F.R. Part 58.</w:t>
      </w:r>
    </w:p>
    <w:p>
      <w:pPr>
        <w:spacing w:after="0" w:line="89" w:lineRule="exact"/>
        <w:rPr>
          <w:sz w:val="20"/>
          <w:szCs w:val="20"/>
          <w:color w:val="auto"/>
        </w:rPr>
      </w:pPr>
    </w:p>
    <w:p>
      <w:pPr>
        <w:ind w:left="5700" w:right="1560" w:hanging="5696"/>
        <w:spacing w:after="0" w:line="438" w:lineRule="auto"/>
        <w:tabs>
          <w:tab w:leader="none" w:pos="241" w:val="left"/>
        </w:tabs>
        <w:numPr>
          <w:ilvl w:val="0"/>
          <w:numId w:val="68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w:t>
      </w:r>
    </w:p>
    <w:p>
      <w:pPr>
        <w:sectPr>
          <w:pgSz w:w="11900" w:h="16838" w:orient="portrait"/>
          <w:cols w:equalWidth="0" w:num="1">
            <w:col w:w="11460"/>
          </w:cols>
          <w:pgMar w:left="220" w:top="244" w:right="219" w:bottom="1440" w:gutter="0" w:footer="0" w:header="0"/>
        </w:sectPr>
      </w:pPr>
    </w:p>
    <w:bookmarkStart w:id="628" w:name="page629"/>
    <w:bookmarkEnd w:id="628"/>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1.40 “</w:t>
      </w:r>
      <w:r>
        <w:rPr>
          <w:rFonts w:ascii="Arial" w:cs="Arial" w:eastAsia="Arial" w:hAnsi="Arial"/>
          <w:sz w:val="14"/>
          <w:szCs w:val="14"/>
          <w:b w:val="1"/>
          <w:bCs w:val="1"/>
          <w:color w:val="auto"/>
        </w:rPr>
        <w:t>Green Cross Indemnitees</w:t>
      </w:r>
      <w:r>
        <w:rPr>
          <w:rFonts w:ascii="Arial" w:cs="Arial" w:eastAsia="Arial" w:hAnsi="Arial"/>
          <w:sz w:val="14"/>
          <w:szCs w:val="14"/>
          <w:color w:val="auto"/>
        </w:rPr>
        <w:t>” has the meaning set forth in Section 14.2.</w:t>
      </w:r>
    </w:p>
    <w:p>
      <w:pPr>
        <w:spacing w:after="0" w:line="132"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4"/>
          <w:szCs w:val="14"/>
          <w:color w:val="auto"/>
        </w:rPr>
        <w:t>1.41 “</w:t>
      </w:r>
      <w:r>
        <w:rPr>
          <w:rFonts w:ascii="Arial" w:cs="Arial" w:eastAsia="Arial" w:hAnsi="Arial"/>
          <w:sz w:val="14"/>
          <w:szCs w:val="14"/>
          <w:b w:val="1"/>
          <w:bCs w:val="1"/>
          <w:color w:val="auto"/>
        </w:rPr>
        <w:t>Green Cross Licensed Know-how</w:t>
      </w:r>
      <w:r>
        <w:rPr>
          <w:rFonts w:ascii="Arial" w:cs="Arial" w:eastAsia="Arial" w:hAnsi="Arial"/>
          <w:sz w:val="14"/>
          <w:szCs w:val="14"/>
          <w:color w:val="auto"/>
        </w:rPr>
        <w:t>” means all Know-how (excluding any Patent) Controlled by Green Cross as of the Effective Date or at any time during the Term that is: (a) related to MGAH22 and (b) necessary for MacroGenics to exercise the rights licensed to it under this Agreement or perform its obligations under this Agreement. “Green Cross Licensed Know-how” shall also include Green Cross’ interest in any Know-how deemed jointly owned pursuant to Section 15.1(c).</w:t>
      </w:r>
    </w:p>
    <w:p>
      <w:pPr>
        <w:spacing w:after="0" w:line="106" w:lineRule="exact"/>
        <w:rPr>
          <w:sz w:val="20"/>
          <w:szCs w:val="20"/>
          <w:color w:val="auto"/>
        </w:rPr>
      </w:pPr>
    </w:p>
    <w:p>
      <w:pPr>
        <w:ind w:right="180" w:firstLine="458"/>
        <w:spacing w:after="0" w:line="355" w:lineRule="auto"/>
        <w:rPr>
          <w:sz w:val="20"/>
          <w:szCs w:val="20"/>
          <w:color w:val="auto"/>
        </w:rPr>
      </w:pPr>
      <w:r>
        <w:rPr>
          <w:rFonts w:ascii="Arial" w:cs="Arial" w:eastAsia="Arial" w:hAnsi="Arial"/>
          <w:sz w:val="12"/>
          <w:szCs w:val="12"/>
          <w:color w:val="auto"/>
        </w:rPr>
        <w:t>1.42 “</w:t>
      </w:r>
      <w:r>
        <w:rPr>
          <w:rFonts w:ascii="Arial" w:cs="Arial" w:eastAsia="Arial" w:hAnsi="Arial"/>
          <w:sz w:val="12"/>
          <w:szCs w:val="12"/>
          <w:b w:val="1"/>
          <w:bCs w:val="1"/>
          <w:color w:val="auto"/>
        </w:rPr>
        <w:t>Green Cross Licensed Patents</w:t>
      </w:r>
      <w:r>
        <w:rPr>
          <w:rFonts w:ascii="Arial" w:cs="Arial" w:eastAsia="Arial" w:hAnsi="Arial"/>
          <w:sz w:val="12"/>
          <w:szCs w:val="12"/>
          <w:color w:val="auto"/>
        </w:rPr>
        <w:t>” means any and all Patents Controlled by Green Cross at any time during the Term that: (a) are related to any data, result or invention conceived or reduced to practice in the course of conducting the Collaboration solely by Green Cross specifically in relation to MGAH22 and (b) Green Cross’ interest in any Patent deemed jointly owned pursuant to Section 15.1(c).</w:t>
      </w:r>
    </w:p>
    <w:p>
      <w:pPr>
        <w:spacing w:after="0" w:line="51" w:lineRule="exact"/>
        <w:rPr>
          <w:sz w:val="20"/>
          <w:szCs w:val="20"/>
          <w:color w:val="auto"/>
        </w:rPr>
      </w:pPr>
    </w:p>
    <w:p>
      <w:pPr>
        <w:ind w:right="520" w:firstLine="458"/>
        <w:spacing w:after="0" w:line="270"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b w:val="1"/>
          <w:bCs w:val="1"/>
          <w:color w:val="auto"/>
        </w:rPr>
        <w:t>Health Insurance Portability and Accountability Act</w:t>
      </w:r>
      <w:r>
        <w:rPr>
          <w:rFonts w:ascii="Arial" w:cs="Arial" w:eastAsia="Arial" w:hAnsi="Arial"/>
          <w:sz w:val="14"/>
          <w:szCs w:val="14"/>
          <w:color w:val="auto"/>
        </w:rPr>
        <w:t>” or “</w:t>
      </w:r>
      <w:r>
        <w:rPr>
          <w:rFonts w:ascii="Arial" w:cs="Arial" w:eastAsia="Arial" w:hAnsi="Arial"/>
          <w:sz w:val="14"/>
          <w:szCs w:val="14"/>
          <w:b w:val="1"/>
          <w:bCs w:val="1"/>
          <w:color w:val="auto"/>
        </w:rPr>
        <w:t>HIPAA</w:t>
      </w:r>
      <w:r>
        <w:rPr>
          <w:rFonts w:ascii="Arial" w:cs="Arial" w:eastAsia="Arial" w:hAnsi="Arial"/>
          <w:sz w:val="14"/>
          <w:szCs w:val="14"/>
          <w:color w:val="auto"/>
        </w:rPr>
        <w:t>” means the act enacted by the U.S. Congress in 1996 and took effect in 2003 that strictly dictates the parameters that identifiable private health information (PHI) can be shared outside of the research environment, as amended.</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b w:val="1"/>
          <w:bCs w:val="1"/>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1.45 “</w:t>
      </w:r>
      <w:r>
        <w:rPr>
          <w:rFonts w:ascii="Arial" w:cs="Arial" w:eastAsia="Arial" w:hAnsi="Arial"/>
          <w:sz w:val="14"/>
          <w:szCs w:val="14"/>
          <w:b w:val="1"/>
          <w:bCs w:val="1"/>
          <w:color w:val="auto"/>
        </w:rPr>
        <w:t>ICH</w:t>
      </w:r>
      <w:r>
        <w:rPr>
          <w:rFonts w:ascii="Arial" w:cs="Arial" w:eastAsia="Arial" w:hAnsi="Arial"/>
          <w:sz w:val="14"/>
          <w:szCs w:val="14"/>
          <w:color w:val="auto"/>
        </w:rPr>
        <w:t>” means the International Conference on Harmonisation.</w:t>
      </w:r>
    </w:p>
    <w:p>
      <w:pPr>
        <w:spacing w:after="0" w:line="132"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1.46 “</w:t>
      </w:r>
      <w:r>
        <w:rPr>
          <w:rFonts w:ascii="Arial" w:cs="Arial" w:eastAsia="Arial" w:hAnsi="Arial"/>
          <w:sz w:val="14"/>
          <w:szCs w:val="14"/>
          <w:b w:val="1"/>
          <w:bCs w:val="1"/>
          <w:color w:val="auto"/>
        </w:rPr>
        <w:t>IND</w:t>
      </w:r>
      <w:r>
        <w:rPr>
          <w:rFonts w:ascii="Arial" w:cs="Arial" w:eastAsia="Arial" w:hAnsi="Arial"/>
          <w:sz w:val="14"/>
          <w:szCs w:val="14"/>
          <w:color w:val="auto"/>
        </w:rPr>
        <w:t>” means an Investigational New Drug application, or similar application or submission for approval to conduct human clinical investigations filed with or submitted to a Regulatory Authority in conformance with the requirements of such Regulatory Authority.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1.47 “</w:t>
      </w:r>
      <w:r>
        <w:rPr>
          <w:rFonts w:ascii="Arial" w:cs="Arial" w:eastAsia="Arial" w:hAnsi="Arial"/>
          <w:sz w:val="14"/>
          <w:szCs w:val="14"/>
          <w:b w:val="1"/>
          <w:bCs w:val="1"/>
          <w:color w:val="auto"/>
        </w:rPr>
        <w:t>Indemnifying Party</w:t>
      </w:r>
      <w:r>
        <w:rPr>
          <w:rFonts w:ascii="Arial" w:cs="Arial" w:eastAsia="Arial" w:hAnsi="Arial"/>
          <w:sz w:val="14"/>
          <w:szCs w:val="14"/>
          <w:color w:val="auto"/>
        </w:rPr>
        <w:t>” means the Party that is obligated to indemnify the Indemnitee under Section 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1.48 “</w:t>
      </w:r>
      <w:r>
        <w:rPr>
          <w:rFonts w:ascii="Arial" w:cs="Arial" w:eastAsia="Arial" w:hAnsi="Arial"/>
          <w:sz w:val="14"/>
          <w:szCs w:val="14"/>
          <w:b w:val="1"/>
          <w:bCs w:val="1"/>
          <w:color w:val="auto"/>
        </w:rPr>
        <w:t>Indemnitee</w:t>
      </w:r>
      <w:r>
        <w:rPr>
          <w:rFonts w:ascii="Arial" w:cs="Arial" w:eastAsia="Arial" w:hAnsi="Arial"/>
          <w:sz w:val="14"/>
          <w:szCs w:val="14"/>
          <w:color w:val="auto"/>
        </w:rPr>
        <w:t>” means either the Green Cross Indemnitee or the MacroGenics Indemnitee, as applicable.</w:t>
      </w:r>
    </w:p>
    <w:p>
      <w:pPr>
        <w:spacing w:after="0" w:line="132" w:lineRule="exact"/>
        <w:rPr>
          <w:sz w:val="20"/>
          <w:szCs w:val="20"/>
          <w:color w:val="auto"/>
        </w:rPr>
      </w:pPr>
    </w:p>
    <w:p>
      <w:pPr>
        <w:ind w:firstLine="458"/>
        <w:spacing w:after="0" w:line="256" w:lineRule="auto"/>
        <w:rPr>
          <w:sz w:val="20"/>
          <w:szCs w:val="20"/>
          <w:color w:val="auto"/>
        </w:rPr>
      </w:pPr>
      <w:r>
        <w:rPr>
          <w:rFonts w:ascii="Arial" w:cs="Arial" w:eastAsia="Arial" w:hAnsi="Arial"/>
          <w:sz w:val="14"/>
          <w:szCs w:val="14"/>
          <w:color w:val="auto"/>
        </w:rPr>
        <w:t>1.49 “</w:t>
      </w:r>
      <w:r>
        <w:rPr>
          <w:rFonts w:ascii="Arial" w:cs="Arial" w:eastAsia="Arial" w:hAnsi="Arial"/>
          <w:sz w:val="14"/>
          <w:szCs w:val="14"/>
          <w:b w:val="1"/>
          <w:bCs w:val="1"/>
          <w:color w:val="auto"/>
        </w:rPr>
        <w:t>Independent Ethics Committee</w:t>
      </w:r>
      <w:r>
        <w:rPr>
          <w:rFonts w:ascii="Arial" w:cs="Arial" w:eastAsia="Arial" w:hAnsi="Arial"/>
          <w:sz w:val="14"/>
          <w:szCs w:val="14"/>
          <w:color w:val="auto"/>
        </w:rPr>
        <w:t>” or “</w:t>
      </w:r>
      <w:r>
        <w:rPr>
          <w:rFonts w:ascii="Arial" w:cs="Arial" w:eastAsia="Arial" w:hAnsi="Arial"/>
          <w:sz w:val="14"/>
          <w:szCs w:val="14"/>
          <w:b w:val="1"/>
          <w:bCs w:val="1"/>
          <w:color w:val="auto"/>
        </w:rPr>
        <w:t>IEC</w:t>
      </w:r>
      <w:r>
        <w:rPr>
          <w:rFonts w:ascii="Arial" w:cs="Arial" w:eastAsia="Arial" w:hAnsi="Arial"/>
          <w:sz w:val="14"/>
          <w:szCs w:val="14"/>
          <w:color w:val="auto"/>
        </w:rPr>
        <w:t>” means an independent body (a review board or a committee, institutional, regional, national, or supranational), constituted of medical professionals and non-medical members, whose responsibility it is to ensure the protection of the rights, safety and well-being of human subjects involved in a trial and to provide public assurance of that protection, by, among other things, reviewing and approving / providing favorable opinion on, the trial protocol, the suitability of the investigator(s), facilities, and the methods and material to be used in obtaining and documenting informed consent of the trial subjects. The legal status,</w:t>
      </w:r>
    </w:p>
    <w:p>
      <w:pPr>
        <w:spacing w:after="0" w:line="99" w:lineRule="exact"/>
        <w:rPr>
          <w:sz w:val="20"/>
          <w:szCs w:val="20"/>
          <w:color w:val="auto"/>
        </w:rPr>
      </w:pPr>
    </w:p>
    <w:p>
      <w:pPr>
        <w:ind w:left="5700" w:right="1560" w:hanging="5696"/>
        <w:spacing w:after="0" w:line="438" w:lineRule="auto"/>
        <w:tabs>
          <w:tab w:leader="none" w:pos="241" w:val="left"/>
        </w:tabs>
        <w:numPr>
          <w:ilvl w:val="0"/>
          <w:numId w:val="68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w:t>
      </w:r>
    </w:p>
    <w:p>
      <w:pPr>
        <w:sectPr>
          <w:pgSz w:w="11900" w:h="16838" w:orient="portrait"/>
          <w:cols w:equalWidth="0" w:num="1">
            <w:col w:w="11460"/>
          </w:cols>
          <w:pgMar w:left="220" w:top="246" w:right="219" w:bottom="1440" w:gutter="0" w:footer="0" w:header="0"/>
        </w:sectPr>
      </w:pPr>
    </w:p>
    <w:bookmarkStart w:id="629" w:name="page630"/>
    <w:bookmarkEnd w:id="629"/>
    <w:p>
      <w:pPr>
        <w:ind w:right="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composition, function, operations and regulatory requirements pertaining to IEC may differ among countries, but should allow the Independent Ethics Committee to act in agreement with GCP as described in this guideline.</w:t>
      </w:r>
    </w:p>
    <w:p>
      <w:pPr>
        <w:spacing w:after="0" w:line="99" w:lineRule="exact"/>
        <w:rPr>
          <w:sz w:val="20"/>
          <w:szCs w:val="20"/>
          <w:color w:val="auto"/>
        </w:rPr>
      </w:pPr>
    </w:p>
    <w:p>
      <w:pPr>
        <w:ind w:right="100" w:firstLine="458"/>
        <w:spacing w:after="0" w:line="355" w:lineRule="auto"/>
        <w:rPr>
          <w:sz w:val="20"/>
          <w:szCs w:val="20"/>
          <w:color w:val="auto"/>
        </w:rPr>
      </w:pPr>
      <w:r>
        <w:rPr>
          <w:rFonts w:ascii="Arial" w:cs="Arial" w:eastAsia="Arial" w:hAnsi="Arial"/>
          <w:sz w:val="12"/>
          <w:szCs w:val="12"/>
          <w:color w:val="auto"/>
        </w:rPr>
        <w:t>1.50 “</w:t>
      </w:r>
      <w:r>
        <w:rPr>
          <w:rFonts w:ascii="Arial" w:cs="Arial" w:eastAsia="Arial" w:hAnsi="Arial"/>
          <w:sz w:val="12"/>
          <w:szCs w:val="12"/>
          <w:b w:val="1"/>
          <w:bCs w:val="1"/>
          <w:color w:val="auto"/>
        </w:rPr>
        <w:t>Indication</w:t>
      </w:r>
      <w:r>
        <w:rPr>
          <w:rFonts w:ascii="Arial" w:cs="Arial" w:eastAsia="Arial" w:hAnsi="Arial"/>
          <w:sz w:val="12"/>
          <w:szCs w:val="12"/>
          <w:color w:val="auto"/>
        </w:rPr>
        <w:t>” means a separate and distinct disease, disorder or medical condition in humans or non-human animals which a product is intended to treat, prevent, diagnose, monitor or ameliorate and which, for a Product, is intended to be reflected in the labeling for such Product as an approved Indication, and which, for an approved Product, is reflected in the labeling for such Product.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1.51 “</w:t>
      </w:r>
      <w:r>
        <w:rPr>
          <w:rFonts w:ascii="Arial" w:cs="Arial" w:eastAsia="Arial" w:hAnsi="Arial"/>
          <w:sz w:val="12"/>
          <w:szCs w:val="12"/>
          <w:b w:val="1"/>
          <w:bCs w:val="1"/>
          <w:color w:val="auto"/>
        </w:rPr>
        <w:t>Informed Assent Form</w:t>
      </w:r>
      <w:r>
        <w:rPr>
          <w:rFonts w:ascii="Arial" w:cs="Arial" w:eastAsia="Arial" w:hAnsi="Arial"/>
          <w:sz w:val="12"/>
          <w:szCs w:val="12"/>
          <w:color w:val="auto"/>
        </w:rPr>
        <w:t>” or “</w:t>
      </w:r>
      <w:r>
        <w:rPr>
          <w:rFonts w:ascii="Arial" w:cs="Arial" w:eastAsia="Arial" w:hAnsi="Arial"/>
          <w:sz w:val="12"/>
          <w:szCs w:val="12"/>
          <w:b w:val="1"/>
          <w:bCs w:val="1"/>
          <w:color w:val="auto"/>
        </w:rPr>
        <w:t>IAF</w:t>
      </w:r>
      <w:r>
        <w:rPr>
          <w:rFonts w:ascii="Arial" w:cs="Arial" w:eastAsia="Arial" w:hAnsi="Arial"/>
          <w:sz w:val="12"/>
          <w:szCs w:val="12"/>
          <w:color w:val="auto"/>
        </w:rPr>
        <w:t>” means an agreement to participate by subjects who are not able to give consent, either because they are minors or because they are legally incompetent.</w:t>
      </w:r>
    </w:p>
    <w:p>
      <w:pPr>
        <w:spacing w:after="0" w:line="155" w:lineRule="exact"/>
        <w:rPr>
          <w:sz w:val="20"/>
          <w:szCs w:val="20"/>
          <w:color w:val="auto"/>
        </w:rPr>
      </w:pPr>
    </w:p>
    <w:p>
      <w:pPr>
        <w:ind w:right="320" w:firstLine="458"/>
        <w:spacing w:after="0" w:line="355" w:lineRule="auto"/>
        <w:rPr>
          <w:sz w:val="20"/>
          <w:szCs w:val="20"/>
          <w:color w:val="auto"/>
        </w:rPr>
      </w:pPr>
      <w:r>
        <w:rPr>
          <w:rFonts w:ascii="Arial" w:cs="Arial" w:eastAsia="Arial" w:hAnsi="Arial"/>
          <w:sz w:val="12"/>
          <w:szCs w:val="12"/>
          <w:color w:val="auto"/>
        </w:rPr>
        <w:t>1.52 “</w:t>
      </w:r>
      <w:r>
        <w:rPr>
          <w:rFonts w:ascii="Arial" w:cs="Arial" w:eastAsia="Arial" w:hAnsi="Arial"/>
          <w:sz w:val="12"/>
          <w:szCs w:val="12"/>
          <w:b w:val="1"/>
          <w:bCs w:val="1"/>
          <w:color w:val="auto"/>
        </w:rPr>
        <w:t>Informed Consent Form</w:t>
      </w:r>
      <w:r>
        <w:rPr>
          <w:rFonts w:ascii="Arial" w:cs="Arial" w:eastAsia="Arial" w:hAnsi="Arial"/>
          <w:sz w:val="12"/>
          <w:szCs w:val="12"/>
          <w:color w:val="auto"/>
        </w:rPr>
        <w:t>” or “</w:t>
      </w:r>
      <w:r>
        <w:rPr>
          <w:rFonts w:ascii="Arial" w:cs="Arial" w:eastAsia="Arial" w:hAnsi="Arial"/>
          <w:sz w:val="12"/>
          <w:szCs w:val="12"/>
          <w:b w:val="1"/>
          <w:bCs w:val="1"/>
          <w:color w:val="auto"/>
        </w:rPr>
        <w:t>ICF</w:t>
      </w:r>
      <w:r>
        <w:rPr>
          <w:rFonts w:ascii="Arial" w:cs="Arial" w:eastAsia="Arial" w:hAnsi="Arial"/>
          <w:sz w:val="12"/>
          <w:szCs w:val="12"/>
          <w:color w:val="auto"/>
        </w:rPr>
        <w:t>” means a document that outlines a patient’s rights during participation in a clinical trial. It also discusses the potential risks and benefits associated with participation, including all available data on previous studies. The ICF must be signed by the patient or authorized caregiver before entrance is granted into a study.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1.53 “</w:t>
      </w:r>
      <w:r>
        <w:rPr>
          <w:rFonts w:ascii="Arial" w:cs="Arial" w:eastAsia="Arial" w:hAnsi="Arial"/>
          <w:sz w:val="14"/>
          <w:szCs w:val="14"/>
          <w:b w:val="1"/>
          <w:bCs w:val="1"/>
          <w:color w:val="auto"/>
        </w:rPr>
        <w:t>Initial Public Offering</w:t>
      </w:r>
      <w:r>
        <w:rPr>
          <w:rFonts w:ascii="Arial" w:cs="Arial" w:eastAsia="Arial" w:hAnsi="Arial"/>
          <w:sz w:val="14"/>
          <w:szCs w:val="14"/>
          <w:color w:val="auto"/>
        </w:rPr>
        <w:t>” means the first completed offering of capital stock of MacroGenics registered under the Securities Act of 1933, as amended.</w:t>
      </w:r>
    </w:p>
    <w:p>
      <w:pPr>
        <w:spacing w:after="0" w:line="132" w:lineRule="exact"/>
        <w:rPr>
          <w:sz w:val="20"/>
          <w:szCs w:val="20"/>
          <w:color w:val="auto"/>
        </w:rPr>
      </w:pPr>
    </w:p>
    <w:p>
      <w:pPr>
        <w:jc w:val="both"/>
        <w:ind w:firstLine="458"/>
        <w:spacing w:after="0" w:line="322" w:lineRule="auto"/>
        <w:rPr>
          <w:sz w:val="20"/>
          <w:szCs w:val="20"/>
          <w:color w:val="auto"/>
        </w:rPr>
      </w:pPr>
      <w:r>
        <w:rPr>
          <w:rFonts w:ascii="Arial" w:cs="Arial" w:eastAsia="Arial" w:hAnsi="Arial"/>
          <w:sz w:val="12"/>
          <w:szCs w:val="12"/>
          <w:color w:val="auto"/>
        </w:rPr>
        <w:t>1.54 “</w:t>
      </w:r>
      <w:r>
        <w:rPr>
          <w:rFonts w:ascii="Arial" w:cs="Arial" w:eastAsia="Arial" w:hAnsi="Arial"/>
          <w:sz w:val="12"/>
          <w:szCs w:val="12"/>
          <w:b w:val="1"/>
          <w:bCs w:val="1"/>
          <w:color w:val="auto"/>
        </w:rPr>
        <w:t>Investigational Review Board</w:t>
      </w:r>
      <w:r>
        <w:rPr>
          <w:rFonts w:ascii="Arial" w:cs="Arial" w:eastAsia="Arial" w:hAnsi="Arial"/>
          <w:sz w:val="12"/>
          <w:szCs w:val="12"/>
          <w:color w:val="auto"/>
        </w:rPr>
        <w:t>” or “</w:t>
      </w:r>
      <w:r>
        <w:rPr>
          <w:rFonts w:ascii="Arial" w:cs="Arial" w:eastAsia="Arial" w:hAnsi="Arial"/>
          <w:sz w:val="12"/>
          <w:szCs w:val="12"/>
          <w:b w:val="1"/>
          <w:bCs w:val="1"/>
          <w:color w:val="auto"/>
        </w:rPr>
        <w:t>IRB</w:t>
      </w:r>
      <w:r>
        <w:rPr>
          <w:rFonts w:ascii="Arial" w:cs="Arial" w:eastAsia="Arial" w:hAnsi="Arial"/>
          <w:sz w:val="12"/>
          <w:szCs w:val="12"/>
          <w:color w:val="auto"/>
        </w:rPr>
        <w:t>” means in accordance with 45 C.F.R. 46, Protection of Human Subjects (Revised November 13, 2001) and 21 C.F.R. 45, Subpart C, IRB Functions and Operations, (as amended June 18, 1991 and other applicable regulations), an independent body comprising medical, scientific, and nonscientific members, whose responsibility is to ensure the protection of the rights, safety, and well-being of the subjects involved in a clinical trial. It may also be referred to as an IEC in accordance with ICH E6, Section 1.27.</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1.55 “</w:t>
      </w:r>
      <w:r>
        <w:rPr>
          <w:rFonts w:ascii="Arial" w:cs="Arial" w:eastAsia="Arial" w:hAnsi="Arial"/>
          <w:sz w:val="14"/>
          <w:szCs w:val="14"/>
          <w:b w:val="1"/>
          <w:bCs w:val="1"/>
          <w:color w:val="auto"/>
        </w:rPr>
        <w:t>Jointly Owned IP</w:t>
      </w:r>
      <w:r>
        <w:rPr>
          <w:rFonts w:ascii="Arial" w:cs="Arial" w:eastAsia="Arial" w:hAnsi="Arial"/>
          <w:sz w:val="14"/>
          <w:szCs w:val="14"/>
          <w:color w:val="auto"/>
        </w:rPr>
        <w:t>” has the meaning set forth in Section 15.1(c).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1.56 “</w:t>
      </w:r>
      <w:r>
        <w:rPr>
          <w:rFonts w:ascii="Arial" w:cs="Arial" w:eastAsia="Arial" w:hAnsi="Arial"/>
          <w:sz w:val="14"/>
          <w:szCs w:val="14"/>
          <w:b w:val="1"/>
          <w:bCs w:val="1"/>
          <w:color w:val="auto"/>
        </w:rPr>
        <w:t>Jointly Owned Patents</w:t>
      </w:r>
      <w:r>
        <w:rPr>
          <w:rFonts w:ascii="Arial" w:cs="Arial" w:eastAsia="Arial" w:hAnsi="Arial"/>
          <w:sz w:val="14"/>
          <w:szCs w:val="14"/>
          <w:color w:val="auto"/>
        </w:rPr>
        <w:t>” has the meaning set forth in Section 15.2(b)(i).</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1.57 “</w:t>
      </w:r>
      <w:r>
        <w:rPr>
          <w:rFonts w:ascii="Arial" w:cs="Arial" w:eastAsia="Arial" w:hAnsi="Arial"/>
          <w:sz w:val="14"/>
          <w:szCs w:val="14"/>
          <w:b w:val="1"/>
          <w:bCs w:val="1"/>
          <w:color w:val="auto"/>
        </w:rPr>
        <w:t>Joint Development Committee</w:t>
      </w:r>
      <w:r>
        <w:rPr>
          <w:rFonts w:ascii="Arial" w:cs="Arial" w:eastAsia="Arial" w:hAnsi="Arial"/>
          <w:sz w:val="14"/>
          <w:szCs w:val="14"/>
          <w:color w:val="auto"/>
        </w:rPr>
        <w:t>” or “</w:t>
      </w:r>
      <w:r>
        <w:rPr>
          <w:rFonts w:ascii="Arial" w:cs="Arial" w:eastAsia="Arial" w:hAnsi="Arial"/>
          <w:sz w:val="14"/>
          <w:szCs w:val="14"/>
          <w:b w:val="1"/>
          <w:bCs w:val="1"/>
          <w:color w:val="auto"/>
        </w:rPr>
        <w:t>JDC</w:t>
      </w:r>
      <w:r>
        <w:rPr>
          <w:rFonts w:ascii="Arial" w:cs="Arial" w:eastAsia="Arial" w:hAnsi="Arial"/>
          <w:sz w:val="14"/>
          <w:szCs w:val="14"/>
          <w:color w:val="auto"/>
        </w:rPr>
        <w:t>” has the meaning set forth in Section 2.2.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1.58 “</w:t>
      </w:r>
      <w:r>
        <w:rPr>
          <w:rFonts w:ascii="Arial" w:cs="Arial" w:eastAsia="Arial" w:hAnsi="Arial"/>
          <w:sz w:val="14"/>
          <w:szCs w:val="14"/>
          <w:b w:val="1"/>
          <w:bCs w:val="1"/>
          <w:color w:val="auto"/>
        </w:rPr>
        <w:t>Joint Steering Committee</w:t>
      </w:r>
      <w:r>
        <w:rPr>
          <w:rFonts w:ascii="Arial" w:cs="Arial" w:eastAsia="Arial" w:hAnsi="Arial"/>
          <w:sz w:val="14"/>
          <w:szCs w:val="14"/>
          <w:color w:val="auto"/>
        </w:rPr>
        <w:t>” or “</w:t>
      </w:r>
      <w:r>
        <w:rPr>
          <w:rFonts w:ascii="Arial" w:cs="Arial" w:eastAsia="Arial" w:hAnsi="Arial"/>
          <w:sz w:val="14"/>
          <w:szCs w:val="14"/>
          <w:b w:val="1"/>
          <w:bCs w:val="1"/>
          <w:color w:val="auto"/>
        </w:rPr>
        <w:t>JSC</w:t>
      </w:r>
      <w:r>
        <w:rPr>
          <w:rFonts w:ascii="Arial" w:cs="Arial" w:eastAsia="Arial" w:hAnsi="Arial"/>
          <w:sz w:val="14"/>
          <w:szCs w:val="14"/>
          <w:color w:val="auto"/>
        </w:rPr>
        <w:t>” has the meaning set forth in Section 2.1.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1.59 “</w:t>
      </w:r>
      <w:r>
        <w:rPr>
          <w:rFonts w:ascii="Arial" w:cs="Arial" w:eastAsia="Arial" w:hAnsi="Arial"/>
          <w:sz w:val="14"/>
          <w:szCs w:val="14"/>
          <w:b w:val="1"/>
          <w:bCs w:val="1"/>
          <w:color w:val="auto"/>
        </w:rPr>
        <w:t>KFDA</w:t>
      </w:r>
      <w:r>
        <w:rPr>
          <w:rFonts w:ascii="Arial" w:cs="Arial" w:eastAsia="Arial" w:hAnsi="Arial"/>
          <w:sz w:val="14"/>
          <w:szCs w:val="14"/>
          <w:color w:val="auto"/>
        </w:rPr>
        <w:t>” means Korean Food and Drug Administration, or any successor agency thereto.</w:t>
      </w:r>
    </w:p>
    <w:p>
      <w:pPr>
        <w:spacing w:after="0" w:line="132"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1.60 “</w:t>
      </w:r>
      <w:r>
        <w:rPr>
          <w:rFonts w:ascii="Arial" w:cs="Arial" w:eastAsia="Arial" w:hAnsi="Arial"/>
          <w:sz w:val="14"/>
          <w:szCs w:val="14"/>
          <w:b w:val="1"/>
          <w:bCs w:val="1"/>
          <w:color w:val="auto"/>
        </w:rPr>
        <w:t>Know-how</w:t>
      </w:r>
      <w:r>
        <w:rPr>
          <w:rFonts w:ascii="Arial" w:cs="Arial" w:eastAsia="Arial" w:hAnsi="Arial"/>
          <w:sz w:val="14"/>
          <w:szCs w:val="14"/>
          <w:color w:val="auto"/>
        </w:rPr>
        <w:t>” means (a) any proprietary scientific or technical information, results and data of any type whatsoever, in any tangible or intangible form whatsoever, including databases, practices, methods, techniques, specifications,</w:t>
      </w:r>
    </w:p>
    <w:p>
      <w:pPr>
        <w:spacing w:after="0" w:line="89" w:lineRule="exact"/>
        <w:rPr>
          <w:sz w:val="20"/>
          <w:szCs w:val="20"/>
          <w:color w:val="auto"/>
        </w:rPr>
      </w:pPr>
    </w:p>
    <w:p>
      <w:pPr>
        <w:ind w:left="5700" w:right="1440" w:hanging="5696"/>
        <w:spacing w:after="0" w:line="438" w:lineRule="auto"/>
        <w:tabs>
          <w:tab w:leader="none" w:pos="241" w:val="left"/>
        </w:tabs>
        <w:numPr>
          <w:ilvl w:val="0"/>
          <w:numId w:val="684"/>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8</w:t>
      </w:r>
    </w:p>
    <w:p>
      <w:pPr>
        <w:sectPr>
          <w:pgSz w:w="11900" w:h="16838" w:orient="portrait"/>
          <w:cols w:equalWidth="0" w:num="1">
            <w:col w:w="11340"/>
          </w:cols>
          <w:pgMar w:left="220" w:top="247" w:right="339" w:bottom="1440" w:gutter="0" w:footer="0" w:header="0"/>
        </w:sectPr>
      </w:pPr>
    </w:p>
    <w:bookmarkStart w:id="630" w:name="page631"/>
    <w:bookmarkEnd w:id="630"/>
    <w:p>
      <w:pPr>
        <w:ind w:right="6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formulations, formulae, knowledge, know-how,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 and (b) any proprietary biological, chemical or physical materials.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1.61 “</w:t>
      </w:r>
      <w:r>
        <w:rPr>
          <w:rFonts w:ascii="Arial" w:cs="Arial" w:eastAsia="Arial" w:hAnsi="Arial"/>
          <w:sz w:val="14"/>
          <w:szCs w:val="14"/>
          <w:b w:val="1"/>
          <w:bCs w:val="1"/>
          <w:color w:val="auto"/>
        </w:rPr>
        <w:t>Licensing Transaction</w:t>
      </w:r>
      <w:r>
        <w:rPr>
          <w:rFonts w:ascii="Arial" w:cs="Arial" w:eastAsia="Arial" w:hAnsi="Arial"/>
          <w:sz w:val="14"/>
          <w:szCs w:val="14"/>
          <w:color w:val="auto"/>
        </w:rPr>
        <w:t>” has the meaning set forth in Section 12.3(d)(ii)(C).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1.62 “</w:t>
      </w:r>
      <w:r>
        <w:rPr>
          <w:rFonts w:ascii="Arial" w:cs="Arial" w:eastAsia="Arial" w:hAnsi="Arial"/>
          <w:sz w:val="14"/>
          <w:szCs w:val="14"/>
          <w:b w:val="1"/>
          <w:bCs w:val="1"/>
          <w:color w:val="auto"/>
        </w:rPr>
        <w:t>Losses</w:t>
      </w:r>
      <w:r>
        <w:rPr>
          <w:rFonts w:ascii="Arial" w:cs="Arial" w:eastAsia="Arial" w:hAnsi="Arial"/>
          <w:sz w:val="14"/>
          <w:szCs w:val="14"/>
          <w:color w:val="auto"/>
        </w:rPr>
        <w:t>” has the meaning set forth in Section 14.1.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1.63 “</w:t>
      </w:r>
      <w:r>
        <w:rPr>
          <w:rFonts w:ascii="Arial" w:cs="Arial" w:eastAsia="Arial" w:hAnsi="Arial"/>
          <w:sz w:val="14"/>
          <w:szCs w:val="14"/>
          <w:b w:val="1"/>
          <w:bCs w:val="1"/>
          <w:color w:val="auto"/>
        </w:rPr>
        <w:t>MacroGenics Indemnitee</w:t>
      </w:r>
      <w:r>
        <w:rPr>
          <w:rFonts w:ascii="Arial" w:cs="Arial" w:eastAsia="Arial" w:hAnsi="Arial"/>
          <w:sz w:val="14"/>
          <w:szCs w:val="14"/>
          <w:color w:val="auto"/>
        </w:rPr>
        <w:t>” has the meaning set forth in Section 14.1.</w:t>
      </w:r>
    </w:p>
    <w:p>
      <w:pPr>
        <w:spacing w:after="0" w:line="132" w:lineRule="exact"/>
        <w:rPr>
          <w:sz w:val="20"/>
          <w:szCs w:val="20"/>
          <w:color w:val="auto"/>
        </w:rPr>
      </w:pPr>
    </w:p>
    <w:p>
      <w:pPr>
        <w:ind w:right="80" w:firstLine="458"/>
        <w:spacing w:after="0" w:line="355" w:lineRule="auto"/>
        <w:rPr>
          <w:sz w:val="20"/>
          <w:szCs w:val="20"/>
          <w:color w:val="auto"/>
        </w:rPr>
      </w:pPr>
      <w:r>
        <w:rPr>
          <w:rFonts w:ascii="Arial" w:cs="Arial" w:eastAsia="Arial" w:hAnsi="Arial"/>
          <w:sz w:val="12"/>
          <w:szCs w:val="12"/>
          <w:color w:val="auto"/>
        </w:rPr>
        <w:t>1.64 “</w:t>
      </w:r>
      <w:r>
        <w:rPr>
          <w:rFonts w:ascii="Arial" w:cs="Arial" w:eastAsia="Arial" w:hAnsi="Arial"/>
          <w:sz w:val="12"/>
          <w:szCs w:val="12"/>
          <w:b w:val="1"/>
          <w:bCs w:val="1"/>
          <w:color w:val="auto"/>
        </w:rPr>
        <w:t>MacroGenics Licensed Know-how</w:t>
      </w:r>
      <w:r>
        <w:rPr>
          <w:rFonts w:ascii="Arial" w:cs="Arial" w:eastAsia="Arial" w:hAnsi="Arial"/>
          <w:sz w:val="12"/>
          <w:szCs w:val="12"/>
          <w:color w:val="auto"/>
        </w:rPr>
        <w:t>” means the Know-how (excluding any Patents) that is Controlled by MacroGenics as of the Effective Date or at any time during the Term, that is: (a) related to MGAH22 and (b) necessary for Green Cross to exercise the rights licensed to it pursuant to this Agreement or to perform its obligations under this Agreement.</w:t>
      </w:r>
    </w:p>
    <w:p>
      <w:pPr>
        <w:spacing w:after="0" w:line="51" w:lineRule="exact"/>
        <w:rPr>
          <w:sz w:val="20"/>
          <w:szCs w:val="20"/>
          <w:color w:val="auto"/>
        </w:rPr>
      </w:pPr>
    </w:p>
    <w:p>
      <w:pPr>
        <w:ind w:firstLine="458"/>
        <w:spacing w:after="0" w:line="256" w:lineRule="auto"/>
        <w:rPr>
          <w:sz w:val="20"/>
          <w:szCs w:val="20"/>
          <w:color w:val="auto"/>
        </w:rPr>
      </w:pPr>
      <w:r>
        <w:rPr>
          <w:rFonts w:ascii="Arial" w:cs="Arial" w:eastAsia="Arial" w:hAnsi="Arial"/>
          <w:sz w:val="14"/>
          <w:szCs w:val="14"/>
          <w:color w:val="auto"/>
        </w:rPr>
        <w:t>1.65 “</w:t>
      </w:r>
      <w:r>
        <w:rPr>
          <w:rFonts w:ascii="Arial" w:cs="Arial" w:eastAsia="Arial" w:hAnsi="Arial"/>
          <w:sz w:val="14"/>
          <w:szCs w:val="14"/>
          <w:b w:val="1"/>
          <w:bCs w:val="1"/>
          <w:color w:val="auto"/>
        </w:rPr>
        <w:t>MacroGenics Licensed Patents</w:t>
      </w:r>
      <w:r>
        <w:rPr>
          <w:rFonts w:ascii="Arial" w:cs="Arial" w:eastAsia="Arial" w:hAnsi="Arial"/>
          <w:sz w:val="14"/>
          <w:szCs w:val="14"/>
          <w:color w:val="auto"/>
        </w:rPr>
        <w:t>” means the Patents Controlled by MacroGenics as of the Effective Date or at any time during the Term that: (a) claim the composition of matter of MGAH22 or a Product, (b) would be infringed but for the license granted hereunder by making, having made, selling, using, offering for sale or importing MGAH22 or any Product, or (c) are otherwise necessary for Green Cross to exercise the rights licensed to it under this Agreement, or to perform its obligations under this Agreement, as listed in Exhibit A attached hereto. “MacroGenics Licensed Patents” shall include MacroGenics’ interest in any Patents deemed jointly owned pursuant to Section 15.1(c).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1.66 “</w:t>
      </w:r>
      <w:r>
        <w:rPr>
          <w:rFonts w:ascii="Arial" w:cs="Arial" w:eastAsia="Arial" w:hAnsi="Arial"/>
          <w:sz w:val="14"/>
          <w:szCs w:val="14"/>
          <w:b w:val="1"/>
          <w:bCs w:val="1"/>
          <w:color w:val="auto"/>
        </w:rPr>
        <w:t>MacroGenics Licensed Technology</w:t>
      </w:r>
      <w:r>
        <w:rPr>
          <w:rFonts w:ascii="Arial" w:cs="Arial" w:eastAsia="Arial" w:hAnsi="Arial"/>
          <w:sz w:val="14"/>
          <w:szCs w:val="14"/>
          <w:color w:val="auto"/>
        </w:rPr>
        <w:t>” means the MacroGenics Licensed Patents and the MacroGenics Licensed Know-how.</w:t>
      </w:r>
    </w:p>
    <w:p>
      <w:pPr>
        <w:spacing w:after="0" w:line="132" w:lineRule="exact"/>
        <w:rPr>
          <w:sz w:val="20"/>
          <w:szCs w:val="20"/>
          <w:color w:val="auto"/>
        </w:rPr>
      </w:pPr>
    </w:p>
    <w:p>
      <w:pPr>
        <w:ind w:right="280" w:firstLine="458"/>
        <w:spacing w:after="0" w:line="270" w:lineRule="auto"/>
        <w:rPr>
          <w:sz w:val="20"/>
          <w:szCs w:val="20"/>
          <w:color w:val="auto"/>
        </w:rPr>
      </w:pPr>
      <w:r>
        <w:rPr>
          <w:rFonts w:ascii="Arial" w:cs="Arial" w:eastAsia="Arial" w:hAnsi="Arial"/>
          <w:sz w:val="14"/>
          <w:szCs w:val="14"/>
          <w:color w:val="auto"/>
        </w:rPr>
        <w:t>1.67 “</w:t>
      </w:r>
      <w:r>
        <w:rPr>
          <w:rFonts w:ascii="Arial" w:cs="Arial" w:eastAsia="Arial" w:hAnsi="Arial"/>
          <w:sz w:val="14"/>
          <w:szCs w:val="14"/>
          <w:b w:val="1"/>
          <w:bCs w:val="1"/>
          <w:color w:val="auto"/>
        </w:rPr>
        <w:t>MacroGenics Licensed Trademarks</w:t>
      </w:r>
      <w:r>
        <w:rPr>
          <w:rFonts w:ascii="Arial" w:cs="Arial" w:eastAsia="Arial" w:hAnsi="Arial"/>
          <w:sz w:val="14"/>
          <w:szCs w:val="14"/>
          <w:color w:val="auto"/>
        </w:rPr>
        <w:t>” means any and all Trademarks Controlled by MacroGenics as of the Effective Date or at any time during the Term, that are registered for or apply to a Product, as listed on Exhibit B.</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1.68 “</w:t>
      </w:r>
      <w:r>
        <w:rPr>
          <w:rFonts w:ascii="Arial" w:cs="Arial" w:eastAsia="Arial" w:hAnsi="Arial"/>
          <w:sz w:val="14"/>
          <w:szCs w:val="14"/>
          <w:b w:val="1"/>
          <w:bCs w:val="1"/>
          <w:color w:val="auto"/>
        </w:rPr>
        <w:t>MGAH22</w:t>
      </w:r>
      <w:r>
        <w:rPr>
          <w:rFonts w:ascii="Arial" w:cs="Arial" w:eastAsia="Arial" w:hAnsi="Arial"/>
          <w:sz w:val="14"/>
          <w:szCs w:val="14"/>
          <w:color w:val="auto"/>
        </w:rPr>
        <w:t>” means the therapeutic Antibody which binds to the HER2/Neu receptor described in IND # 107768.</w:t>
      </w:r>
    </w:p>
    <w:p>
      <w:pPr>
        <w:spacing w:after="0" w:line="132" w:lineRule="exact"/>
        <w:rPr>
          <w:sz w:val="20"/>
          <w:szCs w:val="20"/>
          <w:color w:val="auto"/>
        </w:rPr>
      </w:pPr>
    </w:p>
    <w:p>
      <w:pPr>
        <w:ind w:right="160" w:firstLine="458"/>
        <w:spacing w:after="0" w:line="355" w:lineRule="auto"/>
        <w:rPr>
          <w:sz w:val="20"/>
          <w:szCs w:val="20"/>
          <w:color w:val="auto"/>
        </w:rPr>
      </w:pPr>
      <w:r>
        <w:rPr>
          <w:rFonts w:ascii="Arial" w:cs="Arial" w:eastAsia="Arial" w:hAnsi="Arial"/>
          <w:sz w:val="12"/>
          <w:szCs w:val="12"/>
          <w:color w:val="auto"/>
        </w:rPr>
        <w:t>1.69 “</w:t>
      </w:r>
      <w:r>
        <w:rPr>
          <w:rFonts w:ascii="Arial" w:cs="Arial" w:eastAsia="Arial" w:hAnsi="Arial"/>
          <w:sz w:val="12"/>
          <w:szCs w:val="12"/>
          <w:b w:val="1"/>
          <w:bCs w:val="1"/>
          <w:color w:val="auto"/>
        </w:rPr>
        <w:t>Net Sales</w:t>
      </w:r>
      <w:r>
        <w:rPr>
          <w:rFonts w:ascii="Arial" w:cs="Arial" w:eastAsia="Arial" w:hAnsi="Arial"/>
          <w:sz w:val="12"/>
          <w:szCs w:val="12"/>
          <w:color w:val="auto"/>
        </w:rPr>
        <w:t>” means the gross amount invoiced for Products (or, as the case may be, a Competing Product) sold by Green Cross or its Related Parties in the Territory initially and directly to Third Parties which are not Related Parties after deducting, if not previously deducted, from the amount invoiced, the following, in each case to the extent included in the gross invoice price:</w:t>
      </w:r>
    </w:p>
    <w:p>
      <w:pPr>
        <w:spacing w:after="0" w:line="53" w:lineRule="exact"/>
        <w:rPr>
          <w:sz w:val="20"/>
          <w:szCs w:val="20"/>
          <w:color w:val="auto"/>
        </w:rPr>
      </w:pPr>
    </w:p>
    <w:p>
      <w:pPr>
        <w:ind w:right="60" w:firstLine="920"/>
        <w:spacing w:after="0" w:line="267" w:lineRule="auto"/>
        <w:tabs>
          <w:tab w:leader="none" w:pos="1101" w:val="left"/>
        </w:tabs>
        <w:numPr>
          <w:ilvl w:val="1"/>
          <w:numId w:val="685"/>
        </w:numPr>
        <w:rPr>
          <w:rFonts w:ascii="Arial" w:cs="Arial" w:eastAsia="Arial" w:hAnsi="Arial"/>
          <w:sz w:val="14"/>
          <w:szCs w:val="14"/>
          <w:color w:val="auto"/>
        </w:rPr>
      </w:pPr>
      <w:r>
        <w:rPr>
          <w:rFonts w:ascii="Arial" w:cs="Arial" w:eastAsia="Arial" w:hAnsi="Arial"/>
          <w:sz w:val="14"/>
          <w:szCs w:val="14"/>
          <w:color w:val="auto"/>
        </w:rPr>
        <w:t>reasonable trade, quantity and cash discounts and rebates (including, but not limited to, wholesaler inventory management fees), chargebacks, and retroactive price reductions or allowances actually allowed or granted from the billed amount;</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68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20" w:top="248" w:right="279" w:bottom="1440" w:gutter="0" w:footer="0" w:header="0"/>
        </w:sectPr>
      </w:pPr>
    </w:p>
    <w:bookmarkStart w:id="631" w:name="page632"/>
    <w:bookmarkEnd w:id="631"/>
    <w:p>
      <w:pPr>
        <w:ind w:right="240" w:firstLine="920"/>
        <w:spacing w:after="0" w:line="267" w:lineRule="auto"/>
        <w:tabs>
          <w:tab w:leader="none" w:pos="1109" w:val="left"/>
        </w:tabs>
        <w:numPr>
          <w:ilvl w:val="0"/>
          <w:numId w:val="68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credits or allowances actually granted upon claims, rejections or returns of such sales of Products, including recalls and amounts credited or repaid because of retroactive price reductions specifically identifiable to the Product;</w:t>
      </w:r>
    </w:p>
    <w:p>
      <w:pPr>
        <w:spacing w:after="0" w:line="101" w:lineRule="exact"/>
        <w:rPr>
          <w:rFonts w:ascii="Arial" w:cs="Arial" w:eastAsia="Arial" w:hAnsi="Arial"/>
          <w:sz w:val="14"/>
          <w:szCs w:val="14"/>
          <w:color w:val="auto"/>
        </w:rPr>
      </w:pPr>
    </w:p>
    <w:p>
      <w:pPr>
        <w:ind w:firstLine="920"/>
        <w:spacing w:after="0" w:line="258" w:lineRule="auto"/>
        <w:tabs>
          <w:tab w:leader="none" w:pos="1101" w:val="left"/>
        </w:tabs>
        <w:numPr>
          <w:ilvl w:val="0"/>
          <w:numId w:val="686"/>
        </w:numPr>
        <w:rPr>
          <w:rFonts w:ascii="Arial" w:cs="Arial" w:eastAsia="Arial" w:hAnsi="Arial"/>
          <w:sz w:val="14"/>
          <w:szCs w:val="14"/>
          <w:color w:val="auto"/>
        </w:rPr>
      </w:pPr>
      <w:r>
        <w:rPr>
          <w:rFonts w:ascii="Arial" w:cs="Arial" w:eastAsia="Arial" w:hAnsi="Arial"/>
          <w:sz w:val="14"/>
          <w:szCs w:val="14"/>
          <w:color w:val="auto"/>
        </w:rPr>
        <w:t>taxes imposed on the production, sale, import, delivery or use of the Product (including, without limitation, sales, use, excise or value added taxes but excluding income taxes), duties or other governmental charges (including, without limitation, charges for product testing required for importation) levied on or measured by the billing amount when included in billing, as adjusted for rebates and refunds; and</w:t>
      </w:r>
    </w:p>
    <w:p>
      <w:pPr>
        <w:spacing w:after="0" w:line="107" w:lineRule="exact"/>
        <w:rPr>
          <w:rFonts w:ascii="Arial" w:cs="Arial" w:eastAsia="Arial" w:hAnsi="Arial"/>
          <w:sz w:val="14"/>
          <w:szCs w:val="14"/>
          <w:color w:val="auto"/>
        </w:rPr>
      </w:pPr>
    </w:p>
    <w:p>
      <w:pPr>
        <w:ind w:left="1120" w:hanging="200"/>
        <w:spacing w:after="0"/>
        <w:tabs>
          <w:tab w:leader="none" w:pos="11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costs incurred for importing (including, but not limited to, transportation, freight and insurance, and warehousing in the Territory).</w:t>
      </w:r>
    </w:p>
    <w:p>
      <w:pPr>
        <w:spacing w:after="0" w:line="132" w:lineRule="exact"/>
        <w:rPr>
          <w:sz w:val="20"/>
          <w:szCs w:val="20"/>
          <w:color w:val="auto"/>
        </w:rPr>
      </w:pPr>
    </w:p>
    <w:p>
      <w:pPr>
        <w:ind w:right="180" w:firstLine="458"/>
        <w:spacing w:after="0" w:line="321" w:lineRule="auto"/>
        <w:rPr>
          <w:sz w:val="20"/>
          <w:szCs w:val="20"/>
          <w:color w:val="auto"/>
        </w:rPr>
      </w:pPr>
      <w:r>
        <w:rPr>
          <w:rFonts w:ascii="Arial" w:cs="Arial" w:eastAsia="Arial" w:hAnsi="Arial"/>
          <w:sz w:val="12"/>
          <w:szCs w:val="12"/>
          <w:color w:val="auto"/>
        </w:rPr>
        <w:t>Such amounts shall be determined from the books and records of Green Cross or its Related Party, maintained in accordance with International Financial Reporting Standards (IFRS) or such similar accounting principles, consistently applied. Green Cross further agrees, in determining such amounts, it will use Green Cross’ then-current standard procedures and methodology, including Green Cross’ then-current standard exchange rate methodology for the translation of foreign currency sales into U.S. Dollars or, in the case of Sublicensees, such similar methodology, consistently applied.</w:t>
      </w:r>
    </w:p>
    <w:p>
      <w:pPr>
        <w:spacing w:after="0" w:line="71" w:lineRule="exact"/>
        <w:rPr>
          <w:sz w:val="20"/>
          <w:szCs w:val="20"/>
          <w:color w:val="auto"/>
        </w:rPr>
      </w:pPr>
    </w:p>
    <w:p>
      <w:pPr>
        <w:ind w:right="80" w:firstLine="458"/>
        <w:spacing w:after="0" w:line="355" w:lineRule="auto"/>
        <w:rPr>
          <w:sz w:val="20"/>
          <w:szCs w:val="20"/>
          <w:color w:val="auto"/>
        </w:rPr>
      </w:pPr>
      <w:r>
        <w:rPr>
          <w:rFonts w:ascii="Arial" w:cs="Arial" w:eastAsia="Arial" w:hAnsi="Arial"/>
          <w:sz w:val="12"/>
          <w:szCs w:val="12"/>
          <w:color w:val="auto"/>
        </w:rPr>
        <w:t>1.70 “</w:t>
      </w:r>
      <w:r>
        <w:rPr>
          <w:rFonts w:ascii="Arial" w:cs="Arial" w:eastAsia="Arial" w:hAnsi="Arial"/>
          <w:sz w:val="12"/>
          <w:szCs w:val="12"/>
          <w:b w:val="1"/>
          <w:bCs w:val="1"/>
          <w:color w:val="auto"/>
        </w:rPr>
        <w:t>Patent(s)</w:t>
      </w:r>
      <w:r>
        <w:rPr>
          <w:rFonts w:ascii="Arial" w:cs="Arial" w:eastAsia="Arial" w:hAnsi="Arial"/>
          <w:sz w:val="12"/>
          <w:szCs w:val="12"/>
          <w:color w:val="auto"/>
        </w:rPr>
        <w:t>” means (a) all patents and patent applications in any country or supranational jurisdiction and (b) any provisionals, substitutions, divisions, continuations, continuations in part, reissues, renewals, registrations, confirmations, reexaminations, extensions, supplementary protection certificates and the like, of any such patents or patent applications.</w:t>
      </w:r>
    </w:p>
    <w:p>
      <w:pPr>
        <w:spacing w:after="0" w:line="51"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1.71 “</w:t>
      </w:r>
      <w:r>
        <w:rPr>
          <w:rFonts w:ascii="Arial" w:cs="Arial" w:eastAsia="Arial" w:hAnsi="Arial"/>
          <w:sz w:val="14"/>
          <w:szCs w:val="14"/>
          <w:b w:val="1"/>
          <w:bCs w:val="1"/>
          <w:color w:val="auto"/>
        </w:rPr>
        <w:t>Patent Prosecution</w:t>
      </w:r>
      <w:r>
        <w:rPr>
          <w:rFonts w:ascii="Arial" w:cs="Arial" w:eastAsia="Arial" w:hAnsi="Arial"/>
          <w:sz w:val="14"/>
          <w:szCs w:val="14"/>
          <w:color w:val="auto"/>
        </w:rPr>
        <w:t>” means the responsibility for (a) preparing, filing, prosecuting, and pursuing registration of, applications (of all types) for any Patent (b) for maintaining any Patent, and (c) for managing any interference or opposition proceeding relating to the foregoing.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1.72 “</w:t>
      </w:r>
      <w:r>
        <w:rPr>
          <w:rFonts w:ascii="Arial" w:cs="Arial" w:eastAsia="Arial" w:hAnsi="Arial"/>
          <w:sz w:val="14"/>
          <w:szCs w:val="14"/>
          <w:b w:val="1"/>
          <w:bCs w:val="1"/>
          <w:color w:val="auto"/>
        </w:rPr>
        <w:t>Permitted Subcontractors</w:t>
      </w:r>
      <w:r>
        <w:rPr>
          <w:rFonts w:ascii="Arial" w:cs="Arial" w:eastAsia="Arial" w:hAnsi="Arial"/>
          <w:sz w:val="14"/>
          <w:szCs w:val="14"/>
          <w:color w:val="auto"/>
        </w:rPr>
        <w:t>” has the meaning set forth in Section 3.5.</w:t>
      </w:r>
    </w:p>
    <w:p>
      <w:pPr>
        <w:spacing w:after="0" w:line="132" w:lineRule="exact"/>
        <w:rPr>
          <w:sz w:val="20"/>
          <w:szCs w:val="20"/>
          <w:color w:val="auto"/>
        </w:rPr>
      </w:pPr>
    </w:p>
    <w:p>
      <w:pPr>
        <w:ind w:right="220" w:firstLine="458"/>
        <w:spacing w:after="0" w:line="355" w:lineRule="auto"/>
        <w:rPr>
          <w:sz w:val="20"/>
          <w:szCs w:val="20"/>
          <w:color w:val="auto"/>
        </w:rPr>
      </w:pPr>
      <w:r>
        <w:rPr>
          <w:rFonts w:ascii="Arial" w:cs="Arial" w:eastAsia="Arial" w:hAnsi="Arial"/>
          <w:sz w:val="12"/>
          <w:szCs w:val="12"/>
          <w:color w:val="auto"/>
        </w:rPr>
        <w:t>1.73 “</w:t>
      </w:r>
      <w:r>
        <w:rPr>
          <w:rFonts w:ascii="Arial" w:cs="Arial" w:eastAsia="Arial" w:hAnsi="Arial"/>
          <w:sz w:val="12"/>
          <w:szCs w:val="12"/>
          <w:b w:val="1"/>
          <w:bCs w:val="1"/>
          <w:color w:val="auto"/>
        </w:rPr>
        <w:t>Person</w:t>
      </w:r>
      <w:r>
        <w:rPr>
          <w:rFonts w:ascii="Arial" w:cs="Arial" w:eastAsia="Arial" w:hAnsi="Arial"/>
          <w:sz w:val="12"/>
          <w:szCs w:val="12"/>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43" w:lineRule="exact"/>
        <w:rPr>
          <w:sz w:val="20"/>
          <w:szCs w:val="20"/>
          <w:color w:val="auto"/>
        </w:rPr>
      </w:pPr>
    </w:p>
    <w:p>
      <w:pPr>
        <w:ind w:left="5660" w:right="1560" w:hanging="5656"/>
        <w:spacing w:after="0" w:line="438" w:lineRule="auto"/>
        <w:tabs>
          <w:tab w:leader="none" w:pos="235" w:val="left"/>
        </w:tabs>
        <w:numPr>
          <w:ilvl w:val="0"/>
          <w:numId w:val="68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10</w:t>
      </w:r>
    </w:p>
    <w:p>
      <w:pPr>
        <w:sectPr>
          <w:pgSz w:w="11900" w:h="16838" w:orient="portrait"/>
          <w:cols w:equalWidth="0" w:num="1">
            <w:col w:w="11460"/>
          </w:cols>
          <w:pgMar w:left="220" w:top="247" w:right="219" w:bottom="1440" w:gutter="0" w:footer="0" w:header="0"/>
        </w:sectPr>
      </w:pPr>
    </w:p>
    <w:bookmarkStart w:id="632" w:name="page633"/>
    <w:bookmarkEnd w:id="632"/>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1.74 “</w:t>
      </w:r>
      <w:r>
        <w:rPr>
          <w:rFonts w:ascii="Arial" w:cs="Arial" w:eastAsia="Arial" w:hAnsi="Arial"/>
          <w:sz w:val="14"/>
          <w:szCs w:val="14"/>
          <w:b w:val="1"/>
          <w:bCs w:val="1"/>
          <w:color w:val="auto"/>
        </w:rPr>
        <w:t>Phase I Clinical Development Plan</w:t>
      </w:r>
      <w:r>
        <w:rPr>
          <w:rFonts w:ascii="Arial" w:cs="Arial" w:eastAsia="Arial" w:hAnsi="Arial"/>
          <w:sz w:val="14"/>
          <w:szCs w:val="14"/>
          <w:color w:val="auto"/>
        </w:rPr>
        <w:t>” means the plan set forth on Exhibit C.</w:t>
      </w:r>
    </w:p>
    <w:p>
      <w:pPr>
        <w:spacing w:after="0" w:line="132" w:lineRule="exact"/>
        <w:rPr>
          <w:sz w:val="20"/>
          <w:szCs w:val="20"/>
          <w:color w:val="auto"/>
        </w:rPr>
      </w:pPr>
    </w:p>
    <w:p>
      <w:pPr>
        <w:ind w:right="180" w:firstLine="458"/>
        <w:spacing w:after="0" w:line="270" w:lineRule="auto"/>
        <w:rPr>
          <w:sz w:val="20"/>
          <w:szCs w:val="20"/>
          <w:color w:val="auto"/>
        </w:rPr>
      </w:pPr>
      <w:r>
        <w:rPr>
          <w:rFonts w:ascii="Arial" w:cs="Arial" w:eastAsia="Arial" w:hAnsi="Arial"/>
          <w:sz w:val="14"/>
          <w:szCs w:val="14"/>
          <w:color w:val="auto"/>
        </w:rPr>
        <w:t>1.75 “</w:t>
      </w:r>
      <w:r>
        <w:rPr>
          <w:rFonts w:ascii="Arial" w:cs="Arial" w:eastAsia="Arial" w:hAnsi="Arial"/>
          <w:sz w:val="14"/>
          <w:szCs w:val="14"/>
          <w:b w:val="1"/>
          <w:bCs w:val="1"/>
          <w:color w:val="auto"/>
        </w:rPr>
        <w:t>Phase I Clinical Trial</w:t>
      </w:r>
      <w:r>
        <w:rPr>
          <w:rFonts w:ascii="Arial" w:cs="Arial" w:eastAsia="Arial" w:hAnsi="Arial"/>
          <w:sz w:val="14"/>
          <w:szCs w:val="14"/>
          <w:color w:val="auto"/>
        </w:rPr>
        <w:t>” means a human clinical trial of a Product in patients in any country that would satisfy the requirements of Applicable Laws and Regulations for such country, such as 21 C.F.R. § 312.21(a), relating to human clinical trials conducted in the United States.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1.76 “</w:t>
      </w:r>
      <w:r>
        <w:rPr>
          <w:rFonts w:ascii="Arial" w:cs="Arial" w:eastAsia="Arial" w:hAnsi="Arial"/>
          <w:sz w:val="14"/>
          <w:szCs w:val="14"/>
          <w:b w:val="1"/>
          <w:bCs w:val="1"/>
          <w:color w:val="auto"/>
        </w:rPr>
        <w:t>Phase II Clinical Development Plan</w:t>
      </w:r>
      <w:r>
        <w:rPr>
          <w:rFonts w:ascii="Arial" w:cs="Arial" w:eastAsia="Arial" w:hAnsi="Arial"/>
          <w:sz w:val="14"/>
          <w:szCs w:val="14"/>
          <w:color w:val="auto"/>
        </w:rPr>
        <w:t>” means the plan set forth on Exhibit D, as amended pursuant to Section 4.</w:t>
      </w:r>
    </w:p>
    <w:p>
      <w:pPr>
        <w:spacing w:after="0" w:line="132" w:lineRule="exact"/>
        <w:rPr>
          <w:sz w:val="20"/>
          <w:szCs w:val="20"/>
          <w:color w:val="auto"/>
        </w:rPr>
      </w:pPr>
    </w:p>
    <w:p>
      <w:pPr>
        <w:ind w:right="80" w:firstLine="458"/>
        <w:spacing w:after="0" w:line="322" w:lineRule="auto"/>
        <w:rPr>
          <w:sz w:val="20"/>
          <w:szCs w:val="20"/>
          <w:color w:val="auto"/>
        </w:rPr>
      </w:pPr>
      <w:r>
        <w:rPr>
          <w:rFonts w:ascii="Arial" w:cs="Arial" w:eastAsia="Arial" w:hAnsi="Arial"/>
          <w:sz w:val="12"/>
          <w:szCs w:val="12"/>
          <w:color w:val="auto"/>
        </w:rPr>
        <w:t>1.77 “</w:t>
      </w:r>
      <w:r>
        <w:rPr>
          <w:rFonts w:ascii="Arial" w:cs="Arial" w:eastAsia="Arial" w:hAnsi="Arial"/>
          <w:sz w:val="12"/>
          <w:szCs w:val="12"/>
          <w:b w:val="1"/>
          <w:bCs w:val="1"/>
          <w:color w:val="auto"/>
        </w:rPr>
        <w:t>Phase II Clinical Trial</w:t>
      </w:r>
      <w:r>
        <w:rPr>
          <w:rFonts w:ascii="Arial" w:cs="Arial" w:eastAsia="Arial" w:hAnsi="Arial"/>
          <w:sz w:val="12"/>
          <w:szCs w:val="12"/>
          <w:color w:val="auto"/>
        </w:rPr>
        <w:t>” means a human clinical trial conducted in patients with a Product in accordance with GCP and intended to demonstrate efficacy and a level of safety in the particular Indication tested, as well as to obtain a preliminary Indication of the unit and/or daily dosage regimen required, or that would otherwise satisfy the requirements of Applicable Laws and Regulations of the country in which such human clinical trial is conducted, such as 21 C.F.R. § 312.21(b), relating to human clinical trials conducted in the United States, or any successor regulation thereto or foreign equivalents.</w:t>
      </w:r>
    </w:p>
    <w:p>
      <w:pPr>
        <w:spacing w:after="0" w:line="71"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color w:val="auto"/>
        </w:rPr>
        <w:t>1.78 “</w:t>
      </w:r>
      <w:r>
        <w:rPr>
          <w:rFonts w:ascii="Arial" w:cs="Arial" w:eastAsia="Arial" w:hAnsi="Arial"/>
          <w:sz w:val="14"/>
          <w:szCs w:val="14"/>
          <w:b w:val="1"/>
          <w:bCs w:val="1"/>
          <w:color w:val="auto"/>
        </w:rPr>
        <w:t>Phase III Clinical Trial</w:t>
      </w:r>
      <w:r>
        <w:rPr>
          <w:rFonts w:ascii="Arial" w:cs="Arial" w:eastAsia="Arial" w:hAnsi="Arial"/>
          <w:sz w:val="14"/>
          <w:szCs w:val="14"/>
          <w:color w:val="auto"/>
        </w:rPr>
        <w:t>” means a human clinical trial in any country that is conducted in accordance with GCPs and the results of which are intended to be used as a pivotal study to establish both safety and efficacy of a Product as a basis for a BLA submitted to the FDA, KFDA or the appropriate Regulatory Authority of such other country, or that would otherwise satisfy the requirements of 21 C.F.R. § 312.21(c), or any successor regulation thereto or foreign equivalents.</w:t>
      </w:r>
    </w:p>
    <w:p>
      <w:pPr>
        <w:spacing w:after="0" w:line="106" w:lineRule="exact"/>
        <w:rPr>
          <w:sz w:val="20"/>
          <w:szCs w:val="20"/>
          <w:color w:val="auto"/>
        </w:rPr>
      </w:pPr>
    </w:p>
    <w:p>
      <w:pPr>
        <w:ind w:right="360" w:firstLine="458"/>
        <w:spacing w:after="0" w:line="270" w:lineRule="auto"/>
        <w:rPr>
          <w:sz w:val="20"/>
          <w:szCs w:val="20"/>
          <w:color w:val="auto"/>
        </w:rPr>
      </w:pPr>
      <w:r>
        <w:rPr>
          <w:rFonts w:ascii="Arial" w:cs="Arial" w:eastAsia="Arial" w:hAnsi="Arial"/>
          <w:sz w:val="14"/>
          <w:szCs w:val="14"/>
          <w:color w:val="auto"/>
        </w:rPr>
        <w:t>1.79 “</w:t>
      </w:r>
      <w:r>
        <w:rPr>
          <w:rFonts w:ascii="Arial" w:cs="Arial" w:eastAsia="Arial" w:hAnsi="Arial"/>
          <w:sz w:val="14"/>
          <w:szCs w:val="14"/>
          <w:b w:val="1"/>
          <w:bCs w:val="1"/>
          <w:color w:val="auto"/>
        </w:rPr>
        <w:t>Phase IV Clinical Trial</w:t>
      </w:r>
      <w:r>
        <w:rPr>
          <w:rFonts w:ascii="Arial" w:cs="Arial" w:eastAsia="Arial" w:hAnsi="Arial"/>
          <w:sz w:val="14"/>
          <w:szCs w:val="14"/>
          <w:color w:val="auto"/>
        </w:rPr>
        <w:t>” means a human clinical trial conducted after the Regulatory Approval of a Product, which trial is conducted (a) voluntarily to enhance scientific knowledge of such Product (e.g., for expansion of product labeling or dose optimization); or (b) conducted due to a request or requirement of a Regulatory Authority.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1.80 “</w:t>
      </w:r>
      <w:r>
        <w:rPr>
          <w:rFonts w:ascii="Arial" w:cs="Arial" w:eastAsia="Arial" w:hAnsi="Arial"/>
          <w:sz w:val="14"/>
          <w:szCs w:val="14"/>
          <w:b w:val="1"/>
          <w:bCs w:val="1"/>
          <w:color w:val="auto"/>
        </w:rPr>
        <w:t>Personal Information Protection and Electronic Documents Act</w:t>
      </w:r>
      <w:r>
        <w:rPr>
          <w:rFonts w:ascii="Arial" w:cs="Arial" w:eastAsia="Arial" w:hAnsi="Arial"/>
          <w:sz w:val="14"/>
          <w:szCs w:val="14"/>
          <w:color w:val="auto"/>
        </w:rPr>
        <w:t>” or “</w:t>
      </w:r>
      <w:r>
        <w:rPr>
          <w:rFonts w:ascii="Arial" w:cs="Arial" w:eastAsia="Arial" w:hAnsi="Arial"/>
          <w:sz w:val="14"/>
          <w:szCs w:val="14"/>
          <w:b w:val="1"/>
          <w:bCs w:val="1"/>
          <w:color w:val="auto"/>
        </w:rPr>
        <w:t>PIPEDA</w:t>
      </w:r>
      <w:r>
        <w:rPr>
          <w:rFonts w:ascii="Arial" w:cs="Arial" w:eastAsia="Arial" w:hAnsi="Arial"/>
          <w:sz w:val="14"/>
          <w:szCs w:val="14"/>
          <w:color w:val="auto"/>
        </w:rPr>
        <w:t>” or “</w:t>
      </w:r>
      <w:r>
        <w:rPr>
          <w:rFonts w:ascii="Arial" w:cs="Arial" w:eastAsia="Arial" w:hAnsi="Arial"/>
          <w:sz w:val="14"/>
          <w:szCs w:val="14"/>
          <w:b w:val="1"/>
          <w:bCs w:val="1"/>
          <w:color w:val="auto"/>
        </w:rPr>
        <w:t>PIPED Act</w:t>
      </w:r>
      <w:r>
        <w:rPr>
          <w:rFonts w:ascii="Arial" w:cs="Arial" w:eastAsia="Arial" w:hAnsi="Arial"/>
          <w:sz w:val="14"/>
          <w:szCs w:val="14"/>
          <w:color w:val="auto"/>
        </w:rPr>
        <w:t>” means the Canadian law relating to data privacy.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1.81 “</w:t>
      </w:r>
      <w:r>
        <w:rPr>
          <w:rFonts w:ascii="Arial" w:cs="Arial" w:eastAsia="Arial" w:hAnsi="Arial"/>
          <w:sz w:val="14"/>
          <w:szCs w:val="14"/>
          <w:b w:val="1"/>
          <w:bCs w:val="1"/>
          <w:color w:val="auto"/>
        </w:rPr>
        <w:t>Product</w:t>
      </w:r>
      <w:r>
        <w:rPr>
          <w:rFonts w:ascii="Arial" w:cs="Arial" w:eastAsia="Arial" w:hAnsi="Arial"/>
          <w:sz w:val="14"/>
          <w:szCs w:val="14"/>
          <w:color w:val="auto"/>
        </w:rPr>
        <w:t>” means a product that incorporates a pharmaceutical form of MGAH22 as an active ingredient.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1.82 “</w:t>
      </w:r>
      <w:r>
        <w:rPr>
          <w:rFonts w:ascii="Arial" w:cs="Arial" w:eastAsia="Arial" w:hAnsi="Arial"/>
          <w:sz w:val="14"/>
          <w:szCs w:val="14"/>
          <w:b w:val="1"/>
          <w:bCs w:val="1"/>
          <w:color w:val="auto"/>
        </w:rPr>
        <w:t>Product Brand</w:t>
      </w:r>
      <w:r>
        <w:rPr>
          <w:rFonts w:ascii="Arial" w:cs="Arial" w:eastAsia="Arial" w:hAnsi="Arial"/>
          <w:sz w:val="14"/>
          <w:szCs w:val="14"/>
          <w:color w:val="auto"/>
        </w:rPr>
        <w:t>” has the meaning set forth in Section 5.2.</w:t>
      </w:r>
    </w:p>
    <w:p>
      <w:pPr>
        <w:spacing w:after="0" w:line="132" w:lineRule="exact"/>
        <w:rPr>
          <w:sz w:val="20"/>
          <w:szCs w:val="20"/>
          <w:color w:val="auto"/>
        </w:rPr>
      </w:pPr>
    </w:p>
    <w:p>
      <w:pPr>
        <w:ind w:right="220" w:firstLine="458"/>
        <w:spacing w:after="0" w:line="270" w:lineRule="auto"/>
        <w:rPr>
          <w:sz w:val="20"/>
          <w:szCs w:val="20"/>
          <w:color w:val="auto"/>
        </w:rPr>
      </w:pPr>
      <w:r>
        <w:rPr>
          <w:rFonts w:ascii="Arial" w:cs="Arial" w:eastAsia="Arial" w:hAnsi="Arial"/>
          <w:sz w:val="14"/>
          <w:szCs w:val="14"/>
          <w:color w:val="auto"/>
        </w:rPr>
        <w:t>1.83 “</w:t>
      </w:r>
      <w:r>
        <w:rPr>
          <w:rFonts w:ascii="Arial" w:cs="Arial" w:eastAsia="Arial" w:hAnsi="Arial"/>
          <w:sz w:val="14"/>
          <w:szCs w:val="14"/>
          <w:b w:val="1"/>
          <w:bCs w:val="1"/>
          <w:color w:val="auto"/>
        </w:rPr>
        <w:t>Regulatory Approval</w:t>
      </w:r>
      <w:r>
        <w:rPr>
          <w:rFonts w:ascii="Arial" w:cs="Arial" w:eastAsia="Arial" w:hAnsi="Arial"/>
          <w:sz w:val="14"/>
          <w:szCs w:val="14"/>
          <w:color w:val="auto"/>
        </w:rPr>
        <w:t>” means all approvals from the relevant Regulatory Authority to market and sell a Product in any country (including all applicable pricing and reimbursement approvals), including a BLA.</w:t>
      </w:r>
    </w:p>
    <w:p>
      <w:pPr>
        <w:spacing w:after="0" w:line="89" w:lineRule="exact"/>
        <w:rPr>
          <w:sz w:val="20"/>
          <w:szCs w:val="20"/>
          <w:color w:val="auto"/>
        </w:rPr>
      </w:pPr>
    </w:p>
    <w:p>
      <w:pPr>
        <w:ind w:left="5660" w:right="1560" w:hanging="5656"/>
        <w:spacing w:after="0" w:line="438" w:lineRule="auto"/>
        <w:tabs>
          <w:tab w:leader="none" w:pos="233" w:val="left"/>
        </w:tabs>
        <w:numPr>
          <w:ilvl w:val="0"/>
          <w:numId w:val="68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11</w:t>
      </w:r>
    </w:p>
    <w:p>
      <w:pPr>
        <w:sectPr>
          <w:pgSz w:w="11900" w:h="16838" w:orient="portrait"/>
          <w:cols w:equalWidth="0" w:num="1">
            <w:col w:w="11460"/>
          </w:cols>
          <w:pgMar w:left="220" w:top="245" w:right="219" w:bottom="1440" w:gutter="0" w:footer="0" w:header="0"/>
        </w:sectPr>
      </w:pPr>
    </w:p>
    <w:bookmarkStart w:id="633" w:name="page634"/>
    <w:bookmarkEnd w:id="633"/>
    <w:p>
      <w:pPr>
        <w:ind w:firstLine="458"/>
        <w:spacing w:after="0" w:line="3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1.84 “</w:t>
      </w:r>
      <w:r>
        <w:rPr>
          <w:rFonts w:ascii="Arial" w:cs="Arial" w:eastAsia="Arial" w:hAnsi="Arial"/>
          <w:sz w:val="12"/>
          <w:szCs w:val="12"/>
          <w:b w:val="1"/>
          <w:bCs w:val="1"/>
          <w:color w:val="auto"/>
        </w:rPr>
        <w:t>Regulatory Authority</w:t>
      </w:r>
      <w:r>
        <w:rPr>
          <w:rFonts w:ascii="Arial" w:cs="Arial" w:eastAsia="Arial" w:hAnsi="Arial"/>
          <w:sz w:val="12"/>
          <w:szCs w:val="12"/>
          <w:color w:val="auto"/>
        </w:rPr>
        <w:t>” means any applicable government regulatory authority involved in granting approvals for the conduct of clinical trials or the manufacturing, marketing, reimbursement or pricing, as applicable, of a Product, including in the United States the FDA and in South Korea the KFDA, and any successor governmental authority having substantially the same function.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1.85 “</w:t>
      </w:r>
      <w:r>
        <w:rPr>
          <w:rFonts w:ascii="Arial" w:cs="Arial" w:eastAsia="Arial" w:hAnsi="Arial"/>
          <w:sz w:val="14"/>
          <w:szCs w:val="14"/>
          <w:b w:val="1"/>
          <w:bCs w:val="1"/>
          <w:color w:val="auto"/>
        </w:rPr>
        <w:t>Related Party</w:t>
      </w:r>
      <w:r>
        <w:rPr>
          <w:rFonts w:ascii="Arial" w:cs="Arial" w:eastAsia="Arial" w:hAnsi="Arial"/>
          <w:sz w:val="14"/>
          <w:szCs w:val="14"/>
          <w:color w:val="auto"/>
        </w:rPr>
        <w:t>” means, with respect to a Party, its Affiliates and Sublicensees.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1.86 “</w:t>
      </w:r>
      <w:r>
        <w:rPr>
          <w:rFonts w:ascii="Arial" w:cs="Arial" w:eastAsia="Arial" w:hAnsi="Arial"/>
          <w:sz w:val="14"/>
          <w:szCs w:val="14"/>
          <w:b w:val="1"/>
          <w:bCs w:val="1"/>
          <w:color w:val="auto"/>
        </w:rPr>
        <w:t>Requesting Party</w:t>
      </w:r>
      <w:r>
        <w:rPr>
          <w:rFonts w:ascii="Arial" w:cs="Arial" w:eastAsia="Arial" w:hAnsi="Arial"/>
          <w:sz w:val="14"/>
          <w:szCs w:val="14"/>
          <w:color w:val="auto"/>
        </w:rPr>
        <w:t>” has the meaning set forth in Section 9.2.</w:t>
      </w:r>
    </w:p>
    <w:p>
      <w:pPr>
        <w:spacing w:after="0" w:line="132"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1.87 “</w:t>
      </w:r>
      <w:r>
        <w:rPr>
          <w:rFonts w:ascii="Arial" w:cs="Arial" w:eastAsia="Arial" w:hAnsi="Arial"/>
          <w:sz w:val="14"/>
          <w:szCs w:val="14"/>
          <w:b w:val="1"/>
          <w:bCs w:val="1"/>
          <w:color w:val="auto"/>
        </w:rPr>
        <w:t>Royalty Term</w:t>
      </w:r>
      <w:r>
        <w:rPr>
          <w:rFonts w:ascii="Arial" w:cs="Arial" w:eastAsia="Arial" w:hAnsi="Arial"/>
          <w:sz w:val="14"/>
          <w:szCs w:val="14"/>
          <w:color w:val="auto"/>
        </w:rPr>
        <w:t>” means, with respect to sales of a Product in the Territory, the time period beginning on the First Commercial Sale of such Product in the Territory and expiring on the latest of the following dates:</w:t>
      </w:r>
    </w:p>
    <w:p>
      <w:pPr>
        <w:spacing w:after="0" w:line="97" w:lineRule="exact"/>
        <w:rPr>
          <w:sz w:val="20"/>
          <w:szCs w:val="20"/>
          <w:color w:val="auto"/>
        </w:rPr>
      </w:pPr>
    </w:p>
    <w:p>
      <w:pPr>
        <w:ind w:left="1100" w:hanging="180"/>
        <w:spacing w:after="0"/>
        <w:tabs>
          <w:tab w:leader="none" w:pos="1100" w:val="left"/>
        </w:tabs>
        <w:numPr>
          <w:ilvl w:val="0"/>
          <w:numId w:val="689"/>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689"/>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689"/>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1.88 “</w:t>
      </w:r>
      <w:r>
        <w:rPr>
          <w:rFonts w:ascii="Arial" w:cs="Arial" w:eastAsia="Arial" w:hAnsi="Arial"/>
          <w:sz w:val="14"/>
          <w:szCs w:val="14"/>
          <w:b w:val="1"/>
          <w:bCs w:val="1"/>
          <w:color w:val="auto"/>
        </w:rPr>
        <w:t>Securities Act</w:t>
      </w:r>
      <w:r>
        <w:rPr>
          <w:rFonts w:ascii="Arial" w:cs="Arial" w:eastAsia="Arial" w:hAnsi="Arial"/>
          <w:sz w:val="14"/>
          <w:szCs w:val="14"/>
          <w:color w:val="auto"/>
        </w:rPr>
        <w:t>” has the meaning set forth in Section 8.2(b).</w:t>
      </w:r>
    </w:p>
    <w:p>
      <w:pPr>
        <w:spacing w:after="0" w:line="132" w:lineRule="exact"/>
        <w:rPr>
          <w:sz w:val="20"/>
          <w:szCs w:val="20"/>
          <w:color w:val="auto"/>
        </w:rPr>
      </w:pPr>
    </w:p>
    <w:p>
      <w:pPr>
        <w:jc w:val="both"/>
        <w:ind w:right="260" w:firstLine="458"/>
        <w:spacing w:after="0" w:line="259" w:lineRule="auto"/>
        <w:rPr>
          <w:sz w:val="20"/>
          <w:szCs w:val="20"/>
          <w:color w:val="auto"/>
        </w:rPr>
      </w:pPr>
      <w:r>
        <w:rPr>
          <w:rFonts w:ascii="Arial" w:cs="Arial" w:eastAsia="Arial" w:hAnsi="Arial"/>
          <w:sz w:val="14"/>
          <w:szCs w:val="14"/>
          <w:color w:val="auto"/>
        </w:rPr>
        <w:t>1.89 “</w:t>
      </w:r>
      <w:r>
        <w:rPr>
          <w:rFonts w:ascii="Arial" w:cs="Arial" w:eastAsia="Arial" w:hAnsi="Arial"/>
          <w:sz w:val="14"/>
          <w:szCs w:val="14"/>
          <w:b w:val="1"/>
          <w:bCs w:val="1"/>
          <w:color w:val="auto"/>
        </w:rPr>
        <w:t>Site Regulatory Package</w:t>
      </w:r>
      <w:r>
        <w:rPr>
          <w:rFonts w:ascii="Arial" w:cs="Arial" w:eastAsia="Arial" w:hAnsi="Arial"/>
          <w:sz w:val="14"/>
          <w:szCs w:val="14"/>
          <w:color w:val="auto"/>
        </w:rPr>
        <w:t>” or “</w:t>
      </w:r>
      <w:r>
        <w:rPr>
          <w:rFonts w:ascii="Arial" w:cs="Arial" w:eastAsia="Arial" w:hAnsi="Arial"/>
          <w:sz w:val="14"/>
          <w:szCs w:val="14"/>
          <w:b w:val="1"/>
          <w:bCs w:val="1"/>
          <w:color w:val="auto"/>
        </w:rPr>
        <w:t>SRP</w:t>
      </w:r>
      <w:r>
        <w:rPr>
          <w:rFonts w:ascii="Arial" w:cs="Arial" w:eastAsia="Arial" w:hAnsi="Arial"/>
          <w:sz w:val="14"/>
          <w:szCs w:val="14"/>
          <w:color w:val="auto"/>
        </w:rPr>
        <w:t>” means a set of investigational site specific regulatory documents requiring review and approval by the JDC. The SRP typically consists of the following documents: Form FDA 1572, principal investigator curriculum vitae, signed protocol signature page, site-specific ICF/IAF (back-translated into English if the local language is other than English), privacy requirements (e.g., HIPAA, PIPEDA), IRB/IEC membership, and country-specific requirements.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1.90 “</w:t>
      </w:r>
      <w:r>
        <w:rPr>
          <w:rFonts w:ascii="Arial" w:cs="Arial" w:eastAsia="Arial" w:hAnsi="Arial"/>
          <w:sz w:val="14"/>
          <w:szCs w:val="14"/>
          <w:b w:val="1"/>
          <w:bCs w:val="1"/>
          <w:color w:val="auto"/>
        </w:rPr>
        <w:t>Sublicensee</w:t>
      </w:r>
      <w:r>
        <w:rPr>
          <w:rFonts w:ascii="Arial" w:cs="Arial" w:eastAsia="Arial" w:hAnsi="Arial"/>
          <w:sz w:val="14"/>
          <w:szCs w:val="14"/>
          <w:color w:val="auto"/>
        </w:rPr>
        <w:t>” means a Third Party that is granted a sublicense under the licenses granted to a Party under this Agreement, as permitted under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1.91 “</w:t>
      </w:r>
      <w:r>
        <w:rPr>
          <w:rFonts w:ascii="Arial" w:cs="Arial" w:eastAsia="Arial" w:hAnsi="Arial"/>
          <w:sz w:val="14"/>
          <w:szCs w:val="14"/>
          <w:b w:val="1"/>
          <w:bCs w:val="1"/>
          <w:color w:val="auto"/>
        </w:rPr>
        <w:t>Successor</w:t>
      </w:r>
      <w:r>
        <w:rPr>
          <w:rFonts w:ascii="Arial" w:cs="Arial" w:eastAsia="Arial" w:hAnsi="Arial"/>
          <w:sz w:val="14"/>
          <w:szCs w:val="14"/>
          <w:color w:val="auto"/>
        </w:rPr>
        <w:t>” has the meaning set forth in Section 1.10.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1.92 “</w:t>
      </w:r>
      <w:r>
        <w:rPr>
          <w:rFonts w:ascii="Arial" w:cs="Arial" w:eastAsia="Arial" w:hAnsi="Arial"/>
          <w:sz w:val="14"/>
          <w:szCs w:val="14"/>
          <w:b w:val="1"/>
          <w:bCs w:val="1"/>
          <w:color w:val="auto"/>
        </w:rPr>
        <w:t>Term</w:t>
      </w:r>
      <w:r>
        <w:rPr>
          <w:rFonts w:ascii="Arial" w:cs="Arial" w:eastAsia="Arial" w:hAnsi="Arial"/>
          <w:sz w:val="14"/>
          <w:szCs w:val="14"/>
          <w:color w:val="auto"/>
        </w:rPr>
        <w:t>” has the meaning set forth in Section 16.1.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1.93 “</w:t>
      </w:r>
      <w:r>
        <w:rPr>
          <w:rFonts w:ascii="Arial" w:cs="Arial" w:eastAsia="Arial" w:hAnsi="Arial"/>
          <w:sz w:val="14"/>
          <w:szCs w:val="14"/>
          <w:b w:val="1"/>
          <w:bCs w:val="1"/>
          <w:color w:val="auto"/>
        </w:rPr>
        <w:t>Territory</w:t>
      </w:r>
      <w:r>
        <w:rPr>
          <w:rFonts w:ascii="Arial" w:cs="Arial" w:eastAsia="Arial" w:hAnsi="Arial"/>
          <w:sz w:val="14"/>
          <w:szCs w:val="14"/>
          <w:color w:val="auto"/>
        </w:rPr>
        <w:t>” means South Korea.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1.94 “</w:t>
      </w:r>
      <w:r>
        <w:rPr>
          <w:rFonts w:ascii="Arial" w:cs="Arial" w:eastAsia="Arial" w:hAnsi="Arial"/>
          <w:sz w:val="14"/>
          <w:szCs w:val="14"/>
          <w:b w:val="1"/>
          <w:bCs w:val="1"/>
          <w:color w:val="auto"/>
        </w:rPr>
        <w:t>Third Party</w:t>
      </w:r>
      <w:r>
        <w:rPr>
          <w:rFonts w:ascii="Arial" w:cs="Arial" w:eastAsia="Arial" w:hAnsi="Arial"/>
          <w:sz w:val="14"/>
          <w:szCs w:val="14"/>
          <w:color w:val="auto"/>
        </w:rPr>
        <w:t>” means an entity other than (a) Green Cross and its Affiliates, and (b) MacroGenics and its Affiliates.</w:t>
      </w:r>
    </w:p>
    <w:p>
      <w:pPr>
        <w:spacing w:after="0" w:line="132"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1.95 “</w:t>
      </w:r>
      <w:r>
        <w:rPr>
          <w:rFonts w:ascii="Arial" w:cs="Arial" w:eastAsia="Arial" w:hAnsi="Arial"/>
          <w:sz w:val="14"/>
          <w:szCs w:val="14"/>
          <w:b w:val="1"/>
          <w:bCs w:val="1"/>
          <w:color w:val="auto"/>
        </w:rPr>
        <w:t>Third Party Royalties</w:t>
      </w:r>
      <w:r>
        <w:rPr>
          <w:rFonts w:ascii="Arial" w:cs="Arial" w:eastAsia="Arial" w:hAnsi="Arial"/>
          <w:sz w:val="14"/>
          <w:szCs w:val="14"/>
          <w:color w:val="auto"/>
        </w:rPr>
        <w:t>” means royalties (other than Upstream Royalties) paid by Green Cross to a Third Party to acquire any Third Party rights which would be infringed by the Development, manufacturing, importation, or Commercialization of any Product in the Territory.</w:t>
      </w:r>
    </w:p>
    <w:p>
      <w:pPr>
        <w:spacing w:after="0" w:line="89" w:lineRule="exact"/>
        <w:rPr>
          <w:sz w:val="20"/>
          <w:szCs w:val="20"/>
          <w:color w:val="auto"/>
        </w:rPr>
      </w:pPr>
    </w:p>
    <w:p>
      <w:pPr>
        <w:ind w:left="5660" w:right="1480" w:hanging="5656"/>
        <w:spacing w:after="0" w:line="438" w:lineRule="auto"/>
        <w:tabs>
          <w:tab w:leader="none" w:pos="235" w:val="left"/>
        </w:tabs>
        <w:numPr>
          <w:ilvl w:val="0"/>
          <w:numId w:val="69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12</w:t>
      </w:r>
    </w:p>
    <w:p>
      <w:pPr>
        <w:sectPr>
          <w:pgSz w:w="11900" w:h="16838" w:orient="portrait"/>
          <w:cols w:equalWidth="0" w:num="1">
            <w:col w:w="11380"/>
          </w:cols>
          <w:pgMar w:left="220" w:top="245" w:right="299" w:bottom="1440" w:gutter="0" w:footer="0" w:header="0"/>
        </w:sectPr>
      </w:pPr>
    </w:p>
    <w:bookmarkStart w:id="634" w:name="page635"/>
    <w:bookmarkEnd w:id="634"/>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1.96 “</w:t>
      </w:r>
      <w:r>
        <w:rPr>
          <w:rFonts w:ascii="Arial" w:cs="Arial" w:eastAsia="Arial" w:hAnsi="Arial"/>
          <w:sz w:val="12"/>
          <w:szCs w:val="12"/>
          <w:b w:val="1"/>
          <w:bCs w:val="1"/>
          <w:color w:val="auto"/>
        </w:rPr>
        <w:t>Total Evaluable Patients</w:t>
      </w:r>
      <w:r>
        <w:rPr>
          <w:rFonts w:ascii="Arial" w:cs="Arial" w:eastAsia="Arial" w:hAnsi="Arial"/>
          <w:sz w:val="12"/>
          <w:szCs w:val="12"/>
          <w:color w:val="auto"/>
        </w:rPr>
        <w:t>” means, on a worldwide basis, those patients who have completed protocol-defined procedures and can be assessed for the primary endpoint of the trial.</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1.97 “</w:t>
      </w:r>
      <w:r>
        <w:rPr>
          <w:rFonts w:ascii="Arial" w:cs="Arial" w:eastAsia="Arial" w:hAnsi="Arial"/>
          <w:sz w:val="14"/>
          <w:szCs w:val="14"/>
          <w:b w:val="1"/>
          <w:bCs w:val="1"/>
          <w:color w:val="auto"/>
        </w:rPr>
        <w:t>Trademark(s)</w:t>
      </w:r>
      <w:r>
        <w:rPr>
          <w:rFonts w:ascii="Arial" w:cs="Arial" w:eastAsia="Arial" w:hAnsi="Arial"/>
          <w:sz w:val="14"/>
          <w:szCs w:val="14"/>
          <w:color w:val="auto"/>
        </w:rPr>
        <w:t>” means all trade names, logos, common law trademarks and service marks, trademark and service mark registrations and applications throughout the world.</w:t>
      </w:r>
    </w:p>
    <w:p>
      <w:pPr>
        <w:spacing w:after="0" w:line="132" w:lineRule="exact"/>
        <w:rPr>
          <w:sz w:val="20"/>
          <w:szCs w:val="20"/>
          <w:color w:val="auto"/>
        </w:rPr>
      </w:pPr>
    </w:p>
    <w:p>
      <w:pPr>
        <w:ind w:right="660" w:firstLine="458"/>
        <w:spacing w:after="0" w:line="270" w:lineRule="auto"/>
        <w:rPr>
          <w:sz w:val="20"/>
          <w:szCs w:val="20"/>
          <w:color w:val="auto"/>
        </w:rPr>
      </w:pPr>
      <w:r>
        <w:rPr>
          <w:rFonts w:ascii="Arial" w:cs="Arial" w:eastAsia="Arial" w:hAnsi="Arial"/>
          <w:sz w:val="14"/>
          <w:szCs w:val="14"/>
          <w:color w:val="auto"/>
        </w:rPr>
        <w:t>1.98 “</w:t>
      </w:r>
      <w:r>
        <w:rPr>
          <w:rFonts w:ascii="Arial" w:cs="Arial" w:eastAsia="Arial" w:hAnsi="Arial"/>
          <w:sz w:val="14"/>
          <w:szCs w:val="14"/>
          <w:b w:val="1"/>
          <w:bCs w:val="1"/>
          <w:color w:val="auto"/>
        </w:rPr>
        <w:t>Trademark Prosecution</w:t>
      </w:r>
      <w:r>
        <w:rPr>
          <w:rFonts w:ascii="Arial" w:cs="Arial" w:eastAsia="Arial" w:hAnsi="Arial"/>
          <w:sz w:val="14"/>
          <w:szCs w:val="14"/>
          <w:color w:val="auto"/>
        </w:rPr>
        <w:t>” means the responsibility for (a) preparing, filing, and seeking registration of, trademark applications (of all types) for any Trademark, (b) for maintaining any Trademark, and (c) for managing any interference or opposition proceeding relating to the foregoing.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1.99 “</w:t>
      </w:r>
      <w:r>
        <w:rPr>
          <w:rFonts w:ascii="Arial" w:cs="Arial" w:eastAsia="Arial" w:hAnsi="Arial"/>
          <w:sz w:val="12"/>
          <w:szCs w:val="12"/>
          <w:b w:val="1"/>
          <w:bCs w:val="1"/>
          <w:color w:val="auto"/>
        </w:rPr>
        <w:t>United States</w:t>
      </w:r>
      <w:r>
        <w:rPr>
          <w:rFonts w:ascii="Arial" w:cs="Arial" w:eastAsia="Arial" w:hAnsi="Arial"/>
          <w:sz w:val="12"/>
          <w:szCs w:val="12"/>
          <w:color w:val="auto"/>
        </w:rPr>
        <w:t>” or “</w:t>
      </w:r>
      <w:r>
        <w:rPr>
          <w:rFonts w:ascii="Arial" w:cs="Arial" w:eastAsia="Arial" w:hAnsi="Arial"/>
          <w:sz w:val="12"/>
          <w:szCs w:val="12"/>
          <w:b w:val="1"/>
          <w:bCs w:val="1"/>
          <w:color w:val="auto"/>
        </w:rPr>
        <w:t>US</w:t>
      </w:r>
      <w:r>
        <w:rPr>
          <w:rFonts w:ascii="Arial" w:cs="Arial" w:eastAsia="Arial" w:hAnsi="Arial"/>
          <w:sz w:val="12"/>
          <w:szCs w:val="12"/>
          <w:color w:val="auto"/>
        </w:rPr>
        <w:t>” means the United States of America and its territories and possessions, including without limitation the Commonwealth of Puerto Rico and the U.S. Virgin Islands.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1.100 “</w:t>
      </w:r>
      <w:r>
        <w:rPr>
          <w:rFonts w:ascii="Arial" w:cs="Arial" w:eastAsia="Arial" w:hAnsi="Arial"/>
          <w:sz w:val="12"/>
          <w:szCs w:val="12"/>
          <w:b w:val="1"/>
          <w:bCs w:val="1"/>
          <w:color w:val="auto"/>
        </w:rPr>
        <w:t>Upstream Agreements</w:t>
      </w:r>
      <w:r>
        <w:rPr>
          <w:rFonts w:ascii="Arial" w:cs="Arial" w:eastAsia="Arial" w:hAnsi="Arial"/>
          <w:sz w:val="12"/>
          <w:szCs w:val="12"/>
          <w:color w:val="auto"/>
        </w:rPr>
        <w:t>” means the license agreements with MacroGenics’ Third Party licensors listed in Exhibit E or otherwise identified in writing by MacroGenics to Green Cross as such.</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1.101 “</w:t>
      </w:r>
      <w:r>
        <w:rPr>
          <w:rFonts w:ascii="Arial" w:cs="Arial" w:eastAsia="Arial" w:hAnsi="Arial"/>
          <w:sz w:val="14"/>
          <w:szCs w:val="14"/>
          <w:b w:val="1"/>
          <w:bCs w:val="1"/>
          <w:color w:val="auto"/>
        </w:rPr>
        <w:t>Upstream Licensors</w:t>
      </w:r>
      <w:r>
        <w:rPr>
          <w:rFonts w:ascii="Arial" w:cs="Arial" w:eastAsia="Arial" w:hAnsi="Arial"/>
          <w:sz w:val="14"/>
          <w:szCs w:val="14"/>
          <w:color w:val="auto"/>
        </w:rPr>
        <w:t>” means MacroGenics’ Third Party licensors under the Upstream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1.102 “</w:t>
      </w:r>
      <w:r>
        <w:rPr>
          <w:rFonts w:ascii="Arial" w:cs="Arial" w:eastAsia="Arial" w:hAnsi="Arial"/>
          <w:sz w:val="14"/>
          <w:szCs w:val="14"/>
          <w:b w:val="1"/>
          <w:bCs w:val="1"/>
          <w:color w:val="auto"/>
        </w:rPr>
        <w:t>Upstream Royalties</w:t>
      </w:r>
      <w:r>
        <w:rPr>
          <w:rFonts w:ascii="Arial" w:cs="Arial" w:eastAsia="Arial" w:hAnsi="Arial"/>
          <w:sz w:val="14"/>
          <w:szCs w:val="14"/>
          <w:color w:val="auto"/>
        </w:rPr>
        <w:t>” has the meaning set forth in Section 8.6.</w:t>
      </w:r>
    </w:p>
    <w:p>
      <w:pPr>
        <w:spacing w:after="0" w:line="132" w:lineRule="exact"/>
        <w:rPr>
          <w:sz w:val="20"/>
          <w:szCs w:val="20"/>
          <w:color w:val="auto"/>
        </w:rPr>
      </w:pPr>
    </w:p>
    <w:p>
      <w:pPr>
        <w:ind w:right="20" w:firstLine="458"/>
        <w:spacing w:after="0" w:line="259" w:lineRule="auto"/>
        <w:rPr>
          <w:sz w:val="20"/>
          <w:szCs w:val="20"/>
          <w:color w:val="auto"/>
        </w:rPr>
      </w:pPr>
      <w:r>
        <w:rPr>
          <w:rFonts w:ascii="Arial" w:cs="Arial" w:eastAsia="Arial" w:hAnsi="Arial"/>
          <w:sz w:val="14"/>
          <w:szCs w:val="14"/>
          <w:color w:val="auto"/>
        </w:rPr>
        <w:t>1.103 “</w:t>
      </w:r>
      <w:r>
        <w:rPr>
          <w:rFonts w:ascii="Arial" w:cs="Arial" w:eastAsia="Arial" w:hAnsi="Arial"/>
          <w:sz w:val="14"/>
          <w:szCs w:val="14"/>
          <w:b w:val="1"/>
          <w:bCs w:val="1"/>
          <w:color w:val="auto"/>
        </w:rPr>
        <w:t>Valid Claim</w:t>
      </w:r>
      <w:r>
        <w:rPr>
          <w:rFonts w:ascii="Arial" w:cs="Arial" w:eastAsia="Arial" w:hAnsi="Arial"/>
          <w:sz w:val="14"/>
          <w:szCs w:val="14"/>
          <w:color w:val="auto"/>
        </w:rPr>
        <w:t xml:space="preserve">” means a claim of: (a) an issued and unexpired Patent included within the MacroGenics Licensed Patents in a country which has not been revoked or held unenforceable or invalid by a decision of a court or other governmental agency of competent jurisdiction, unappealable or unappealed within the time allowed for appeal, and has not been abandoned, disclaimed or admitted to be invalid or unenforceable through reissue, disclaimer or otherwise; or (b) </w:t>
      </w:r>
      <w:r>
        <w:rPr>
          <w:rFonts w:ascii="Arial" w:cs="Arial" w:eastAsia="Arial" w:hAnsi="Arial"/>
          <w:sz w:val="14"/>
          <w:szCs w:val="14"/>
          <w:b w:val="1"/>
          <w:bCs w:val="1"/>
          <w:color w:val="auto"/>
        </w:rPr>
        <w:t>***</w:t>
      </w:r>
    </w:p>
    <w:p>
      <w:pPr>
        <w:spacing w:after="0" w:line="106" w:lineRule="exact"/>
        <w:rPr>
          <w:sz w:val="20"/>
          <w:szCs w:val="20"/>
          <w:color w:val="auto"/>
        </w:rPr>
      </w:pPr>
    </w:p>
    <w:p>
      <w:pPr>
        <w:ind w:left="140" w:hanging="136"/>
        <w:spacing w:after="0"/>
        <w:tabs>
          <w:tab w:leader="none" w:pos="140" w:val="left"/>
        </w:tabs>
        <w:numPr>
          <w:ilvl w:val="0"/>
          <w:numId w:val="691"/>
        </w:numPr>
        <w:rPr>
          <w:rFonts w:ascii="Arial" w:cs="Arial" w:eastAsia="Arial" w:hAnsi="Arial"/>
          <w:sz w:val="14"/>
          <w:szCs w:val="14"/>
          <w:color w:val="auto"/>
        </w:rPr>
      </w:pPr>
      <w:r>
        <w:rPr>
          <w:rFonts w:ascii="Arial" w:cs="Arial" w:eastAsia="Arial" w:hAnsi="Arial"/>
          <w:sz w:val="14"/>
          <w:szCs w:val="14"/>
          <w:b w:val="1"/>
          <w:bCs w:val="1"/>
          <w:color w:val="auto"/>
        </w:rPr>
        <w:t>G</w:t>
      </w:r>
      <w:r>
        <w:rPr>
          <w:rFonts w:ascii="Arial" w:cs="Arial" w:eastAsia="Arial" w:hAnsi="Arial"/>
          <w:sz w:val="11"/>
          <w:szCs w:val="11"/>
          <w:b w:val="1"/>
          <w:bCs w:val="1"/>
          <w:color w:val="auto"/>
        </w:rPr>
        <w:t>OVERNANCE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Joint Steering Committee</w:t>
      </w:r>
    </w:p>
    <w:p>
      <w:pPr>
        <w:spacing w:after="0" w:line="132" w:lineRule="exact"/>
        <w:rPr>
          <w:sz w:val="20"/>
          <w:szCs w:val="20"/>
          <w:color w:val="auto"/>
        </w:rPr>
      </w:pPr>
    </w:p>
    <w:p>
      <w:pPr>
        <w:ind w:firstLine="920"/>
        <w:spacing w:after="0" w:line="312" w:lineRule="auto"/>
        <w:tabs>
          <w:tab w:leader="none" w:pos="1101" w:val="left"/>
        </w:tabs>
        <w:numPr>
          <w:ilvl w:val="1"/>
          <w:numId w:val="692"/>
        </w:numPr>
        <w:rPr>
          <w:rFonts w:ascii="Arial" w:cs="Arial" w:eastAsia="Arial" w:hAnsi="Arial"/>
          <w:sz w:val="12"/>
          <w:szCs w:val="12"/>
          <w:color w:val="auto"/>
        </w:rPr>
      </w:pPr>
      <w:r>
        <w:rPr>
          <w:rFonts w:ascii="Arial" w:cs="Arial" w:eastAsia="Arial" w:hAnsi="Arial"/>
          <w:sz w:val="12"/>
          <w:szCs w:val="12"/>
          <w:b w:val="1"/>
          <w:bCs w:val="1"/>
          <w:color w:val="auto"/>
        </w:rPr>
        <w:t>Membership</w:t>
      </w:r>
      <w:r>
        <w:rPr>
          <w:rFonts w:ascii="Arial" w:cs="Arial" w:eastAsia="Arial" w:hAnsi="Arial"/>
          <w:sz w:val="12"/>
          <w:szCs w:val="12"/>
          <w:color w:val="auto"/>
        </w:rPr>
        <w:t>. The Parties hereby establish a Joint Steering Committee, or JSC, to coordinate and oversee activities on which the Parties collaborate under this Agreement. The Parties agree</w:t>
      </w:r>
      <w:r>
        <w:rPr>
          <w:rFonts w:ascii="Arial" w:cs="Arial" w:eastAsia="Arial" w:hAnsi="Arial"/>
          <w:sz w:val="12"/>
          <w:szCs w:val="12"/>
          <w:b w:val="1"/>
          <w:bCs w:val="1"/>
          <w:color w:val="auto"/>
        </w:rPr>
        <w:t xml:space="preserve"> </w:t>
      </w:r>
      <w:r>
        <w:rPr>
          <w:rFonts w:ascii="Arial" w:cs="Arial" w:eastAsia="Arial" w:hAnsi="Arial"/>
          <w:sz w:val="12"/>
          <w:szCs w:val="12"/>
          <w:color w:val="auto"/>
        </w:rPr>
        <w:t>that participation in the JSC and any subcommittee of the JSC is a right, rather than an obligation of each Party under this Agreement. The JSC shall consist of three (3) representatives from each Party. MacroGenics shall designate one (1) of its representatives as the initial chairperson of the JSC. Thereafter, the role of chairperson will alternate between MacroGenics and Green Cross representatives on a yearly basis. Each Party may replace its appointed JSC representatives at any time upon reasonable written notice to the other Party. The initial</w:t>
      </w:r>
    </w:p>
    <w:p>
      <w:pPr>
        <w:spacing w:after="0" w:line="68" w:lineRule="exact"/>
        <w:rPr>
          <w:rFonts w:ascii="Arial" w:cs="Arial" w:eastAsia="Arial" w:hAnsi="Arial"/>
          <w:sz w:val="12"/>
          <w:szCs w:val="12"/>
          <w:color w:val="auto"/>
        </w:rPr>
      </w:pPr>
    </w:p>
    <w:p>
      <w:pPr>
        <w:ind w:left="240" w:hanging="236"/>
        <w:spacing w:after="0"/>
        <w:tabs>
          <w:tab w:leader="none" w:pos="240" w:val="left"/>
        </w:tabs>
        <w:numPr>
          <w:ilvl w:val="0"/>
          <w:numId w:val="69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245" w:right="219" w:bottom="1440" w:gutter="0" w:footer="0" w:header="0"/>
        </w:sectPr>
      </w:pPr>
    </w:p>
    <w:bookmarkStart w:id="635" w:name="page636"/>
    <w:bookmarkEnd w:id="635"/>
    <w:p>
      <w:pPr>
        <w:ind w:right="14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representatives and chair of the JSC are set forth in Exhibit F attached hereto. The chair shall have the responsibility to call meetings, circulate meeting agendas at least ten (10) days prior to each regular JSC meeting, draft minutes for each JSC meeting and circulate such minutes for both Parties’ written approval. The chair shall have no other authority or special voting power.</w:t>
      </w:r>
    </w:p>
    <w:p>
      <w:pPr>
        <w:spacing w:after="0" w:line="54" w:lineRule="exact"/>
        <w:rPr>
          <w:sz w:val="20"/>
          <w:szCs w:val="20"/>
          <w:color w:val="auto"/>
        </w:rPr>
      </w:pPr>
    </w:p>
    <w:p>
      <w:pPr>
        <w:ind w:left="1120" w:hanging="200"/>
        <w:spacing w:after="0"/>
        <w:tabs>
          <w:tab w:leader="none" w:pos="1120" w:val="left"/>
        </w:tabs>
        <w:numPr>
          <w:ilvl w:val="1"/>
          <w:numId w:val="693"/>
        </w:numPr>
        <w:rPr>
          <w:rFonts w:ascii="Arial" w:cs="Arial" w:eastAsia="Arial" w:hAnsi="Arial"/>
          <w:sz w:val="14"/>
          <w:szCs w:val="14"/>
          <w:color w:val="auto"/>
        </w:rPr>
      </w:pPr>
      <w:r>
        <w:rPr>
          <w:rFonts w:ascii="Arial" w:cs="Arial" w:eastAsia="Arial" w:hAnsi="Arial"/>
          <w:sz w:val="14"/>
          <w:szCs w:val="14"/>
          <w:b w:val="1"/>
          <w:bCs w:val="1"/>
          <w:color w:val="auto"/>
        </w:rPr>
        <w:t>Responsibilities</w:t>
      </w:r>
      <w:r>
        <w:rPr>
          <w:rFonts w:ascii="Arial" w:cs="Arial" w:eastAsia="Arial" w:hAnsi="Arial"/>
          <w:sz w:val="14"/>
          <w:szCs w:val="14"/>
          <w:color w:val="auto"/>
        </w:rPr>
        <w:t>. The responsibilities of the JSC shall be:</w:t>
      </w:r>
    </w:p>
    <w:p>
      <w:pPr>
        <w:spacing w:after="0" w:line="70" w:lineRule="exact"/>
        <w:rPr>
          <w:rFonts w:ascii="Arial" w:cs="Arial" w:eastAsia="Arial" w:hAnsi="Arial"/>
          <w:sz w:val="14"/>
          <w:szCs w:val="14"/>
          <w:color w:val="auto"/>
        </w:rPr>
      </w:pPr>
    </w:p>
    <w:p>
      <w:pPr>
        <w:ind w:left="1500" w:hanging="158"/>
        <w:spacing w:after="0"/>
        <w:tabs>
          <w:tab w:leader="none" w:pos="1500"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provide a vehicle by which the Parties may share information regarding the overall strategy for the Collaboration;</w:t>
      </w:r>
    </w:p>
    <w:p>
      <w:pPr>
        <w:spacing w:after="0" w:line="68" w:lineRule="exact"/>
        <w:rPr>
          <w:rFonts w:ascii="Arial" w:cs="Arial" w:eastAsia="Arial" w:hAnsi="Arial"/>
          <w:sz w:val="14"/>
          <w:szCs w:val="14"/>
          <w:color w:val="auto"/>
        </w:rPr>
      </w:pPr>
    </w:p>
    <w:p>
      <w:pPr>
        <w:ind w:left="1540" w:hanging="198"/>
        <w:spacing w:after="0"/>
        <w:tabs>
          <w:tab w:leader="none" w:pos="1540"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approve changes to the Phase I Clinical Development Plan and Phase II Clinical Development Plan;</w:t>
      </w:r>
    </w:p>
    <w:p>
      <w:pPr>
        <w:spacing w:after="0" w:line="68" w:lineRule="exact"/>
        <w:rPr>
          <w:rFonts w:ascii="Arial" w:cs="Arial" w:eastAsia="Arial" w:hAnsi="Arial"/>
          <w:sz w:val="14"/>
          <w:szCs w:val="14"/>
          <w:color w:val="auto"/>
        </w:rPr>
      </w:pPr>
    </w:p>
    <w:p>
      <w:pPr>
        <w:ind w:left="920" w:firstLine="422"/>
        <w:spacing w:after="0" w:line="267" w:lineRule="auto"/>
        <w:tabs>
          <w:tab w:leader="none" w:pos="1579"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facilitate the exchange of information between the Parties with respect to the activities hereunder and to establish procedures for the efficient sharing of information necessary for the Parties to fulfill their respective responsibilities with respect the Collaboration;</w:t>
      </w:r>
    </w:p>
    <w:p>
      <w:pPr>
        <w:spacing w:after="0" w:line="38" w:lineRule="exact"/>
        <w:rPr>
          <w:rFonts w:ascii="Arial" w:cs="Arial" w:eastAsia="Arial" w:hAnsi="Arial"/>
          <w:sz w:val="14"/>
          <w:szCs w:val="14"/>
          <w:color w:val="auto"/>
        </w:rPr>
      </w:pPr>
    </w:p>
    <w:p>
      <w:pPr>
        <w:ind w:left="920" w:right="620" w:firstLine="422"/>
        <w:spacing w:after="0" w:line="267" w:lineRule="auto"/>
        <w:tabs>
          <w:tab w:leader="none" w:pos="1572"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establish an overall regulatory strategy for Products in the Territory that is compatible with and complements the worldwide regulatory strategy being implemented by MacroGenics for the Products and to allocate the responsibility for regulatory activities between the Parties;</w:t>
      </w:r>
    </w:p>
    <w:p>
      <w:pPr>
        <w:spacing w:after="0" w:line="38" w:lineRule="exact"/>
        <w:rPr>
          <w:rFonts w:ascii="Arial" w:cs="Arial" w:eastAsia="Arial" w:hAnsi="Arial"/>
          <w:sz w:val="14"/>
          <w:szCs w:val="14"/>
          <w:color w:val="auto"/>
        </w:rPr>
      </w:pPr>
    </w:p>
    <w:p>
      <w:pPr>
        <w:ind w:left="1540" w:hanging="198"/>
        <w:spacing w:after="0"/>
        <w:tabs>
          <w:tab w:leader="none" w:pos="1540"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oversee the activities of subcommittees created under this Agreement, and to seek to resolve any issues that such subcommittees cannot resolve;</w:t>
      </w:r>
    </w:p>
    <w:p>
      <w:pPr>
        <w:spacing w:after="0" w:line="68" w:lineRule="exact"/>
        <w:rPr>
          <w:rFonts w:ascii="Arial" w:cs="Arial" w:eastAsia="Arial" w:hAnsi="Arial"/>
          <w:sz w:val="14"/>
          <w:szCs w:val="14"/>
          <w:color w:val="auto"/>
        </w:rPr>
      </w:pPr>
    </w:p>
    <w:p>
      <w:pPr>
        <w:ind w:left="1580" w:hanging="238"/>
        <w:spacing w:after="0"/>
        <w:tabs>
          <w:tab w:leader="none" w:pos="1580"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perform such other functions as appropriate to further the purposes of this Agreement, as determined by the Parties; and</w:t>
      </w:r>
    </w:p>
    <w:p>
      <w:pPr>
        <w:spacing w:after="0" w:line="68" w:lineRule="exact"/>
        <w:rPr>
          <w:rFonts w:ascii="Arial" w:cs="Arial" w:eastAsia="Arial" w:hAnsi="Arial"/>
          <w:sz w:val="14"/>
          <w:szCs w:val="14"/>
          <w:color w:val="auto"/>
        </w:rPr>
      </w:pPr>
    </w:p>
    <w:p>
      <w:pPr>
        <w:ind w:left="1600" w:hanging="258"/>
        <w:spacing w:after="0"/>
        <w:tabs>
          <w:tab w:leader="none" w:pos="1600"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establish such subcommittees in addition to the JDC, as are agreed upon in writing by the Parties.</w:t>
      </w:r>
    </w:p>
    <w:p>
      <w:pPr>
        <w:spacing w:after="0" w:line="68" w:lineRule="exact"/>
        <w:rPr>
          <w:rFonts w:ascii="Arial" w:cs="Arial" w:eastAsia="Arial" w:hAnsi="Arial"/>
          <w:sz w:val="14"/>
          <w:szCs w:val="14"/>
          <w:color w:val="auto"/>
        </w:rPr>
      </w:pPr>
    </w:p>
    <w:p>
      <w:pPr>
        <w:ind w:left="1640" w:hanging="298"/>
        <w:spacing w:after="0"/>
        <w:tabs>
          <w:tab w:leader="none" w:pos="1640" w:val="left"/>
        </w:tabs>
        <w:numPr>
          <w:ilvl w:val="2"/>
          <w:numId w:val="693"/>
        </w:numPr>
        <w:rPr>
          <w:rFonts w:ascii="Arial" w:cs="Arial" w:eastAsia="Arial" w:hAnsi="Arial"/>
          <w:sz w:val="14"/>
          <w:szCs w:val="14"/>
          <w:color w:val="auto"/>
        </w:rPr>
      </w:pPr>
      <w:r>
        <w:rPr>
          <w:rFonts w:ascii="Arial" w:cs="Arial" w:eastAsia="Arial" w:hAnsi="Arial"/>
          <w:sz w:val="14"/>
          <w:szCs w:val="14"/>
          <w:color w:val="auto"/>
        </w:rPr>
        <w:t>to discuss any additional studies, including a Phase III Clinical Trial, in which Green Cross may desire to participate;</w:t>
      </w:r>
    </w:p>
    <w:p>
      <w:pPr>
        <w:spacing w:after="0" w:line="129" w:lineRule="exact"/>
        <w:rPr>
          <w:rFonts w:ascii="Arial" w:cs="Arial" w:eastAsia="Arial" w:hAnsi="Arial"/>
          <w:sz w:val="14"/>
          <w:szCs w:val="14"/>
          <w:color w:val="auto"/>
        </w:rPr>
      </w:pPr>
    </w:p>
    <w:p>
      <w:pPr>
        <w:ind w:left="1100" w:hanging="180"/>
        <w:spacing w:after="0"/>
        <w:tabs>
          <w:tab w:leader="none" w:pos="1100" w:val="left"/>
        </w:tabs>
        <w:numPr>
          <w:ilvl w:val="1"/>
          <w:numId w:val="693"/>
        </w:numPr>
        <w:rPr>
          <w:rFonts w:ascii="Arial" w:cs="Arial" w:eastAsia="Arial" w:hAnsi="Arial"/>
          <w:sz w:val="12"/>
          <w:szCs w:val="12"/>
          <w:color w:val="auto"/>
        </w:rPr>
      </w:pPr>
      <w:r>
        <w:rPr>
          <w:rFonts w:ascii="Arial" w:cs="Arial" w:eastAsia="Arial" w:hAnsi="Arial"/>
          <w:sz w:val="12"/>
          <w:szCs w:val="12"/>
          <w:b w:val="1"/>
          <w:bCs w:val="1"/>
          <w:color w:val="auto"/>
        </w:rPr>
        <w:t>Decision-Making</w:t>
      </w:r>
      <w:r>
        <w:rPr>
          <w:rFonts w:ascii="Arial" w:cs="Arial" w:eastAsia="Arial" w:hAnsi="Arial"/>
          <w:sz w:val="12"/>
          <w:szCs w:val="12"/>
          <w:color w:val="auto"/>
        </w:rPr>
        <w:t>. The JSC shall make decisions unanimously, with each Party’s representatives collectively having one (1) vote and at least one (1) representative from each Party present.</w:t>
      </w:r>
    </w:p>
    <w:p>
      <w:pPr>
        <w:spacing w:after="0" w:line="154" w:lineRule="exact"/>
        <w:rPr>
          <w:rFonts w:ascii="Arial" w:cs="Arial" w:eastAsia="Arial" w:hAnsi="Arial"/>
          <w:sz w:val="12"/>
          <w:szCs w:val="12"/>
          <w:color w:val="auto"/>
        </w:rPr>
      </w:pPr>
    </w:p>
    <w:p>
      <w:pPr>
        <w:ind w:right="40" w:firstLine="920"/>
        <w:spacing w:after="0" w:line="259" w:lineRule="auto"/>
        <w:tabs>
          <w:tab w:leader="none" w:pos="1109" w:val="left"/>
        </w:tabs>
        <w:numPr>
          <w:ilvl w:val="1"/>
          <w:numId w:val="693"/>
        </w:numPr>
        <w:rPr>
          <w:rFonts w:ascii="Arial" w:cs="Arial" w:eastAsia="Arial" w:hAnsi="Arial"/>
          <w:sz w:val="14"/>
          <w:szCs w:val="14"/>
          <w:color w:val="auto"/>
        </w:rPr>
      </w:pPr>
      <w:r>
        <w:rPr>
          <w:rFonts w:ascii="Arial" w:cs="Arial" w:eastAsia="Arial" w:hAnsi="Arial"/>
          <w:sz w:val="14"/>
          <w:szCs w:val="14"/>
          <w:b w:val="1"/>
          <w:bCs w:val="1"/>
          <w:color w:val="auto"/>
        </w:rPr>
        <w:t>Disputes</w:t>
      </w:r>
      <w:r>
        <w:rPr>
          <w:rFonts w:ascii="Arial" w:cs="Arial" w:eastAsia="Arial" w:hAnsi="Arial"/>
          <w:sz w:val="14"/>
          <w:szCs w:val="14"/>
          <w:color w:val="auto"/>
        </w:rPr>
        <w:t>. In the event the JSC cannot reach an agreement regarding any matter within the JSC’s authority for a period of</w:t>
      </w:r>
      <w:r>
        <w:rPr>
          <w:rFonts w:ascii="Arial" w:cs="Arial" w:eastAsia="Arial" w:hAnsi="Arial"/>
          <w:sz w:val="14"/>
          <w:szCs w:val="14"/>
          <w:b w:val="1"/>
          <w:bCs w:val="1"/>
          <w:color w:val="auto"/>
        </w:rPr>
        <w:t xml:space="preserve"> ***</w:t>
      </w:r>
      <w:r>
        <w:rPr>
          <w:rFonts w:ascii="Arial" w:cs="Arial" w:eastAsia="Arial" w:hAnsi="Arial"/>
          <w:sz w:val="14"/>
          <w:szCs w:val="14"/>
          <w:color w:val="auto"/>
        </w:rPr>
        <w:t>, then the dispute shall be promptly submitted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 If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dispute remains unresolved for </w:t>
      </w:r>
      <w:r>
        <w:rPr>
          <w:rFonts w:ascii="Arial" w:cs="Arial" w:eastAsia="Arial" w:hAnsi="Arial"/>
          <w:sz w:val="14"/>
          <w:szCs w:val="14"/>
          <w:b w:val="1"/>
          <w:bCs w:val="1"/>
          <w:color w:val="auto"/>
        </w:rPr>
        <w:t>***</w:t>
      </w:r>
      <w:r>
        <w:rPr>
          <w:rFonts w:ascii="Arial" w:cs="Arial" w:eastAsia="Arial" w:hAnsi="Arial"/>
          <w:sz w:val="14"/>
          <w:szCs w:val="14"/>
          <w:color w:val="auto"/>
        </w:rPr>
        <w:t xml:space="preserve"> after submission to such persons, then the </w:t>
      </w:r>
      <w:r>
        <w:rPr>
          <w:rFonts w:ascii="Arial" w:cs="Arial" w:eastAsia="Arial" w:hAnsi="Arial"/>
          <w:sz w:val="14"/>
          <w:szCs w:val="14"/>
          <w:b w:val="1"/>
          <w:bCs w:val="1"/>
          <w:color w:val="auto"/>
        </w:rPr>
        <w:t>***</w:t>
      </w:r>
      <w:r>
        <w:rPr>
          <w:rFonts w:ascii="Arial" w:cs="Arial" w:eastAsia="Arial" w:hAnsi="Arial"/>
          <w:sz w:val="14"/>
          <w:szCs w:val="14"/>
          <w:color w:val="auto"/>
        </w:rPr>
        <w:t xml:space="preserve">; provided, however, that the </w:t>
      </w:r>
      <w:r>
        <w:rPr>
          <w:rFonts w:ascii="Arial" w:cs="Arial" w:eastAsia="Arial" w:hAnsi="Arial"/>
          <w:sz w:val="14"/>
          <w:szCs w:val="14"/>
          <w:b w:val="1"/>
          <w:bCs w:val="1"/>
          <w:color w:val="auto"/>
        </w:rPr>
        <w:t>***</w:t>
      </w:r>
      <w:r>
        <w:rPr>
          <w:rFonts w:ascii="Arial" w:cs="Arial" w:eastAsia="Arial" w:hAnsi="Arial"/>
          <w:sz w:val="14"/>
          <w:szCs w:val="14"/>
          <w:color w:val="auto"/>
        </w:rPr>
        <w:t xml:space="preserve"> shall have the </w:t>
      </w:r>
      <w:r>
        <w:rPr>
          <w:rFonts w:ascii="Arial" w:cs="Arial" w:eastAsia="Arial" w:hAnsi="Arial"/>
          <w:sz w:val="14"/>
          <w:szCs w:val="14"/>
          <w:b w:val="1"/>
          <w:bCs w:val="1"/>
          <w:color w:val="auto"/>
        </w:rPr>
        <w:t>***</w:t>
      </w:r>
      <w:r>
        <w:rPr>
          <w:rFonts w:ascii="Arial" w:cs="Arial" w:eastAsia="Arial" w:hAnsi="Arial"/>
          <w:sz w:val="14"/>
          <w:szCs w:val="14"/>
          <w:color w:val="auto"/>
        </w:rPr>
        <w:t>; and provided further that the foregoing shall not be deemed to limit or otherwise alter any obligation of Green Cross or MacroGenics under this Agreement.</w:t>
      </w:r>
    </w:p>
    <w:p>
      <w:pPr>
        <w:spacing w:after="0" w:line="97" w:lineRule="exact"/>
        <w:rPr>
          <w:rFonts w:ascii="Arial" w:cs="Arial" w:eastAsia="Arial" w:hAnsi="Arial"/>
          <w:sz w:val="14"/>
          <w:szCs w:val="14"/>
          <w:color w:val="auto"/>
        </w:rPr>
      </w:pPr>
    </w:p>
    <w:p>
      <w:pPr>
        <w:ind w:left="240" w:hanging="236"/>
        <w:spacing w:after="0"/>
        <w:tabs>
          <w:tab w:leader="none" w:pos="240" w:val="left"/>
        </w:tabs>
        <w:numPr>
          <w:ilvl w:val="0"/>
          <w:numId w:val="69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80"/>
          </w:cols>
          <w:pgMar w:left="220" w:top="248" w:right="299" w:bottom="1440" w:gutter="0" w:footer="0" w:header="0"/>
        </w:sectPr>
      </w:pPr>
    </w:p>
    <w:bookmarkStart w:id="636" w:name="page637"/>
    <w:bookmarkEnd w:id="636"/>
    <w:p>
      <w:pPr>
        <w:ind w:left="-4" w:right="20" w:firstLine="920"/>
        <w:spacing w:after="0" w:line="306" w:lineRule="auto"/>
        <w:tabs>
          <w:tab w:leader="none" w:pos="1098" w:val="left"/>
        </w:tabs>
        <w:numPr>
          <w:ilvl w:val="0"/>
          <w:numId w:val="694"/>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JSC Meetings</w:t>
      </w:r>
      <w:r>
        <w:rPr>
          <w:rFonts w:ascii="Arial" w:cs="Arial" w:eastAsia="Arial" w:hAnsi="Arial"/>
          <w:sz w:val="12"/>
          <w:szCs w:val="12"/>
          <w:color w:val="auto"/>
        </w:rPr>
        <w:t>. JSC meetings shall be held semi-annually, or on any other schedule agreed by the Parties. With the consent of the representatives of each Party serving on the JSC, other</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representatives of each Party may attend meetings as nonvoting observers (provided such non-voting observers have confidentiality obligations to such Party that are at least as stringent as those set forth in this Agreement). A JSC meeting may be held by audio, video or internet teleconference with the consent of each Party, but at least half (1/2) of the minimum number of meetings shall be held in person. Meetings of the JSC shall be effective only if at least one (1) representative of each Party is present or participating. Each Party shall be responsible for all of its own expenses of participating in the JSC meetings. The Parties will alternate hosting the in-person meeting, and the Party hosting is responsible for preparing and circulating the minutes of the JSC meetings.</w:t>
      </w:r>
    </w:p>
    <w:p>
      <w:pPr>
        <w:spacing w:after="0" w:line="81" w:lineRule="exact"/>
        <w:rPr>
          <w:rFonts w:ascii="Arial" w:cs="Arial" w:eastAsia="Arial" w:hAnsi="Arial"/>
          <w:sz w:val="12"/>
          <w:szCs w:val="12"/>
          <w:color w:val="auto"/>
        </w:rPr>
      </w:pPr>
    </w:p>
    <w:p>
      <w:pPr>
        <w:ind w:left="1096" w:hanging="180"/>
        <w:spacing w:after="0"/>
        <w:tabs>
          <w:tab w:leader="none" w:pos="1096" w:val="left"/>
        </w:tabs>
        <w:numPr>
          <w:ilvl w:val="0"/>
          <w:numId w:val="694"/>
        </w:numPr>
        <w:rPr>
          <w:rFonts w:ascii="Arial" w:cs="Arial" w:eastAsia="Arial" w:hAnsi="Arial"/>
          <w:sz w:val="14"/>
          <w:szCs w:val="14"/>
          <w:color w:val="auto"/>
        </w:rPr>
      </w:pPr>
      <w:r>
        <w:rPr>
          <w:rFonts w:ascii="Arial" w:cs="Arial" w:eastAsia="Arial" w:hAnsi="Arial"/>
          <w:sz w:val="14"/>
          <w:szCs w:val="14"/>
          <w:b w:val="1"/>
          <w:bCs w:val="1"/>
          <w:color w:val="auto"/>
        </w:rPr>
        <w:t>Duration of JSC</w:t>
      </w:r>
      <w:r>
        <w:rPr>
          <w:rFonts w:ascii="Arial" w:cs="Arial" w:eastAsia="Arial" w:hAnsi="Arial"/>
          <w:sz w:val="14"/>
          <w:szCs w:val="14"/>
          <w:color w:val="auto"/>
        </w:rPr>
        <w:t>. The JSC shall continue to exist until the first to occur of (a) the Parties mutually agreeing to disband the JSC or (b) termination of this Agreement.</w:t>
      </w:r>
    </w:p>
    <w:p>
      <w:pPr>
        <w:spacing w:after="0" w:line="131" w:lineRule="exact"/>
        <w:rPr>
          <w:rFonts w:ascii="Arial" w:cs="Arial" w:eastAsia="Arial" w:hAnsi="Arial"/>
          <w:sz w:val="14"/>
          <w:szCs w:val="14"/>
          <w:color w:val="auto"/>
        </w:rPr>
      </w:pPr>
    </w:p>
    <w:p>
      <w:pPr>
        <w:ind w:left="-4" w:firstLine="920"/>
        <w:spacing w:after="0" w:line="270" w:lineRule="auto"/>
        <w:tabs>
          <w:tab w:leader="none" w:pos="1105" w:val="left"/>
        </w:tabs>
        <w:numPr>
          <w:ilvl w:val="0"/>
          <w:numId w:val="694"/>
        </w:numPr>
        <w:rPr>
          <w:rFonts w:ascii="Arial" w:cs="Arial" w:eastAsia="Arial" w:hAnsi="Arial"/>
          <w:sz w:val="14"/>
          <w:szCs w:val="14"/>
          <w:color w:val="auto"/>
        </w:rPr>
      </w:pPr>
      <w:r>
        <w:rPr>
          <w:rFonts w:ascii="Arial" w:cs="Arial" w:eastAsia="Arial" w:hAnsi="Arial"/>
          <w:sz w:val="14"/>
          <w:szCs w:val="14"/>
          <w:b w:val="1"/>
          <w:bCs w:val="1"/>
          <w:color w:val="auto"/>
        </w:rPr>
        <w:t>Limitations</w:t>
      </w:r>
      <w:r>
        <w:rPr>
          <w:rFonts w:ascii="Arial" w:cs="Arial" w:eastAsia="Arial" w:hAnsi="Arial"/>
          <w:sz w:val="14"/>
          <w:szCs w:val="14"/>
          <w:color w:val="auto"/>
        </w:rPr>
        <w:t>. The JSC shall have no authority other than that expressly set forth in this Section 2.1 and, specifically, shall have no authority (a) to amend or interpret this Agreement, or (b) to</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determine whether or not a breach of this Agreement has occurred.</w:t>
      </w:r>
    </w:p>
    <w:p>
      <w:pPr>
        <w:spacing w:after="0" w:line="97"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Joint Development Committee</w:t>
      </w:r>
    </w:p>
    <w:p>
      <w:pPr>
        <w:spacing w:after="0" w:line="132" w:lineRule="exact"/>
        <w:rPr>
          <w:sz w:val="20"/>
          <w:szCs w:val="20"/>
          <w:color w:val="auto"/>
        </w:rPr>
      </w:pPr>
    </w:p>
    <w:p>
      <w:pPr>
        <w:ind w:left="-4" w:right="40" w:firstLine="920"/>
        <w:spacing w:after="0" w:line="254" w:lineRule="auto"/>
        <w:tabs>
          <w:tab w:leader="none" w:pos="1098" w:val="left"/>
        </w:tabs>
        <w:numPr>
          <w:ilvl w:val="1"/>
          <w:numId w:val="695"/>
        </w:numPr>
        <w:rPr>
          <w:rFonts w:ascii="Arial" w:cs="Arial" w:eastAsia="Arial" w:hAnsi="Arial"/>
          <w:sz w:val="14"/>
          <w:szCs w:val="14"/>
          <w:color w:val="auto"/>
        </w:rPr>
      </w:pPr>
      <w:r>
        <w:rPr>
          <w:rFonts w:ascii="Arial" w:cs="Arial" w:eastAsia="Arial" w:hAnsi="Arial"/>
          <w:sz w:val="14"/>
          <w:szCs w:val="14"/>
          <w:b w:val="1"/>
          <w:bCs w:val="1"/>
          <w:color w:val="auto"/>
        </w:rPr>
        <w:t xml:space="preserve">Membership. </w:t>
      </w:r>
      <w:r>
        <w:rPr>
          <w:rFonts w:ascii="Arial" w:cs="Arial" w:eastAsia="Arial" w:hAnsi="Arial"/>
          <w:sz w:val="14"/>
          <w:szCs w:val="14"/>
          <w:color w:val="auto"/>
        </w:rPr>
        <w:t>Within thirty (30) days after the Effective Date, the Parties shall establish a Joint Development Committee, or JDC, as a subcommittee of the JSC, to coordinate the</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of Products as set forth in Section 2.2(b). The JDC shall consist of three (3) representatives from each Party. Each Party may replace its appointed JDC representatives at any time upon reasonable written notice to the other Party. The Parties shall alternate in designating a representative on the JDC as the chair of the JDC on an annual basis, with MacroGenics designating the first chair. The chair shall have the responsibility to call meetings, circulate meeting agendas at least ten (10) days prior to each regular JDC meeting, draft minutes for each JDC meeting and circulate such minutes for both Parties’ written approval. The chair shall have no other special authority or voting power.</w:t>
      </w:r>
    </w:p>
    <w:p>
      <w:pPr>
        <w:spacing w:after="0" w:line="109" w:lineRule="exact"/>
        <w:rPr>
          <w:rFonts w:ascii="Arial" w:cs="Arial" w:eastAsia="Arial" w:hAnsi="Arial"/>
          <w:sz w:val="14"/>
          <w:szCs w:val="14"/>
          <w:color w:val="auto"/>
        </w:rPr>
      </w:pPr>
    </w:p>
    <w:p>
      <w:pPr>
        <w:ind w:left="1116" w:hanging="200"/>
        <w:spacing w:after="0"/>
        <w:tabs>
          <w:tab w:leader="none" w:pos="1116" w:val="left"/>
        </w:tabs>
        <w:numPr>
          <w:ilvl w:val="1"/>
          <w:numId w:val="695"/>
        </w:numPr>
        <w:rPr>
          <w:rFonts w:ascii="Arial" w:cs="Arial" w:eastAsia="Arial" w:hAnsi="Arial"/>
          <w:sz w:val="14"/>
          <w:szCs w:val="14"/>
          <w:color w:val="auto"/>
        </w:rPr>
      </w:pPr>
      <w:r>
        <w:rPr>
          <w:rFonts w:ascii="Arial" w:cs="Arial" w:eastAsia="Arial" w:hAnsi="Arial"/>
          <w:sz w:val="14"/>
          <w:szCs w:val="14"/>
          <w:b w:val="1"/>
          <w:bCs w:val="1"/>
          <w:color w:val="auto"/>
        </w:rPr>
        <w:t xml:space="preserve">Responsibilities. </w:t>
      </w:r>
      <w:r>
        <w:rPr>
          <w:rFonts w:ascii="Arial" w:cs="Arial" w:eastAsia="Arial" w:hAnsi="Arial"/>
          <w:sz w:val="14"/>
          <w:szCs w:val="14"/>
          <w:color w:val="auto"/>
        </w:rPr>
        <w:t>The responsibilities of the JDC shall be:</w:t>
      </w:r>
    </w:p>
    <w:p>
      <w:pPr>
        <w:spacing w:after="0" w:line="70" w:lineRule="exact"/>
        <w:rPr>
          <w:rFonts w:ascii="Arial" w:cs="Arial" w:eastAsia="Arial" w:hAnsi="Arial"/>
          <w:sz w:val="14"/>
          <w:szCs w:val="14"/>
          <w:color w:val="auto"/>
        </w:rPr>
      </w:pPr>
    </w:p>
    <w:p>
      <w:pPr>
        <w:ind w:left="1496" w:hanging="158"/>
        <w:spacing w:after="0"/>
        <w:tabs>
          <w:tab w:leader="none" w:pos="1496" w:val="left"/>
        </w:tabs>
        <w:numPr>
          <w:ilvl w:val="2"/>
          <w:numId w:val="695"/>
        </w:numPr>
        <w:rPr>
          <w:rFonts w:ascii="Arial" w:cs="Arial" w:eastAsia="Arial" w:hAnsi="Arial"/>
          <w:sz w:val="14"/>
          <w:szCs w:val="14"/>
          <w:color w:val="auto"/>
        </w:rPr>
      </w:pPr>
      <w:r>
        <w:rPr>
          <w:rFonts w:ascii="Arial" w:cs="Arial" w:eastAsia="Arial" w:hAnsi="Arial"/>
          <w:sz w:val="14"/>
          <w:szCs w:val="14"/>
          <w:color w:val="auto"/>
        </w:rPr>
        <w:t>to share and discuss the Parties’ performance under the Phase I Clinical Development Plan and Phase II Clinical Development Plan, on a quarterly basis;</w:t>
      </w:r>
    </w:p>
    <w:p>
      <w:pPr>
        <w:spacing w:after="0" w:line="68" w:lineRule="exact"/>
        <w:rPr>
          <w:rFonts w:ascii="Arial" w:cs="Arial" w:eastAsia="Arial" w:hAnsi="Arial"/>
          <w:sz w:val="14"/>
          <w:szCs w:val="14"/>
          <w:color w:val="auto"/>
        </w:rPr>
      </w:pPr>
    </w:p>
    <w:p>
      <w:pPr>
        <w:ind w:left="916" w:right="120" w:firstLine="422"/>
        <w:spacing w:after="0" w:line="267" w:lineRule="auto"/>
        <w:tabs>
          <w:tab w:leader="none" w:pos="1538" w:val="left"/>
        </w:tabs>
        <w:numPr>
          <w:ilvl w:val="2"/>
          <w:numId w:val="695"/>
        </w:numPr>
        <w:rPr>
          <w:rFonts w:ascii="Arial" w:cs="Arial" w:eastAsia="Arial" w:hAnsi="Arial"/>
          <w:sz w:val="14"/>
          <w:szCs w:val="14"/>
          <w:color w:val="auto"/>
        </w:rPr>
      </w:pPr>
      <w:r>
        <w:rPr>
          <w:rFonts w:ascii="Arial" w:cs="Arial" w:eastAsia="Arial" w:hAnsi="Arial"/>
          <w:sz w:val="14"/>
          <w:szCs w:val="14"/>
          <w:color w:val="auto"/>
        </w:rPr>
        <w:t>to share and discuss the data generated by or on behalf of the Parties in the course of performance towards the goals set forth in the Phase I Clinical Development Plan and Phase II Clinical Development Plan;</w:t>
      </w:r>
    </w:p>
    <w:p>
      <w:pPr>
        <w:spacing w:after="0" w:line="91" w:lineRule="exact"/>
        <w:rPr>
          <w:rFonts w:ascii="Arial" w:cs="Arial" w:eastAsia="Arial" w:hAnsi="Arial"/>
          <w:sz w:val="14"/>
          <w:szCs w:val="14"/>
          <w:color w:val="auto"/>
        </w:rPr>
      </w:pPr>
    </w:p>
    <w:p>
      <w:pPr>
        <w:ind w:left="236" w:hanging="236"/>
        <w:spacing w:after="0"/>
        <w:tabs>
          <w:tab w:leader="none" w:pos="236" w:val="left"/>
        </w:tabs>
        <w:numPr>
          <w:ilvl w:val="0"/>
          <w:numId w:val="69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16"/>
          </w:cols>
          <w:pgMar w:left="224" w:top="245" w:right="259" w:bottom="1440" w:gutter="0" w:footer="0" w:header="0"/>
        </w:sectPr>
      </w:pPr>
    </w:p>
    <w:bookmarkStart w:id="637" w:name="page638"/>
    <w:bookmarkEnd w:id="637"/>
    <w:p>
      <w:pPr>
        <w:ind w:left="916" w:right="100" w:firstLine="422"/>
        <w:spacing w:after="0" w:line="267" w:lineRule="auto"/>
        <w:tabs>
          <w:tab w:leader="none" w:pos="1576" w:val="left"/>
        </w:tabs>
        <w:numPr>
          <w:ilvl w:val="2"/>
          <w:numId w:val="69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to coordinate Development strategies, allocate resources and set timelines, in each case to facilitate the activities under the Phase I Clinical Development Plan and Phase II Clinical Development Plan;</w:t>
      </w:r>
    </w:p>
    <w:p>
      <w:pPr>
        <w:spacing w:after="0" w:line="38" w:lineRule="exact"/>
        <w:rPr>
          <w:rFonts w:ascii="Arial" w:cs="Arial" w:eastAsia="Arial" w:hAnsi="Arial"/>
          <w:sz w:val="14"/>
          <w:szCs w:val="14"/>
          <w:color w:val="auto"/>
        </w:rPr>
      </w:pPr>
    </w:p>
    <w:p>
      <w:pPr>
        <w:ind w:left="1576" w:hanging="238"/>
        <w:spacing w:after="0"/>
        <w:tabs>
          <w:tab w:leader="none" w:pos="1576" w:val="left"/>
        </w:tabs>
        <w:numPr>
          <w:ilvl w:val="2"/>
          <w:numId w:val="696"/>
        </w:numPr>
        <w:rPr>
          <w:rFonts w:ascii="Arial" w:cs="Arial" w:eastAsia="Arial" w:hAnsi="Arial"/>
          <w:sz w:val="14"/>
          <w:szCs w:val="14"/>
          <w:color w:val="auto"/>
        </w:rPr>
      </w:pPr>
      <w:r>
        <w:rPr>
          <w:rFonts w:ascii="Arial" w:cs="Arial" w:eastAsia="Arial" w:hAnsi="Arial"/>
          <w:sz w:val="14"/>
          <w:szCs w:val="14"/>
          <w:color w:val="auto"/>
        </w:rPr>
        <w:t>to review and approve proposed clinical trial sites;</w:t>
      </w:r>
    </w:p>
    <w:p>
      <w:pPr>
        <w:spacing w:after="0" w:line="68" w:lineRule="exact"/>
        <w:rPr>
          <w:rFonts w:ascii="Arial" w:cs="Arial" w:eastAsia="Arial" w:hAnsi="Arial"/>
          <w:sz w:val="14"/>
          <w:szCs w:val="14"/>
          <w:color w:val="auto"/>
        </w:rPr>
      </w:pPr>
    </w:p>
    <w:p>
      <w:pPr>
        <w:ind w:left="1536" w:hanging="198"/>
        <w:spacing w:after="0"/>
        <w:tabs>
          <w:tab w:leader="none" w:pos="1536" w:val="left"/>
        </w:tabs>
        <w:numPr>
          <w:ilvl w:val="2"/>
          <w:numId w:val="696"/>
        </w:numPr>
        <w:rPr>
          <w:rFonts w:ascii="Arial" w:cs="Arial" w:eastAsia="Arial" w:hAnsi="Arial"/>
          <w:sz w:val="12"/>
          <w:szCs w:val="12"/>
          <w:color w:val="auto"/>
        </w:rPr>
      </w:pPr>
      <w:r>
        <w:rPr>
          <w:rFonts w:ascii="Arial" w:cs="Arial" w:eastAsia="Arial" w:hAnsi="Arial"/>
          <w:sz w:val="12"/>
          <w:szCs w:val="12"/>
          <w:color w:val="auto"/>
        </w:rPr>
        <w:t>to facilitate the exchange of information between the Parties with respect to the activities under the Phase I Clinical Development Plan and Phase II Clinical Development Plan; and</w:t>
      </w:r>
    </w:p>
    <w:p>
      <w:pPr>
        <w:spacing w:after="0" w:line="91" w:lineRule="exact"/>
        <w:rPr>
          <w:rFonts w:ascii="Arial" w:cs="Arial" w:eastAsia="Arial" w:hAnsi="Arial"/>
          <w:sz w:val="12"/>
          <w:szCs w:val="12"/>
          <w:color w:val="auto"/>
        </w:rPr>
      </w:pPr>
    </w:p>
    <w:p>
      <w:pPr>
        <w:ind w:left="1576" w:hanging="238"/>
        <w:spacing w:after="0"/>
        <w:tabs>
          <w:tab w:leader="none" w:pos="1576" w:val="left"/>
        </w:tabs>
        <w:numPr>
          <w:ilvl w:val="2"/>
          <w:numId w:val="696"/>
        </w:numPr>
        <w:rPr>
          <w:rFonts w:ascii="Arial" w:cs="Arial" w:eastAsia="Arial" w:hAnsi="Arial"/>
          <w:sz w:val="14"/>
          <w:szCs w:val="14"/>
          <w:color w:val="auto"/>
        </w:rPr>
      </w:pPr>
      <w:r>
        <w:rPr>
          <w:rFonts w:ascii="Arial" w:cs="Arial" w:eastAsia="Arial" w:hAnsi="Arial"/>
          <w:sz w:val="14"/>
          <w:szCs w:val="14"/>
          <w:color w:val="auto"/>
        </w:rPr>
        <w:t>to perform such other functions as appropriate to further the purposes of this Agreement, as determined by the Parties.</w:t>
      </w:r>
    </w:p>
    <w:p>
      <w:pPr>
        <w:spacing w:after="0" w:line="129" w:lineRule="exact"/>
        <w:rPr>
          <w:rFonts w:ascii="Arial" w:cs="Arial" w:eastAsia="Arial" w:hAnsi="Arial"/>
          <w:sz w:val="14"/>
          <w:szCs w:val="14"/>
          <w:color w:val="auto"/>
        </w:rPr>
      </w:pPr>
    </w:p>
    <w:p>
      <w:pPr>
        <w:ind w:left="1096" w:hanging="180"/>
        <w:spacing w:after="0"/>
        <w:tabs>
          <w:tab w:leader="none" w:pos="1096" w:val="left"/>
        </w:tabs>
        <w:numPr>
          <w:ilvl w:val="1"/>
          <w:numId w:val="697"/>
        </w:numPr>
        <w:rPr>
          <w:rFonts w:ascii="Arial" w:cs="Arial" w:eastAsia="Arial" w:hAnsi="Arial"/>
          <w:sz w:val="12"/>
          <w:szCs w:val="12"/>
          <w:color w:val="auto"/>
        </w:rPr>
      </w:pPr>
      <w:r>
        <w:rPr>
          <w:rFonts w:ascii="Arial" w:cs="Arial" w:eastAsia="Arial" w:hAnsi="Arial"/>
          <w:sz w:val="12"/>
          <w:szCs w:val="12"/>
          <w:b w:val="1"/>
          <w:bCs w:val="1"/>
          <w:color w:val="auto"/>
        </w:rPr>
        <w:t>Decision Making</w:t>
      </w:r>
      <w:r>
        <w:rPr>
          <w:rFonts w:ascii="Arial" w:cs="Arial" w:eastAsia="Arial" w:hAnsi="Arial"/>
          <w:sz w:val="12"/>
          <w:szCs w:val="12"/>
          <w:color w:val="auto"/>
        </w:rPr>
        <w:t>. The JDC shall make decisions unanimously, with each Party’s representatives collectively having one (1) vote and at least one (1) representative from each Party present.</w:t>
      </w:r>
    </w:p>
    <w:p>
      <w:pPr>
        <w:spacing w:after="0" w:line="154" w:lineRule="exact"/>
        <w:rPr>
          <w:rFonts w:ascii="Arial" w:cs="Arial" w:eastAsia="Arial" w:hAnsi="Arial"/>
          <w:sz w:val="12"/>
          <w:szCs w:val="12"/>
          <w:color w:val="auto"/>
        </w:rPr>
      </w:pPr>
    </w:p>
    <w:p>
      <w:pPr>
        <w:ind w:left="-4" w:firstLine="920"/>
        <w:spacing w:after="0" w:line="270" w:lineRule="auto"/>
        <w:tabs>
          <w:tab w:leader="none" w:pos="1105" w:val="left"/>
        </w:tabs>
        <w:numPr>
          <w:ilvl w:val="1"/>
          <w:numId w:val="697"/>
        </w:numPr>
        <w:rPr>
          <w:rFonts w:ascii="Arial" w:cs="Arial" w:eastAsia="Arial" w:hAnsi="Arial"/>
          <w:sz w:val="14"/>
          <w:szCs w:val="14"/>
          <w:color w:val="auto"/>
        </w:rPr>
      </w:pPr>
      <w:r>
        <w:rPr>
          <w:rFonts w:ascii="Arial" w:cs="Arial" w:eastAsia="Arial" w:hAnsi="Arial"/>
          <w:sz w:val="14"/>
          <w:szCs w:val="14"/>
          <w:b w:val="1"/>
          <w:bCs w:val="1"/>
          <w:color w:val="auto"/>
        </w:rPr>
        <w:t>Disputes</w:t>
      </w:r>
      <w:r>
        <w:rPr>
          <w:rFonts w:ascii="Arial" w:cs="Arial" w:eastAsia="Arial" w:hAnsi="Arial"/>
          <w:sz w:val="14"/>
          <w:szCs w:val="14"/>
          <w:color w:val="auto"/>
        </w:rPr>
        <w:t>. In the event the JDC cannot reach an agreement regarding any matter within the JDC’s authority for a period of</w:t>
      </w:r>
      <w:r>
        <w:rPr>
          <w:rFonts w:ascii="Arial" w:cs="Arial" w:eastAsia="Arial" w:hAnsi="Arial"/>
          <w:sz w:val="14"/>
          <w:szCs w:val="14"/>
          <w:b w:val="1"/>
          <w:bCs w:val="1"/>
          <w:color w:val="auto"/>
        </w:rPr>
        <w:t xml:space="preserve"> ***</w:t>
      </w:r>
      <w:r>
        <w:rPr>
          <w:rFonts w:ascii="Arial" w:cs="Arial" w:eastAsia="Arial" w:hAnsi="Arial"/>
          <w:sz w:val="14"/>
          <w:szCs w:val="14"/>
          <w:color w:val="auto"/>
        </w:rPr>
        <w:t>, then at the option of either Party the matter shall be referred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JSC for resolution pursuant to Section 2.1(c) and 2.1(d) above.</w:t>
      </w:r>
    </w:p>
    <w:p>
      <w:pPr>
        <w:spacing w:after="0" w:line="97" w:lineRule="exact"/>
        <w:rPr>
          <w:rFonts w:ascii="Arial" w:cs="Arial" w:eastAsia="Arial" w:hAnsi="Arial"/>
          <w:sz w:val="14"/>
          <w:szCs w:val="14"/>
          <w:color w:val="auto"/>
        </w:rPr>
      </w:pPr>
    </w:p>
    <w:p>
      <w:pPr>
        <w:ind w:left="-4" w:firstLine="920"/>
        <w:spacing w:after="0" w:line="306" w:lineRule="auto"/>
        <w:tabs>
          <w:tab w:leader="none" w:pos="1098" w:val="left"/>
        </w:tabs>
        <w:numPr>
          <w:ilvl w:val="1"/>
          <w:numId w:val="697"/>
        </w:numPr>
        <w:rPr>
          <w:rFonts w:ascii="Arial" w:cs="Arial" w:eastAsia="Arial" w:hAnsi="Arial"/>
          <w:sz w:val="12"/>
          <w:szCs w:val="12"/>
          <w:color w:val="auto"/>
        </w:rPr>
      </w:pPr>
      <w:r>
        <w:rPr>
          <w:rFonts w:ascii="Arial" w:cs="Arial" w:eastAsia="Arial" w:hAnsi="Arial"/>
          <w:sz w:val="12"/>
          <w:szCs w:val="12"/>
          <w:b w:val="1"/>
          <w:bCs w:val="1"/>
          <w:color w:val="auto"/>
        </w:rPr>
        <w:t>JDC Meetings</w:t>
      </w:r>
      <w:r>
        <w:rPr>
          <w:rFonts w:ascii="Arial" w:cs="Arial" w:eastAsia="Arial" w:hAnsi="Arial"/>
          <w:sz w:val="12"/>
          <w:szCs w:val="12"/>
          <w:color w:val="auto"/>
        </w:rPr>
        <w:t>. JDC meetings shall be held quarterly, or on any other schedule agreed by the Parties. With the consent of the representatives of each Party serving on the JDC, other</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representatives of each Party may attend meetings as nonvoting observers (provided such non-voting observers have confidentiality obligations to such Party that are at least as stringent as those set forth in this Agreement). A JDC meeting may be held by audio, video or internet teleconference with the consent of each Party, but at least half (1/2) of the minimum number of meetings shall be held in person. Meetings of the JDC shall be effective only if at least one (1) representative of each Party is present or participating. Each Party shall be responsible for all of its own expenses for participating in the JDC meetings. The Parties will alternate hosting the in-person meeting, and the Party hosting is responsible for preparing and circulating the minutes of the JDC meetings.</w:t>
      </w:r>
    </w:p>
    <w:p>
      <w:pPr>
        <w:spacing w:after="0" w:line="81" w:lineRule="exact"/>
        <w:rPr>
          <w:rFonts w:ascii="Arial" w:cs="Arial" w:eastAsia="Arial" w:hAnsi="Arial"/>
          <w:sz w:val="12"/>
          <w:szCs w:val="12"/>
          <w:color w:val="auto"/>
        </w:rPr>
      </w:pPr>
    </w:p>
    <w:p>
      <w:pPr>
        <w:ind w:left="1096" w:hanging="180"/>
        <w:spacing w:after="0"/>
        <w:tabs>
          <w:tab w:leader="none" w:pos="1096" w:val="left"/>
        </w:tabs>
        <w:numPr>
          <w:ilvl w:val="1"/>
          <w:numId w:val="697"/>
        </w:numPr>
        <w:rPr>
          <w:rFonts w:ascii="Arial" w:cs="Arial" w:eastAsia="Arial" w:hAnsi="Arial"/>
          <w:sz w:val="14"/>
          <w:szCs w:val="14"/>
          <w:color w:val="auto"/>
        </w:rPr>
      </w:pPr>
      <w:r>
        <w:rPr>
          <w:rFonts w:ascii="Arial" w:cs="Arial" w:eastAsia="Arial" w:hAnsi="Arial"/>
          <w:sz w:val="14"/>
          <w:szCs w:val="14"/>
          <w:b w:val="1"/>
          <w:bCs w:val="1"/>
          <w:color w:val="auto"/>
        </w:rPr>
        <w:t>Duration of JDC</w:t>
      </w:r>
      <w:r>
        <w:rPr>
          <w:rFonts w:ascii="Arial" w:cs="Arial" w:eastAsia="Arial" w:hAnsi="Arial"/>
          <w:sz w:val="14"/>
          <w:szCs w:val="14"/>
          <w:color w:val="auto"/>
        </w:rPr>
        <w:t>. The JDC shall continue to exist until the first to occur of (a) the Parties mutually agreeing to disband the JDC or (b) termination of this Agreement.</w:t>
      </w:r>
    </w:p>
    <w:p>
      <w:pPr>
        <w:spacing w:after="0" w:line="131" w:lineRule="exact"/>
        <w:rPr>
          <w:rFonts w:ascii="Arial" w:cs="Arial" w:eastAsia="Arial" w:hAnsi="Arial"/>
          <w:sz w:val="14"/>
          <w:szCs w:val="14"/>
          <w:color w:val="auto"/>
        </w:rPr>
      </w:pPr>
    </w:p>
    <w:p>
      <w:pPr>
        <w:ind w:left="-4" w:firstLine="920"/>
        <w:spacing w:after="0" w:line="270" w:lineRule="auto"/>
        <w:tabs>
          <w:tab w:leader="none" w:pos="1105" w:val="left"/>
        </w:tabs>
        <w:numPr>
          <w:ilvl w:val="1"/>
          <w:numId w:val="697"/>
        </w:numPr>
        <w:rPr>
          <w:rFonts w:ascii="Arial" w:cs="Arial" w:eastAsia="Arial" w:hAnsi="Arial"/>
          <w:sz w:val="14"/>
          <w:szCs w:val="14"/>
          <w:color w:val="auto"/>
        </w:rPr>
      </w:pPr>
      <w:r>
        <w:rPr>
          <w:rFonts w:ascii="Arial" w:cs="Arial" w:eastAsia="Arial" w:hAnsi="Arial"/>
          <w:sz w:val="14"/>
          <w:szCs w:val="14"/>
          <w:b w:val="1"/>
          <w:bCs w:val="1"/>
          <w:color w:val="auto"/>
        </w:rPr>
        <w:t>Limitations</w:t>
      </w:r>
      <w:r>
        <w:rPr>
          <w:rFonts w:ascii="Arial" w:cs="Arial" w:eastAsia="Arial" w:hAnsi="Arial"/>
          <w:sz w:val="14"/>
          <w:szCs w:val="14"/>
          <w:color w:val="auto"/>
        </w:rPr>
        <w:t>. The JDC shall have no authority other than that expressly set forth in this Section 2.2 and, specifically, shall have no authority (a) to amend or interpret this Agreement, or (b) to</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determine whether or not a breach of this Agreement has occurred.</w:t>
      </w:r>
    </w:p>
    <w:p>
      <w:pPr>
        <w:spacing w:after="0" w:line="89" w:lineRule="exact"/>
        <w:rPr>
          <w:rFonts w:ascii="Arial" w:cs="Arial" w:eastAsia="Arial" w:hAnsi="Arial"/>
          <w:sz w:val="14"/>
          <w:szCs w:val="14"/>
          <w:color w:val="auto"/>
        </w:rPr>
      </w:pPr>
    </w:p>
    <w:p>
      <w:pPr>
        <w:ind w:left="236" w:hanging="236"/>
        <w:spacing w:after="0"/>
        <w:tabs>
          <w:tab w:leader="none" w:pos="236" w:val="left"/>
        </w:tabs>
        <w:numPr>
          <w:ilvl w:val="0"/>
          <w:numId w:val="69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36"/>
          </w:cols>
          <w:pgMar w:left="224" w:top="248" w:right="239" w:bottom="1440" w:gutter="0" w:footer="0" w:header="0"/>
        </w:sectPr>
      </w:pPr>
    </w:p>
    <w:bookmarkStart w:id="638" w:name="page639"/>
    <w:bookmarkEnd w:id="638"/>
    <w:p>
      <w:pPr>
        <w:ind w:left="140" w:hanging="136"/>
        <w:spacing w:after="0"/>
        <w:tabs>
          <w:tab w:leader="none" w:pos="140" w:val="left"/>
        </w:tabs>
        <w:numPr>
          <w:ilvl w:val="0"/>
          <w:numId w:val="698"/>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w:t>
      </w:r>
      <w:r>
        <w:rPr>
          <w:rFonts w:ascii="Arial" w:cs="Arial" w:eastAsia="Arial" w:hAnsi="Arial"/>
          <w:sz w:val="11"/>
          <w:szCs w:val="11"/>
          <w:b w:val="1"/>
          <w:bCs w:val="1"/>
          <w:color w:val="auto"/>
        </w:rPr>
        <w:t>EVELOPMENT</w:t>
      </w:r>
    </w:p>
    <w:p>
      <w:pPr>
        <w:spacing w:after="0" w:line="132"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Overview</w:t>
      </w:r>
      <w:r>
        <w:rPr>
          <w:rFonts w:ascii="Arial" w:cs="Arial" w:eastAsia="Arial" w:hAnsi="Arial"/>
          <w:sz w:val="14"/>
          <w:szCs w:val="14"/>
          <w:color w:val="auto"/>
        </w:rPr>
        <w:t>. The Parties shall use Commercially Reasonable Efforts to Develop Products in the Territory in accordance with the Phase I Clinical Development Plan and Phase II Clinical Development Plan, as set forth below, with the goal of achieving regulatory approval for the marketing of Products.</w:t>
      </w:r>
    </w:p>
    <w:p>
      <w:pPr>
        <w:spacing w:after="0" w:line="97" w:lineRule="exact"/>
        <w:rPr>
          <w:sz w:val="20"/>
          <w:szCs w:val="20"/>
          <w:color w:val="auto"/>
        </w:rPr>
      </w:pPr>
    </w:p>
    <w:p>
      <w:pPr>
        <w:ind w:right="580" w:firstLine="920"/>
        <w:spacing w:after="0" w:line="270" w:lineRule="auto"/>
        <w:tabs>
          <w:tab w:leader="none" w:pos="1101" w:val="left"/>
        </w:tabs>
        <w:numPr>
          <w:ilvl w:val="0"/>
          <w:numId w:val="699"/>
        </w:numPr>
        <w:rPr>
          <w:rFonts w:ascii="Arial" w:cs="Arial" w:eastAsia="Arial" w:hAnsi="Arial"/>
          <w:sz w:val="14"/>
          <w:szCs w:val="14"/>
          <w:color w:val="auto"/>
        </w:rPr>
      </w:pPr>
      <w:r>
        <w:rPr>
          <w:rFonts w:ascii="Arial" w:cs="Arial" w:eastAsia="Arial" w:hAnsi="Arial"/>
          <w:sz w:val="14"/>
          <w:szCs w:val="14"/>
          <w:b w:val="1"/>
          <w:bCs w:val="1"/>
          <w:color w:val="auto"/>
        </w:rPr>
        <w:t>MacroGenics Responsibilities</w:t>
      </w:r>
      <w:r>
        <w:rPr>
          <w:rFonts w:ascii="Arial" w:cs="Arial" w:eastAsia="Arial" w:hAnsi="Arial"/>
          <w:sz w:val="14"/>
          <w:szCs w:val="14"/>
          <w:color w:val="auto"/>
        </w:rPr>
        <w:t>. MacroGenics shall perform those activities for which it is identified as the responsible party in the Phase I Clinical Development Plan (unless such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responsibility is transferred to Green Cross or a Third Party by MacroGenics), including, without limitation, </w:t>
      </w:r>
      <w:r>
        <w:rPr>
          <w:rFonts w:ascii="Arial" w:cs="Arial" w:eastAsia="Arial" w:hAnsi="Arial"/>
          <w:sz w:val="14"/>
          <w:szCs w:val="14"/>
          <w:b w:val="1"/>
          <w:bCs w:val="1"/>
          <w:color w:val="auto"/>
        </w:rPr>
        <w:t>***</w:t>
      </w:r>
      <w:r>
        <w:rPr>
          <w:rFonts w:ascii="Arial" w:cs="Arial" w:eastAsia="Arial" w:hAnsi="Arial"/>
          <w:sz w:val="14"/>
          <w:szCs w:val="14"/>
          <w:color w:val="auto"/>
        </w:rPr>
        <w:t xml:space="preserve">, as appropriate,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7" w:lineRule="exact"/>
        <w:rPr>
          <w:rFonts w:ascii="Arial" w:cs="Arial" w:eastAsia="Arial" w:hAnsi="Arial"/>
          <w:sz w:val="14"/>
          <w:szCs w:val="14"/>
          <w:color w:val="auto"/>
        </w:rPr>
      </w:pPr>
    </w:p>
    <w:p>
      <w:pPr>
        <w:ind w:left="1120" w:hanging="200"/>
        <w:spacing w:after="0"/>
        <w:tabs>
          <w:tab w:leader="none" w:pos="1120" w:val="left"/>
        </w:tabs>
        <w:numPr>
          <w:ilvl w:val="0"/>
          <w:numId w:val="699"/>
        </w:numPr>
        <w:rPr>
          <w:rFonts w:ascii="Arial" w:cs="Arial" w:eastAsia="Arial" w:hAnsi="Arial"/>
          <w:sz w:val="14"/>
          <w:szCs w:val="14"/>
          <w:color w:val="auto"/>
        </w:rPr>
      </w:pPr>
      <w:r>
        <w:rPr>
          <w:rFonts w:ascii="Arial" w:cs="Arial" w:eastAsia="Arial" w:hAnsi="Arial"/>
          <w:sz w:val="14"/>
          <w:szCs w:val="14"/>
          <w:b w:val="1"/>
          <w:bCs w:val="1"/>
          <w:color w:val="auto"/>
        </w:rPr>
        <w:t>Green Cross Responsibilities</w:t>
      </w:r>
    </w:p>
    <w:p>
      <w:pPr>
        <w:spacing w:after="0" w:line="70" w:lineRule="exact"/>
        <w:rPr>
          <w:rFonts w:ascii="Arial" w:cs="Arial" w:eastAsia="Arial" w:hAnsi="Arial"/>
          <w:sz w:val="14"/>
          <w:szCs w:val="14"/>
          <w:color w:val="auto"/>
        </w:rPr>
      </w:pPr>
    </w:p>
    <w:p>
      <w:pPr>
        <w:ind w:left="920" w:firstLine="422"/>
        <w:spacing w:after="0" w:line="343" w:lineRule="auto"/>
        <w:tabs>
          <w:tab w:leader="none" w:pos="1504" w:val="left"/>
        </w:tabs>
        <w:numPr>
          <w:ilvl w:val="1"/>
          <w:numId w:val="699"/>
        </w:numPr>
        <w:rPr>
          <w:rFonts w:ascii="Arial" w:cs="Arial" w:eastAsia="Arial" w:hAnsi="Arial"/>
          <w:sz w:val="12"/>
          <w:szCs w:val="12"/>
          <w:color w:val="auto"/>
        </w:rPr>
      </w:pPr>
      <w:r>
        <w:rPr>
          <w:rFonts w:ascii="Arial" w:cs="Arial" w:eastAsia="Arial" w:hAnsi="Arial"/>
          <w:sz w:val="12"/>
          <w:szCs w:val="12"/>
          <w:color w:val="auto"/>
        </w:rPr>
        <w:t>Green Cross shall perform those activities for which it is identified as the responsible party in the Phase I Clinical Development Plan (and such other activities for which responsibility is transferred to Green Cross), and shall conduct all activities described in the Phase II Clinical Development Plan. Without limiting the foregoing, in the Territory:</w:t>
      </w:r>
    </w:p>
    <w:p>
      <w:pPr>
        <w:ind w:left="920" w:right="220" w:firstLine="422"/>
        <w:spacing w:after="0" w:line="345" w:lineRule="auto"/>
        <w:tabs>
          <w:tab w:leader="none" w:pos="1542" w:val="left"/>
        </w:tabs>
        <w:numPr>
          <w:ilvl w:val="1"/>
          <w:numId w:val="699"/>
        </w:numPr>
        <w:rPr>
          <w:rFonts w:ascii="Arial" w:cs="Arial" w:eastAsia="Arial" w:hAnsi="Arial"/>
          <w:sz w:val="12"/>
          <w:szCs w:val="12"/>
          <w:color w:val="auto"/>
        </w:rPr>
      </w:pPr>
      <w:r>
        <w:rPr>
          <w:rFonts w:ascii="Arial" w:cs="Arial" w:eastAsia="Arial" w:hAnsi="Arial"/>
          <w:sz w:val="12"/>
          <w:szCs w:val="12"/>
          <w:color w:val="auto"/>
        </w:rPr>
        <w:t xml:space="preserve">Green Cross shall (A) support clinical trial site and CRO-related activities </w:t>
      </w:r>
      <w:r>
        <w:rPr>
          <w:rFonts w:ascii="Arial" w:cs="Arial" w:eastAsia="Arial" w:hAnsi="Arial"/>
          <w:sz w:val="12"/>
          <w:szCs w:val="12"/>
          <w:b w:val="1"/>
          <w:bCs w:val="1"/>
          <w:color w:val="auto"/>
        </w:rPr>
        <w:t>***</w:t>
      </w:r>
      <w:r>
        <w:rPr>
          <w:rFonts w:ascii="Arial" w:cs="Arial" w:eastAsia="Arial" w:hAnsi="Arial"/>
          <w:sz w:val="12"/>
          <w:szCs w:val="12"/>
          <w:color w:val="auto"/>
        </w:rPr>
        <w:t xml:space="preserve">, (B) </w:t>
      </w:r>
      <w:r>
        <w:rPr>
          <w:rFonts w:ascii="Arial" w:cs="Arial" w:eastAsia="Arial" w:hAnsi="Arial"/>
          <w:sz w:val="12"/>
          <w:szCs w:val="12"/>
          <w:b w:val="1"/>
          <w:bCs w:val="1"/>
          <w:color w:val="auto"/>
        </w:rPr>
        <w:t>***</w:t>
      </w:r>
      <w:r>
        <w:rPr>
          <w:rFonts w:ascii="Arial" w:cs="Arial" w:eastAsia="Arial" w:hAnsi="Arial"/>
          <w:sz w:val="12"/>
          <w:szCs w:val="12"/>
          <w:color w:val="auto"/>
        </w:rPr>
        <w:t xml:space="preserve">; (C) support clinical trial site and CRO-related activities for the </w:t>
      </w:r>
      <w:r>
        <w:rPr>
          <w:rFonts w:ascii="Arial" w:cs="Arial" w:eastAsia="Arial" w:hAnsi="Arial"/>
          <w:sz w:val="12"/>
          <w:szCs w:val="12"/>
          <w:b w:val="1"/>
          <w:bCs w:val="1"/>
          <w:color w:val="auto"/>
        </w:rPr>
        <w:t>***</w:t>
      </w:r>
      <w:r>
        <w:rPr>
          <w:rFonts w:ascii="Arial" w:cs="Arial" w:eastAsia="Arial" w:hAnsi="Arial"/>
          <w:sz w:val="12"/>
          <w:szCs w:val="12"/>
          <w:color w:val="auto"/>
        </w:rPr>
        <w:t>, under a CTA filed by Green Cross in the Territory, and (D) support other additional Development activities responsive to unique regulatory or commercial requirements in Territory; and</w:t>
      </w:r>
    </w:p>
    <w:p>
      <w:pPr>
        <w:ind w:left="920" w:right="180" w:firstLine="422"/>
        <w:spacing w:after="0" w:line="355" w:lineRule="auto"/>
        <w:tabs>
          <w:tab w:leader="none" w:pos="1579" w:val="left"/>
        </w:tabs>
        <w:numPr>
          <w:ilvl w:val="1"/>
          <w:numId w:val="699"/>
        </w:numPr>
        <w:rPr>
          <w:rFonts w:ascii="Arial" w:cs="Arial" w:eastAsia="Arial" w:hAnsi="Arial"/>
          <w:sz w:val="12"/>
          <w:szCs w:val="12"/>
          <w:color w:val="auto"/>
        </w:rPr>
      </w:pPr>
      <w:r>
        <w:rPr>
          <w:rFonts w:ascii="Arial" w:cs="Arial" w:eastAsia="Arial" w:hAnsi="Arial"/>
          <w:sz w:val="12"/>
          <w:szCs w:val="12"/>
          <w:color w:val="auto"/>
        </w:rPr>
        <w:t xml:space="preserve">Green Cross’ responsibilities shall include the submission of all CTAs; interaction with the KFDA; </w:t>
      </w:r>
      <w:r>
        <w:rPr>
          <w:rFonts w:ascii="Arial" w:cs="Arial" w:eastAsia="Arial" w:hAnsi="Arial"/>
          <w:sz w:val="12"/>
          <w:szCs w:val="12"/>
          <w:b w:val="1"/>
          <w:bCs w:val="1"/>
          <w:color w:val="auto"/>
        </w:rPr>
        <w:t>***</w:t>
      </w:r>
      <w:r>
        <w:rPr>
          <w:rFonts w:ascii="Arial" w:cs="Arial" w:eastAsia="Arial" w:hAnsi="Arial"/>
          <w:sz w:val="12"/>
          <w:szCs w:val="12"/>
          <w:color w:val="auto"/>
        </w:rPr>
        <w:t>; provided, however, that with respect to the provision of data, information and materials, such obligation to assist shall require Green Cross to use Commercially Reasonable Efforts, and shall not require Green Cross to generate any data not within its possession.</w:t>
      </w:r>
    </w:p>
    <w:p>
      <w:pPr>
        <w:spacing w:after="0" w:line="51" w:lineRule="exact"/>
        <w:rPr>
          <w:rFonts w:ascii="Arial" w:cs="Arial" w:eastAsia="Arial" w:hAnsi="Arial"/>
          <w:sz w:val="12"/>
          <w:szCs w:val="12"/>
          <w:color w:val="auto"/>
        </w:rPr>
      </w:pPr>
    </w:p>
    <w:p>
      <w:pPr>
        <w:ind w:right="40" w:firstLine="920"/>
        <w:spacing w:after="0" w:line="259" w:lineRule="auto"/>
        <w:tabs>
          <w:tab w:leader="none" w:pos="1101" w:val="left"/>
        </w:tabs>
        <w:numPr>
          <w:ilvl w:val="0"/>
          <w:numId w:val="699"/>
        </w:numPr>
        <w:rPr>
          <w:rFonts w:ascii="Arial" w:cs="Arial" w:eastAsia="Arial" w:hAnsi="Arial"/>
          <w:sz w:val="14"/>
          <w:szCs w:val="14"/>
          <w:color w:val="auto"/>
        </w:rPr>
      </w:pPr>
      <w:r>
        <w:rPr>
          <w:rFonts w:ascii="Arial" w:cs="Arial" w:eastAsia="Arial" w:hAnsi="Arial"/>
          <w:sz w:val="14"/>
          <w:szCs w:val="14"/>
          <w:b w:val="1"/>
          <w:bCs w:val="1"/>
          <w:color w:val="auto"/>
        </w:rPr>
        <w:t>Joint and Additional Responsibilities</w:t>
      </w:r>
      <w:r>
        <w:rPr>
          <w:rFonts w:ascii="Arial" w:cs="Arial" w:eastAsia="Arial" w:hAnsi="Arial"/>
          <w:sz w:val="14"/>
          <w:szCs w:val="14"/>
          <w:color w:val="auto"/>
        </w:rPr>
        <w:t>. For activities specified in the Phase I Clinical Development Plan for which both Parties are identified as the responsible Party, the Parties’ respective</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shall be as determined by the JSC. If it is determined that the performance of activities not identified in the Phase I Development Plan are required for Completion of the Phase I Clinical Trial, then the responsibility for such activities shall be determined by the JSC.</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Development Plans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b w:val="1"/>
          <w:bCs w:val="1"/>
          <w:color w:val="auto"/>
        </w:rPr>
        <w:t>Clinical Development Plans</w:t>
      </w:r>
      <w:r>
        <w:rPr>
          <w:rFonts w:ascii="Arial" w:cs="Arial" w:eastAsia="Arial" w:hAnsi="Arial"/>
          <w:sz w:val="12"/>
          <w:szCs w:val="12"/>
          <w:color w:val="auto"/>
        </w:rPr>
        <w:t>. The JDC shall review the progress of the conduct of the Phase I Clinical Development Plan and Phase II Clinical Development Plan at each meeting of the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JDC.</w:t>
      </w:r>
    </w:p>
    <w:p>
      <w:pPr>
        <w:spacing w:after="0" w:line="115" w:lineRule="exact"/>
        <w:rPr>
          <w:sz w:val="20"/>
          <w:szCs w:val="20"/>
          <w:color w:val="auto"/>
        </w:rPr>
      </w:pPr>
    </w:p>
    <w:p>
      <w:pPr>
        <w:ind w:left="5660" w:right="1540" w:hanging="5656"/>
        <w:spacing w:after="0" w:line="438" w:lineRule="auto"/>
        <w:tabs>
          <w:tab w:leader="none" w:pos="235" w:val="left"/>
        </w:tabs>
        <w:numPr>
          <w:ilvl w:val="0"/>
          <w:numId w:val="70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17</w:t>
      </w:r>
    </w:p>
    <w:p>
      <w:pPr>
        <w:sectPr>
          <w:pgSz w:w="11900" w:h="16838" w:orient="portrait"/>
          <w:cols w:equalWidth="0" w:num="1">
            <w:col w:w="11440"/>
          </w:cols>
          <w:pgMar w:left="220" w:top="245" w:right="239" w:bottom="1440" w:gutter="0" w:footer="0" w:header="0"/>
        </w:sectPr>
      </w:pPr>
    </w:p>
    <w:bookmarkStart w:id="639" w:name="page640"/>
    <w:bookmarkEnd w:id="639"/>
    <w:p>
      <w:pPr>
        <w:ind w:left="-4" w:right="380" w:firstLine="920"/>
        <w:spacing w:after="0" w:line="355" w:lineRule="auto"/>
        <w:tabs>
          <w:tab w:leader="none" w:pos="1105" w:val="left"/>
        </w:tabs>
        <w:numPr>
          <w:ilvl w:val="0"/>
          <w:numId w:val="701"/>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Review of the Clinical Development Plans</w:t>
      </w:r>
      <w:r>
        <w:rPr>
          <w:rFonts w:ascii="Arial" w:cs="Arial" w:eastAsia="Arial" w:hAnsi="Arial"/>
          <w:sz w:val="12"/>
          <w:szCs w:val="12"/>
          <w:color w:val="auto"/>
        </w:rPr>
        <w:t>. On no less than an annual basis, the JDC shall review the Phase I Clinical Development Plan and Phase II Clinical Development Plan, as</w:t>
      </w:r>
      <w:r>
        <w:rPr>
          <w:rFonts w:ascii="Arial" w:cs="Arial" w:eastAsia="Arial" w:hAnsi="Arial"/>
          <w:sz w:val="12"/>
          <w:szCs w:val="12"/>
          <w:b w:val="1"/>
          <w:bCs w:val="1"/>
          <w:color w:val="auto"/>
        </w:rPr>
        <w:t xml:space="preserve"> </w:t>
      </w:r>
      <w:r>
        <w:rPr>
          <w:rFonts w:ascii="Arial" w:cs="Arial" w:eastAsia="Arial" w:hAnsi="Arial"/>
          <w:sz w:val="12"/>
          <w:szCs w:val="12"/>
          <w:color w:val="auto"/>
        </w:rPr>
        <w:t>appropriate, and recommend any amendment, and any changes to such plans shall be subject to the approval by the JDC and, subsequently, by the JSC.</w:t>
      </w:r>
    </w:p>
    <w:p>
      <w:pPr>
        <w:spacing w:after="0" w:line="51"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color w:val="auto"/>
        </w:rPr>
        <w:t>Conduct of Development</w:t>
      </w:r>
    </w:p>
    <w:p>
      <w:pPr>
        <w:spacing w:after="0" w:line="132" w:lineRule="exact"/>
        <w:rPr>
          <w:sz w:val="20"/>
          <w:szCs w:val="20"/>
          <w:color w:val="auto"/>
        </w:rPr>
      </w:pPr>
    </w:p>
    <w:p>
      <w:pPr>
        <w:ind w:left="-4" w:right="180" w:firstLine="920"/>
        <w:spacing w:after="0" w:line="322" w:lineRule="auto"/>
        <w:tabs>
          <w:tab w:leader="none" w:pos="1098" w:val="left"/>
        </w:tabs>
        <w:numPr>
          <w:ilvl w:val="0"/>
          <w:numId w:val="702"/>
        </w:numPr>
        <w:rPr>
          <w:rFonts w:ascii="Arial" w:cs="Arial" w:eastAsia="Arial" w:hAnsi="Arial"/>
          <w:sz w:val="12"/>
          <w:szCs w:val="12"/>
          <w:color w:val="auto"/>
        </w:rPr>
      </w:pPr>
      <w:r>
        <w:rPr>
          <w:rFonts w:ascii="Arial" w:cs="Arial" w:eastAsia="Arial" w:hAnsi="Arial"/>
          <w:sz w:val="12"/>
          <w:szCs w:val="12"/>
          <w:b w:val="1"/>
          <w:bCs w:val="1"/>
          <w:color w:val="auto"/>
        </w:rPr>
        <w:t>General Obligation</w:t>
      </w:r>
      <w:r>
        <w:rPr>
          <w:rFonts w:ascii="Arial" w:cs="Arial" w:eastAsia="Arial" w:hAnsi="Arial"/>
          <w:sz w:val="12"/>
          <w:szCs w:val="12"/>
          <w:color w:val="auto"/>
        </w:rPr>
        <w:t>. Each Party shall use Commercially Reasonable Efforts to conduct the Development activities for which it is responsible, as described in the Phase I Clinical</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Plan and Phase II Clinical Development Plan, in compliance with: (a) the terms and conditions of this Agreement; (b) the Phase I Clinical Development Plan and Phase II Clinical Development Plan, as updated from time to time; (c) all applicable GLP, GCP and applicable cGMP requirements, including, without limitation those specified by the ICH; and (d) all Applicable Laws and Regulations.</w:t>
      </w:r>
    </w:p>
    <w:p>
      <w:pPr>
        <w:spacing w:after="0" w:line="71" w:lineRule="exact"/>
        <w:rPr>
          <w:rFonts w:ascii="Arial" w:cs="Arial" w:eastAsia="Arial" w:hAnsi="Arial"/>
          <w:sz w:val="12"/>
          <w:szCs w:val="12"/>
          <w:color w:val="auto"/>
        </w:rPr>
      </w:pPr>
    </w:p>
    <w:p>
      <w:pPr>
        <w:ind w:left="1116" w:hanging="200"/>
        <w:spacing w:after="0"/>
        <w:tabs>
          <w:tab w:leader="none" w:pos="1116" w:val="left"/>
        </w:tabs>
        <w:numPr>
          <w:ilvl w:val="0"/>
          <w:numId w:val="702"/>
        </w:numPr>
        <w:rPr>
          <w:rFonts w:ascii="Arial" w:cs="Arial" w:eastAsia="Arial" w:hAnsi="Arial"/>
          <w:sz w:val="14"/>
          <w:szCs w:val="14"/>
          <w:color w:val="auto"/>
        </w:rPr>
      </w:pPr>
      <w:r>
        <w:rPr>
          <w:rFonts w:ascii="Arial" w:cs="Arial" w:eastAsia="Arial" w:hAnsi="Arial"/>
          <w:sz w:val="14"/>
          <w:szCs w:val="14"/>
          <w:b w:val="1"/>
          <w:bCs w:val="1"/>
          <w:color w:val="auto"/>
        </w:rPr>
        <w:t>Green Cross Diligence</w:t>
      </w:r>
      <w:r>
        <w:rPr>
          <w:rFonts w:ascii="Arial" w:cs="Arial" w:eastAsia="Arial" w:hAnsi="Arial"/>
          <w:sz w:val="14"/>
          <w:szCs w:val="14"/>
          <w:color w:val="auto"/>
        </w:rPr>
        <w:t>. Without limiting Section 3.3(a):</w:t>
      </w:r>
    </w:p>
    <w:p>
      <w:pPr>
        <w:spacing w:after="0" w:line="68" w:lineRule="exact"/>
        <w:rPr>
          <w:rFonts w:ascii="Arial" w:cs="Arial" w:eastAsia="Arial" w:hAnsi="Arial"/>
          <w:sz w:val="14"/>
          <w:szCs w:val="14"/>
          <w:color w:val="auto"/>
        </w:rPr>
      </w:pPr>
    </w:p>
    <w:p>
      <w:pPr>
        <w:jc w:val="both"/>
        <w:ind w:left="916" w:right="40" w:firstLine="422"/>
        <w:spacing w:after="0" w:line="259" w:lineRule="auto"/>
        <w:tabs>
          <w:tab w:leader="none" w:pos="1500" w:val="left"/>
        </w:tabs>
        <w:numPr>
          <w:ilvl w:val="1"/>
          <w:numId w:val="702"/>
        </w:numPr>
        <w:rPr>
          <w:rFonts w:ascii="Arial" w:cs="Arial" w:eastAsia="Arial" w:hAnsi="Arial"/>
          <w:sz w:val="14"/>
          <w:szCs w:val="14"/>
          <w:color w:val="auto"/>
        </w:rPr>
      </w:pPr>
      <w:r>
        <w:rPr>
          <w:rFonts w:ascii="Arial" w:cs="Arial" w:eastAsia="Arial" w:hAnsi="Arial"/>
          <w:sz w:val="14"/>
          <w:szCs w:val="14"/>
          <w:color w:val="auto"/>
        </w:rPr>
        <w:t xml:space="preserve">Green Cross shall </w:t>
      </w:r>
      <w:r>
        <w:rPr>
          <w:rFonts w:ascii="Arial" w:cs="Arial" w:eastAsia="Arial" w:hAnsi="Arial"/>
          <w:sz w:val="14"/>
          <w:szCs w:val="14"/>
          <w:b w:val="1"/>
          <w:bCs w:val="1"/>
          <w:color w:val="auto"/>
        </w:rPr>
        <w:t>***</w:t>
      </w:r>
      <w:r>
        <w:rPr>
          <w:rFonts w:ascii="Arial" w:cs="Arial" w:eastAsia="Arial" w:hAnsi="Arial"/>
          <w:sz w:val="14"/>
          <w:szCs w:val="14"/>
          <w:color w:val="auto"/>
        </w:rPr>
        <w:t>; provided, however, that if all necessary documents required for Regulatory Approval of such Commencement in the Territory, if any, are not received within a reasonable period prior to such date, other than as a result of Green Cross’ acts or omissions, then such period shall be equitably extended to account for such delay for a period mutually agreed upon in writing by the Parties;</w:t>
      </w:r>
    </w:p>
    <w:p>
      <w:pPr>
        <w:spacing w:after="0" w:line="42" w:lineRule="exact"/>
        <w:rPr>
          <w:rFonts w:ascii="Arial" w:cs="Arial" w:eastAsia="Arial" w:hAnsi="Arial"/>
          <w:sz w:val="14"/>
          <w:szCs w:val="14"/>
          <w:color w:val="auto"/>
        </w:rPr>
      </w:pPr>
    </w:p>
    <w:p>
      <w:pPr>
        <w:ind w:left="1536" w:hanging="198"/>
        <w:spacing w:after="0"/>
        <w:tabs>
          <w:tab w:leader="none" w:pos="1536" w:val="left"/>
        </w:tabs>
        <w:numPr>
          <w:ilvl w:val="1"/>
          <w:numId w:val="702"/>
        </w:numPr>
        <w:rPr>
          <w:rFonts w:ascii="Arial" w:cs="Arial" w:eastAsia="Arial" w:hAnsi="Arial"/>
          <w:sz w:val="14"/>
          <w:szCs w:val="14"/>
          <w:color w:val="auto"/>
        </w:rPr>
      </w:pPr>
      <w:r>
        <w:rPr>
          <w:rFonts w:ascii="Arial" w:cs="Arial" w:eastAsia="Arial" w:hAnsi="Arial"/>
          <w:sz w:val="14"/>
          <w:szCs w:val="14"/>
          <w:color w:val="auto"/>
        </w:rPr>
        <w:t xml:space="preserve">Green Cross shall </w:t>
      </w:r>
      <w:r>
        <w:rPr>
          <w:rFonts w:ascii="Arial" w:cs="Arial" w:eastAsia="Arial" w:hAnsi="Arial"/>
          <w:sz w:val="14"/>
          <w:szCs w:val="14"/>
          <w:b w:val="1"/>
          <w:bCs w:val="1"/>
          <w:color w:val="auto"/>
        </w:rPr>
        <w:t>***</w:t>
      </w:r>
      <w:r>
        <w:rPr>
          <w:rFonts w:ascii="Arial" w:cs="Arial" w:eastAsia="Arial" w:hAnsi="Arial"/>
          <w:sz w:val="14"/>
          <w:szCs w:val="14"/>
          <w:color w:val="auto"/>
        </w:rPr>
        <w:t>; and</w:t>
      </w:r>
    </w:p>
    <w:p>
      <w:pPr>
        <w:spacing w:after="0" w:line="68" w:lineRule="exact"/>
        <w:rPr>
          <w:rFonts w:ascii="Arial" w:cs="Arial" w:eastAsia="Arial" w:hAnsi="Arial"/>
          <w:sz w:val="14"/>
          <w:szCs w:val="14"/>
          <w:color w:val="auto"/>
        </w:rPr>
      </w:pPr>
    </w:p>
    <w:p>
      <w:pPr>
        <w:ind w:left="916" w:firstLine="422"/>
        <w:spacing w:after="0" w:line="259" w:lineRule="auto"/>
        <w:tabs>
          <w:tab w:leader="none" w:pos="1576" w:val="left"/>
        </w:tabs>
        <w:numPr>
          <w:ilvl w:val="1"/>
          <w:numId w:val="702"/>
        </w:numPr>
        <w:rPr>
          <w:rFonts w:ascii="Arial" w:cs="Arial" w:eastAsia="Arial" w:hAnsi="Arial"/>
          <w:sz w:val="14"/>
          <w:szCs w:val="14"/>
          <w:color w:val="auto"/>
        </w:rPr>
      </w:pPr>
      <w:r>
        <w:rPr>
          <w:rFonts w:ascii="Arial" w:cs="Arial" w:eastAsia="Arial" w:hAnsi="Arial"/>
          <w:sz w:val="14"/>
          <w:szCs w:val="14"/>
          <w:color w:val="auto"/>
        </w:rPr>
        <w:t xml:space="preserve">Green Cross shall use </w:t>
      </w:r>
      <w:r>
        <w:rPr>
          <w:rFonts w:ascii="Arial" w:cs="Arial" w:eastAsia="Arial" w:hAnsi="Arial"/>
          <w:sz w:val="14"/>
          <w:szCs w:val="14"/>
          <w:b w:val="1"/>
          <w:bCs w:val="1"/>
          <w:color w:val="auto"/>
        </w:rPr>
        <w:t>***</w:t>
      </w:r>
      <w:r>
        <w:rPr>
          <w:rFonts w:ascii="Arial" w:cs="Arial" w:eastAsia="Arial" w:hAnsi="Arial"/>
          <w:sz w:val="14"/>
          <w:szCs w:val="14"/>
          <w:color w:val="auto"/>
        </w:rPr>
        <w:t>; provided, however, that if all necessary documents required for Regulatory Approval of such Completion or filing in the Territory, if any, are not received within a reasonable period prior to such date, other than as a result of Green Cross’ acts or omissions, then such period shall be equitably extended to account for such delay for a period mutually agreed upon in writing by the Parties.</w:t>
      </w:r>
    </w:p>
    <w:p>
      <w:pPr>
        <w:spacing w:after="0" w:line="105" w:lineRule="exact"/>
        <w:rPr>
          <w:rFonts w:ascii="Arial" w:cs="Arial" w:eastAsia="Arial" w:hAnsi="Arial"/>
          <w:sz w:val="14"/>
          <w:szCs w:val="14"/>
          <w:color w:val="auto"/>
        </w:rPr>
      </w:pPr>
    </w:p>
    <w:p>
      <w:pPr>
        <w:ind w:left="-4" w:right="60" w:firstLine="920"/>
        <w:spacing w:after="0" w:line="270" w:lineRule="auto"/>
        <w:tabs>
          <w:tab w:leader="none" w:pos="1098" w:val="left"/>
        </w:tabs>
        <w:numPr>
          <w:ilvl w:val="0"/>
          <w:numId w:val="702"/>
        </w:numPr>
        <w:rPr>
          <w:rFonts w:ascii="Arial" w:cs="Arial" w:eastAsia="Arial" w:hAnsi="Arial"/>
          <w:sz w:val="14"/>
          <w:szCs w:val="14"/>
          <w:color w:val="auto"/>
        </w:rPr>
      </w:pPr>
      <w:r>
        <w:rPr>
          <w:rFonts w:ascii="Arial" w:cs="Arial" w:eastAsia="Arial" w:hAnsi="Arial"/>
          <w:sz w:val="14"/>
          <w:szCs w:val="14"/>
          <w:b w:val="1"/>
          <w:bCs w:val="1"/>
          <w:color w:val="auto"/>
        </w:rPr>
        <w:t>Green Cross Rights</w:t>
      </w:r>
      <w:r>
        <w:rPr>
          <w:rFonts w:ascii="Arial" w:cs="Arial" w:eastAsia="Arial" w:hAnsi="Arial"/>
          <w:sz w:val="14"/>
          <w:szCs w:val="14"/>
          <w:color w:val="auto"/>
        </w:rPr>
        <w:t>. Green Cross shall have the option to participate in any additional studies, including a Phase III Clinical Trial, with respect MGAH22 to the extent that such studies are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by a Regulatory Authority in the Territory.</w:t>
      </w:r>
    </w:p>
    <w:p>
      <w:pPr>
        <w:spacing w:after="0" w:line="97"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color w:val="auto"/>
        </w:rPr>
        <w:t>Development Costs</w:t>
      </w:r>
    </w:p>
    <w:p>
      <w:pPr>
        <w:spacing w:after="0" w:line="132" w:lineRule="exact"/>
        <w:rPr>
          <w:sz w:val="20"/>
          <w:szCs w:val="20"/>
          <w:color w:val="auto"/>
        </w:rPr>
      </w:pPr>
    </w:p>
    <w:p>
      <w:pPr>
        <w:ind w:left="-4" w:right="680" w:firstLine="920"/>
        <w:spacing w:after="0" w:line="270" w:lineRule="auto"/>
        <w:tabs>
          <w:tab w:leader="none" w:pos="1098" w:val="left"/>
        </w:tabs>
        <w:numPr>
          <w:ilvl w:val="1"/>
          <w:numId w:val="703"/>
        </w:numPr>
        <w:rPr>
          <w:rFonts w:ascii="Arial" w:cs="Arial" w:eastAsia="Arial" w:hAnsi="Arial"/>
          <w:sz w:val="14"/>
          <w:szCs w:val="14"/>
          <w:color w:val="auto"/>
        </w:rPr>
      </w:pPr>
      <w:r>
        <w:rPr>
          <w:rFonts w:ascii="Arial" w:cs="Arial" w:eastAsia="Arial" w:hAnsi="Arial"/>
          <w:sz w:val="14"/>
          <w:szCs w:val="14"/>
          <w:b w:val="1"/>
          <w:bCs w:val="1"/>
          <w:color w:val="auto"/>
        </w:rPr>
        <w:t xml:space="preserve">Phase I Clinical Development Plan. </w:t>
      </w:r>
      <w:r>
        <w:rPr>
          <w:rFonts w:ascii="Arial" w:cs="Arial" w:eastAsia="Arial" w:hAnsi="Arial"/>
          <w:sz w:val="14"/>
          <w:szCs w:val="14"/>
          <w:color w:val="auto"/>
        </w:rPr>
        <w:t>Green Cross shall be responsible for all Development Costs incurred by Green Cross in connection with the conduct of the Phase I Clinical</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Plan, including, without limitation, Third Party costs for CRO-related activities for the Phase I Clinical Trial in the Territory.</w:t>
      </w:r>
    </w:p>
    <w:p>
      <w:pPr>
        <w:spacing w:after="0" w:line="89" w:lineRule="exact"/>
        <w:rPr>
          <w:rFonts w:ascii="Arial" w:cs="Arial" w:eastAsia="Arial" w:hAnsi="Arial"/>
          <w:sz w:val="14"/>
          <w:szCs w:val="14"/>
          <w:color w:val="auto"/>
        </w:rPr>
      </w:pPr>
    </w:p>
    <w:p>
      <w:pPr>
        <w:ind w:left="236" w:hanging="236"/>
        <w:spacing w:after="0"/>
        <w:tabs>
          <w:tab w:leader="none" w:pos="236" w:val="left"/>
        </w:tabs>
        <w:numPr>
          <w:ilvl w:val="0"/>
          <w:numId w:val="70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55"/>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16"/>
          </w:cols>
          <w:pgMar w:left="224" w:top="245" w:right="259" w:bottom="1440" w:gutter="0" w:footer="0" w:header="0"/>
        </w:sectPr>
      </w:pPr>
    </w:p>
    <w:bookmarkStart w:id="640" w:name="page641"/>
    <w:bookmarkEnd w:id="640"/>
    <w:p>
      <w:pPr>
        <w:ind w:right="1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shall be responsible for all Development Costs incurred by MacroGenics in connection with the conduct of the Phase I Clinical Development Plan, including without limitation, Third Party costs for CRO-related activities for the Phase I Clinical Trial outside of the Territory, except as follows:</w:t>
      </w:r>
    </w:p>
    <w:p>
      <w:pPr>
        <w:spacing w:after="0" w:line="39" w:lineRule="exact"/>
        <w:rPr>
          <w:sz w:val="20"/>
          <w:szCs w:val="20"/>
          <w:color w:val="auto"/>
        </w:rPr>
      </w:pPr>
    </w:p>
    <w:p>
      <w:pPr>
        <w:ind w:left="1500" w:hanging="158"/>
        <w:spacing w:after="0"/>
        <w:tabs>
          <w:tab w:leader="none" w:pos="1500" w:val="left"/>
        </w:tabs>
        <w:numPr>
          <w:ilvl w:val="0"/>
          <w:numId w:val="704"/>
        </w:numPr>
        <w:rPr>
          <w:rFonts w:ascii="Arial" w:cs="Arial" w:eastAsia="Arial" w:hAnsi="Arial"/>
          <w:sz w:val="14"/>
          <w:szCs w:val="14"/>
          <w:color w:val="auto"/>
        </w:rPr>
      </w:pPr>
      <w:r>
        <w:rPr>
          <w:rFonts w:ascii="Arial" w:cs="Arial" w:eastAsia="Arial" w:hAnsi="Arial"/>
          <w:sz w:val="14"/>
          <w:szCs w:val="14"/>
          <w:u w:val="single" w:color="auto"/>
          <w:color w:val="auto"/>
        </w:rPr>
        <w:t>Clinical Materials</w:t>
      </w:r>
      <w:r>
        <w:rPr>
          <w:rFonts w:ascii="Arial" w:cs="Arial" w:eastAsia="Arial" w:hAnsi="Arial"/>
          <w:sz w:val="14"/>
          <w:szCs w:val="14"/>
          <w:color w:val="auto"/>
        </w:rPr>
        <w:t>. MacroGenics shall be responsible for the cost of the supply of all Clinical Materials for the initial Phase I Clinical Trial;</w:t>
      </w:r>
    </w:p>
    <w:p>
      <w:pPr>
        <w:spacing w:after="0" w:line="68" w:lineRule="exact"/>
        <w:rPr>
          <w:rFonts w:ascii="Arial" w:cs="Arial" w:eastAsia="Arial" w:hAnsi="Arial"/>
          <w:sz w:val="14"/>
          <w:szCs w:val="14"/>
          <w:color w:val="auto"/>
        </w:rPr>
      </w:pPr>
    </w:p>
    <w:p>
      <w:pPr>
        <w:ind w:left="920" w:right="80" w:firstLine="422"/>
        <w:spacing w:after="0" w:line="267" w:lineRule="auto"/>
        <w:tabs>
          <w:tab w:leader="none" w:pos="1541" w:val="left"/>
        </w:tabs>
        <w:numPr>
          <w:ilvl w:val="0"/>
          <w:numId w:val="704"/>
        </w:numPr>
        <w:rPr>
          <w:rFonts w:ascii="Arial" w:cs="Arial" w:eastAsia="Arial" w:hAnsi="Arial"/>
          <w:sz w:val="14"/>
          <w:szCs w:val="14"/>
          <w:color w:val="auto"/>
        </w:rPr>
      </w:pPr>
      <w:r>
        <w:rPr>
          <w:rFonts w:ascii="Arial" w:cs="Arial" w:eastAsia="Arial" w:hAnsi="Arial"/>
          <w:sz w:val="14"/>
          <w:szCs w:val="14"/>
          <w:u w:val="single" w:color="auto"/>
          <w:color w:val="auto"/>
        </w:rPr>
        <w:t>Labor Costs</w:t>
      </w:r>
      <w:r>
        <w:rPr>
          <w:rFonts w:ascii="Arial" w:cs="Arial" w:eastAsia="Arial" w:hAnsi="Arial"/>
          <w:sz w:val="14"/>
          <w:szCs w:val="14"/>
          <w:color w:val="auto"/>
        </w:rPr>
        <w:t>. Each Party shall be responsible for its direct labor costs (e.g., salaries, wages, employee benefits, overtime costs, and shirt premiums) for the conduct of its obligations under the Phase I Clinical Development Plan;</w:t>
      </w:r>
    </w:p>
    <w:p>
      <w:pPr>
        <w:spacing w:after="0" w:line="36" w:lineRule="exact"/>
        <w:rPr>
          <w:rFonts w:ascii="Arial" w:cs="Arial" w:eastAsia="Arial" w:hAnsi="Arial"/>
          <w:sz w:val="14"/>
          <w:szCs w:val="14"/>
          <w:color w:val="auto"/>
        </w:rPr>
      </w:pPr>
    </w:p>
    <w:p>
      <w:pPr>
        <w:ind w:left="920" w:right="300" w:firstLine="422"/>
        <w:spacing w:after="0" w:line="270" w:lineRule="auto"/>
        <w:tabs>
          <w:tab w:leader="none" w:pos="1579" w:val="left"/>
        </w:tabs>
        <w:numPr>
          <w:ilvl w:val="0"/>
          <w:numId w:val="704"/>
        </w:numPr>
        <w:rPr>
          <w:rFonts w:ascii="Arial" w:cs="Arial" w:eastAsia="Arial" w:hAnsi="Arial"/>
          <w:sz w:val="14"/>
          <w:szCs w:val="14"/>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MacroGenics will invoice Green Cross at the end of the applicable Calendar Quarter for the amounts due hereunder, and all such amounts shall be paid to MacroGenics by</w:t>
      </w:r>
      <w:r>
        <w:rPr>
          <w:rFonts w:ascii="Arial" w:cs="Arial" w:eastAsia="Arial" w:hAnsi="Arial"/>
          <w:sz w:val="14"/>
          <w:szCs w:val="14"/>
          <w:b w:val="1"/>
          <w:bCs w:val="1"/>
          <w:color w:val="auto"/>
        </w:rPr>
        <w:t xml:space="preserve"> </w:t>
      </w:r>
      <w:r>
        <w:rPr>
          <w:rFonts w:ascii="Arial" w:cs="Arial" w:eastAsia="Arial" w:hAnsi="Arial"/>
          <w:sz w:val="14"/>
          <w:szCs w:val="14"/>
          <w:color w:val="auto"/>
        </w:rPr>
        <w:t>Green Cross in US Dollars not later than sixty (60) days following the receipt of the applicable invoice.</w:t>
      </w:r>
    </w:p>
    <w:p>
      <w:pPr>
        <w:spacing w:after="0" w:line="34" w:lineRule="exact"/>
        <w:rPr>
          <w:rFonts w:ascii="Arial" w:cs="Arial" w:eastAsia="Arial" w:hAnsi="Arial"/>
          <w:sz w:val="14"/>
          <w:szCs w:val="14"/>
          <w:color w:val="auto"/>
        </w:rPr>
      </w:pPr>
    </w:p>
    <w:p>
      <w:pPr>
        <w:ind w:left="920" w:firstLine="422"/>
        <w:spacing w:after="0" w:line="322" w:lineRule="auto"/>
        <w:tabs>
          <w:tab w:leader="none" w:pos="1572" w:val="left"/>
        </w:tabs>
        <w:numPr>
          <w:ilvl w:val="0"/>
          <w:numId w:val="704"/>
        </w:numPr>
        <w:rPr>
          <w:rFonts w:ascii="Arial" w:cs="Arial" w:eastAsia="Arial" w:hAnsi="Arial"/>
          <w:sz w:val="12"/>
          <w:szCs w:val="12"/>
          <w:color w:val="auto"/>
        </w:rPr>
      </w:pPr>
      <w:r>
        <w:rPr>
          <w:rFonts w:ascii="Arial" w:cs="Arial" w:eastAsia="Arial" w:hAnsi="Arial"/>
          <w:sz w:val="12"/>
          <w:szCs w:val="12"/>
          <w:u w:val="single" w:color="auto"/>
          <w:color w:val="auto"/>
        </w:rPr>
        <w:t>Data Management Costs</w:t>
      </w:r>
      <w:r>
        <w:rPr>
          <w:rFonts w:ascii="Arial" w:cs="Arial" w:eastAsia="Arial" w:hAnsi="Arial"/>
          <w:sz w:val="12"/>
          <w:szCs w:val="12"/>
          <w:color w:val="auto"/>
        </w:rPr>
        <w:t xml:space="preserve">. Each Calendar Quarter, Green Cross shall reimburse MacroGenics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costs incurred by MacroGenics in connection with the management of Clinical Data from the Phase I Clinical Trials during such Calendar Quarter. MacroGenics will invoice Green Cross at the end of the applicable Calendar Quarter for the amounts due hereunder, and all such amounts shall be paid to MacroGenics by Green Cross in US Dollars not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receipt of the applicable invoice.</w:t>
      </w:r>
    </w:p>
    <w:p>
      <w:pPr>
        <w:spacing w:after="0" w:line="10" w:lineRule="exact"/>
        <w:rPr>
          <w:rFonts w:ascii="Arial" w:cs="Arial" w:eastAsia="Arial" w:hAnsi="Arial"/>
          <w:sz w:val="12"/>
          <w:szCs w:val="12"/>
          <w:color w:val="auto"/>
        </w:rPr>
      </w:pPr>
    </w:p>
    <w:p>
      <w:pPr>
        <w:ind w:left="920" w:right="20" w:firstLine="422"/>
        <w:spacing w:after="0" w:line="255" w:lineRule="auto"/>
        <w:tabs>
          <w:tab w:leader="none" w:pos="1534" w:val="left"/>
        </w:tabs>
        <w:numPr>
          <w:ilvl w:val="0"/>
          <w:numId w:val="704"/>
        </w:numPr>
        <w:rPr>
          <w:rFonts w:ascii="Arial" w:cs="Arial" w:eastAsia="Arial" w:hAnsi="Arial"/>
          <w:sz w:val="14"/>
          <w:szCs w:val="14"/>
          <w:color w:val="auto"/>
        </w:rPr>
      </w:pPr>
      <w:r>
        <w:rPr>
          <w:rFonts w:ascii="Arial" w:cs="Arial" w:eastAsia="Arial" w:hAnsi="Arial"/>
          <w:sz w:val="14"/>
          <w:szCs w:val="14"/>
          <w:u w:val="single" w:color="auto"/>
          <w:color w:val="auto"/>
        </w:rPr>
        <w:t>Insurance Costs</w:t>
      </w:r>
      <w:r>
        <w:rPr>
          <w:rFonts w:ascii="Arial" w:cs="Arial" w:eastAsia="Arial" w:hAnsi="Arial"/>
          <w:sz w:val="14"/>
          <w:szCs w:val="14"/>
          <w:color w:val="auto"/>
        </w:rPr>
        <w:t xml:space="preserve">. Each Calendar Quarter, Green Cross shall reimburse MacroGenics for all costs incurred by MacroGenics in connection with all insurance policies required for the conduct of the Phase I Clinical Trials in the Territory during such Calendar Quarter. MacroGenics will invoice Green Cross at the end of the applicable Calendar Quarter for the amounts due hereunder, and all such amounts shall be paid to MacroGenics by Green Cross in US Dollars not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receipt of the applicable invoice. MacroGenics shall include Green Cross as a named insured on each such policy acquired by MacroGenics.</w:t>
      </w:r>
    </w:p>
    <w:p>
      <w:pPr>
        <w:spacing w:after="0" w:line="45" w:lineRule="exact"/>
        <w:rPr>
          <w:rFonts w:ascii="Arial" w:cs="Arial" w:eastAsia="Arial" w:hAnsi="Arial"/>
          <w:sz w:val="14"/>
          <w:szCs w:val="14"/>
          <w:color w:val="auto"/>
        </w:rPr>
      </w:pPr>
    </w:p>
    <w:p>
      <w:pPr>
        <w:ind w:left="920" w:right="340" w:firstLine="422"/>
        <w:spacing w:after="0" w:line="270" w:lineRule="auto"/>
        <w:tabs>
          <w:tab w:leader="none" w:pos="1572" w:val="left"/>
        </w:tabs>
        <w:numPr>
          <w:ilvl w:val="0"/>
          <w:numId w:val="704"/>
        </w:numPr>
        <w:rPr>
          <w:rFonts w:ascii="Arial" w:cs="Arial" w:eastAsia="Arial" w:hAnsi="Arial"/>
          <w:sz w:val="14"/>
          <w:szCs w:val="14"/>
          <w:color w:val="auto"/>
        </w:rPr>
      </w:pPr>
      <w:r>
        <w:rPr>
          <w:rFonts w:ascii="Arial" w:cs="Arial" w:eastAsia="Arial" w:hAnsi="Arial"/>
          <w:sz w:val="14"/>
          <w:szCs w:val="14"/>
          <w:u w:val="single" w:color="auto"/>
          <w:color w:val="auto"/>
        </w:rPr>
        <w:t>Limitation on Reimbursement of</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Notwithstanding anything to contrary set forth in Section 3.4(a)(iv) or 3.4(a)(v), in no event shall Green Cross be obligated to reimburse MacroGenics for any costs in connection with the </w:t>
      </w:r>
      <w:r>
        <w:rPr>
          <w:rFonts w:ascii="Arial" w:cs="Arial" w:eastAsia="Arial" w:hAnsi="Arial"/>
          <w:sz w:val="14"/>
          <w:szCs w:val="14"/>
          <w:b w:val="1"/>
          <w:bCs w:val="1"/>
          <w:color w:val="auto"/>
        </w:rPr>
        <w:t>***</w:t>
      </w:r>
    </w:p>
    <w:p>
      <w:pPr>
        <w:spacing w:after="0" w:line="97" w:lineRule="exact"/>
        <w:rPr>
          <w:sz w:val="20"/>
          <w:szCs w:val="20"/>
          <w:color w:val="auto"/>
        </w:rPr>
      </w:pPr>
    </w:p>
    <w:p>
      <w:pPr>
        <w:ind w:right="180" w:firstLine="920"/>
        <w:spacing w:after="0" w:line="270" w:lineRule="auto"/>
        <w:tabs>
          <w:tab w:leader="none" w:pos="1109" w:val="left"/>
        </w:tabs>
        <w:numPr>
          <w:ilvl w:val="0"/>
          <w:numId w:val="705"/>
        </w:numPr>
        <w:rPr>
          <w:rFonts w:ascii="Arial" w:cs="Arial" w:eastAsia="Arial" w:hAnsi="Arial"/>
          <w:sz w:val="14"/>
          <w:szCs w:val="14"/>
          <w:color w:val="auto"/>
        </w:rPr>
      </w:pPr>
      <w:r>
        <w:rPr>
          <w:rFonts w:ascii="Arial" w:cs="Arial" w:eastAsia="Arial" w:hAnsi="Arial"/>
          <w:sz w:val="14"/>
          <w:szCs w:val="14"/>
          <w:b w:val="1"/>
          <w:bCs w:val="1"/>
          <w:color w:val="auto"/>
        </w:rPr>
        <w:t>Phase II Clinical Development Plan</w:t>
      </w:r>
      <w:r>
        <w:rPr>
          <w:rFonts w:ascii="Arial" w:cs="Arial" w:eastAsia="Arial" w:hAnsi="Arial"/>
          <w:sz w:val="14"/>
          <w:szCs w:val="14"/>
          <w:color w:val="auto"/>
        </w:rPr>
        <w:t>. Green Cross shall be responsible for all Development Costs incurred in the Territory by either Party under the Phase II Clinical Development Plan,</w:t>
      </w:r>
      <w:r>
        <w:rPr>
          <w:rFonts w:ascii="Arial" w:cs="Arial" w:eastAsia="Arial" w:hAnsi="Arial"/>
          <w:sz w:val="14"/>
          <w:szCs w:val="14"/>
          <w:b w:val="1"/>
          <w:bCs w:val="1"/>
          <w:color w:val="auto"/>
        </w:rPr>
        <w:t xml:space="preserve"> </w:t>
      </w:r>
      <w:r>
        <w:rPr>
          <w:rFonts w:ascii="Arial" w:cs="Arial" w:eastAsia="Arial" w:hAnsi="Arial"/>
          <w:sz w:val="14"/>
          <w:szCs w:val="14"/>
          <w:color w:val="auto"/>
        </w:rPr>
        <w:t>except for the cost of the supply of Clinical Materials, which shall be the responsibility of MacroGenics.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b w:val="1"/>
          <w:bCs w:val="1"/>
          <w:color w:val="auto"/>
        </w:rPr>
        <w:t>Subcontractors.</w:t>
      </w:r>
      <w:r>
        <w:rPr>
          <w:rFonts w:ascii="Arial" w:cs="Arial" w:eastAsia="Arial" w:hAnsi="Arial"/>
          <w:sz w:val="14"/>
          <w:szCs w:val="14"/>
          <w:color w:val="auto"/>
        </w:rPr>
        <w:t xml:space="preserve"> MacroGenics shall have the right to engage Third Party contractors to perform any portion of its obligations under this Agreement (provided that</w:t>
      </w:r>
    </w:p>
    <w:p>
      <w:pPr>
        <w:spacing w:after="0" w:line="123" w:lineRule="exact"/>
        <w:rPr>
          <w:sz w:val="20"/>
          <w:szCs w:val="20"/>
          <w:color w:val="auto"/>
        </w:rPr>
      </w:pPr>
    </w:p>
    <w:p>
      <w:pPr>
        <w:ind w:left="5660" w:right="1500" w:hanging="5656"/>
        <w:spacing w:after="0" w:line="438" w:lineRule="auto"/>
        <w:tabs>
          <w:tab w:leader="none" w:pos="235" w:val="left"/>
        </w:tabs>
        <w:numPr>
          <w:ilvl w:val="0"/>
          <w:numId w:val="706"/>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19</w:t>
      </w:r>
    </w:p>
    <w:p>
      <w:pPr>
        <w:sectPr>
          <w:pgSz w:w="11900" w:h="16838" w:orient="portrait"/>
          <w:cols w:equalWidth="0" w:num="1">
            <w:col w:w="11400"/>
          </w:cols>
          <w:pgMar w:left="220" w:top="247" w:right="279" w:bottom="1440" w:gutter="0" w:footer="0" w:header="0"/>
        </w:sectPr>
      </w:pPr>
    </w:p>
    <w:bookmarkStart w:id="641" w:name="page642"/>
    <w:bookmarkEnd w:id="641"/>
    <w:p>
      <w:pPr>
        <w:ind w:right="16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MacroGenics shall use Commercially Reasonable Efforts to require such Third Party contractors to cooperate with Green Cross, so as to permit Green Cross to comply with any of its development or commercial diligence obligations, and its reporting and payment obligations under any of the Upstream Agreements insofar as they relate to MGAH22 or any Product), and Green Cross shall have the right to engage a CRO in the Territory to support the conduct of the Phase I Clinical Trial </w:t>
      </w:r>
      <w:r>
        <w:rPr>
          <w:rFonts w:ascii="Arial" w:cs="Arial" w:eastAsia="Arial" w:hAnsi="Arial"/>
          <w:sz w:val="14"/>
          <w:szCs w:val="14"/>
          <w:b w:val="1"/>
          <w:bCs w:val="1"/>
          <w:color w:val="auto"/>
        </w:rPr>
        <w:t>***</w:t>
      </w:r>
      <w:r>
        <w:rPr>
          <w:rFonts w:ascii="Arial" w:cs="Arial" w:eastAsia="Arial" w:hAnsi="Arial"/>
          <w:sz w:val="14"/>
          <w:szCs w:val="14"/>
          <w:color w:val="auto"/>
        </w:rPr>
        <w:t xml:space="preserve"> (each such subcontractor, a “</w:t>
      </w:r>
      <w:r>
        <w:rPr>
          <w:rFonts w:ascii="Arial" w:cs="Arial" w:eastAsia="Arial" w:hAnsi="Arial"/>
          <w:sz w:val="14"/>
          <w:szCs w:val="14"/>
          <w:b w:val="1"/>
          <w:bCs w:val="1"/>
          <w:color w:val="auto"/>
        </w:rPr>
        <w:t>Permitted Subcontractor</w:t>
      </w:r>
      <w:r>
        <w:rPr>
          <w:rFonts w:ascii="Arial" w:cs="Arial" w:eastAsia="Arial" w:hAnsi="Arial"/>
          <w:sz w:val="14"/>
          <w:szCs w:val="14"/>
          <w:color w:val="auto"/>
        </w:rPr>
        <w:t>”). Any such Permitted Subcontractor used in the provision of services shall be required to agree in writing to be bound by terms regarding maintaining the confidentiality of proprietary information that are no less stringent than those contained in this Agreement and regarding ownership of intellectual property that are consistent with those contained in this Agreement. Either Party’s use of Permitted Subcontractors shall not relieve such Party of any of its obligations pursuant to this Agreement.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b w:val="1"/>
          <w:bCs w:val="1"/>
          <w:color w:val="auto"/>
        </w:rPr>
        <w:t>Clinical Trial Data</w:t>
      </w:r>
      <w:r>
        <w:rPr>
          <w:rFonts w:ascii="Arial" w:cs="Arial" w:eastAsia="Arial" w:hAnsi="Arial"/>
          <w:sz w:val="12"/>
          <w:szCs w:val="12"/>
          <w:color w:val="auto"/>
        </w:rPr>
        <w:t>. Except to the extent prohibited by any Applicable Law or Regulation, each Party shall provide all Clinical Data to the other on a schedule reasonably requested by the other.</w:t>
      </w:r>
    </w:p>
    <w:p>
      <w:pPr>
        <w:spacing w:after="0" w:line="155" w:lineRule="exact"/>
        <w:rPr>
          <w:sz w:val="20"/>
          <w:szCs w:val="20"/>
          <w:color w:val="auto"/>
        </w:rPr>
      </w:pPr>
    </w:p>
    <w:p>
      <w:pPr>
        <w:ind w:firstLine="458"/>
        <w:spacing w:after="0" w:line="301" w:lineRule="auto"/>
        <w:rPr>
          <w:sz w:val="20"/>
          <w:szCs w:val="20"/>
          <w:color w:val="auto"/>
        </w:rPr>
      </w:pPr>
      <w:r>
        <w:rPr>
          <w:rFonts w:ascii="Arial" w:cs="Arial" w:eastAsia="Arial" w:hAnsi="Arial"/>
          <w:sz w:val="12"/>
          <w:szCs w:val="12"/>
          <w:color w:val="auto"/>
        </w:rPr>
        <w:t xml:space="preserve">3.7 </w:t>
      </w:r>
      <w:r>
        <w:rPr>
          <w:rFonts w:ascii="Arial" w:cs="Arial" w:eastAsia="Arial" w:hAnsi="Arial"/>
          <w:sz w:val="12"/>
          <w:szCs w:val="12"/>
          <w:b w:val="1"/>
          <w:bCs w:val="1"/>
          <w:color w:val="auto"/>
        </w:rPr>
        <w:t>Information and Cooperation</w:t>
      </w:r>
      <w:r>
        <w:rPr>
          <w:rFonts w:ascii="Arial" w:cs="Arial" w:eastAsia="Arial" w:hAnsi="Arial"/>
          <w:sz w:val="12"/>
          <w:szCs w:val="12"/>
          <w:color w:val="auto"/>
        </w:rPr>
        <w:t>. In addition to the obligations under Section 3.6, each Party shall use Commercially Reasonable Efforts to keep the other Party informed of its research, Development and Commercialization (including promotional) activities hereunder, and shall provide to the other Party, as appropriate, regular summary updates. If reasonably necessary for a Party to perform its work under this Agreement or to exercise its rights under this Agreement, that Party may request that the other Party provide more detailed information and data regarding the updates it earlier provided, and the other Party shall promptly provide the requesting Party with information and data as is reasonably available and reasonably related to the work under this Agreement. Neither Party is required to generate additional data or prepare additional reports to comply with the foregoing obligation. All such reports, information and data provided shall be subject to Section 12.1. Prior to commencing the manufacture of Products or conduct of studies for the Product outside of the scope of this Agreement in the Territory, MacroGenics shall notify Green Cross of any such activity and consult with Green Cross with respect thereto; provided, however, that MacroGenics shall not undertake any such activity if and to the extent such activity would have a material adverse affect on Green Cross.</w:t>
      </w:r>
    </w:p>
    <w:p>
      <w:pPr>
        <w:spacing w:after="0" w:line="84" w:lineRule="exact"/>
        <w:rPr>
          <w:sz w:val="20"/>
          <w:szCs w:val="20"/>
          <w:color w:val="auto"/>
        </w:rPr>
      </w:pPr>
    </w:p>
    <w:p>
      <w:pPr>
        <w:ind w:right="300" w:firstLine="4"/>
        <w:spacing w:after="0" w:line="355" w:lineRule="auto"/>
        <w:tabs>
          <w:tab w:leader="none" w:pos="136" w:val="left"/>
        </w:tabs>
        <w:numPr>
          <w:ilvl w:val="0"/>
          <w:numId w:val="707"/>
        </w:numPr>
        <w:rPr>
          <w:rFonts w:ascii="Arial" w:cs="Arial" w:eastAsia="Arial" w:hAnsi="Arial"/>
          <w:sz w:val="12"/>
          <w:szCs w:val="12"/>
          <w:color w:val="auto"/>
        </w:rPr>
      </w:pPr>
      <w:r>
        <w:rPr>
          <w:rFonts w:ascii="Arial" w:cs="Arial" w:eastAsia="Arial" w:hAnsi="Arial"/>
          <w:sz w:val="12"/>
          <w:szCs w:val="12"/>
          <w:b w:val="1"/>
          <w:bCs w:val="1"/>
          <w:color w:val="auto"/>
        </w:rPr>
        <w:t>A</w:t>
      </w:r>
      <w:r>
        <w:rPr>
          <w:rFonts w:ascii="Arial" w:cs="Arial" w:eastAsia="Arial" w:hAnsi="Arial"/>
          <w:sz w:val="10"/>
          <w:szCs w:val="10"/>
          <w:b w:val="1"/>
          <w:bCs w:val="1"/>
          <w:color w:val="auto"/>
        </w:rPr>
        <w:t>DJUSTMENT OF</w:t>
      </w:r>
      <w:r>
        <w:rPr>
          <w:rFonts w:ascii="Arial" w:cs="Arial" w:eastAsia="Arial" w:hAnsi="Arial"/>
          <w:sz w:val="12"/>
          <w:szCs w:val="12"/>
          <w:b w:val="1"/>
          <w:bCs w:val="1"/>
          <w:color w:val="auto"/>
        </w:rPr>
        <w:t xml:space="preserve"> P</w:t>
      </w:r>
      <w:r>
        <w:rPr>
          <w:rFonts w:ascii="Arial" w:cs="Arial" w:eastAsia="Arial" w:hAnsi="Arial"/>
          <w:sz w:val="10"/>
          <w:szCs w:val="10"/>
          <w:b w:val="1"/>
          <w:bCs w:val="1"/>
          <w:color w:val="auto"/>
        </w:rPr>
        <w:t>HASE</w:t>
      </w:r>
      <w:r>
        <w:rPr>
          <w:rFonts w:ascii="Arial" w:cs="Arial" w:eastAsia="Arial" w:hAnsi="Arial"/>
          <w:sz w:val="12"/>
          <w:szCs w:val="12"/>
          <w:b w:val="1"/>
          <w:bCs w:val="1"/>
          <w:color w:val="auto"/>
        </w:rPr>
        <w:t xml:space="preserve"> II C</w:t>
      </w:r>
      <w:r>
        <w:rPr>
          <w:rFonts w:ascii="Arial" w:cs="Arial" w:eastAsia="Arial" w:hAnsi="Arial"/>
          <w:sz w:val="10"/>
          <w:szCs w:val="10"/>
          <w:b w:val="1"/>
          <w:bCs w:val="1"/>
          <w:color w:val="auto"/>
        </w:rPr>
        <w:t>LINICAL</w:t>
      </w:r>
      <w:r>
        <w:rPr>
          <w:rFonts w:ascii="Arial" w:cs="Arial" w:eastAsia="Arial" w:hAnsi="Arial"/>
          <w:sz w:val="12"/>
          <w:szCs w:val="12"/>
          <w:b w:val="1"/>
          <w:bCs w:val="1"/>
          <w:color w:val="auto"/>
        </w:rPr>
        <w:t xml:space="preserve"> D</w:t>
      </w:r>
      <w:r>
        <w:rPr>
          <w:rFonts w:ascii="Arial" w:cs="Arial" w:eastAsia="Arial" w:hAnsi="Arial"/>
          <w:sz w:val="10"/>
          <w:szCs w:val="10"/>
          <w:b w:val="1"/>
          <w:bCs w:val="1"/>
          <w:color w:val="auto"/>
        </w:rPr>
        <w:t>EVELOPMENT</w:t>
      </w:r>
      <w:r>
        <w:rPr>
          <w:rFonts w:ascii="Arial" w:cs="Arial" w:eastAsia="Arial" w:hAnsi="Arial"/>
          <w:sz w:val="12"/>
          <w:szCs w:val="12"/>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2"/>
          <w:szCs w:val="12"/>
          <w:color w:val="auto"/>
        </w:rPr>
        <w:t>. If the Parties agree to add additional patients or Indications to the Phase II Clinical Development Plan, or replace the Indication specified</w:t>
      </w:r>
      <w:r>
        <w:rPr>
          <w:rFonts w:ascii="Arial" w:cs="Arial" w:eastAsia="Arial" w:hAnsi="Arial"/>
          <w:sz w:val="12"/>
          <w:szCs w:val="12"/>
          <w:b w:val="1"/>
          <w:bCs w:val="1"/>
          <w:color w:val="auto"/>
        </w:rPr>
        <w:t xml:space="preserve"> </w:t>
      </w:r>
      <w:r>
        <w:rPr>
          <w:rFonts w:ascii="Arial" w:cs="Arial" w:eastAsia="Arial" w:hAnsi="Arial"/>
          <w:sz w:val="12"/>
          <w:szCs w:val="12"/>
          <w:color w:val="auto"/>
        </w:rPr>
        <w:t>therein as of the Effective Date with a new Indication, then the Parties shall negotiate in good faith to agree upon the terms applicable to such expansion or change.</w:t>
      </w:r>
    </w:p>
    <w:p>
      <w:pPr>
        <w:spacing w:after="0" w:line="43" w:lineRule="exact"/>
        <w:rPr>
          <w:sz w:val="20"/>
          <w:szCs w:val="20"/>
          <w:color w:val="auto"/>
        </w:rPr>
      </w:pPr>
    </w:p>
    <w:p>
      <w:pPr>
        <w:ind w:left="5660" w:right="1520" w:hanging="5656"/>
        <w:spacing w:after="0" w:line="438" w:lineRule="auto"/>
        <w:tabs>
          <w:tab w:leader="none" w:pos="235" w:val="left"/>
        </w:tabs>
        <w:numPr>
          <w:ilvl w:val="0"/>
          <w:numId w:val="70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20</w:t>
      </w:r>
    </w:p>
    <w:p>
      <w:pPr>
        <w:sectPr>
          <w:pgSz w:w="11900" w:h="16838" w:orient="portrait"/>
          <w:cols w:equalWidth="0" w:num="1">
            <w:col w:w="11420"/>
          </w:cols>
          <w:pgMar w:left="220" w:top="247" w:right="259" w:bottom="1440" w:gutter="0" w:footer="0" w:header="0"/>
        </w:sectPr>
      </w:pPr>
    </w:p>
    <w:bookmarkStart w:id="642" w:name="page643"/>
    <w:bookmarkEnd w:id="642"/>
    <w:p>
      <w:pPr>
        <w:ind w:left="140" w:hanging="136"/>
        <w:spacing w:after="0"/>
        <w:tabs>
          <w:tab w:leader="none" w:pos="140" w:val="left"/>
        </w:tabs>
        <w:numPr>
          <w:ilvl w:val="0"/>
          <w:numId w:val="709"/>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w:t>
      </w:r>
      <w:r>
        <w:rPr>
          <w:rFonts w:ascii="Arial" w:cs="Arial" w:eastAsia="Arial" w:hAnsi="Arial"/>
          <w:sz w:val="11"/>
          <w:szCs w:val="11"/>
          <w:b w:val="1"/>
          <w:bCs w:val="1"/>
          <w:color w:val="auto"/>
        </w:rPr>
        <w:t>OMMERCIALIZATION</w:t>
      </w:r>
    </w:p>
    <w:p>
      <w:pPr>
        <w:spacing w:after="0" w:line="132" w:lineRule="exact"/>
        <w:rPr>
          <w:sz w:val="20"/>
          <w:szCs w:val="20"/>
          <w:color w:val="auto"/>
        </w:rPr>
      </w:pPr>
    </w:p>
    <w:p>
      <w:pPr>
        <w:ind w:right="120" w:firstLine="458"/>
        <w:spacing w:after="0" w:line="303"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b w:val="1"/>
          <w:bCs w:val="1"/>
          <w:color w:val="auto"/>
        </w:rPr>
        <w:t>Overview.</w:t>
      </w:r>
      <w:r>
        <w:rPr>
          <w:rFonts w:ascii="Arial" w:cs="Arial" w:eastAsia="Arial" w:hAnsi="Arial"/>
          <w:sz w:val="12"/>
          <w:szCs w:val="12"/>
          <w:color w:val="auto"/>
        </w:rPr>
        <w:t xml:space="preserve"> Green Cross shall have full responsibility and authority for all aspects of the Commercialization of Products in the Territory at its sole expense, including, without limitation, developing and executing a plan for commercial launch, obtaining all required approvals from Regulatory Authorities for Commercialization (including, without limitation, reimbursement activities), marketing and promotion, booking sales and distribution and performance of related services, providing customer support, including handling medical queries, and performing other related functions. Green Cross shall use Commercially Reasonable Efforts to Commercialize the Products. Green Cross shall update MacroGenics regarding its Commercialization activities at regular meetings of the JSC as contemplated by Section 2.1.(e). As between Green Cross and MacroGenics, </w:t>
      </w:r>
      <w:r>
        <w:rPr>
          <w:rFonts w:ascii="Arial" w:cs="Arial" w:eastAsia="Arial" w:hAnsi="Arial"/>
          <w:sz w:val="12"/>
          <w:szCs w:val="12"/>
          <w:b w:val="1"/>
          <w:bCs w:val="1"/>
          <w:color w:val="auto"/>
        </w:rPr>
        <w:t>***</w:t>
      </w:r>
      <w:r>
        <w:rPr>
          <w:rFonts w:ascii="Arial" w:cs="Arial" w:eastAsia="Arial" w:hAnsi="Arial"/>
          <w:sz w:val="12"/>
          <w:szCs w:val="12"/>
          <w:color w:val="auto"/>
        </w:rPr>
        <w:t>. Green Cross shall bear all of the costs and expenses incurred in connection with all such Commercialization activities in the Territory. Green Cross shall timely notify MacroGenics as to the occurrence of the First Commercial Sale in the Territory.</w:t>
      </w:r>
    </w:p>
    <w:p>
      <w:pPr>
        <w:spacing w:after="0" w:line="83" w:lineRule="exact"/>
        <w:rPr>
          <w:sz w:val="20"/>
          <w:szCs w:val="20"/>
          <w:color w:val="auto"/>
        </w:rPr>
      </w:pPr>
    </w:p>
    <w:p>
      <w:pPr>
        <w:ind w:firstLine="458"/>
        <w:spacing w:after="0" w:line="303"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b w:val="1"/>
          <w:bCs w:val="1"/>
          <w:color w:val="auto"/>
        </w:rPr>
        <w:t>Product Labeling; Promotional Materials.</w:t>
      </w:r>
      <w:r>
        <w:rPr>
          <w:rFonts w:ascii="Arial" w:cs="Arial" w:eastAsia="Arial" w:hAnsi="Arial"/>
          <w:sz w:val="12"/>
          <w:szCs w:val="12"/>
          <w:color w:val="auto"/>
        </w:rPr>
        <w:t xml:space="preserve"> Green Cross shall Commercialize the Products in the Territory under the worldwide brand specified by MacroGenics (“</w:t>
      </w:r>
      <w:r>
        <w:rPr>
          <w:rFonts w:ascii="Arial" w:cs="Arial" w:eastAsia="Arial" w:hAnsi="Arial"/>
          <w:sz w:val="12"/>
          <w:szCs w:val="12"/>
          <w:b w:val="1"/>
          <w:bCs w:val="1"/>
          <w:color w:val="auto"/>
        </w:rPr>
        <w:t>Product Brand</w:t>
      </w:r>
      <w:r>
        <w:rPr>
          <w:rFonts w:ascii="Arial" w:cs="Arial" w:eastAsia="Arial" w:hAnsi="Arial"/>
          <w:sz w:val="12"/>
          <w:szCs w:val="12"/>
          <w:color w:val="auto"/>
        </w:rPr>
        <w:t>”), except to the extent such branding is not permitted by any applicable Regulatory Authority, or deemed culturally inappropriate, in the Territory, in which case MacroGenics shall specify an alternate Product Brand. Except for the depiction of trademarks, logos and other symbols that are intended to identify MacroGenics’ as a company or the manufacturer or owner of a Product, Green Cross shall be responsible for designing and supplying the printable artworks of product labeling in electronic version and promotional materials for the Products for the Territory. Green Cross shall be responsible for how and the manner in which Products shall be presented and described in the Territory to the medical community in any promotional materials for a Product intended to be disseminated in the Territory, and the placement of the name and logos of Green Cross therein, in each case as permitted by applicable law and consistent with the Product Brand and labeling for the Products approved by the applicable Regulatory Authority.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b w:val="1"/>
          <w:bCs w:val="1"/>
          <w:color w:val="auto"/>
        </w:rPr>
        <w:t>Sales and Distribution</w:t>
      </w:r>
    </w:p>
    <w:p>
      <w:pPr>
        <w:spacing w:after="0" w:line="132" w:lineRule="exact"/>
        <w:rPr>
          <w:sz w:val="20"/>
          <w:szCs w:val="20"/>
          <w:color w:val="auto"/>
        </w:rPr>
      </w:pPr>
    </w:p>
    <w:p>
      <w:pPr>
        <w:ind w:right="60" w:firstLine="920"/>
        <w:spacing w:after="0" w:line="306" w:lineRule="auto"/>
        <w:tabs>
          <w:tab w:leader="none" w:pos="1101" w:val="left"/>
        </w:tabs>
        <w:numPr>
          <w:ilvl w:val="1"/>
          <w:numId w:val="710"/>
        </w:numPr>
        <w:rPr>
          <w:rFonts w:ascii="Arial" w:cs="Arial" w:eastAsia="Arial" w:hAnsi="Arial"/>
          <w:sz w:val="12"/>
          <w:szCs w:val="12"/>
          <w:color w:val="auto"/>
        </w:rPr>
      </w:pPr>
      <w:r>
        <w:rPr>
          <w:rFonts w:ascii="Arial" w:cs="Arial" w:eastAsia="Arial" w:hAnsi="Arial"/>
          <w:sz w:val="12"/>
          <w:szCs w:val="12"/>
          <w:b w:val="1"/>
          <w:bCs w:val="1"/>
          <w:color w:val="auto"/>
        </w:rPr>
        <w:t>Orders and Sales</w:t>
      </w:r>
      <w:r>
        <w:rPr>
          <w:rFonts w:ascii="Arial" w:cs="Arial" w:eastAsia="Arial" w:hAnsi="Arial"/>
          <w:sz w:val="12"/>
          <w:szCs w:val="12"/>
          <w:color w:val="auto"/>
        </w:rPr>
        <w:t>. Green Cross shall be solely responsible for handling all returns, order processing, invoicing and collection, distribution, and inventory and receivables for the Products</w:t>
      </w:r>
      <w:r>
        <w:rPr>
          <w:rFonts w:ascii="Arial" w:cs="Arial" w:eastAsia="Arial" w:hAnsi="Arial"/>
          <w:sz w:val="12"/>
          <w:szCs w:val="12"/>
          <w:b w:val="1"/>
          <w:bCs w:val="1"/>
          <w:color w:val="auto"/>
        </w:rPr>
        <w:t xml:space="preserve"> </w:t>
      </w:r>
      <w:r>
        <w:rPr>
          <w:rFonts w:ascii="Arial" w:cs="Arial" w:eastAsia="Arial" w:hAnsi="Arial"/>
          <w:sz w:val="12"/>
          <w:szCs w:val="12"/>
          <w:color w:val="auto"/>
        </w:rPr>
        <w:t>throughout the Territory. Green Cross shall have the right and sole responsibility for establishing and modifying the terms and conditions with respect to the sale of the Products in the Territory, including any terms and conditions relating to or affecting the price at which the Products shall be sold, discounts available to any Third Party payers (including, without limitation, managed care providers, indemnity plans, unions, self insured entities, and government payer, insurance or contracting programs), any discount attributable to payments on receivables, distribution of the Products, and credits, price adjustments, or other discounts and allowances to be granted or refused; provided, however, that Green Cross shall act in good faith when doing the foregoing.</w:t>
      </w:r>
    </w:p>
    <w:p>
      <w:pPr>
        <w:spacing w:after="0" w:line="73" w:lineRule="exact"/>
        <w:rPr>
          <w:rFonts w:ascii="Arial" w:cs="Arial" w:eastAsia="Arial" w:hAnsi="Arial"/>
          <w:sz w:val="12"/>
          <w:szCs w:val="12"/>
          <w:color w:val="auto"/>
        </w:rPr>
      </w:pPr>
    </w:p>
    <w:p>
      <w:pPr>
        <w:ind w:left="240" w:hanging="236"/>
        <w:spacing w:after="0"/>
        <w:tabs>
          <w:tab w:leader="none" w:pos="240" w:val="left"/>
        </w:tabs>
        <w:numPr>
          <w:ilvl w:val="0"/>
          <w:numId w:val="71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40"/>
          </w:cols>
          <w:pgMar w:left="220" w:top="245" w:right="239" w:bottom="1440" w:gutter="0" w:footer="0" w:header="0"/>
        </w:sectPr>
      </w:pPr>
    </w:p>
    <w:bookmarkStart w:id="643" w:name="page644"/>
    <w:bookmarkEnd w:id="643"/>
    <w:p>
      <w:pPr>
        <w:ind w:right="20" w:firstLine="920"/>
        <w:spacing w:after="0" w:line="254" w:lineRule="auto"/>
        <w:tabs>
          <w:tab w:leader="none" w:pos="1109" w:val="left"/>
        </w:tabs>
        <w:numPr>
          <w:ilvl w:val="0"/>
          <w:numId w:val="711"/>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Pricing</w:t>
      </w:r>
      <w:r>
        <w:rPr>
          <w:rFonts w:ascii="Arial" w:cs="Arial" w:eastAsia="Arial" w:hAnsi="Arial"/>
          <w:sz w:val="14"/>
          <w:szCs w:val="14"/>
          <w:color w:val="auto"/>
        </w:rPr>
        <w:t>. Green Cross shall have the sole right to determine all pricing of the Products in the Territory. Notwithstanding anything in this Agreement express or implied to the contrary,</w:t>
      </w:r>
      <w:r>
        <w:rPr>
          <w:rFonts w:ascii="Arial" w:cs="Arial" w:eastAsia="Arial" w:hAnsi="Arial"/>
          <w:sz w:val="14"/>
          <w:szCs w:val="14"/>
          <w:b w:val="1"/>
          <w:bCs w:val="1"/>
          <w:color w:val="auto"/>
        </w:rPr>
        <w:t xml:space="preserve"> </w:t>
      </w:r>
      <w:r>
        <w:rPr>
          <w:rFonts w:ascii="Arial" w:cs="Arial" w:eastAsia="Arial" w:hAnsi="Arial"/>
          <w:sz w:val="14"/>
          <w:szCs w:val="14"/>
          <w:color w:val="auto"/>
        </w:rPr>
        <w:t>MacroGenics shall not have any right to direct, control, or approve Green Cross’ pricing of Products for the Territory. The provision to MacroGenics of any pricing data is for informational purposes only. Green Cross shall be responsible for preparing and implementing the reimbursement strategy for the Products in the Territory. However, except to the extent prohibited by Applicable Laws and Regulations, MacroGenics shall use Commercially Reasonable Efforts to provide all the necessary data so that Green Cross can file for the medical reimbursement price in the Territory; provided, however, that MacroGenics shall not be obligated to generate any data not within its possession.</w:t>
      </w:r>
    </w:p>
    <w:p>
      <w:pPr>
        <w:spacing w:after="0" w:line="109"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b w:val="1"/>
          <w:bCs w:val="1"/>
          <w:color w:val="auto"/>
        </w:rPr>
        <w:t>Compliance</w:t>
      </w:r>
      <w:r>
        <w:rPr>
          <w:rFonts w:ascii="Arial" w:cs="Arial" w:eastAsia="Arial" w:hAnsi="Arial"/>
          <w:sz w:val="14"/>
          <w:szCs w:val="14"/>
          <w:color w:val="auto"/>
        </w:rPr>
        <w:t>. Each Party shall comply with the terms of this Agreement and all Applicable Laws and Regulations relating to activities performed or to be performed by such Party (or its Affiliates, contractor(s) or Sublicensee(s)) under or in relation to the Commercialization of the Products pursuant to this Agreement.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b w:val="1"/>
          <w:bCs w:val="1"/>
          <w:color w:val="auto"/>
        </w:rPr>
        <w:t>Commercialization Diligence</w:t>
      </w:r>
    </w:p>
    <w:p>
      <w:pPr>
        <w:spacing w:after="0" w:line="132" w:lineRule="exact"/>
        <w:rPr>
          <w:sz w:val="20"/>
          <w:szCs w:val="20"/>
          <w:color w:val="auto"/>
        </w:rPr>
      </w:pPr>
    </w:p>
    <w:p>
      <w:pPr>
        <w:ind w:firstLine="920"/>
        <w:spacing w:after="0" w:line="254" w:lineRule="auto"/>
        <w:tabs>
          <w:tab w:leader="none" w:pos="1101" w:val="left"/>
        </w:tabs>
        <w:numPr>
          <w:ilvl w:val="0"/>
          <w:numId w:val="712"/>
        </w:numPr>
        <w:rPr>
          <w:rFonts w:ascii="Arial" w:cs="Arial" w:eastAsia="Arial" w:hAnsi="Arial"/>
          <w:sz w:val="14"/>
          <w:szCs w:val="14"/>
          <w:color w:val="auto"/>
        </w:rPr>
      </w:pPr>
      <w:r>
        <w:rPr>
          <w:rFonts w:ascii="Arial" w:cs="Arial" w:eastAsia="Arial" w:hAnsi="Arial"/>
          <w:sz w:val="14"/>
          <w:szCs w:val="14"/>
          <w:b w:val="1"/>
          <w:bCs w:val="1"/>
          <w:color w:val="auto"/>
        </w:rPr>
        <w:t>Prior to Submission of First BLA</w:t>
      </w:r>
      <w:r>
        <w:rPr>
          <w:rFonts w:ascii="Arial" w:cs="Arial" w:eastAsia="Arial" w:hAnsi="Arial"/>
          <w:sz w:val="14"/>
          <w:szCs w:val="14"/>
          <w:color w:val="auto"/>
        </w:rPr>
        <w:t>. For each Product under Development, prior to the submission of the first BLA to the first Regulatory Authority in the Territory, Green Cross shall submit</w:t>
      </w:r>
      <w:r>
        <w:rPr>
          <w:rFonts w:ascii="Arial" w:cs="Arial" w:eastAsia="Arial" w:hAnsi="Arial"/>
          <w:sz w:val="14"/>
          <w:szCs w:val="14"/>
          <w:b w:val="1"/>
          <w:bCs w:val="1"/>
          <w:color w:val="auto"/>
        </w:rPr>
        <w:t xml:space="preserve"> </w:t>
      </w:r>
      <w:r>
        <w:rPr>
          <w:rFonts w:ascii="Arial" w:cs="Arial" w:eastAsia="Arial" w:hAnsi="Arial"/>
          <w:sz w:val="14"/>
          <w:szCs w:val="14"/>
          <w:color w:val="auto"/>
        </w:rPr>
        <w:t>to the JSC a written summary plan for the Commercialization for each such Product under Development. Thereafter, Green Cross shall regularly report on its Commercialization activities at meetings of the JSC or, if formed, the Joint Commercialization Committee. Such reports shall cover subject matter at a level of detail similar to that which Green Cross affords to its senior executives with respect to similar Green Cross products. All such plans and information shall be presented for discussion purposes, and Green Cross agrees to consider in good faith any comments or suggestions MacroGenics may make with respect to Commercialization of Products.</w:t>
      </w:r>
    </w:p>
    <w:p>
      <w:pPr>
        <w:spacing w:after="0" w:line="109" w:lineRule="exact"/>
        <w:rPr>
          <w:rFonts w:ascii="Arial" w:cs="Arial" w:eastAsia="Arial" w:hAnsi="Arial"/>
          <w:sz w:val="14"/>
          <w:szCs w:val="14"/>
          <w:color w:val="auto"/>
        </w:rPr>
      </w:pPr>
    </w:p>
    <w:p>
      <w:pPr>
        <w:ind w:right="240" w:firstLine="920"/>
        <w:spacing w:after="0" w:line="270" w:lineRule="auto"/>
        <w:tabs>
          <w:tab w:leader="none" w:pos="1109" w:val="left"/>
        </w:tabs>
        <w:numPr>
          <w:ilvl w:val="0"/>
          <w:numId w:val="712"/>
        </w:numPr>
        <w:rPr>
          <w:rFonts w:ascii="Arial" w:cs="Arial" w:eastAsia="Arial" w:hAnsi="Arial"/>
          <w:sz w:val="14"/>
          <w:szCs w:val="14"/>
          <w:color w:val="auto"/>
        </w:rPr>
      </w:pPr>
      <w:r>
        <w:rPr>
          <w:rFonts w:ascii="Arial" w:cs="Arial" w:eastAsia="Arial" w:hAnsi="Arial"/>
          <w:sz w:val="14"/>
          <w:szCs w:val="14"/>
          <w:b w:val="1"/>
          <w:bCs w:val="1"/>
          <w:color w:val="auto"/>
        </w:rPr>
        <w:t xml:space="preserve">Launch. </w:t>
      </w:r>
      <w:r>
        <w:rPr>
          <w:rFonts w:ascii="Arial" w:cs="Arial" w:eastAsia="Arial" w:hAnsi="Arial"/>
          <w:sz w:val="14"/>
          <w:szCs w:val="14"/>
          <w:color w:val="auto"/>
        </w:rPr>
        <w:t>Green Cross shall launch each Product in the Territory</w:t>
      </w:r>
      <w:r>
        <w:rPr>
          <w:rFonts w:ascii="Arial" w:cs="Arial" w:eastAsia="Arial" w:hAnsi="Arial"/>
          <w:sz w:val="14"/>
          <w:szCs w:val="14"/>
          <w:b w:val="1"/>
          <w:bCs w:val="1"/>
          <w:color w:val="auto"/>
        </w:rPr>
        <w:t xml:space="preserve"> ***</w:t>
      </w:r>
      <w:r>
        <w:rPr>
          <w:rFonts w:ascii="Arial" w:cs="Arial" w:eastAsia="Arial" w:hAnsi="Arial"/>
          <w:sz w:val="14"/>
          <w:szCs w:val="14"/>
          <w:color w:val="auto"/>
        </w:rPr>
        <w:t>, provided that MacroGenics has supplied Product ordered by Green Cross in accordance with Section 6.2(c) for such</w:t>
      </w:r>
      <w:r>
        <w:rPr>
          <w:rFonts w:ascii="Arial" w:cs="Arial" w:eastAsia="Arial" w:hAnsi="Arial"/>
          <w:sz w:val="14"/>
          <w:szCs w:val="14"/>
          <w:b w:val="1"/>
          <w:bCs w:val="1"/>
          <w:color w:val="auto"/>
        </w:rPr>
        <w:t xml:space="preserve"> </w:t>
      </w:r>
      <w:r>
        <w:rPr>
          <w:rFonts w:ascii="Arial" w:cs="Arial" w:eastAsia="Arial" w:hAnsi="Arial"/>
          <w:sz w:val="14"/>
          <w:szCs w:val="14"/>
          <w:color w:val="auto"/>
        </w:rPr>
        <w:t>launch within a reasonable period prior to the planned launch date.</w:t>
      </w:r>
    </w:p>
    <w:p>
      <w:pPr>
        <w:spacing w:after="0" w:line="97" w:lineRule="exact"/>
        <w:rPr>
          <w:rFonts w:ascii="Arial" w:cs="Arial" w:eastAsia="Arial" w:hAnsi="Arial"/>
          <w:sz w:val="14"/>
          <w:szCs w:val="14"/>
          <w:color w:val="auto"/>
        </w:rPr>
      </w:pPr>
    </w:p>
    <w:p>
      <w:pPr>
        <w:ind w:left="1100" w:hanging="180"/>
        <w:spacing w:after="0"/>
        <w:tabs>
          <w:tab w:leader="none" w:pos="1100" w:val="left"/>
        </w:tabs>
        <w:numPr>
          <w:ilvl w:val="0"/>
          <w:numId w:val="712"/>
        </w:numPr>
        <w:rPr>
          <w:rFonts w:ascii="Arial" w:cs="Arial" w:eastAsia="Arial" w:hAnsi="Arial"/>
          <w:sz w:val="12"/>
          <w:szCs w:val="12"/>
          <w:color w:val="auto"/>
        </w:rPr>
      </w:pPr>
      <w:r>
        <w:rPr>
          <w:rFonts w:ascii="Arial" w:cs="Arial" w:eastAsia="Arial" w:hAnsi="Arial"/>
          <w:sz w:val="12"/>
          <w:szCs w:val="12"/>
          <w:b w:val="1"/>
          <w:bCs w:val="1"/>
          <w:color w:val="auto"/>
        </w:rPr>
        <w:t>Following Regulatory Approval</w:t>
      </w:r>
      <w:r>
        <w:rPr>
          <w:rFonts w:ascii="Arial" w:cs="Arial" w:eastAsia="Arial" w:hAnsi="Arial"/>
          <w:sz w:val="12"/>
          <w:szCs w:val="12"/>
          <w:color w:val="auto"/>
        </w:rPr>
        <w:t>. Green Cross shall use Commercially Reasonable Efforts to Commercialize each Product in the Territory after obtaining Regulatory Approval for such</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Product.</w:t>
      </w:r>
    </w:p>
    <w:p>
      <w:pPr>
        <w:spacing w:after="0" w:line="124" w:lineRule="exact"/>
        <w:rPr>
          <w:sz w:val="20"/>
          <w:szCs w:val="20"/>
          <w:color w:val="auto"/>
        </w:rPr>
      </w:pPr>
    </w:p>
    <w:p>
      <w:pPr>
        <w:ind w:firstLine="458"/>
        <w:spacing w:after="0" w:line="355"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b w:val="1"/>
          <w:bCs w:val="1"/>
          <w:color w:val="auto"/>
        </w:rPr>
        <w:t>Upstream Agreements.</w:t>
      </w:r>
      <w:r>
        <w:rPr>
          <w:rFonts w:ascii="Arial" w:cs="Arial" w:eastAsia="Arial" w:hAnsi="Arial"/>
          <w:sz w:val="12"/>
          <w:szCs w:val="12"/>
          <w:color w:val="auto"/>
        </w:rPr>
        <w:t xml:space="preserve"> Green Cross agrees to provide to MacroGenics such information as it reasonably requires, or otherwise cooperate with MacroGenics, so as to permit MacroGenics to comply with any of its development or commercial diligence obligations, and reporting and payment obligations under any of the Upstream Agreements insofar as they relate to MGAH22 or any Product.</w:t>
      </w:r>
    </w:p>
    <w:p>
      <w:pPr>
        <w:spacing w:after="0" w:line="43" w:lineRule="exact"/>
        <w:rPr>
          <w:sz w:val="20"/>
          <w:szCs w:val="20"/>
          <w:color w:val="auto"/>
        </w:rPr>
      </w:pPr>
    </w:p>
    <w:p>
      <w:pPr>
        <w:ind w:left="5660" w:right="1540" w:hanging="5656"/>
        <w:spacing w:after="0" w:line="438" w:lineRule="auto"/>
        <w:tabs>
          <w:tab w:leader="none" w:pos="235" w:val="left"/>
        </w:tabs>
        <w:numPr>
          <w:ilvl w:val="0"/>
          <w:numId w:val="71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22</w:t>
      </w:r>
    </w:p>
    <w:p>
      <w:pPr>
        <w:sectPr>
          <w:pgSz w:w="11900" w:h="16838" w:orient="portrait"/>
          <w:cols w:equalWidth="0" w:num="1">
            <w:col w:w="11440"/>
          </w:cols>
          <w:pgMar w:left="220" w:top="245" w:right="239" w:bottom="1440" w:gutter="0" w:footer="0" w:header="0"/>
        </w:sectPr>
      </w:pPr>
    </w:p>
    <w:bookmarkStart w:id="644" w:name="page645"/>
    <w:bookmarkEnd w:id="644"/>
    <w:p>
      <w:pPr>
        <w:ind w:left="140" w:hanging="136"/>
        <w:spacing w:after="0"/>
        <w:tabs>
          <w:tab w:leader="none" w:pos="140" w:val="left"/>
        </w:tabs>
        <w:numPr>
          <w:ilvl w:val="0"/>
          <w:numId w:val="714"/>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w:t>
      </w:r>
      <w:r>
        <w:rPr>
          <w:rFonts w:ascii="Arial" w:cs="Arial" w:eastAsia="Arial" w:hAnsi="Arial"/>
          <w:sz w:val="11"/>
          <w:szCs w:val="11"/>
          <w:b w:val="1"/>
          <w:bCs w:val="1"/>
          <w:color w:val="auto"/>
        </w:rPr>
        <w:t>ANUFACTURE AND</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UPPLY</w:t>
      </w:r>
    </w:p>
    <w:p>
      <w:pPr>
        <w:spacing w:after="0" w:line="132"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Clinical Supply of Products</w:t>
      </w:r>
      <w:r>
        <w:rPr>
          <w:rFonts w:ascii="Arial" w:cs="Arial" w:eastAsia="Arial" w:hAnsi="Arial"/>
          <w:sz w:val="14"/>
          <w:szCs w:val="14"/>
          <w:color w:val="auto"/>
        </w:rPr>
        <w:t>. MacroGenics shall be responsible for the manufacture of all Product required for the clinical trials described in the Phase I Clinical Development Plan, Phase II Clinical Development Plan and, if any, additional development plans, including any plan for a Phase III Clinical Trial, agreed upon in writing by the Parties for additional studies under this Agreement, either by itself or through one or more Third Parties, including all costs of such manufacture, as set forth in Section 3.4.</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Commercial Supply of Products</w:t>
      </w:r>
    </w:p>
    <w:p>
      <w:pPr>
        <w:spacing w:after="0" w:line="132" w:lineRule="exact"/>
        <w:rPr>
          <w:sz w:val="20"/>
          <w:szCs w:val="20"/>
          <w:color w:val="auto"/>
        </w:rPr>
      </w:pPr>
    </w:p>
    <w:p>
      <w:pPr>
        <w:ind w:right="80" w:firstLine="920"/>
        <w:spacing w:after="0" w:line="270" w:lineRule="auto"/>
        <w:tabs>
          <w:tab w:leader="none" w:pos="1101" w:val="left"/>
        </w:tabs>
        <w:numPr>
          <w:ilvl w:val="1"/>
          <w:numId w:val="715"/>
        </w:numPr>
        <w:rPr>
          <w:rFonts w:ascii="Arial" w:cs="Arial" w:eastAsia="Arial" w:hAnsi="Arial"/>
          <w:sz w:val="14"/>
          <w:szCs w:val="14"/>
          <w:color w:val="auto"/>
        </w:rPr>
      </w:pPr>
      <w:r>
        <w:rPr>
          <w:rFonts w:ascii="Arial" w:cs="Arial" w:eastAsia="Arial" w:hAnsi="Arial"/>
          <w:sz w:val="14"/>
          <w:szCs w:val="14"/>
          <w:b w:val="1"/>
          <w:bCs w:val="1"/>
          <w:color w:val="auto"/>
        </w:rPr>
        <w:t>Responsibility</w:t>
      </w:r>
      <w:r>
        <w:rPr>
          <w:rFonts w:ascii="Arial" w:cs="Arial" w:eastAsia="Arial" w:hAnsi="Arial"/>
          <w:sz w:val="14"/>
          <w:szCs w:val="14"/>
          <w:color w:val="auto"/>
        </w:rPr>
        <w:t>. MacroGenics shall be responsible for the manufacture of all commercial supplies of Product required by Green Cross for the Commercialization of Products in the Territory,</w:t>
      </w:r>
      <w:r>
        <w:rPr>
          <w:rFonts w:ascii="Arial" w:cs="Arial" w:eastAsia="Arial" w:hAnsi="Arial"/>
          <w:sz w:val="14"/>
          <w:szCs w:val="14"/>
          <w:b w:val="1"/>
          <w:bCs w:val="1"/>
          <w:color w:val="auto"/>
        </w:rPr>
        <w:t xml:space="preserve"> </w:t>
      </w:r>
      <w:r>
        <w:rPr>
          <w:rFonts w:ascii="Arial" w:cs="Arial" w:eastAsia="Arial" w:hAnsi="Arial"/>
          <w:sz w:val="14"/>
          <w:szCs w:val="14"/>
          <w:color w:val="auto"/>
        </w:rPr>
        <w:t>in accordance with this Section 6.2, except as the Parties may otherwise agree pursuant to Section 6.4.</w:t>
      </w:r>
    </w:p>
    <w:p>
      <w:pPr>
        <w:spacing w:after="0" w:line="97" w:lineRule="exact"/>
        <w:rPr>
          <w:rFonts w:ascii="Arial" w:cs="Arial" w:eastAsia="Arial" w:hAnsi="Arial"/>
          <w:sz w:val="14"/>
          <w:szCs w:val="14"/>
          <w:color w:val="auto"/>
        </w:rPr>
      </w:pPr>
    </w:p>
    <w:p>
      <w:pPr>
        <w:ind w:firstLine="920"/>
        <w:spacing w:after="0" w:line="270" w:lineRule="auto"/>
        <w:tabs>
          <w:tab w:leader="none" w:pos="1109" w:val="left"/>
        </w:tabs>
        <w:numPr>
          <w:ilvl w:val="1"/>
          <w:numId w:val="715"/>
        </w:numPr>
        <w:rPr>
          <w:rFonts w:ascii="Arial" w:cs="Arial" w:eastAsia="Arial" w:hAnsi="Arial"/>
          <w:sz w:val="14"/>
          <w:szCs w:val="14"/>
          <w:color w:val="auto"/>
        </w:rPr>
      </w:pPr>
      <w:r>
        <w:rPr>
          <w:rFonts w:ascii="Arial" w:cs="Arial" w:eastAsia="Arial" w:hAnsi="Arial"/>
          <w:sz w:val="14"/>
          <w:szCs w:val="14"/>
          <w:b w:val="1"/>
          <w:bCs w:val="1"/>
          <w:color w:val="auto"/>
        </w:rPr>
        <w:t>Forecasts</w:t>
      </w:r>
      <w:r>
        <w:rPr>
          <w:rFonts w:ascii="Arial" w:cs="Arial" w:eastAsia="Arial" w:hAnsi="Arial"/>
          <w:sz w:val="14"/>
          <w:szCs w:val="14"/>
          <w:color w:val="auto"/>
        </w:rPr>
        <w:t>. For so long as MacroGenics is providing Product, Green Cross, through the JDC, shall furnish to MacroGenics</w:t>
      </w:r>
      <w:r>
        <w:rPr>
          <w:rFonts w:ascii="Arial" w:cs="Arial" w:eastAsia="Arial" w:hAnsi="Arial"/>
          <w:sz w:val="14"/>
          <w:szCs w:val="14"/>
          <w:b w:val="1"/>
          <w:bCs w:val="1"/>
          <w:color w:val="auto"/>
        </w:rPr>
        <w:t xml:space="preserve"> *** </w:t>
      </w:r>
      <w:r>
        <w:rPr>
          <w:rFonts w:ascii="Arial" w:cs="Arial" w:eastAsia="Arial" w:hAnsi="Arial"/>
          <w:sz w:val="14"/>
          <w:szCs w:val="14"/>
          <w:color w:val="auto"/>
        </w:rPr>
        <w:t>forecast of probable quarterly orders for supplies of Product, to</w:t>
      </w:r>
      <w:r>
        <w:rPr>
          <w:rFonts w:ascii="Arial" w:cs="Arial" w:eastAsia="Arial" w:hAnsi="Arial"/>
          <w:sz w:val="14"/>
          <w:szCs w:val="14"/>
          <w:b w:val="1"/>
          <w:bCs w:val="1"/>
          <w:color w:val="auto"/>
        </w:rPr>
        <w:t xml:space="preserve"> </w:t>
      </w:r>
      <w:r>
        <w:rPr>
          <w:rFonts w:ascii="Arial" w:cs="Arial" w:eastAsia="Arial" w:hAnsi="Arial"/>
          <w:sz w:val="14"/>
          <w:szCs w:val="14"/>
          <w:color w:val="auto"/>
        </w:rPr>
        <w:t>be updated quarterly based on Green Cross’ good faith estimate of its need for Product.</w:t>
      </w:r>
    </w:p>
    <w:p>
      <w:pPr>
        <w:spacing w:after="0" w:line="97" w:lineRule="exact"/>
        <w:rPr>
          <w:rFonts w:ascii="Arial" w:cs="Arial" w:eastAsia="Arial" w:hAnsi="Arial"/>
          <w:sz w:val="14"/>
          <w:szCs w:val="14"/>
          <w:color w:val="auto"/>
        </w:rPr>
      </w:pPr>
    </w:p>
    <w:p>
      <w:pPr>
        <w:ind w:right="120" w:firstLine="920"/>
        <w:spacing w:after="0" w:line="301" w:lineRule="auto"/>
        <w:tabs>
          <w:tab w:leader="none" w:pos="1101" w:val="left"/>
        </w:tabs>
        <w:numPr>
          <w:ilvl w:val="1"/>
          <w:numId w:val="715"/>
        </w:numPr>
        <w:rPr>
          <w:rFonts w:ascii="Arial" w:cs="Arial" w:eastAsia="Arial" w:hAnsi="Arial"/>
          <w:sz w:val="12"/>
          <w:szCs w:val="12"/>
          <w:color w:val="auto"/>
        </w:rPr>
      </w:pPr>
      <w:r>
        <w:rPr>
          <w:rFonts w:ascii="Arial" w:cs="Arial" w:eastAsia="Arial" w:hAnsi="Arial"/>
          <w:sz w:val="12"/>
          <w:szCs w:val="12"/>
          <w:b w:val="1"/>
          <w:bCs w:val="1"/>
          <w:color w:val="auto"/>
        </w:rPr>
        <w:t>Orders</w:t>
      </w:r>
      <w:r>
        <w:rPr>
          <w:rFonts w:ascii="Arial" w:cs="Arial" w:eastAsia="Arial" w:hAnsi="Arial"/>
          <w:sz w:val="12"/>
          <w:szCs w:val="12"/>
          <w:color w:val="auto"/>
        </w:rPr>
        <w:t>. Green Cross agrees to buy, and MacroGenics agrees to sell, such quantities of Product as may be set forth on purchase orders placed by Green Cross in accordance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provisions of this Section 6.2. The Parties shall mutually agree upon an appropriate purchase agreement. Any purchase orders for Product will reference this Agreement and will be consistent with the terms contained herein. Each purchase order shall set forth a delivery date for the quantities of Product ordered, which date will in no event be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from the date of the purchase order. MacroGenics will use Commercially Reasonable Efforts to deliver each order on or before the applicable deliver date. If a purchase order cannot be fulfilled or delivered as requested by Green Cross, then MacroGenics shall immediately inform Green Cross of such fact. If MacroGenics is unable to manufacture sufficient quantities of Products to deliver to Green Cross hereunder, then MacroGenics shall allocate any shortages among its customers, including, without limitation, Green Cross, on a pro-rata basis based on the comparative order volumes of all customers at the time of such shortage. MacroGenics shall use Commercially Reasonable Efforts to promptly resume production of Commercial Supply.</w:t>
      </w:r>
    </w:p>
    <w:p>
      <w:pPr>
        <w:spacing w:after="0" w:line="84" w:lineRule="exact"/>
        <w:rPr>
          <w:rFonts w:ascii="Arial" w:cs="Arial" w:eastAsia="Arial" w:hAnsi="Arial"/>
          <w:sz w:val="12"/>
          <w:szCs w:val="12"/>
          <w:color w:val="auto"/>
        </w:rPr>
      </w:pPr>
    </w:p>
    <w:p>
      <w:pPr>
        <w:ind w:right="400" w:firstLine="920"/>
        <w:spacing w:after="0" w:line="270" w:lineRule="auto"/>
        <w:tabs>
          <w:tab w:leader="none" w:pos="1109" w:val="left"/>
        </w:tabs>
        <w:numPr>
          <w:ilvl w:val="1"/>
          <w:numId w:val="715"/>
        </w:numPr>
        <w:rPr>
          <w:rFonts w:ascii="Arial" w:cs="Arial" w:eastAsia="Arial" w:hAnsi="Arial"/>
          <w:sz w:val="14"/>
          <w:szCs w:val="14"/>
          <w:color w:val="auto"/>
        </w:rPr>
      </w:pPr>
      <w:r>
        <w:rPr>
          <w:rFonts w:ascii="Arial" w:cs="Arial" w:eastAsia="Arial" w:hAnsi="Arial"/>
          <w:sz w:val="14"/>
          <w:szCs w:val="14"/>
          <w:b w:val="1"/>
          <w:bCs w:val="1"/>
          <w:color w:val="auto"/>
        </w:rPr>
        <w:t>Price; Payment</w:t>
      </w:r>
      <w:r>
        <w:rPr>
          <w:rFonts w:ascii="Arial" w:cs="Arial" w:eastAsia="Arial" w:hAnsi="Arial"/>
          <w:sz w:val="14"/>
          <w:szCs w:val="14"/>
          <w:color w:val="auto"/>
        </w:rPr>
        <w:t>. The price of Product ordered by Green Cross under this Section 6.2 will be equal to</w:t>
      </w:r>
      <w:r>
        <w:rPr>
          <w:rFonts w:ascii="Arial" w:cs="Arial" w:eastAsia="Arial" w:hAnsi="Arial"/>
          <w:sz w:val="14"/>
          <w:szCs w:val="14"/>
          <w:b w:val="1"/>
          <w:bCs w:val="1"/>
          <w:color w:val="auto"/>
        </w:rPr>
        <w:t xml:space="preserve"> *** </w:t>
      </w:r>
      <w:r>
        <w:rPr>
          <w:rFonts w:ascii="Arial" w:cs="Arial" w:eastAsia="Arial" w:hAnsi="Arial"/>
          <w:sz w:val="14"/>
          <w:szCs w:val="14"/>
          <w:color w:val="auto"/>
        </w:rPr>
        <w:t>of MacroGenics’ Fully Burdened Manufacturing Costs for such material. 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payments due hereunder to MacroGenics shall be paid to MacroGenics in US Dollars not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receipt of the applicable invoice.</w:t>
      </w:r>
    </w:p>
    <w:p>
      <w:pPr>
        <w:spacing w:after="0" w:line="89" w:lineRule="exact"/>
        <w:rPr>
          <w:rFonts w:ascii="Arial" w:cs="Arial" w:eastAsia="Arial" w:hAnsi="Arial"/>
          <w:sz w:val="14"/>
          <w:szCs w:val="14"/>
          <w:color w:val="auto"/>
        </w:rPr>
      </w:pPr>
    </w:p>
    <w:p>
      <w:pPr>
        <w:ind w:left="240" w:hanging="236"/>
        <w:spacing w:after="0"/>
        <w:tabs>
          <w:tab w:leader="none" w:pos="240" w:val="left"/>
        </w:tabs>
        <w:numPr>
          <w:ilvl w:val="0"/>
          <w:numId w:val="71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245" w:right="219" w:bottom="1440" w:gutter="0" w:footer="0" w:header="0"/>
        </w:sectPr>
      </w:pPr>
    </w:p>
    <w:bookmarkStart w:id="645" w:name="page646"/>
    <w:bookmarkEnd w:id="64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6.3 </w:t>
      </w:r>
      <w:r>
        <w:rPr>
          <w:rFonts w:ascii="Arial" w:cs="Arial" w:eastAsia="Arial" w:hAnsi="Arial"/>
          <w:sz w:val="14"/>
          <w:szCs w:val="14"/>
          <w:b w:val="1"/>
          <w:bCs w:val="1"/>
          <w:color w:val="auto"/>
        </w:rPr>
        <w:t>Delivery</w:t>
      </w:r>
      <w:r>
        <w:rPr>
          <w:rFonts w:ascii="Arial" w:cs="Arial" w:eastAsia="Arial" w:hAnsi="Arial"/>
          <w:sz w:val="14"/>
          <w:szCs w:val="14"/>
          <w:color w:val="auto"/>
        </w:rPr>
        <w:t>. Unless otherwise agreed by the parties in writing, all shipments will be shipped F.O.B. MacroGenics’ or its contract manufacturer’s facility.</w:t>
      </w:r>
    </w:p>
    <w:p>
      <w:pPr>
        <w:spacing w:after="0" w:line="132" w:lineRule="exact"/>
        <w:rPr>
          <w:sz w:val="20"/>
          <w:szCs w:val="20"/>
          <w:color w:val="auto"/>
        </w:rPr>
      </w:pPr>
    </w:p>
    <w:p>
      <w:pPr>
        <w:ind w:right="60" w:firstLine="458"/>
        <w:spacing w:after="0" w:line="259"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color w:val="auto"/>
        </w:rPr>
        <w:t>Technology Transfer</w:t>
      </w:r>
      <w:r>
        <w:rPr>
          <w:rFonts w:ascii="Arial" w:cs="Arial" w:eastAsia="Arial" w:hAnsi="Arial"/>
          <w:sz w:val="14"/>
          <w:szCs w:val="14"/>
          <w:color w:val="auto"/>
        </w:rPr>
        <w:t>. If Green Cross requests, the Parties shall enter into good faith discussions regarding the possibility of a transfer to Green Cross of technology that is sufficient to enable Green Cross to manufacture commercial supplies of Product in accordance with the Applicable Laws and Regulations of the Territory, provided that nothing herein shall be deemed to obligate MacroGenics to enter into any agreement to transfer to Green Cross any such technology.</w:t>
      </w:r>
    </w:p>
    <w:p>
      <w:pPr>
        <w:spacing w:after="0" w:line="106" w:lineRule="exact"/>
        <w:rPr>
          <w:sz w:val="20"/>
          <w:szCs w:val="20"/>
          <w:color w:val="auto"/>
        </w:rPr>
      </w:pPr>
    </w:p>
    <w:p>
      <w:pPr>
        <w:ind w:right="580" w:firstLine="458"/>
        <w:spacing w:after="0" w:line="270"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color w:val="auto"/>
        </w:rPr>
        <w:t>Manufacturing Specifications</w:t>
      </w:r>
      <w:r>
        <w:rPr>
          <w:rFonts w:ascii="Arial" w:cs="Arial" w:eastAsia="Arial" w:hAnsi="Arial"/>
          <w:sz w:val="14"/>
          <w:szCs w:val="14"/>
          <w:color w:val="auto"/>
        </w:rPr>
        <w:t>. All Clinical Materials and commercial supplies of Product shall be manufactured in accordance with the specifications determined by MacroGenics and all Applicable Laws and Regulations.</w:t>
      </w:r>
    </w:p>
    <w:p>
      <w:pPr>
        <w:spacing w:after="0" w:line="97" w:lineRule="exact"/>
        <w:rPr>
          <w:sz w:val="20"/>
          <w:szCs w:val="20"/>
          <w:color w:val="auto"/>
        </w:rPr>
      </w:pPr>
    </w:p>
    <w:p>
      <w:pPr>
        <w:ind w:right="180" w:firstLine="458"/>
        <w:spacing w:after="0" w:line="259"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b w:val="1"/>
          <w:bCs w:val="1"/>
          <w:color w:val="auto"/>
        </w:rPr>
        <w:t>Change of Manufacturing Process</w:t>
      </w:r>
      <w:r>
        <w:rPr>
          <w:rFonts w:ascii="Arial" w:cs="Arial" w:eastAsia="Arial" w:hAnsi="Arial"/>
          <w:sz w:val="14"/>
          <w:szCs w:val="14"/>
          <w:color w:val="auto"/>
        </w:rPr>
        <w:t>. MacroGenics shall reasonably inform Green Cross of developments in matters of process development and manufacturing of Products, and shall consult with Green Cross with respect to the development and manufacturing processes of Products adopted by MacroGenics to the extent necessary to obtain Regulatory Approval(s) of the same in the Territory. Green Cross shall promptly notify MacroGenics of any information that will impact approvability of Products in the Territory.</w:t>
      </w:r>
    </w:p>
    <w:p>
      <w:pPr>
        <w:spacing w:after="0" w:line="106" w:lineRule="exact"/>
        <w:rPr>
          <w:sz w:val="20"/>
          <w:szCs w:val="20"/>
          <w:color w:val="auto"/>
        </w:rPr>
      </w:pPr>
    </w:p>
    <w:p>
      <w:pPr>
        <w:ind w:left="140" w:hanging="136"/>
        <w:spacing w:after="0"/>
        <w:tabs>
          <w:tab w:leader="none" w:pos="140" w:val="left"/>
        </w:tabs>
        <w:numPr>
          <w:ilvl w:val="0"/>
          <w:numId w:val="716"/>
        </w:numPr>
        <w:rPr>
          <w:rFonts w:ascii="Arial" w:cs="Arial" w:eastAsia="Arial" w:hAnsi="Arial"/>
          <w:sz w:val="14"/>
          <w:szCs w:val="14"/>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EGULATORY</w:t>
      </w:r>
    </w:p>
    <w:p>
      <w:pPr>
        <w:spacing w:after="0" w:line="132" w:lineRule="exact"/>
        <w:rPr>
          <w:sz w:val="20"/>
          <w:szCs w:val="20"/>
          <w:color w:val="auto"/>
        </w:rPr>
      </w:pPr>
    </w:p>
    <w:p>
      <w:pPr>
        <w:ind w:right="20" w:firstLine="458"/>
        <w:spacing w:after="0" w:line="259"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Overview.</w:t>
      </w:r>
      <w:r>
        <w:rPr>
          <w:rFonts w:ascii="Arial" w:cs="Arial" w:eastAsia="Arial" w:hAnsi="Arial"/>
          <w:sz w:val="14"/>
          <w:szCs w:val="14"/>
          <w:color w:val="auto"/>
        </w:rPr>
        <w:t xml:space="preserve"> The JSC shall establish an overall regulatory strategy for obtaining Regulatory Approval of the Product in the Territory, and shall allocate regulatory responsibilities between the Parties in a manner consistent with the provisions contained herein. Green Cross shall participate in regulatory matters as determined by the JSC, including CMC and other manufacturing-related matters, nonclinical matters, and clinical matters. In addition, Green Cross will have access to adverse event and other safety related data.</w:t>
      </w:r>
    </w:p>
    <w:p>
      <w:pPr>
        <w:spacing w:after="0" w:line="106" w:lineRule="exact"/>
        <w:rPr>
          <w:sz w:val="20"/>
          <w:szCs w:val="20"/>
          <w:color w:val="auto"/>
        </w:rPr>
      </w:pPr>
    </w:p>
    <w:p>
      <w:pPr>
        <w:ind w:firstLine="458"/>
        <w:spacing w:after="0" w:line="254"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Regulatory Filings for Phase I Clinical Trial</w:t>
      </w:r>
      <w:r>
        <w:rPr>
          <w:rFonts w:ascii="Arial" w:cs="Arial" w:eastAsia="Arial" w:hAnsi="Arial"/>
          <w:sz w:val="14"/>
          <w:szCs w:val="14"/>
          <w:color w:val="auto"/>
        </w:rPr>
        <w:t xml:space="preserve">. MacroGenics shall hold the INDs in the Territory and be responsible for the filing of the INDs and all additional regulatory documents for the initial Phase I Clinical Trial with Regulatory Authorities in the Territory (such as INDs, and IND amendments), including, without limitation, all associated submissions (e.g., safety reports, protocol submissions, CMC updates), for responding to inquiries and correspondences from the Regulatory Authorities, and the submission of all required reports for the Phase I Clinical Trial until the Completion of the Phase I Clinical Trial. MacroGenics shall continue to hold INDs filed as of the Effective Date. MacroGenics will transfer its responsibilities for preparing the Korean IND and IND amendments to Green Cross, but Green Cross shall provide </w:t>
      </w:r>
      <w:r>
        <w:rPr>
          <w:rFonts w:ascii="Arial" w:cs="Arial" w:eastAsia="Arial" w:hAnsi="Arial"/>
          <w:sz w:val="14"/>
          <w:szCs w:val="14"/>
          <w:b w:val="1"/>
          <w:bCs w:val="1"/>
          <w:color w:val="auto"/>
        </w:rPr>
        <w:t>***</w:t>
      </w:r>
      <w:r>
        <w:rPr>
          <w:rFonts w:ascii="Arial" w:cs="Arial" w:eastAsia="Arial" w:hAnsi="Arial"/>
          <w:sz w:val="14"/>
          <w:szCs w:val="14"/>
          <w:color w:val="auto"/>
        </w:rPr>
        <w:t>, Green</w:t>
      </w:r>
    </w:p>
    <w:p>
      <w:pPr>
        <w:spacing w:after="0" w:line="101" w:lineRule="exact"/>
        <w:rPr>
          <w:sz w:val="20"/>
          <w:szCs w:val="20"/>
          <w:color w:val="auto"/>
        </w:rPr>
      </w:pPr>
    </w:p>
    <w:p>
      <w:pPr>
        <w:ind w:left="5660" w:right="1560" w:hanging="5656"/>
        <w:spacing w:after="0" w:line="438" w:lineRule="auto"/>
        <w:tabs>
          <w:tab w:leader="none" w:pos="235" w:val="left"/>
        </w:tabs>
        <w:numPr>
          <w:ilvl w:val="0"/>
          <w:numId w:val="71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24</w:t>
      </w:r>
    </w:p>
    <w:p>
      <w:pPr>
        <w:sectPr>
          <w:pgSz w:w="11900" w:h="16838" w:orient="portrait"/>
          <w:cols w:equalWidth="0" w:num="1">
            <w:col w:w="11460"/>
          </w:cols>
          <w:pgMar w:left="220" w:top="245" w:right="219" w:bottom="1440" w:gutter="0" w:footer="0" w:header="0"/>
        </w:sectPr>
      </w:pPr>
    </w:p>
    <w:bookmarkStart w:id="646" w:name="page647"/>
    <w:bookmarkEnd w:id="646"/>
    <w:p>
      <w:pPr>
        <w:ind w:right="34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Cross may submit such filing, submission or response to the KFDA at the same time as Green Cross submits the same to MacroGenics; provided that Green Cross uses Commercially Reasonable Efforts to obtain additional time. MacroGenics will transfer its responsibilities for interacting with the KFDA to Green Cross, but Green Cross shall attempt to include MacroGenics on any face-to-face meetings or teleconferences, if deemed necessary by Green Cross, and shall not commit to making any revisions to the Phase I Clinical Trial unless for an immediate safety issues, without prior agreement with MacroGenics. Green Cross shall allow MacroGenics to review any written correspondence to the KFDA before it is sent to the KFDA.</w:t>
      </w:r>
    </w:p>
    <w:p>
      <w:pPr>
        <w:spacing w:after="0" w:line="77" w:lineRule="exact"/>
        <w:rPr>
          <w:sz w:val="20"/>
          <w:szCs w:val="20"/>
          <w:color w:val="auto"/>
        </w:rPr>
      </w:pPr>
    </w:p>
    <w:p>
      <w:pPr>
        <w:ind w:firstLine="458"/>
        <w:spacing w:after="0" w:line="298"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b w:val="1"/>
          <w:bCs w:val="1"/>
          <w:color w:val="auto"/>
        </w:rPr>
        <w:t>Regulatory Filings Following Phase I Clinical Trial</w:t>
      </w:r>
      <w:r>
        <w:rPr>
          <w:rFonts w:ascii="Arial" w:cs="Arial" w:eastAsia="Arial" w:hAnsi="Arial"/>
          <w:sz w:val="12"/>
          <w:szCs w:val="12"/>
          <w:color w:val="auto"/>
        </w:rPr>
        <w:t>. Except as set forth in Section 7.2, Green Cross shall be responsible for the filing of all regulatory documents for MGAH22 and all Products with Regulatory Authorities in the Territory (such as INDs, NDAs and amended INDs and NDAs), including without limitation all associated submissions (e.g., safety alerts, protocol submissions), for responding to inquiries and correspondence from the Regulatory Authorities responsible for regulatory matters in the Territory, and the monitoring of all clinical experiences and submission of all required reports throughout clinical Development and Commercialization, in each case in compliance with all laws and regulations. MacroGenics shall be responsible for providing to Green Cross any revisions to the investigator’s brochure and CMC information required for KFDA submissions. Green Cross may request MacroGenics to participate in meetings with the KFDA if it is foreseeable that there may be discussions about the Product beyond the scope of Green Cross’ development of the Product in the Territory (e.g., CMC matters, data from clinical trials MacroGenics conducted). Each Party shall provide information to the other Party as necessary and reasonably consult with the other Party regarding any filings, and regarding significant or material notices, actions or requests from or by Regulatory Authorities. Each Party shall, at the other Party’s request, review and comment on filings, submissions, and responses to Regulatory Authorities related to any Product. Green Cross shall hold and maintain all Regulatory Approvals for the Commercialization of the Product in the Territory, as set forth in Section 10.1(c).</w:t>
      </w:r>
    </w:p>
    <w:p>
      <w:pPr>
        <w:spacing w:after="0" w:line="88" w:lineRule="exact"/>
        <w:rPr>
          <w:sz w:val="20"/>
          <w:szCs w:val="20"/>
          <w:color w:val="auto"/>
        </w:rPr>
      </w:pPr>
    </w:p>
    <w:p>
      <w:pPr>
        <w:ind w:right="400" w:firstLine="458"/>
        <w:spacing w:after="0" w:line="355"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b w:val="1"/>
          <w:bCs w:val="1"/>
          <w:color w:val="auto"/>
        </w:rPr>
        <w:t>Records of Correspondence with KFDA</w:t>
      </w:r>
      <w:r>
        <w:rPr>
          <w:rFonts w:ascii="Arial" w:cs="Arial" w:eastAsia="Arial" w:hAnsi="Arial"/>
          <w:sz w:val="12"/>
          <w:szCs w:val="12"/>
          <w:color w:val="auto"/>
        </w:rPr>
        <w:t>. Following each communication (whether by phone or in person) with the KFDA regarding matters arising under this Agreement, Green Cross shall prepare a record of such meeting in accordance with its standard business practices (e.g., written minutes) and provide to MacroGenics a copy of such record.</w:t>
      </w:r>
    </w:p>
    <w:p>
      <w:pPr>
        <w:spacing w:after="0" w:line="51"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color w:val="auto"/>
        </w:rPr>
        <w:t>Safety Data Exchange Agreement</w:t>
      </w:r>
      <w:r>
        <w:rPr>
          <w:rFonts w:ascii="Arial" w:cs="Arial" w:eastAsia="Arial" w:hAnsi="Arial"/>
          <w:sz w:val="14"/>
          <w:szCs w:val="14"/>
          <w:color w:val="auto"/>
        </w:rPr>
        <w:t>. The Parties shall conduct in good faith and agree upon a safety data exchange agreement, the agreement setting forth the safety information required to be shared by each Party and the schedule for the sharing of such safety information and other appropriate procedures and matters, as detailed in Exhibit G.</w:t>
      </w:r>
    </w:p>
    <w:p>
      <w:pPr>
        <w:spacing w:after="0" w:line="89" w:lineRule="exact"/>
        <w:rPr>
          <w:sz w:val="20"/>
          <w:szCs w:val="20"/>
          <w:color w:val="auto"/>
        </w:rPr>
      </w:pPr>
    </w:p>
    <w:p>
      <w:pPr>
        <w:ind w:left="5660" w:right="1560" w:hanging="5656"/>
        <w:spacing w:after="0" w:line="438" w:lineRule="auto"/>
        <w:tabs>
          <w:tab w:leader="none" w:pos="235" w:val="left"/>
        </w:tabs>
        <w:numPr>
          <w:ilvl w:val="0"/>
          <w:numId w:val="71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25</w:t>
      </w:r>
    </w:p>
    <w:p>
      <w:pPr>
        <w:sectPr>
          <w:pgSz w:w="11900" w:h="16838" w:orient="portrait"/>
          <w:cols w:equalWidth="0" w:num="1">
            <w:col w:w="11460"/>
          </w:cols>
          <w:pgMar w:left="220" w:top="247" w:right="219" w:bottom="1440" w:gutter="0" w:footer="0" w:header="0"/>
        </w:sectPr>
      </w:pPr>
    </w:p>
    <w:bookmarkStart w:id="647" w:name="page648"/>
    <w:bookmarkEnd w:id="647"/>
    <w:p>
      <w:pPr>
        <w:ind w:left="140" w:hanging="136"/>
        <w:spacing w:after="0"/>
        <w:tabs>
          <w:tab w:leader="none" w:pos="140" w:val="left"/>
        </w:tabs>
        <w:numPr>
          <w:ilvl w:val="0"/>
          <w:numId w:val="719"/>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w:t>
      </w:r>
      <w:r>
        <w:rPr>
          <w:rFonts w:ascii="Arial" w:cs="Arial" w:eastAsia="Arial" w:hAnsi="Arial"/>
          <w:sz w:val="11"/>
          <w:szCs w:val="11"/>
          <w:b w:val="1"/>
          <w:bCs w:val="1"/>
          <w:color w:val="auto"/>
        </w:rPr>
        <w:t>AYMENTS</w:t>
      </w:r>
    </w:p>
    <w:p>
      <w:pPr>
        <w:spacing w:after="0" w:line="132" w:lineRule="exact"/>
        <w:rPr>
          <w:sz w:val="20"/>
          <w:szCs w:val="20"/>
          <w:color w:val="auto"/>
        </w:rPr>
      </w:pPr>
    </w:p>
    <w:p>
      <w:pPr>
        <w:ind w:right="360" w:firstLine="458"/>
        <w:spacing w:after="0" w:line="270"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Upfront Payment</w:t>
      </w:r>
      <w:r>
        <w:rPr>
          <w:rFonts w:ascii="Arial" w:cs="Arial" w:eastAsia="Arial" w:hAnsi="Arial"/>
          <w:sz w:val="14"/>
          <w:szCs w:val="14"/>
          <w:color w:val="auto"/>
        </w:rPr>
        <w:t>. Within thirty (30) days after the Effective Date, Green Cross shall pay to MacroGenics One Million Dollars ($1,000,000), which shall be non-refundable and non-creditable against any other payments due under this Agreement.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Purchase of MacroGenics Stock Upon Initial Public Offering</w:t>
      </w:r>
    </w:p>
    <w:p>
      <w:pPr>
        <w:spacing w:after="0" w:line="132" w:lineRule="exact"/>
        <w:rPr>
          <w:sz w:val="20"/>
          <w:szCs w:val="20"/>
          <w:color w:val="auto"/>
        </w:rPr>
      </w:pPr>
    </w:p>
    <w:p>
      <w:pPr>
        <w:jc w:val="both"/>
        <w:ind w:right="60" w:firstLine="920"/>
        <w:spacing w:after="0" w:line="259" w:lineRule="auto"/>
        <w:tabs>
          <w:tab w:leader="none" w:pos="1101" w:val="left"/>
        </w:tabs>
        <w:numPr>
          <w:ilvl w:val="0"/>
          <w:numId w:val="720"/>
        </w:numPr>
        <w:rPr>
          <w:rFonts w:ascii="Arial" w:cs="Arial" w:eastAsia="Arial" w:hAnsi="Arial"/>
          <w:sz w:val="14"/>
          <w:szCs w:val="14"/>
          <w:color w:val="auto"/>
        </w:rPr>
      </w:pPr>
      <w:r>
        <w:rPr>
          <w:rFonts w:ascii="Arial" w:cs="Arial" w:eastAsia="Arial" w:hAnsi="Arial"/>
          <w:sz w:val="14"/>
          <w:szCs w:val="14"/>
          <w:color w:val="auto"/>
        </w:rPr>
        <w:t xml:space="preserve">If during the first three (3) years of the Term there is an Initial Public Offering which raises a </w:t>
      </w:r>
      <w:r>
        <w:rPr>
          <w:rFonts w:ascii="Arial" w:cs="Arial" w:eastAsia="Arial" w:hAnsi="Arial"/>
          <w:sz w:val="14"/>
          <w:szCs w:val="14"/>
          <w:b w:val="1"/>
          <w:bCs w:val="1"/>
          <w:color w:val="auto"/>
        </w:rPr>
        <w:t>***</w:t>
      </w:r>
      <w:r>
        <w:rPr>
          <w:rFonts w:ascii="Arial" w:cs="Arial" w:eastAsia="Arial" w:hAnsi="Arial"/>
          <w:sz w:val="14"/>
          <w:szCs w:val="14"/>
          <w:color w:val="auto"/>
        </w:rPr>
        <w:t xml:space="preserve">, and if the underwriter(s) in such Initial Public Offering permit it, Green Cross is obligated to purchase a number of shares of the same class of capital stock, simultaneously with the closing(s) of, and at the same purchase price as the shares sold in, the Initial Public Offering that is equal to the number of shares that could be purchased for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5" w:lineRule="exact"/>
        <w:rPr>
          <w:rFonts w:ascii="Arial" w:cs="Arial" w:eastAsia="Arial" w:hAnsi="Arial"/>
          <w:sz w:val="14"/>
          <w:szCs w:val="14"/>
          <w:color w:val="auto"/>
        </w:rPr>
      </w:pPr>
    </w:p>
    <w:p>
      <w:pPr>
        <w:ind w:right="100" w:firstLine="920"/>
        <w:spacing w:after="0" w:line="254" w:lineRule="auto"/>
        <w:tabs>
          <w:tab w:leader="none" w:pos="1109" w:val="left"/>
        </w:tabs>
        <w:numPr>
          <w:ilvl w:val="0"/>
          <w:numId w:val="720"/>
        </w:numPr>
        <w:rPr>
          <w:rFonts w:ascii="Arial" w:cs="Arial" w:eastAsia="Arial" w:hAnsi="Arial"/>
          <w:sz w:val="14"/>
          <w:szCs w:val="14"/>
          <w:color w:val="auto"/>
        </w:rPr>
      </w:pPr>
      <w:r>
        <w:rPr>
          <w:rFonts w:ascii="Arial" w:cs="Arial" w:eastAsia="Arial" w:hAnsi="Arial"/>
          <w:sz w:val="14"/>
          <w:szCs w:val="14"/>
          <w:color w:val="auto"/>
        </w:rPr>
        <w:t>Green Cross acknowledges that any securities purchased in accordance with Section 8.2(a) shall not be registered under the Securities Act of 1933, as amended (“</w:t>
      </w:r>
      <w:r>
        <w:rPr>
          <w:rFonts w:ascii="Arial" w:cs="Arial" w:eastAsia="Arial" w:hAnsi="Arial"/>
          <w:sz w:val="14"/>
          <w:szCs w:val="14"/>
          <w:b w:val="1"/>
          <w:bCs w:val="1"/>
          <w:color w:val="auto"/>
        </w:rPr>
        <w:t>Securities Act</w:t>
      </w:r>
      <w:r>
        <w:rPr>
          <w:rFonts w:ascii="Arial" w:cs="Arial" w:eastAsia="Arial" w:hAnsi="Arial"/>
          <w:sz w:val="14"/>
          <w:szCs w:val="14"/>
          <w:color w:val="auto"/>
        </w:rPr>
        <w:t>”), and may not be sold, assigned, pledged, hypothecated, encumbered or an any other manner transferred or disposed of in the absence of an effective registration statement or an exemption from registration under the Securities Act. In connection with any Initial Public Offering, Green Cross agrees to enter into a lock-up agreement with the underwriter(s) if the managing underwriter(s) demands or requests such an agreement; provided, however, that such provisions will not be less favorable to Green Cross than the provisions of any lock-up agreements entered into by the managing underwriter(s) with other holders of securities issued by MacroGenics.</w:t>
      </w:r>
    </w:p>
    <w:p>
      <w:pPr>
        <w:spacing w:after="0" w:line="109" w:lineRule="exact"/>
        <w:rPr>
          <w:sz w:val="20"/>
          <w:szCs w:val="20"/>
          <w:color w:val="auto"/>
        </w:rPr>
      </w:pPr>
    </w:p>
    <w:p>
      <w:pPr>
        <w:ind w:right="400" w:firstLine="458"/>
        <w:spacing w:after="0" w:line="270"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Clinical Development Milestone Payments</w:t>
      </w:r>
      <w:r>
        <w:rPr>
          <w:rFonts w:ascii="Arial" w:cs="Arial" w:eastAsia="Arial" w:hAnsi="Arial"/>
          <w:sz w:val="14"/>
          <w:szCs w:val="14"/>
          <w:color w:val="auto"/>
        </w:rPr>
        <w:t>. Green Cross shall pay to MacroGenics the milestone payments listed below, which shall be non-refundable, and non-creditable (unless otherwise stipulated under this Agreement). Any such milestone payments are subject to any credits, offsets and waivers specified by this Agreement.</w:t>
      </w:r>
    </w:p>
    <w:p>
      <w:pPr>
        <w:spacing w:after="0" w:line="97" w:lineRule="exact"/>
        <w:rPr>
          <w:sz w:val="20"/>
          <w:szCs w:val="20"/>
          <w:color w:val="auto"/>
        </w:rPr>
      </w:pPr>
    </w:p>
    <w:p>
      <w:pPr>
        <w:ind w:left="1100" w:hanging="180"/>
        <w:spacing w:after="0"/>
        <w:tabs>
          <w:tab w:leader="none" w:pos="1100" w:val="left"/>
        </w:tabs>
        <w:numPr>
          <w:ilvl w:val="1"/>
          <w:numId w:val="721"/>
        </w:numPr>
        <w:rPr>
          <w:rFonts w:ascii="Arial" w:cs="Arial" w:eastAsia="Arial" w:hAnsi="Arial"/>
          <w:sz w:val="14"/>
          <w:szCs w:val="14"/>
          <w:color w:val="auto"/>
        </w:rPr>
      </w:pPr>
      <w:r>
        <w:rPr>
          <w:rFonts w:ascii="Arial" w:cs="Arial" w:eastAsia="Arial" w:hAnsi="Arial"/>
          <w:sz w:val="14"/>
          <w:szCs w:val="14"/>
          <w:color w:val="auto"/>
        </w:rPr>
        <w:t xml:space="preserve">For the Commencement of the first Phase II Clinical Trial: </w:t>
      </w:r>
      <w:r>
        <w:rPr>
          <w:rFonts w:ascii="Arial" w:cs="Arial" w:eastAsia="Arial" w:hAnsi="Arial"/>
          <w:sz w:val="14"/>
          <w:szCs w:val="14"/>
          <w:b w:val="1"/>
          <w:bCs w:val="1"/>
          <w:color w:val="auto"/>
        </w:rPr>
        <w:t>***</w:t>
      </w:r>
      <w:r>
        <w:rPr>
          <w:rFonts w:ascii="Arial" w:cs="Arial" w:eastAsia="Arial" w:hAnsi="Arial"/>
          <w:sz w:val="14"/>
          <w:szCs w:val="14"/>
          <w:color w:val="auto"/>
        </w:rPr>
        <w:t xml:space="preserve">; provided, however, that this milestone payment shall not be payable to MacroGenics if </w:t>
      </w:r>
      <w:r>
        <w:rPr>
          <w:rFonts w:ascii="Arial" w:cs="Arial" w:eastAsia="Arial" w:hAnsi="Arial"/>
          <w:sz w:val="14"/>
          <w:szCs w:val="14"/>
          <w:b w:val="1"/>
          <w:bCs w:val="1"/>
          <w:color w:val="auto"/>
        </w:rPr>
        <w:t>***</w:t>
      </w:r>
    </w:p>
    <w:p>
      <w:pPr>
        <w:spacing w:after="0" w:line="131" w:lineRule="exact"/>
        <w:rPr>
          <w:rFonts w:ascii="Arial" w:cs="Arial" w:eastAsia="Arial" w:hAnsi="Arial"/>
          <w:sz w:val="14"/>
          <w:szCs w:val="14"/>
          <w:color w:val="auto"/>
        </w:rPr>
      </w:pPr>
    </w:p>
    <w:p>
      <w:pPr>
        <w:jc w:val="both"/>
        <w:ind w:firstLine="920"/>
        <w:spacing w:after="0" w:line="322" w:lineRule="auto"/>
        <w:tabs>
          <w:tab w:leader="none" w:pos="1109" w:val="left"/>
        </w:tabs>
        <w:numPr>
          <w:ilvl w:val="1"/>
          <w:numId w:val="721"/>
        </w:numPr>
        <w:rPr>
          <w:rFonts w:ascii="Arial" w:cs="Arial" w:eastAsia="Arial" w:hAnsi="Arial"/>
          <w:sz w:val="12"/>
          <w:szCs w:val="12"/>
          <w:color w:val="auto"/>
        </w:rPr>
      </w:pPr>
      <w:r>
        <w:rPr>
          <w:rFonts w:ascii="Arial" w:cs="Arial" w:eastAsia="Arial" w:hAnsi="Arial"/>
          <w:sz w:val="12"/>
          <w:szCs w:val="12"/>
          <w:color w:val="auto"/>
        </w:rPr>
        <w:t xml:space="preserve">For the Commencement of the first Phase III Clinical Trial: </w:t>
      </w:r>
      <w:r>
        <w:rPr>
          <w:rFonts w:ascii="Arial" w:cs="Arial" w:eastAsia="Arial" w:hAnsi="Arial"/>
          <w:sz w:val="12"/>
          <w:szCs w:val="12"/>
          <w:b w:val="1"/>
          <w:bCs w:val="1"/>
          <w:color w:val="auto"/>
        </w:rPr>
        <w:t>***</w:t>
      </w:r>
      <w:r>
        <w:rPr>
          <w:rFonts w:ascii="Arial" w:cs="Arial" w:eastAsia="Arial" w:hAnsi="Arial"/>
          <w:sz w:val="12"/>
          <w:szCs w:val="12"/>
          <w:color w:val="auto"/>
        </w:rPr>
        <w:t xml:space="preserve">; provided, however, that this milestone payment shall not be payable to MacroGenics </w:t>
      </w:r>
      <w:r>
        <w:rPr>
          <w:rFonts w:ascii="Arial" w:cs="Arial" w:eastAsia="Arial" w:hAnsi="Arial"/>
          <w:sz w:val="12"/>
          <w:szCs w:val="12"/>
          <w:b w:val="1"/>
          <w:bCs w:val="1"/>
          <w:color w:val="auto"/>
        </w:rPr>
        <w:t>***</w:t>
      </w:r>
      <w:r>
        <w:rPr>
          <w:rFonts w:ascii="Arial" w:cs="Arial" w:eastAsia="Arial" w:hAnsi="Arial"/>
          <w:sz w:val="12"/>
          <w:szCs w:val="12"/>
          <w:color w:val="auto"/>
        </w:rPr>
        <w:t xml:space="preserve"> If all necessary documents required for Regulatory Approval of Completion of the Phase II Clinical Trial by Green Cross, if any, are not received within a reasonable period prior to the agreed upon projected Completion date, other than as a result of Green Cross’ acts or omissions, then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shall be equitably extended to account for such delay for a period mutually agreed upon in writing by the Parties.</w:t>
      </w:r>
    </w:p>
    <w:p>
      <w:pPr>
        <w:spacing w:after="0" w:line="71" w:lineRule="exact"/>
        <w:rPr>
          <w:rFonts w:ascii="Arial" w:cs="Arial" w:eastAsia="Arial" w:hAnsi="Arial"/>
          <w:sz w:val="12"/>
          <w:szCs w:val="12"/>
          <w:color w:val="auto"/>
        </w:rPr>
      </w:pPr>
    </w:p>
    <w:p>
      <w:pPr>
        <w:ind w:left="1100" w:hanging="180"/>
        <w:spacing w:after="0"/>
        <w:tabs>
          <w:tab w:leader="none" w:pos="1100" w:val="left"/>
        </w:tabs>
        <w:numPr>
          <w:ilvl w:val="1"/>
          <w:numId w:val="721"/>
        </w:numPr>
        <w:rPr>
          <w:rFonts w:ascii="Arial" w:cs="Arial" w:eastAsia="Arial" w:hAnsi="Arial"/>
          <w:sz w:val="14"/>
          <w:szCs w:val="14"/>
          <w:color w:val="auto"/>
        </w:rPr>
      </w:pPr>
      <w:r>
        <w:rPr>
          <w:rFonts w:ascii="Arial" w:cs="Arial" w:eastAsia="Arial" w:hAnsi="Arial"/>
          <w:sz w:val="14"/>
          <w:szCs w:val="14"/>
          <w:color w:val="auto"/>
        </w:rPr>
        <w:t xml:space="preserve">Approval of BLA for first Indication for a Product by KFDA in the Territory: </w:t>
      </w:r>
      <w:r>
        <w:rPr>
          <w:rFonts w:ascii="Arial" w:cs="Arial" w:eastAsia="Arial" w:hAnsi="Arial"/>
          <w:sz w:val="14"/>
          <w:szCs w:val="14"/>
          <w:b w:val="1"/>
          <w:bCs w:val="1"/>
          <w:color w:val="auto"/>
        </w:rPr>
        <w:t>***</w:t>
      </w:r>
    </w:p>
    <w:p>
      <w:pPr>
        <w:spacing w:after="0" w:line="123" w:lineRule="exact"/>
        <w:rPr>
          <w:rFonts w:ascii="Arial" w:cs="Arial" w:eastAsia="Arial" w:hAnsi="Arial"/>
          <w:sz w:val="14"/>
          <w:szCs w:val="14"/>
          <w:color w:val="auto"/>
        </w:rPr>
      </w:pPr>
    </w:p>
    <w:p>
      <w:pPr>
        <w:ind w:left="240" w:hanging="236"/>
        <w:spacing w:after="0"/>
        <w:tabs>
          <w:tab w:leader="none" w:pos="240" w:val="left"/>
        </w:tabs>
        <w:numPr>
          <w:ilvl w:val="0"/>
          <w:numId w:val="72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245" w:right="219" w:bottom="1440" w:gutter="0" w:footer="0" w:header="0"/>
        </w:sectPr>
      </w:pPr>
    </w:p>
    <w:bookmarkStart w:id="648" w:name="page649"/>
    <w:bookmarkEnd w:id="648"/>
    <w:p>
      <w:pPr>
        <w:ind w:right="300" w:firstLine="458"/>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8.4 </w:t>
      </w:r>
      <w:r>
        <w:rPr>
          <w:rFonts w:ascii="Arial" w:cs="Arial" w:eastAsia="Arial" w:hAnsi="Arial"/>
          <w:sz w:val="14"/>
          <w:szCs w:val="14"/>
          <w:b w:val="1"/>
          <w:bCs w:val="1"/>
          <w:color w:val="auto"/>
        </w:rPr>
        <w:t>Commercial Milestone Payments</w:t>
      </w:r>
      <w:r>
        <w:rPr>
          <w:rFonts w:ascii="Arial" w:cs="Arial" w:eastAsia="Arial" w:hAnsi="Arial"/>
          <w:sz w:val="14"/>
          <w:szCs w:val="14"/>
          <w:color w:val="auto"/>
        </w:rPr>
        <w:t xml:space="preserve">. Green Cross shall pay to MacroGenics the Net Sales milestone payments set forth below, which shall be due and payable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end of the first Calendar Year during which such milestone is triggered.</w:t>
      </w:r>
    </w:p>
    <w:p>
      <w:pPr>
        <w:spacing w:after="0" w:line="97" w:lineRule="exact"/>
        <w:rPr>
          <w:sz w:val="20"/>
          <w:szCs w:val="20"/>
          <w:color w:val="auto"/>
        </w:rPr>
      </w:pPr>
    </w:p>
    <w:p>
      <w:pPr>
        <w:ind w:left="1100" w:hanging="180"/>
        <w:spacing w:after="0"/>
        <w:tabs>
          <w:tab w:leader="none" w:pos="1100" w:val="left"/>
        </w:tabs>
        <w:numPr>
          <w:ilvl w:val="0"/>
          <w:numId w:val="722"/>
        </w:numPr>
        <w:rPr>
          <w:rFonts w:ascii="Arial" w:cs="Arial" w:eastAsia="Arial" w:hAnsi="Arial"/>
          <w:sz w:val="14"/>
          <w:szCs w:val="14"/>
          <w:color w:val="auto"/>
        </w:rPr>
      </w:pPr>
      <w:r>
        <w:rPr>
          <w:rFonts w:ascii="Arial" w:cs="Arial" w:eastAsia="Arial" w:hAnsi="Arial"/>
          <w:sz w:val="14"/>
          <w:szCs w:val="14"/>
          <w:color w:val="auto"/>
        </w:rPr>
        <w:t xml:space="preserve">First occurrence of aggregate Net Sales for a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of all Products in the Territory </w:t>
      </w:r>
      <w:r>
        <w:rPr>
          <w:rFonts w:ascii="Arial" w:cs="Arial" w:eastAsia="Arial" w:hAnsi="Arial"/>
          <w:sz w:val="14"/>
          <w:szCs w:val="14"/>
          <w:b w:val="1"/>
          <w:bCs w:val="1"/>
          <w:color w:val="auto"/>
        </w:rPr>
        <w:t>*** ***</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722"/>
        </w:numPr>
        <w:rPr>
          <w:rFonts w:ascii="Arial" w:cs="Arial" w:eastAsia="Arial" w:hAnsi="Arial"/>
          <w:sz w:val="14"/>
          <w:szCs w:val="14"/>
          <w:color w:val="auto"/>
        </w:rPr>
      </w:pPr>
      <w:r>
        <w:rPr>
          <w:rFonts w:ascii="Arial" w:cs="Arial" w:eastAsia="Arial" w:hAnsi="Arial"/>
          <w:sz w:val="14"/>
          <w:szCs w:val="14"/>
          <w:color w:val="auto"/>
        </w:rPr>
        <w:t xml:space="preserve">First occurrence of aggregate Net Sales for a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of all Products in the Territory exceeding </w:t>
      </w:r>
      <w:r>
        <w:rPr>
          <w:rFonts w:ascii="Arial" w:cs="Arial" w:eastAsia="Arial" w:hAnsi="Arial"/>
          <w:sz w:val="14"/>
          <w:szCs w:val="14"/>
          <w:b w:val="1"/>
          <w:bCs w:val="1"/>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Product Royalties</w:t>
      </w:r>
      <w:r>
        <w:rPr>
          <w:rFonts w:ascii="Arial" w:cs="Arial" w:eastAsia="Arial" w:hAnsi="Arial"/>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(a) Green Cross shall pay to MacroGenics a royalty at the rate determined in accordance with the royalty chart included in Exhibit H attached hereto on Net Sales of Products for the Royalty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Term.</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(b) Green Cross shall pay to MacroGenics a royalty of </w:t>
      </w:r>
      <w:r>
        <w:rPr>
          <w:rFonts w:ascii="Arial" w:cs="Arial" w:eastAsia="Arial" w:hAnsi="Arial"/>
          <w:sz w:val="14"/>
          <w:szCs w:val="14"/>
          <w:b w:val="1"/>
          <w:bCs w:val="1"/>
          <w:color w:val="auto"/>
        </w:rPr>
        <w:t>***</w:t>
      </w:r>
      <w:r>
        <w:rPr>
          <w:rFonts w:ascii="Arial" w:cs="Arial" w:eastAsia="Arial" w:hAnsi="Arial"/>
          <w:sz w:val="14"/>
          <w:szCs w:val="14"/>
          <w:color w:val="auto"/>
        </w:rPr>
        <w:t xml:space="preserve"> on Net Sales of Competing Products for the Royalty Term.</w:t>
      </w:r>
    </w:p>
    <w:p>
      <w:pPr>
        <w:spacing w:after="0" w:line="132" w:lineRule="exact"/>
        <w:rPr>
          <w:sz w:val="20"/>
          <w:szCs w:val="20"/>
          <w:color w:val="auto"/>
        </w:rPr>
      </w:pPr>
    </w:p>
    <w:p>
      <w:pPr>
        <w:ind w:firstLine="458"/>
        <w:spacing w:after="0" w:line="254"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Upstream License Royalties</w:t>
      </w:r>
      <w:r>
        <w:rPr>
          <w:rFonts w:ascii="Arial" w:cs="Arial" w:eastAsia="Arial" w:hAnsi="Arial"/>
          <w:sz w:val="14"/>
          <w:szCs w:val="14"/>
          <w:color w:val="auto"/>
        </w:rPr>
        <w:t>. In addition to the other royalty payments set forth in this Section 8, Green Cross shall reimburse MacroGenics for royalty payments payable by MacroGenics as a result of the Collaboration pursuant to: (a) the Upstream Agreements identified on Exhibit E as of the Effective Date and (b) any additional Upstream Agreements identified by MacroGenics after the Effective Date that include a license to any patent(s) that has any claim(s) that would otherwise prevent MacroGenics from fulfilling its obligations under this Agreement or from supplying MGAH22 or any Product in the Territory (the “</w:t>
      </w:r>
      <w:r>
        <w:rPr>
          <w:rFonts w:ascii="Arial" w:cs="Arial" w:eastAsia="Arial" w:hAnsi="Arial"/>
          <w:sz w:val="14"/>
          <w:szCs w:val="14"/>
          <w:b w:val="1"/>
          <w:bCs w:val="1"/>
          <w:color w:val="auto"/>
        </w:rPr>
        <w:t>Upstream Royalties</w:t>
      </w:r>
      <w:r>
        <w:rPr>
          <w:rFonts w:ascii="Arial" w:cs="Arial" w:eastAsia="Arial" w:hAnsi="Arial"/>
          <w:sz w:val="14"/>
          <w:szCs w:val="14"/>
          <w:color w:val="auto"/>
        </w:rPr>
        <w:t>”). Green Cross’ obligation under this Section 8.6 with respect to the payment of Upstream Royalties under an Upstream Agreement shall terminate upon termination of MacroGenics’ obligation to pay royalties under the terms of such Upstream Agreement.</w:t>
      </w:r>
    </w:p>
    <w:p>
      <w:pPr>
        <w:spacing w:after="0" w:line="109" w:lineRule="exact"/>
        <w:rPr>
          <w:sz w:val="20"/>
          <w:szCs w:val="20"/>
          <w:color w:val="auto"/>
        </w:rPr>
      </w:pPr>
    </w:p>
    <w:p>
      <w:pPr>
        <w:ind w:right="460" w:firstLine="458"/>
        <w:spacing w:after="0" w:line="355"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b w:val="1"/>
          <w:bCs w:val="1"/>
          <w:color w:val="auto"/>
        </w:rPr>
        <w:t>Third Party Agreements</w:t>
      </w:r>
      <w:r>
        <w:rPr>
          <w:rFonts w:ascii="Arial" w:cs="Arial" w:eastAsia="Arial" w:hAnsi="Arial"/>
          <w:sz w:val="12"/>
          <w:szCs w:val="12"/>
          <w:color w:val="auto"/>
        </w:rPr>
        <w:t>. Green Cross (or its Affiliate or Sublicensee) shall be responsible, at its sole expense and discretion, for obtaining any agreements with Third Parties (other than the Upstream Agreements) for any Third Party rights which would be infringed by the Development, manufacturing, importation, or Commercialization of any Product in the Territory.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Payment of Milestones</w:t>
      </w:r>
      <w:r>
        <w:rPr>
          <w:rFonts w:ascii="Arial" w:cs="Arial" w:eastAsia="Arial" w:hAnsi="Arial"/>
          <w:sz w:val="14"/>
          <w:szCs w:val="14"/>
          <w:color w:val="auto"/>
        </w:rPr>
        <w:t xml:space="preserve">. All milestone payments shall be due and payable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event for which the payment is due.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Reports; Payments</w:t>
      </w:r>
    </w:p>
    <w:p>
      <w:pPr>
        <w:spacing w:after="0" w:line="132" w:lineRule="exact"/>
        <w:rPr>
          <w:sz w:val="20"/>
          <w:szCs w:val="20"/>
          <w:color w:val="auto"/>
        </w:rPr>
      </w:pPr>
    </w:p>
    <w:p>
      <w:pPr>
        <w:ind w:left="1100" w:hanging="180"/>
        <w:spacing w:after="0"/>
        <w:tabs>
          <w:tab w:leader="none" w:pos="1100" w:val="left"/>
        </w:tabs>
        <w:numPr>
          <w:ilvl w:val="1"/>
          <w:numId w:val="723"/>
        </w:numPr>
        <w:rPr>
          <w:rFonts w:ascii="Arial" w:cs="Arial" w:eastAsia="Arial" w:hAnsi="Arial"/>
          <w:sz w:val="14"/>
          <w:szCs w:val="14"/>
          <w:color w:val="auto"/>
        </w:rPr>
      </w:pPr>
      <w:r>
        <w:rPr>
          <w:rFonts w:ascii="Arial" w:cs="Arial" w:eastAsia="Arial" w:hAnsi="Arial"/>
          <w:sz w:val="14"/>
          <w:szCs w:val="14"/>
          <w:b w:val="1"/>
          <w:bCs w:val="1"/>
          <w:color w:val="auto"/>
        </w:rPr>
        <w:t>Net Sales Quarterly Reports</w:t>
      </w:r>
      <w:r>
        <w:rPr>
          <w:rFonts w:ascii="Arial" w:cs="Arial" w:eastAsia="Arial" w:hAnsi="Arial"/>
          <w:sz w:val="14"/>
          <w:szCs w:val="14"/>
          <w:color w:val="auto"/>
        </w:rPr>
        <w:t>. During the Term, following the First Commercial Sale of a Product in the Territory, Green Cross shall furnish to MacroGenics:</w:t>
      </w:r>
    </w:p>
    <w:p>
      <w:pPr>
        <w:spacing w:after="0" w:line="70" w:lineRule="exact"/>
        <w:rPr>
          <w:rFonts w:ascii="Arial" w:cs="Arial" w:eastAsia="Arial" w:hAnsi="Arial"/>
          <w:sz w:val="14"/>
          <w:szCs w:val="14"/>
          <w:color w:val="auto"/>
        </w:rPr>
      </w:pPr>
    </w:p>
    <w:p>
      <w:pPr>
        <w:ind w:left="920" w:right="180" w:firstLine="422"/>
        <w:spacing w:after="0" w:line="267" w:lineRule="auto"/>
        <w:tabs>
          <w:tab w:leader="none" w:pos="1504" w:val="left"/>
        </w:tabs>
        <w:numPr>
          <w:ilvl w:val="2"/>
          <w:numId w:val="723"/>
        </w:numPr>
        <w:rPr>
          <w:rFonts w:ascii="Arial" w:cs="Arial" w:eastAsia="Arial" w:hAnsi="Arial"/>
          <w:sz w:val="14"/>
          <w:szCs w:val="14"/>
          <w:color w:val="auto"/>
        </w:rPr>
      </w:pPr>
      <w:r>
        <w:rPr>
          <w:rFonts w:ascii="Arial" w:cs="Arial" w:eastAsia="Arial" w:hAnsi="Arial"/>
          <w:sz w:val="14"/>
          <w:szCs w:val="14"/>
          <w:color w:val="auto"/>
        </w:rPr>
        <w:t>a quarterly written report for the Calendar Quarter showing the Net Sales of all Products (and Competing Products) subject to royalty payments sold by Green Cross and its Related Parties in the Territory during the reporting period and the royalties payable under this Agreement; and</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72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245" w:right="219" w:bottom="1440" w:gutter="0" w:footer="0" w:header="0"/>
        </w:sectPr>
      </w:pPr>
    </w:p>
    <w:bookmarkStart w:id="649" w:name="page650"/>
    <w:bookmarkEnd w:id="649"/>
    <w:p>
      <w:pPr>
        <w:ind w:left="920" w:right="240" w:firstLine="422"/>
        <w:spacing w:after="0" w:line="267" w:lineRule="auto"/>
        <w:tabs>
          <w:tab w:leader="none" w:pos="1542" w:val="left"/>
        </w:tabs>
        <w:numPr>
          <w:ilvl w:val="1"/>
          <w:numId w:val="72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 quarterly report for the Calendar Quarter showing Green Cross’ Commercial Supply Costs, Third Party Royalties and Upstream Royalties for such Calendar Quarter, with such detail as shall reasonably allow MacroGenics to determine the basis for such quarterly costs.</w:t>
      </w:r>
    </w:p>
    <w:p>
      <w:pPr>
        <w:spacing w:after="0" w:line="99" w:lineRule="exact"/>
        <w:rPr>
          <w:rFonts w:ascii="Arial" w:cs="Arial" w:eastAsia="Arial" w:hAnsi="Arial"/>
          <w:sz w:val="14"/>
          <w:szCs w:val="14"/>
          <w:color w:val="auto"/>
        </w:rPr>
      </w:pPr>
    </w:p>
    <w:p>
      <w:pPr>
        <w:ind w:left="1120" w:hanging="200"/>
        <w:spacing w:after="0"/>
        <w:tabs>
          <w:tab w:leader="none" w:pos="1120" w:val="left"/>
        </w:tabs>
        <w:numPr>
          <w:ilvl w:val="0"/>
          <w:numId w:val="725"/>
        </w:numPr>
        <w:rPr>
          <w:rFonts w:ascii="Arial" w:cs="Arial" w:eastAsia="Arial" w:hAnsi="Arial"/>
          <w:sz w:val="14"/>
          <w:szCs w:val="14"/>
          <w:color w:val="auto"/>
        </w:rPr>
      </w:pPr>
      <w:r>
        <w:rPr>
          <w:rFonts w:ascii="Arial" w:cs="Arial" w:eastAsia="Arial" w:hAnsi="Arial"/>
          <w:sz w:val="14"/>
          <w:szCs w:val="14"/>
          <w:b w:val="1"/>
          <w:bCs w:val="1"/>
          <w:color w:val="auto"/>
        </w:rPr>
        <w:t>Submission and Payment Schedule</w:t>
      </w:r>
    </w:p>
    <w:p>
      <w:pPr>
        <w:spacing w:after="0" w:line="70" w:lineRule="exact"/>
        <w:rPr>
          <w:rFonts w:ascii="Arial" w:cs="Arial" w:eastAsia="Arial" w:hAnsi="Arial"/>
          <w:sz w:val="14"/>
          <w:szCs w:val="14"/>
          <w:color w:val="auto"/>
        </w:rPr>
      </w:pPr>
    </w:p>
    <w:p>
      <w:pPr>
        <w:ind w:left="1500" w:hanging="158"/>
        <w:spacing w:after="0"/>
        <w:tabs>
          <w:tab w:leader="none" w:pos="1500" w:val="left"/>
        </w:tabs>
        <w:numPr>
          <w:ilvl w:val="1"/>
          <w:numId w:val="725"/>
        </w:numPr>
        <w:rPr>
          <w:rFonts w:ascii="Arial" w:cs="Arial" w:eastAsia="Arial" w:hAnsi="Arial"/>
          <w:sz w:val="14"/>
          <w:szCs w:val="14"/>
          <w:color w:val="auto"/>
        </w:rPr>
      </w:pPr>
      <w:r>
        <w:rPr>
          <w:rFonts w:ascii="Arial" w:cs="Arial" w:eastAsia="Arial" w:hAnsi="Arial"/>
          <w:sz w:val="14"/>
          <w:szCs w:val="14"/>
          <w:u w:val="single" w:color="auto"/>
          <w:color w:val="auto"/>
        </w:rPr>
        <w:t>Reports</w:t>
      </w:r>
      <w:r>
        <w:rPr>
          <w:rFonts w:ascii="Arial" w:cs="Arial" w:eastAsia="Arial" w:hAnsi="Arial"/>
          <w:sz w:val="14"/>
          <w:szCs w:val="14"/>
          <w:color w:val="auto"/>
        </w:rPr>
        <w:t>. Reports under this Section 8.9 shall be due on the ninetieth (90</w:t>
      </w:r>
      <w:r>
        <w:rPr>
          <w:rFonts w:ascii="Arial" w:cs="Arial" w:eastAsia="Arial" w:hAnsi="Arial"/>
          <w:sz w:val="8"/>
          <w:szCs w:val="8"/>
          <w:color w:val="auto"/>
        </w:rPr>
        <w:t>th</w:t>
      </w:r>
      <w:r>
        <w:rPr>
          <w:rFonts w:ascii="Arial" w:cs="Arial" w:eastAsia="Arial" w:hAnsi="Arial"/>
          <w:sz w:val="14"/>
          <w:szCs w:val="14"/>
          <w:color w:val="auto"/>
        </w:rPr>
        <w:t>) day following the close of each Calendar Quarter.</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 xml:space="preserve">(ii) </w:t>
      </w:r>
      <w:r>
        <w:rPr>
          <w:rFonts w:ascii="Arial" w:cs="Arial" w:eastAsia="Arial" w:hAnsi="Arial"/>
          <w:sz w:val="12"/>
          <w:szCs w:val="12"/>
          <w:u w:val="single" w:color="auto"/>
          <w:color w:val="auto"/>
        </w:rPr>
        <w:t>Royalties</w:t>
      </w:r>
      <w:r>
        <w:rPr>
          <w:rFonts w:ascii="Arial" w:cs="Arial" w:eastAsia="Arial" w:hAnsi="Arial"/>
          <w:sz w:val="12"/>
          <w:szCs w:val="12"/>
          <w:color w:val="auto"/>
        </w:rPr>
        <w:t>. Royalties shown to have accrued by each report shall, unless otherwise specified under this Agreement, be due and payable on the date such report is due.</w:t>
      </w:r>
    </w:p>
    <w:p>
      <w:pPr>
        <w:spacing w:after="0" w:line="153"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color w:val="auto"/>
        </w:rPr>
        <w:t xml:space="preserve">8.10 </w:t>
      </w:r>
      <w:r>
        <w:rPr>
          <w:rFonts w:ascii="Arial" w:cs="Arial" w:eastAsia="Arial" w:hAnsi="Arial"/>
          <w:sz w:val="12"/>
          <w:szCs w:val="12"/>
          <w:b w:val="1"/>
          <w:bCs w:val="1"/>
          <w:color w:val="auto"/>
        </w:rPr>
        <w:t>Payment Exchange Rate</w:t>
      </w:r>
      <w:r>
        <w:rPr>
          <w:rFonts w:ascii="Arial" w:cs="Arial" w:eastAsia="Arial" w:hAnsi="Arial"/>
          <w:sz w:val="12"/>
          <w:szCs w:val="12"/>
          <w:color w:val="auto"/>
        </w:rPr>
        <w:t>. All payments to be made by Green Cross to MacroGenics under this Agreement shall be made in United States dollars by bank wire transfer in immediately available funds to a bank account in the United States designated in writing by MacroGenics. For invoices that Green Cross shall forward to MacroGenics, Green Cross shall use an exchange rate equal to the Telegraphic Transfer (T/T) selling rate as published by Korean Exchange Bank as of the close of business on the last business day of the preceding month.</w:t>
      </w:r>
    </w:p>
    <w:p>
      <w:pPr>
        <w:spacing w:after="0" w:line="71" w:lineRule="exact"/>
        <w:rPr>
          <w:sz w:val="20"/>
          <w:szCs w:val="20"/>
          <w:color w:val="auto"/>
        </w:rPr>
      </w:pPr>
    </w:p>
    <w:p>
      <w:pPr>
        <w:ind w:right="100" w:firstLine="458"/>
        <w:spacing w:after="0" w:line="312" w:lineRule="auto"/>
        <w:rPr>
          <w:sz w:val="20"/>
          <w:szCs w:val="20"/>
          <w:color w:val="auto"/>
        </w:rPr>
      </w:pPr>
      <w:r>
        <w:rPr>
          <w:rFonts w:ascii="Arial" w:cs="Arial" w:eastAsia="Arial" w:hAnsi="Arial"/>
          <w:sz w:val="12"/>
          <w:szCs w:val="12"/>
          <w:color w:val="auto"/>
        </w:rPr>
        <w:t xml:space="preserve">8.11 </w:t>
      </w:r>
      <w:r>
        <w:rPr>
          <w:rFonts w:ascii="Arial" w:cs="Arial" w:eastAsia="Arial" w:hAnsi="Arial"/>
          <w:sz w:val="12"/>
          <w:szCs w:val="12"/>
          <w:b w:val="1"/>
          <w:bCs w:val="1"/>
          <w:color w:val="auto"/>
        </w:rPr>
        <w:t>Tax Withholding</w:t>
      </w:r>
      <w:r>
        <w:rPr>
          <w:rFonts w:ascii="Arial" w:cs="Arial" w:eastAsia="Arial" w:hAnsi="Arial"/>
          <w:sz w:val="12"/>
          <w:szCs w:val="12"/>
          <w:color w:val="auto"/>
        </w:rPr>
        <w:t>. If laws, rules or regulations require Green Cross to withhold income taxes or other taxes imposed upon payments set forth in this Section 8, Green Cross shall make such withholding payments as required and subtract such withholding payments from the payments set forth in this Section 8. Green Cross shall submit original receipts or other appropriate proof of payment of the withholding taxes to MacroGenics within a reasonable period of time to allow MacroGenics to document such tax withholdings for purposes of claiming foreign tax credits and similar benefits, and shall cooperate with reasonable requests of MacroGenics (without acting to the detriment of Green Cross) related to MacroGenics obtaining such credits and benefits.</w:t>
      </w:r>
    </w:p>
    <w:p>
      <w:pPr>
        <w:spacing w:after="0" w:line="76" w:lineRule="exact"/>
        <w:rPr>
          <w:sz w:val="20"/>
          <w:szCs w:val="20"/>
          <w:color w:val="auto"/>
        </w:rPr>
      </w:pPr>
    </w:p>
    <w:p>
      <w:pPr>
        <w:ind w:left="460" w:right="8700" w:hanging="456"/>
        <w:spacing w:after="0" w:line="436" w:lineRule="auto"/>
        <w:tabs>
          <w:tab w:leader="none" w:pos="137" w:val="left"/>
        </w:tabs>
        <w:numPr>
          <w:ilvl w:val="0"/>
          <w:numId w:val="726"/>
        </w:numPr>
        <w:rPr>
          <w:rFonts w:ascii="Arial" w:cs="Arial" w:eastAsia="Arial" w:hAnsi="Arial"/>
          <w:sz w:val="14"/>
          <w:szCs w:val="14"/>
          <w:color w:val="auto"/>
        </w:rPr>
      </w:pPr>
      <w:r>
        <w:rPr>
          <w:rFonts w:ascii="Arial" w:cs="Arial" w:eastAsia="Arial" w:hAnsi="Arial"/>
          <w:sz w:val="14"/>
          <w:szCs w:val="14"/>
          <w:b w:val="1"/>
          <w:bCs w:val="1"/>
          <w:color w:val="auto"/>
        </w:rPr>
        <w:t xml:space="preserve">Record Keeping and Inspections and Audits </w:t>
      </w:r>
      <w:r>
        <w:rPr>
          <w:rFonts w:ascii="Arial" w:cs="Arial" w:eastAsia="Arial" w:hAnsi="Arial"/>
          <w:sz w:val="14"/>
          <w:szCs w:val="14"/>
          <w:color w:val="auto"/>
        </w:rPr>
        <w:t xml:space="preserve">9.1 </w:t>
      </w:r>
      <w:r>
        <w:rPr>
          <w:rFonts w:ascii="Arial" w:cs="Arial" w:eastAsia="Arial" w:hAnsi="Arial"/>
          <w:sz w:val="14"/>
          <w:szCs w:val="14"/>
          <w:b w:val="1"/>
          <w:bCs w:val="1"/>
          <w:color w:val="auto"/>
        </w:rPr>
        <w:t>Records</w:t>
      </w:r>
    </w:p>
    <w:p>
      <w:pPr>
        <w:ind w:right="60" w:firstLine="920"/>
        <w:spacing w:after="0" w:line="355" w:lineRule="auto"/>
        <w:tabs>
          <w:tab w:leader="none" w:pos="1101" w:val="left"/>
        </w:tabs>
        <w:numPr>
          <w:ilvl w:val="1"/>
          <w:numId w:val="726"/>
        </w:numPr>
        <w:rPr>
          <w:rFonts w:ascii="Arial" w:cs="Arial" w:eastAsia="Arial" w:hAnsi="Arial"/>
          <w:sz w:val="12"/>
          <w:szCs w:val="12"/>
          <w:color w:val="auto"/>
        </w:rPr>
      </w:pPr>
      <w:r>
        <w:rPr>
          <w:rFonts w:ascii="Arial" w:cs="Arial" w:eastAsia="Arial" w:hAnsi="Arial"/>
          <w:sz w:val="12"/>
          <w:szCs w:val="12"/>
          <w:b w:val="1"/>
          <w:bCs w:val="1"/>
          <w:color w:val="auto"/>
        </w:rPr>
        <w:t xml:space="preserve">Collaboration Activities. </w:t>
      </w:r>
      <w:r>
        <w:rPr>
          <w:rFonts w:ascii="Arial" w:cs="Arial" w:eastAsia="Arial" w:hAnsi="Arial"/>
          <w:sz w:val="12"/>
          <w:szCs w:val="12"/>
          <w:color w:val="auto"/>
        </w:rPr>
        <w:t>Each Party shall maintain appropriate records of: (i) all significant research, Development, manufacturing and Commercialization events and activities conducted</w:t>
      </w:r>
      <w:r>
        <w:rPr>
          <w:rFonts w:ascii="Arial" w:cs="Arial" w:eastAsia="Arial" w:hAnsi="Arial"/>
          <w:sz w:val="12"/>
          <w:szCs w:val="12"/>
          <w:b w:val="1"/>
          <w:bCs w:val="1"/>
          <w:color w:val="auto"/>
        </w:rPr>
        <w:t xml:space="preserve"> </w:t>
      </w:r>
      <w:r>
        <w:rPr>
          <w:rFonts w:ascii="Arial" w:cs="Arial" w:eastAsia="Arial" w:hAnsi="Arial"/>
          <w:sz w:val="12"/>
          <w:szCs w:val="12"/>
          <w:color w:val="auto"/>
        </w:rPr>
        <w:t>by it or on its behalf related to a Product, and all costs in connection therewith, as applicable; and (ii) all significant information generated by it or on its behalf in connection with research and development</w:t>
      </w:r>
    </w:p>
    <w:p>
      <w:pPr>
        <w:spacing w:after="0" w:line="43" w:lineRule="exact"/>
        <w:rPr>
          <w:sz w:val="20"/>
          <w:szCs w:val="20"/>
          <w:color w:val="auto"/>
        </w:rPr>
      </w:pPr>
    </w:p>
    <w:p>
      <w:pPr>
        <w:ind w:left="5660" w:right="1500" w:hanging="5656"/>
        <w:spacing w:after="0" w:line="438" w:lineRule="auto"/>
        <w:tabs>
          <w:tab w:leader="none" w:pos="235" w:val="left"/>
        </w:tabs>
        <w:numPr>
          <w:ilvl w:val="0"/>
          <w:numId w:val="72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28</w:t>
      </w:r>
    </w:p>
    <w:p>
      <w:pPr>
        <w:sectPr>
          <w:pgSz w:w="11900" w:h="16838" w:orient="portrait"/>
          <w:cols w:equalWidth="0" w:num="1">
            <w:col w:w="11400"/>
          </w:cols>
          <w:pgMar w:left="220" w:top="247" w:right="279" w:bottom="1440" w:gutter="0" w:footer="0" w:header="0"/>
        </w:sectPr>
      </w:pPr>
    </w:p>
    <w:bookmarkStart w:id="650" w:name="page651"/>
    <w:bookmarkEnd w:id="650"/>
    <w:p>
      <w:pPr>
        <w:ind w:right="10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316470" cy="33020"/>
                    </a:xfrm>
                    <a:prstGeom prst="rect">
                      <a:avLst/>
                    </a:prstGeom>
                    <a:noFill/>
                  </pic:spPr>
                </pic:pic>
              </a:graphicData>
            </a:graphic>
          </wp:anchor>
        </w:drawing>
        <w:t>of MGAH22 and Products under this Agreement, in each case in accordance with such Party’s usual documentation and record retention practices. Such records shall be in sufficient detail to properly reflect, in good scientific manner, all significant work done and results of studies and trials undertaken, and further shall be at a level of detail appropriate for patent and regulatory purposes.</w:t>
      </w:r>
    </w:p>
    <w:p>
      <w:pPr>
        <w:spacing w:after="0" w:line="54" w:lineRule="exact"/>
        <w:rPr>
          <w:sz w:val="20"/>
          <w:szCs w:val="20"/>
          <w:color w:val="auto"/>
        </w:rPr>
      </w:pPr>
    </w:p>
    <w:p>
      <w:pPr>
        <w:ind w:right="240" w:firstLine="920"/>
        <w:spacing w:after="0" w:line="270" w:lineRule="auto"/>
        <w:tabs>
          <w:tab w:leader="none" w:pos="1109" w:val="left"/>
        </w:tabs>
        <w:numPr>
          <w:ilvl w:val="0"/>
          <w:numId w:val="728"/>
        </w:numPr>
        <w:rPr>
          <w:rFonts w:ascii="Arial" w:cs="Arial" w:eastAsia="Arial" w:hAnsi="Arial"/>
          <w:sz w:val="14"/>
          <w:szCs w:val="14"/>
          <w:color w:val="auto"/>
        </w:rPr>
      </w:pPr>
      <w:r>
        <w:rPr>
          <w:rFonts w:ascii="Arial" w:cs="Arial" w:eastAsia="Arial" w:hAnsi="Arial"/>
          <w:sz w:val="14"/>
          <w:szCs w:val="14"/>
          <w:b w:val="1"/>
          <w:bCs w:val="1"/>
          <w:color w:val="auto"/>
        </w:rPr>
        <w:t>Green Cross Royalties</w:t>
      </w:r>
      <w:r>
        <w:rPr>
          <w:rFonts w:ascii="Arial" w:cs="Arial" w:eastAsia="Arial" w:hAnsi="Arial"/>
          <w:sz w:val="14"/>
          <w:szCs w:val="14"/>
          <w:color w:val="auto"/>
        </w:rPr>
        <w:t>. Green Cross shall keep complete and accurate records in sufficient detail to enable the royalties payable under Section 8 and its Commercial Supply Costs, Third</w:t>
      </w:r>
      <w:r>
        <w:rPr>
          <w:rFonts w:ascii="Arial" w:cs="Arial" w:eastAsia="Arial" w:hAnsi="Arial"/>
          <w:sz w:val="14"/>
          <w:szCs w:val="14"/>
          <w:b w:val="1"/>
          <w:bCs w:val="1"/>
          <w:color w:val="auto"/>
        </w:rPr>
        <w:t xml:space="preserve"> </w:t>
      </w:r>
      <w:r>
        <w:rPr>
          <w:rFonts w:ascii="Arial" w:cs="Arial" w:eastAsia="Arial" w:hAnsi="Arial"/>
          <w:sz w:val="14"/>
          <w:szCs w:val="14"/>
          <w:color w:val="auto"/>
        </w:rPr>
        <w:t>Party Royalties and Upstream Royalties to be determined.</w:t>
      </w:r>
    </w:p>
    <w:p>
      <w:pPr>
        <w:spacing w:after="0" w:line="97" w:lineRule="exact"/>
        <w:rPr>
          <w:rFonts w:ascii="Arial" w:cs="Arial" w:eastAsia="Arial" w:hAnsi="Arial"/>
          <w:sz w:val="14"/>
          <w:szCs w:val="14"/>
          <w:color w:val="auto"/>
        </w:rPr>
      </w:pPr>
    </w:p>
    <w:p>
      <w:pPr>
        <w:ind w:right="460" w:firstLine="920"/>
        <w:spacing w:after="0" w:line="355" w:lineRule="auto"/>
        <w:tabs>
          <w:tab w:leader="none" w:pos="1101" w:val="left"/>
        </w:tabs>
        <w:numPr>
          <w:ilvl w:val="0"/>
          <w:numId w:val="728"/>
        </w:numPr>
        <w:rPr>
          <w:rFonts w:ascii="Arial" w:cs="Arial" w:eastAsia="Arial" w:hAnsi="Arial"/>
          <w:sz w:val="12"/>
          <w:szCs w:val="12"/>
          <w:color w:val="auto"/>
        </w:rPr>
      </w:pPr>
      <w:r>
        <w:rPr>
          <w:rFonts w:ascii="Arial" w:cs="Arial" w:eastAsia="Arial" w:hAnsi="Arial"/>
          <w:sz w:val="12"/>
          <w:szCs w:val="12"/>
          <w:b w:val="1"/>
          <w:bCs w:val="1"/>
          <w:color w:val="auto"/>
        </w:rPr>
        <w:t>MacroGenics’ Royalties</w:t>
      </w:r>
      <w:r>
        <w:rPr>
          <w:rFonts w:ascii="Arial" w:cs="Arial" w:eastAsia="Arial" w:hAnsi="Arial"/>
          <w:sz w:val="12"/>
          <w:szCs w:val="12"/>
          <w:color w:val="auto"/>
        </w:rPr>
        <w:t>. MacroGenics shall keep complete and accurate records of royalty payments due under the Upstream Agreements in sufficient detail to enable the Upstream</w:t>
      </w:r>
      <w:r>
        <w:rPr>
          <w:rFonts w:ascii="Arial" w:cs="Arial" w:eastAsia="Arial" w:hAnsi="Arial"/>
          <w:sz w:val="12"/>
          <w:szCs w:val="12"/>
          <w:b w:val="1"/>
          <w:bCs w:val="1"/>
          <w:color w:val="auto"/>
        </w:rPr>
        <w:t xml:space="preserve"> </w:t>
      </w:r>
      <w:r>
        <w:rPr>
          <w:rFonts w:ascii="Arial" w:cs="Arial" w:eastAsia="Arial" w:hAnsi="Arial"/>
          <w:sz w:val="12"/>
          <w:szCs w:val="12"/>
          <w:color w:val="auto"/>
        </w:rPr>
        <w:t>Royalties payable by Green Cross under Section 8.6 to be determined. At the request of Green Cross, MacroGenics shall make such records available to Green Cross.</w:t>
      </w:r>
    </w:p>
    <w:p>
      <w:pPr>
        <w:spacing w:after="0" w:line="51" w:lineRule="exact"/>
        <w:rPr>
          <w:rFonts w:ascii="Arial" w:cs="Arial" w:eastAsia="Arial" w:hAnsi="Arial"/>
          <w:sz w:val="12"/>
          <w:szCs w:val="12"/>
          <w:color w:val="auto"/>
        </w:rPr>
      </w:pPr>
    </w:p>
    <w:p>
      <w:pPr>
        <w:ind w:right="100" w:firstLine="920"/>
        <w:spacing w:after="0" w:line="270" w:lineRule="auto"/>
        <w:tabs>
          <w:tab w:leader="none" w:pos="1109" w:val="left"/>
        </w:tabs>
        <w:numPr>
          <w:ilvl w:val="0"/>
          <w:numId w:val="728"/>
        </w:numPr>
        <w:rPr>
          <w:rFonts w:ascii="Arial" w:cs="Arial" w:eastAsia="Arial" w:hAnsi="Arial"/>
          <w:sz w:val="14"/>
          <w:szCs w:val="14"/>
          <w:color w:val="auto"/>
        </w:rPr>
      </w:pPr>
      <w:r>
        <w:rPr>
          <w:rFonts w:ascii="Arial" w:cs="Arial" w:eastAsia="Arial" w:hAnsi="Arial"/>
          <w:sz w:val="14"/>
          <w:szCs w:val="14"/>
          <w:b w:val="1"/>
          <w:bCs w:val="1"/>
          <w:color w:val="auto"/>
        </w:rPr>
        <w:t>MacroGenics’ FBMC</w:t>
      </w:r>
      <w:r>
        <w:rPr>
          <w:rFonts w:ascii="Arial" w:cs="Arial" w:eastAsia="Arial" w:hAnsi="Arial"/>
          <w:sz w:val="14"/>
          <w:szCs w:val="14"/>
          <w:color w:val="auto"/>
        </w:rPr>
        <w:t>. MacroGenics shall keep complete and accurate records with such detail as shall reasonably allow Green Cross to determine the basis for such FBMC. At the request</w:t>
      </w:r>
      <w:r>
        <w:rPr>
          <w:rFonts w:ascii="Arial" w:cs="Arial" w:eastAsia="Arial" w:hAnsi="Arial"/>
          <w:sz w:val="14"/>
          <w:szCs w:val="14"/>
          <w:b w:val="1"/>
          <w:bCs w:val="1"/>
          <w:color w:val="auto"/>
        </w:rPr>
        <w:t xml:space="preserve"> </w:t>
      </w:r>
      <w:r>
        <w:rPr>
          <w:rFonts w:ascii="Arial" w:cs="Arial" w:eastAsia="Arial" w:hAnsi="Arial"/>
          <w:sz w:val="14"/>
          <w:szCs w:val="14"/>
          <w:color w:val="auto"/>
        </w:rPr>
        <w:t>of Green Cross, MacroGenics shall make such records available to Green Cross.</w:t>
      </w:r>
    </w:p>
    <w:p>
      <w:pPr>
        <w:spacing w:after="0" w:line="97" w:lineRule="exact"/>
        <w:rPr>
          <w:sz w:val="20"/>
          <w:szCs w:val="20"/>
          <w:color w:val="auto"/>
        </w:rPr>
      </w:pPr>
    </w:p>
    <w:p>
      <w:pPr>
        <w:ind w:firstLine="458"/>
        <w:spacing w:after="0" w:line="306"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b w:val="1"/>
          <w:bCs w:val="1"/>
          <w:color w:val="auto"/>
        </w:rPr>
        <w:t>Audit Rights</w:t>
      </w:r>
      <w:r>
        <w:rPr>
          <w:rFonts w:ascii="Arial" w:cs="Arial" w:eastAsia="Arial" w:hAnsi="Arial"/>
          <w:sz w:val="12"/>
          <w:szCs w:val="12"/>
          <w:color w:val="auto"/>
        </w:rPr>
        <w:t>. Upon the written request of a Party (“</w:t>
      </w:r>
      <w:r>
        <w:rPr>
          <w:rFonts w:ascii="Arial" w:cs="Arial" w:eastAsia="Arial" w:hAnsi="Arial"/>
          <w:sz w:val="12"/>
          <w:szCs w:val="12"/>
          <w:b w:val="1"/>
          <w:bCs w:val="1"/>
          <w:color w:val="auto"/>
        </w:rPr>
        <w:t>Requesting Party</w:t>
      </w:r>
      <w:r>
        <w:rPr>
          <w:rFonts w:ascii="Arial" w:cs="Arial" w:eastAsia="Arial" w:hAnsi="Arial"/>
          <w:sz w:val="12"/>
          <w:szCs w:val="12"/>
          <w:color w:val="auto"/>
        </w:rPr>
        <w:t>”) with reasonable advance notice and not more than once in each Calendar Year, the other Party shall permit an independent certified public accounting firm of nationally recognized standing selected by Requesting Party and reasonably acceptable to the other Party, at its own expense, to have access during normal business hours to such of the records as may be reasonably necessary to verify the accuracy of the reports under Section 8 for any Calendar Year ending not more than thirty-six (36) months prior to the date of such request. The accounting firm shall disclose to the Requesting Party only whether the reports are correct or incorrect and the specific details concerning any discrepancies. No other information shall be provided to Requesting Party in connection with this audit right. This right to audit shall remain in effect throughout the life of this Agreement and for a period of three (3) years after the termination of this Agreement.</w:t>
      </w:r>
    </w:p>
    <w:p>
      <w:pPr>
        <w:spacing w:after="0" w:line="81" w:lineRule="exact"/>
        <w:rPr>
          <w:sz w:val="20"/>
          <w:szCs w:val="20"/>
          <w:color w:val="auto"/>
        </w:rPr>
      </w:pPr>
    </w:p>
    <w:p>
      <w:pPr>
        <w:ind w:right="40" w:firstLine="458"/>
        <w:spacing w:after="0" w:line="256"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Discrepancies</w:t>
      </w:r>
      <w:r>
        <w:rPr>
          <w:rFonts w:ascii="Arial" w:cs="Arial" w:eastAsia="Arial" w:hAnsi="Arial"/>
          <w:sz w:val="14"/>
          <w:szCs w:val="14"/>
          <w:color w:val="auto"/>
        </w:rPr>
        <w:t>. If such accounting firm identifies a discrepancy, the other Party shall pay Requesting Party the amount of the discrepancy within thirty (30) days of the date Requesting Party delivers to the other Party such accounting firm’s written report so concluding, or as otherwise agreed upon by the Parties. The fees charged by such accounting firm shall be paid by Requesting Party unless the underpayment by the other Party exceeded five percent (5%) of the amount owed for such Calendar Year, in which case the other Party shall pay to Requesting Party the reasonable fees charged by such accounting firm.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b w:val="1"/>
          <w:bCs w:val="1"/>
          <w:color w:val="auto"/>
        </w:rPr>
        <w:t>Confidentiality</w:t>
      </w:r>
      <w:r>
        <w:rPr>
          <w:rFonts w:ascii="Arial" w:cs="Arial" w:eastAsia="Arial" w:hAnsi="Arial"/>
          <w:sz w:val="14"/>
          <w:szCs w:val="14"/>
          <w:color w:val="auto"/>
        </w:rPr>
        <w:t>. Each Party shall treat all information of the other Party subject to review under this Section 9 in accordance with the confidentiality and non-use</w:t>
      </w:r>
    </w:p>
    <w:p>
      <w:pPr>
        <w:spacing w:after="0" w:line="123" w:lineRule="exact"/>
        <w:rPr>
          <w:sz w:val="20"/>
          <w:szCs w:val="20"/>
          <w:color w:val="auto"/>
        </w:rPr>
      </w:pPr>
    </w:p>
    <w:p>
      <w:pPr>
        <w:ind w:left="5660" w:right="1560" w:hanging="5656"/>
        <w:spacing w:after="0" w:line="438" w:lineRule="auto"/>
        <w:tabs>
          <w:tab w:leader="none" w:pos="235" w:val="left"/>
        </w:tabs>
        <w:numPr>
          <w:ilvl w:val="0"/>
          <w:numId w:val="729"/>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29</w:t>
      </w:r>
    </w:p>
    <w:p>
      <w:pPr>
        <w:sectPr>
          <w:pgSz w:w="11900" w:h="16838" w:orient="portrait"/>
          <w:cols w:equalWidth="0" w:num="1">
            <w:col w:w="11460"/>
          </w:cols>
          <w:pgMar w:left="220" w:top="247" w:right="219" w:bottom="1440" w:gutter="0" w:footer="0" w:header="0"/>
        </w:sectPr>
      </w:pPr>
    </w:p>
    <w:bookmarkStart w:id="651" w:name="page652"/>
    <w:bookmarkEnd w:id="651"/>
    <w:p>
      <w:pPr>
        <w:ind w:right="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provisions of this Agreement, and shall cause its accounting firm to enter into an acceptable confidentiality agreement with the audited Party and any applicable Related Parties, obligating it or them to retain all such information in confidence pursuant to such confidentiality agreement.</w:t>
      </w:r>
    </w:p>
    <w:p>
      <w:pPr>
        <w:spacing w:after="0" w:line="99" w:lineRule="exact"/>
        <w:rPr>
          <w:sz w:val="20"/>
          <w:szCs w:val="20"/>
          <w:color w:val="auto"/>
        </w:rPr>
      </w:pPr>
    </w:p>
    <w:p>
      <w:pPr>
        <w:ind w:left="200" w:hanging="196"/>
        <w:spacing w:after="0"/>
        <w:tabs>
          <w:tab w:leader="none" w:pos="200" w:val="left"/>
        </w:tabs>
        <w:numPr>
          <w:ilvl w:val="0"/>
          <w:numId w:val="730"/>
        </w:numPr>
        <w:rPr>
          <w:rFonts w:ascii="Arial" w:cs="Arial" w:eastAsia="Arial" w:hAnsi="Arial"/>
          <w:sz w:val="14"/>
          <w:szCs w:val="14"/>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ICENSES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License to Green Cross</w:t>
      </w:r>
    </w:p>
    <w:p>
      <w:pPr>
        <w:spacing w:after="0" w:line="132" w:lineRule="exact"/>
        <w:rPr>
          <w:sz w:val="20"/>
          <w:szCs w:val="20"/>
          <w:color w:val="auto"/>
        </w:rPr>
      </w:pPr>
    </w:p>
    <w:p>
      <w:pPr>
        <w:ind w:firstLine="920"/>
        <w:spacing w:after="0" w:line="256" w:lineRule="auto"/>
        <w:tabs>
          <w:tab w:leader="none" w:pos="1101" w:val="left"/>
        </w:tabs>
        <w:numPr>
          <w:ilvl w:val="1"/>
          <w:numId w:val="731"/>
        </w:numPr>
        <w:rPr>
          <w:rFonts w:ascii="Arial" w:cs="Arial" w:eastAsia="Arial" w:hAnsi="Arial"/>
          <w:sz w:val="14"/>
          <w:szCs w:val="14"/>
          <w:color w:val="auto"/>
        </w:rPr>
      </w:pPr>
      <w:r>
        <w:rPr>
          <w:rFonts w:ascii="Arial" w:cs="Arial" w:eastAsia="Arial" w:hAnsi="Arial"/>
          <w:sz w:val="14"/>
          <w:szCs w:val="14"/>
          <w:b w:val="1"/>
          <w:bCs w:val="1"/>
          <w:color w:val="auto"/>
        </w:rPr>
        <w:t>License</w:t>
      </w:r>
      <w:r>
        <w:rPr>
          <w:rFonts w:ascii="Arial" w:cs="Arial" w:eastAsia="Arial" w:hAnsi="Arial"/>
          <w:sz w:val="14"/>
          <w:szCs w:val="14"/>
          <w:color w:val="auto"/>
        </w:rPr>
        <w:t>. Subject to the terms and conditions of this Agreement, MacroGenics hereby grants to Green Cross an exclusive, royalty-bearing (i) license, with the right to grant sublicenses</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Section 10.1(b)), under the MacroGenics Licensed Technology and the MacroGenics Licensed Trademarks; and (ii) to the extent needed under this Section 10.1(a), sublicense under the MacroGenics Licensed Technology licensed pursuant to the Upstream Agreements, in the case of each of (i) and (ii), to conduct the Phase I Clinical Development Plan and Phase II Clinical Development Plan, and to distribute, sell, offer for sale and import Products in the Field in the Territory during the Term.</w:t>
      </w:r>
    </w:p>
    <w:p>
      <w:pPr>
        <w:spacing w:after="0" w:line="107" w:lineRule="exact"/>
        <w:rPr>
          <w:rFonts w:ascii="Arial" w:cs="Arial" w:eastAsia="Arial" w:hAnsi="Arial"/>
          <w:sz w:val="14"/>
          <w:szCs w:val="14"/>
          <w:color w:val="auto"/>
        </w:rPr>
      </w:pPr>
    </w:p>
    <w:p>
      <w:pPr>
        <w:ind w:right="40" w:firstLine="920"/>
        <w:spacing w:after="0" w:line="301" w:lineRule="auto"/>
        <w:tabs>
          <w:tab w:leader="none" w:pos="1109" w:val="left"/>
        </w:tabs>
        <w:numPr>
          <w:ilvl w:val="1"/>
          <w:numId w:val="731"/>
        </w:numPr>
        <w:rPr>
          <w:rFonts w:ascii="Arial" w:cs="Arial" w:eastAsia="Arial" w:hAnsi="Arial"/>
          <w:sz w:val="12"/>
          <w:szCs w:val="12"/>
          <w:color w:val="auto"/>
        </w:rPr>
      </w:pPr>
      <w:r>
        <w:rPr>
          <w:rFonts w:ascii="Arial" w:cs="Arial" w:eastAsia="Arial" w:hAnsi="Arial"/>
          <w:sz w:val="12"/>
          <w:szCs w:val="12"/>
          <w:b w:val="1"/>
          <w:bCs w:val="1"/>
          <w:color w:val="auto"/>
        </w:rPr>
        <w:t>Sublicensees</w:t>
      </w:r>
      <w:r>
        <w:rPr>
          <w:rFonts w:ascii="Arial" w:cs="Arial" w:eastAsia="Arial" w:hAnsi="Arial"/>
          <w:sz w:val="12"/>
          <w:szCs w:val="12"/>
          <w:color w:val="auto"/>
        </w:rPr>
        <w:t>. Green Cross may grant sublicensees solely for purposes of performing its Development obligations under this Agreement. In no event shall Green Cross grant any sublicense</w:t>
      </w:r>
      <w:r>
        <w:rPr>
          <w:rFonts w:ascii="Arial" w:cs="Arial" w:eastAsia="Arial" w:hAnsi="Arial"/>
          <w:sz w:val="12"/>
          <w:szCs w:val="12"/>
          <w:b w:val="1"/>
          <w:bCs w:val="1"/>
          <w:color w:val="auto"/>
        </w:rPr>
        <w:t xml:space="preserve"> </w:t>
      </w:r>
      <w:r>
        <w:rPr>
          <w:rFonts w:ascii="Arial" w:cs="Arial" w:eastAsia="Arial" w:hAnsi="Arial"/>
          <w:sz w:val="12"/>
          <w:szCs w:val="12"/>
          <w:color w:val="auto"/>
        </w:rPr>
        <w:t>to any of the rights granted to it pursuant to Section 10.1(a) for any other purpose without MacroGenics’ prior written consent. Each sublicense granted by Green Cross shall be consistent with this Agreement and subordinate thereto, and Green Cross shall remain responsible to MacroGenics for the compliance of each such Sublicensee with the financial and other obligations due under this Agreement. Green Cross shall provide a copy of each such sublicense to MacroGenics so that MacroGenics can confirm Green Cross’ compliance with the foregoing. Each sublicense granted by Green Cross under this Agreement shall permit the conversion of such sublicense to a direct license with MacroGenics at MacroGenics’ sole option in the event this Agreement is terminated and, upon such conversion, MacroGenics shall be responsible for all former obligations of Green Cross under such sublicense. Green Cross shall use Commercially Reasonable Efforts to include in each such sublicense a requirement obligating such sublicensees to cooperate with MacroGenics.</w:t>
      </w:r>
    </w:p>
    <w:p>
      <w:pPr>
        <w:spacing w:after="0" w:line="84" w:lineRule="exact"/>
        <w:rPr>
          <w:rFonts w:ascii="Arial" w:cs="Arial" w:eastAsia="Arial" w:hAnsi="Arial"/>
          <w:sz w:val="12"/>
          <w:szCs w:val="12"/>
          <w:color w:val="auto"/>
        </w:rPr>
      </w:pPr>
    </w:p>
    <w:p>
      <w:pPr>
        <w:ind w:left="1100" w:hanging="180"/>
        <w:spacing w:after="0"/>
        <w:tabs>
          <w:tab w:leader="none" w:pos="1100" w:val="left"/>
        </w:tabs>
        <w:numPr>
          <w:ilvl w:val="1"/>
          <w:numId w:val="731"/>
        </w:numPr>
        <w:rPr>
          <w:rFonts w:ascii="Arial" w:cs="Arial" w:eastAsia="Arial" w:hAnsi="Arial"/>
          <w:sz w:val="14"/>
          <w:szCs w:val="14"/>
          <w:color w:val="auto"/>
        </w:rPr>
      </w:pPr>
      <w:r>
        <w:rPr>
          <w:rFonts w:ascii="Arial" w:cs="Arial" w:eastAsia="Arial" w:hAnsi="Arial"/>
          <w:sz w:val="14"/>
          <w:szCs w:val="14"/>
          <w:b w:val="1"/>
          <w:bCs w:val="1"/>
          <w:color w:val="auto"/>
        </w:rPr>
        <w:t>Regulatory Approvals</w:t>
      </w:r>
      <w:r>
        <w:rPr>
          <w:rFonts w:ascii="Arial" w:cs="Arial" w:eastAsia="Arial" w:hAnsi="Arial"/>
          <w:sz w:val="14"/>
          <w:szCs w:val="14"/>
          <w:color w:val="auto"/>
        </w:rPr>
        <w:t>. Green Cross shall hold and maintain all Regulatory Approvals for the Commercialization of the Product in the Territory.</w:t>
      </w:r>
    </w:p>
    <w:p>
      <w:pPr>
        <w:spacing w:after="0" w:line="131" w:lineRule="exact"/>
        <w:rPr>
          <w:rFonts w:ascii="Arial" w:cs="Arial" w:eastAsia="Arial" w:hAnsi="Arial"/>
          <w:sz w:val="14"/>
          <w:szCs w:val="14"/>
          <w:color w:val="auto"/>
        </w:rPr>
      </w:pPr>
    </w:p>
    <w:p>
      <w:pPr>
        <w:ind w:right="60" w:firstLine="920"/>
        <w:spacing w:after="0" w:line="256" w:lineRule="auto"/>
        <w:tabs>
          <w:tab w:leader="none" w:pos="1109" w:val="left"/>
        </w:tabs>
        <w:numPr>
          <w:ilvl w:val="1"/>
          <w:numId w:val="731"/>
        </w:numPr>
        <w:rPr>
          <w:rFonts w:ascii="Arial" w:cs="Arial" w:eastAsia="Arial" w:hAnsi="Arial"/>
          <w:sz w:val="14"/>
          <w:szCs w:val="14"/>
          <w:color w:val="auto"/>
        </w:rPr>
      </w:pPr>
      <w:r>
        <w:rPr>
          <w:rFonts w:ascii="Arial" w:cs="Arial" w:eastAsia="Arial" w:hAnsi="Arial"/>
          <w:sz w:val="14"/>
          <w:szCs w:val="14"/>
          <w:b w:val="1"/>
          <w:bCs w:val="1"/>
          <w:color w:val="auto"/>
        </w:rPr>
        <w:t>MacroGenics Retained Rights</w:t>
      </w:r>
      <w:r>
        <w:rPr>
          <w:rFonts w:ascii="Arial" w:cs="Arial" w:eastAsia="Arial" w:hAnsi="Arial"/>
          <w:sz w:val="14"/>
          <w:szCs w:val="14"/>
          <w:color w:val="auto"/>
        </w:rPr>
        <w:t>. MacroGenics shall retain the following: (i) the right to conduct its obligations under the Phase I Clinical Development Plan and Phase II Clinical</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Plan in the Territory, including, without limitation, data management, monitoring, regulatory compliance and support and shipping requirements and all other requirements in connection with this Agreement; (ii) the right to manufacture or have manufactured MGAH22 and Products for uses pursuant to this Agreement as provided in Section 6 in the Territory; and (iii) all rights not otherwise granted to Green Cross inside and outside the Territory.</w:t>
      </w:r>
    </w:p>
    <w:p>
      <w:pPr>
        <w:spacing w:after="0" w:line="107" w:lineRule="exact"/>
        <w:rPr>
          <w:rFonts w:ascii="Arial" w:cs="Arial" w:eastAsia="Arial" w:hAnsi="Arial"/>
          <w:sz w:val="14"/>
          <w:szCs w:val="14"/>
          <w:color w:val="auto"/>
        </w:rPr>
      </w:pPr>
    </w:p>
    <w:p>
      <w:pPr>
        <w:ind w:left="1100" w:hanging="180"/>
        <w:spacing w:after="0"/>
        <w:tabs>
          <w:tab w:leader="none" w:pos="1100" w:val="left"/>
        </w:tabs>
        <w:numPr>
          <w:ilvl w:val="1"/>
          <w:numId w:val="731"/>
        </w:numPr>
        <w:rPr>
          <w:rFonts w:ascii="Arial" w:cs="Arial" w:eastAsia="Arial" w:hAnsi="Arial"/>
          <w:sz w:val="14"/>
          <w:szCs w:val="14"/>
          <w:color w:val="auto"/>
        </w:rPr>
      </w:pPr>
      <w:r>
        <w:rPr>
          <w:rFonts w:ascii="Arial" w:cs="Arial" w:eastAsia="Arial" w:hAnsi="Arial"/>
          <w:sz w:val="14"/>
          <w:szCs w:val="14"/>
          <w:b w:val="1"/>
          <w:bCs w:val="1"/>
          <w:color w:val="auto"/>
        </w:rPr>
        <w:t>Opportunity ***</w:t>
      </w:r>
      <w:r>
        <w:rPr>
          <w:rFonts w:ascii="Arial" w:cs="Arial" w:eastAsia="Arial" w:hAnsi="Arial"/>
          <w:sz w:val="14"/>
          <w:szCs w:val="14"/>
          <w:color w:val="auto"/>
        </w:rPr>
        <w:t>. In the event that during the period between the</w:t>
      </w:r>
      <w:r>
        <w:rPr>
          <w:rFonts w:ascii="Arial" w:cs="Arial" w:eastAsia="Arial" w:hAnsi="Arial"/>
          <w:sz w:val="14"/>
          <w:szCs w:val="14"/>
          <w:b w:val="1"/>
          <w:bCs w:val="1"/>
          <w:color w:val="auto"/>
        </w:rPr>
        <w:t xml:space="preserve"> ***</w:t>
      </w:r>
      <w:r>
        <w:rPr>
          <w:rFonts w:ascii="Arial" w:cs="Arial" w:eastAsia="Arial" w:hAnsi="Arial"/>
          <w:sz w:val="14"/>
          <w:szCs w:val="14"/>
          <w:color w:val="auto"/>
        </w:rPr>
        <w:t>, MacroGenics wishes to</w:t>
      </w:r>
      <w:r>
        <w:rPr>
          <w:rFonts w:ascii="Arial" w:cs="Arial" w:eastAsia="Arial" w:hAnsi="Arial"/>
          <w:sz w:val="14"/>
          <w:szCs w:val="14"/>
          <w:b w:val="1"/>
          <w:bCs w:val="1"/>
          <w:color w:val="auto"/>
        </w:rPr>
        <w:t xml:space="preserve"> ***</w:t>
      </w:r>
      <w:r>
        <w:rPr>
          <w:rFonts w:ascii="Arial" w:cs="Arial" w:eastAsia="Arial" w:hAnsi="Arial"/>
          <w:sz w:val="14"/>
          <w:szCs w:val="14"/>
          <w:color w:val="auto"/>
        </w:rPr>
        <w:t>, MacroGenics shall provide Green Cross</w:t>
      </w:r>
      <w:r>
        <w:rPr>
          <w:rFonts w:ascii="Arial" w:cs="Arial" w:eastAsia="Arial" w:hAnsi="Arial"/>
          <w:sz w:val="14"/>
          <w:szCs w:val="14"/>
          <w:b w:val="1"/>
          <w:bCs w:val="1"/>
          <w:color w:val="auto"/>
        </w:rPr>
        <w:t xml:space="preserve"> ***</w:t>
      </w:r>
    </w:p>
    <w:p>
      <w:pPr>
        <w:spacing w:after="0" w:line="123" w:lineRule="exact"/>
        <w:rPr>
          <w:rFonts w:ascii="Arial" w:cs="Arial" w:eastAsia="Arial" w:hAnsi="Arial"/>
          <w:sz w:val="14"/>
          <w:szCs w:val="14"/>
          <w:color w:val="auto"/>
        </w:rPr>
      </w:pPr>
    </w:p>
    <w:p>
      <w:pPr>
        <w:ind w:left="240" w:hanging="236"/>
        <w:spacing w:after="0"/>
        <w:tabs>
          <w:tab w:leader="none" w:pos="240" w:val="left"/>
        </w:tabs>
        <w:numPr>
          <w:ilvl w:val="0"/>
          <w:numId w:val="73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20" w:top="247" w:right="279" w:bottom="1440" w:gutter="0" w:footer="0" w:header="0"/>
        </w:sectPr>
      </w:pPr>
    </w:p>
    <w:bookmarkStart w:id="652" w:name="page653"/>
    <w:bookmarkEnd w:id="652"/>
    <w:p>
      <w:pPr>
        <w:ind w:right="140" w:firstLine="458"/>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10.2 </w:t>
      </w:r>
      <w:r>
        <w:rPr>
          <w:rFonts w:ascii="Arial" w:cs="Arial" w:eastAsia="Arial" w:hAnsi="Arial"/>
          <w:sz w:val="12"/>
          <w:szCs w:val="12"/>
          <w:b w:val="1"/>
          <w:bCs w:val="1"/>
          <w:color w:val="auto"/>
        </w:rPr>
        <w:t>Upstream Agreements</w:t>
      </w:r>
      <w:r>
        <w:rPr>
          <w:rFonts w:ascii="Arial" w:cs="Arial" w:eastAsia="Arial" w:hAnsi="Arial"/>
          <w:sz w:val="12"/>
          <w:szCs w:val="12"/>
          <w:color w:val="auto"/>
        </w:rPr>
        <w:t>. Certain MacroGenics Licensed Know-how and MacroGenics Licensed Patents sublicensed under Section 10.1(a) above and identified on Exhibit A are licensed (or sublicensed, in some instances) to MacroGenics by certain Third Parties pursuant to the Upstream Agreements. Green Cross acknowledges and agrees that its sublicense to and any warranties and/or representations made by MacroGenics under this Agreement regarding such MacroGenics Licensed Technology granted under Section 10.1(a) are at all times subject to the applicable terms of the Upstream Agreements, current copies of which, for those in effect as of the Effective Date, have been provided to Green Cross as of the Effective Date, including restrictions on the type and nature of the antibodies licensed as Products thereunder, diligence requirements, and termination provisions thereof, and that MacroGenics is in no way licensing or purporting to license or sublicense to Green Cross rights under the Upstream Agreements that if sublicensed to Green Cross would be a violation of any Upstream Agreement. Green Cross covenants not to take or fail to take any action that violates the terms of such Upstream Agreements applicable to Sublicensees, or that would cause MacroGenics to be in breach of any of the terms of the Upstream Agreements.</w:t>
      </w:r>
    </w:p>
    <w:p>
      <w:pPr>
        <w:spacing w:after="0" w:line="84" w:lineRule="exact"/>
        <w:rPr>
          <w:sz w:val="20"/>
          <w:szCs w:val="20"/>
          <w:color w:val="auto"/>
        </w:rPr>
      </w:pPr>
    </w:p>
    <w:p>
      <w:pPr>
        <w:ind w:right="20" w:firstLine="458"/>
        <w:spacing w:after="0" w:line="253"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License to MacroGenics</w:t>
      </w:r>
      <w:r>
        <w:rPr>
          <w:rFonts w:ascii="Arial" w:cs="Arial" w:eastAsia="Arial" w:hAnsi="Arial"/>
          <w:sz w:val="14"/>
          <w:szCs w:val="14"/>
          <w:color w:val="auto"/>
        </w:rPr>
        <w:t>. Green Cross hereby grants to MacroGenics a royalty-free, worldwide license during the Term, with the right to grant sublicenses, under the Green Cross Licensed Patents and Green Cross Know-how that is incorporated into any Product, and all other intellectual property Controlled by Green Cross that is specifically related to MGAH22 to the extent needed by MacroGenics to research, identify, develop, make, have made, use, sell, offer for sale and import Products, including, without limitation, as contemplated by Section 10.1(c) above, in all cases without any obligation to obtain Green Cross’ prior consent. The license granted pursuant to this Section 10.3 shall be non-exclusive in the Territory and exclusive in the rest of the world outside the Territory. After the Term, the Parties shall discuss in good faith whether future licenses are necessary for MacroGenics to continue to use Green Cross Licensed Patents or Green Cross Licensed Know-how, and determine reasonable terms and conditions for such license at MacroGenics’ request.</w:t>
      </w:r>
    </w:p>
    <w:p>
      <w:pPr>
        <w:spacing w:after="0" w:line="110" w:lineRule="exact"/>
        <w:rPr>
          <w:sz w:val="20"/>
          <w:szCs w:val="20"/>
          <w:color w:val="auto"/>
        </w:rPr>
      </w:pPr>
    </w:p>
    <w:p>
      <w:pPr>
        <w:ind w:firstLine="458"/>
        <w:spacing w:after="0" w:line="312"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b w:val="1"/>
          <w:bCs w:val="1"/>
          <w:color w:val="auto"/>
        </w:rPr>
        <w:t>Clinical Data Licenses</w:t>
      </w:r>
      <w:r>
        <w:rPr>
          <w:rFonts w:ascii="Arial" w:cs="Arial" w:eastAsia="Arial" w:hAnsi="Arial"/>
          <w:sz w:val="12"/>
          <w:szCs w:val="12"/>
          <w:color w:val="auto"/>
        </w:rPr>
        <w:t>. Subject to the terms and conditions of this Agreement, Green Cross hereby grants to MacroGenics a non-exclusive, royalty-free, perpetual license, with the right to grant and authorize the grant of sublicenses, to use all Clinical Data and any data generated by Green Cross or any of its representatives or independent contractors pursuant to its performing its responsibilities under this Agreement for the research, Development, manufacture Commercialization and sales of MGAH22 and Products by MacroGenics outside the Territory and for MacroGenics to exercise its rights and fulfill its obligations under this Agreement. Subject to the terms and conditions of this Agreement, MacroGenics hereby grants to Green Cross a non-exclusive,</w:t>
      </w:r>
    </w:p>
    <w:p>
      <w:pPr>
        <w:spacing w:after="0" w:line="68" w:lineRule="exact"/>
        <w:rPr>
          <w:sz w:val="20"/>
          <w:szCs w:val="20"/>
          <w:color w:val="auto"/>
        </w:rPr>
      </w:pPr>
    </w:p>
    <w:p>
      <w:pPr>
        <w:ind w:left="5660" w:right="1560" w:hanging="5656"/>
        <w:spacing w:after="0" w:line="438" w:lineRule="auto"/>
        <w:tabs>
          <w:tab w:leader="none" w:pos="235" w:val="left"/>
        </w:tabs>
        <w:numPr>
          <w:ilvl w:val="0"/>
          <w:numId w:val="73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31</w:t>
      </w:r>
    </w:p>
    <w:p>
      <w:pPr>
        <w:sectPr>
          <w:pgSz w:w="11900" w:h="16838" w:orient="portrait"/>
          <w:cols w:equalWidth="0" w:num="1">
            <w:col w:w="11460"/>
          </w:cols>
          <w:pgMar w:left="220" w:top="245" w:right="219" w:bottom="1440" w:gutter="0" w:footer="0" w:header="0"/>
        </w:sectPr>
      </w:pPr>
    </w:p>
    <w:bookmarkStart w:id="653" w:name="page654"/>
    <w:bookmarkEnd w:id="653"/>
    <w:p>
      <w:pPr>
        <w:ind w:right="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royalty-free, license, with the right to grant sublicenses, during the Term to use all Clinical Data and other data generated by MacroGenics pursuant to its performing its responsibilities under this Agreement for Green Cross to fulfill its obligations under this Agreement.</w:t>
      </w:r>
    </w:p>
    <w:p>
      <w:pPr>
        <w:spacing w:after="0" w:line="99"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Negative Covenant</w:t>
      </w:r>
      <w:r>
        <w:rPr>
          <w:rFonts w:ascii="Arial" w:cs="Arial" w:eastAsia="Arial" w:hAnsi="Arial"/>
          <w:sz w:val="14"/>
          <w:szCs w:val="14"/>
          <w:color w:val="auto"/>
        </w:rPr>
        <w:t>. Each Party covenants that, except to the extent Third Parties generally are lawfully permitted to do so, it will not use or practice any of the other Party’s intellectual property rights licensed to it under this Section 10 except for the purposes expressly permitted in the applicable license grant.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b w:val="1"/>
          <w:bCs w:val="1"/>
          <w:color w:val="auto"/>
        </w:rPr>
        <w:t>No Implied Licenses</w:t>
      </w:r>
      <w:r>
        <w:rPr>
          <w:rFonts w:ascii="Arial" w:cs="Arial" w:eastAsia="Arial" w:hAnsi="Arial"/>
          <w:sz w:val="12"/>
          <w:szCs w:val="12"/>
          <w:color w:val="auto"/>
        </w:rPr>
        <w:t>. Except as explicitly set forth in this Agreement, neither Party grants any license, express or implied, under its intellectual property rights to the other Party.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b w:val="1"/>
          <w:bCs w:val="1"/>
          <w:color w:val="auto"/>
        </w:rPr>
        <w:t>Diversion</w:t>
      </w:r>
    </w:p>
    <w:p>
      <w:pPr>
        <w:spacing w:after="0" w:line="134" w:lineRule="exact"/>
        <w:rPr>
          <w:sz w:val="20"/>
          <w:szCs w:val="20"/>
          <w:color w:val="auto"/>
        </w:rPr>
      </w:pPr>
    </w:p>
    <w:p>
      <w:pPr>
        <w:ind w:right="80" w:firstLine="920"/>
        <w:spacing w:after="0" w:line="267" w:lineRule="auto"/>
        <w:tabs>
          <w:tab w:leader="none" w:pos="1101" w:val="left"/>
        </w:tabs>
        <w:numPr>
          <w:ilvl w:val="1"/>
          <w:numId w:val="733"/>
        </w:numPr>
        <w:rPr>
          <w:rFonts w:ascii="Arial" w:cs="Arial" w:eastAsia="Arial" w:hAnsi="Arial"/>
          <w:sz w:val="14"/>
          <w:szCs w:val="14"/>
          <w:color w:val="auto"/>
        </w:rPr>
      </w:pPr>
      <w:r>
        <w:rPr>
          <w:rFonts w:ascii="Arial" w:cs="Arial" w:eastAsia="Arial" w:hAnsi="Arial"/>
          <w:sz w:val="14"/>
          <w:szCs w:val="14"/>
          <w:color w:val="auto"/>
        </w:rPr>
        <w:t>Green Cross hereby covenants and agrees that it will not, either directly or indirectly, promote, market, distribute, import, sell or have sold Products, including via the Internet or mail order, to any Third Party, address or Internet Protocol address outside of the Territory.</w:t>
      </w:r>
    </w:p>
    <w:p>
      <w:pPr>
        <w:spacing w:after="0" w:line="101" w:lineRule="exact"/>
        <w:rPr>
          <w:rFonts w:ascii="Arial" w:cs="Arial" w:eastAsia="Arial" w:hAnsi="Arial"/>
          <w:sz w:val="14"/>
          <w:szCs w:val="14"/>
          <w:color w:val="auto"/>
        </w:rPr>
      </w:pPr>
    </w:p>
    <w:p>
      <w:pPr>
        <w:ind w:firstLine="920"/>
        <w:spacing w:after="0" w:line="302" w:lineRule="auto"/>
        <w:tabs>
          <w:tab w:leader="none" w:pos="1109" w:val="left"/>
        </w:tabs>
        <w:numPr>
          <w:ilvl w:val="1"/>
          <w:numId w:val="733"/>
        </w:numPr>
        <w:rPr>
          <w:rFonts w:ascii="Arial" w:cs="Arial" w:eastAsia="Arial" w:hAnsi="Arial"/>
          <w:sz w:val="12"/>
          <w:szCs w:val="12"/>
          <w:color w:val="auto"/>
        </w:rPr>
      </w:pPr>
      <w:r>
        <w:rPr>
          <w:rFonts w:ascii="Arial" w:cs="Arial" w:eastAsia="Arial" w:hAnsi="Arial"/>
          <w:sz w:val="12"/>
          <w:szCs w:val="12"/>
          <w:color w:val="auto"/>
        </w:rPr>
        <w:t>If any of Green Cross’ Products are diverted for use outside the Territory, the following shall apply: (i) if such Products were diverted by an identifiable customer, distributor, employee, consultant or agent of Green Cross then, upon the request of MacroGenics, Green Cross shall not sell such Products to, or allow the sale of such Products by, any such customer, distributor, employee, consultant or agent for the remaining Term and shall use Commercially Reasonable Efforts to buy back all such Products from such customer, distributor, employee, consultant or agent within *** of such request from MacroGenics; or (ii) Green Cross shall use Commercially Reasonable Efforts to investigate the location of such diverted Products and buy it back; but, if and to the extent that, Green Cross elects not to, or is unable to, buy back the applicable diverted Products, then MacroGenics may, in its sole discretion, buy back the applicable diverted Products, and Green Cross shall reimburse MacroGenics for all reasonable costs incurred by MacroGenics in connection with the buy-back or lost sales of any such diverted Products.</w:t>
      </w:r>
    </w:p>
    <w:p>
      <w:pPr>
        <w:spacing w:after="0" w:line="84" w:lineRule="exact"/>
        <w:rPr>
          <w:rFonts w:ascii="Arial" w:cs="Arial" w:eastAsia="Arial" w:hAnsi="Arial"/>
          <w:sz w:val="12"/>
          <w:szCs w:val="12"/>
          <w:color w:val="auto"/>
        </w:rPr>
      </w:pPr>
    </w:p>
    <w:p>
      <w:pPr>
        <w:ind w:right="80" w:firstLine="4"/>
        <w:spacing w:after="0" w:line="270" w:lineRule="auto"/>
        <w:tabs>
          <w:tab w:leader="none" w:pos="199" w:val="left"/>
        </w:tabs>
        <w:numPr>
          <w:ilvl w:val="0"/>
          <w:numId w:val="734"/>
        </w:numPr>
        <w:rPr>
          <w:rFonts w:ascii="Arial" w:cs="Arial" w:eastAsia="Arial" w:hAnsi="Arial"/>
          <w:sz w:val="14"/>
          <w:szCs w:val="14"/>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XCLUSIVITY</w:t>
      </w:r>
      <w:r>
        <w:rPr>
          <w:rFonts w:ascii="Arial" w:cs="Arial" w:eastAsia="Arial" w:hAnsi="Arial"/>
          <w:sz w:val="14"/>
          <w:szCs w:val="14"/>
          <w:color w:val="auto"/>
        </w:rPr>
        <w:t>. During the Term, Green Cross shall not (either by itself, or with or through a Related Party or Third Party) Develop or Commercialize any (i) Product outside of the scope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or (ii) Competing Product.</w:t>
      </w:r>
    </w:p>
    <w:p>
      <w:pPr>
        <w:spacing w:after="0" w:line="89" w:lineRule="exact"/>
        <w:rPr>
          <w:sz w:val="20"/>
          <w:szCs w:val="20"/>
          <w:color w:val="auto"/>
        </w:rPr>
      </w:pPr>
    </w:p>
    <w:p>
      <w:pPr>
        <w:ind w:left="5660" w:right="1520" w:hanging="5656"/>
        <w:spacing w:after="0" w:line="438" w:lineRule="auto"/>
        <w:tabs>
          <w:tab w:leader="none" w:pos="235" w:val="left"/>
        </w:tabs>
        <w:numPr>
          <w:ilvl w:val="0"/>
          <w:numId w:val="73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32</w:t>
      </w:r>
    </w:p>
    <w:p>
      <w:pPr>
        <w:sectPr>
          <w:pgSz w:w="11900" w:h="16838" w:orient="portrait"/>
          <w:cols w:equalWidth="0" w:num="1">
            <w:col w:w="11420"/>
          </w:cols>
          <w:pgMar w:left="220" w:top="247" w:right="259" w:bottom="1440" w:gutter="0" w:footer="0" w:header="0"/>
        </w:sectPr>
      </w:pPr>
    </w:p>
    <w:bookmarkStart w:id="654" w:name="page655"/>
    <w:bookmarkEnd w:id="654"/>
    <w:p>
      <w:pPr>
        <w:ind w:left="196" w:hanging="196"/>
        <w:spacing w:after="0"/>
        <w:tabs>
          <w:tab w:leader="none" w:pos="196" w:val="left"/>
        </w:tabs>
        <w:numPr>
          <w:ilvl w:val="0"/>
          <w:numId w:val="736"/>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C</w:t>
      </w:r>
      <w:r>
        <w:rPr>
          <w:rFonts w:ascii="Arial" w:cs="Arial" w:eastAsia="Arial" w:hAnsi="Arial"/>
          <w:sz w:val="11"/>
          <w:szCs w:val="11"/>
          <w:b w:val="1"/>
          <w:bCs w:val="1"/>
          <w:color w:val="auto"/>
        </w:rPr>
        <w:t>ONFIDENTIALITY</w:t>
      </w:r>
      <w:r>
        <w:rPr>
          <w:rFonts w:ascii="Arial" w:cs="Arial" w:eastAsia="Arial" w:hAnsi="Arial"/>
          <w:sz w:val="14"/>
          <w:szCs w:val="14"/>
          <w:b w:val="1"/>
          <w:bCs w:val="1"/>
          <w:color w:val="auto"/>
        </w:rPr>
        <w:t>; P</w:t>
      </w:r>
      <w:r>
        <w:rPr>
          <w:rFonts w:ascii="Arial" w:cs="Arial" w:eastAsia="Arial" w:hAnsi="Arial"/>
          <w:sz w:val="11"/>
          <w:szCs w:val="11"/>
          <w:b w:val="1"/>
          <w:bCs w:val="1"/>
          <w:color w:val="auto"/>
        </w:rPr>
        <w:t>UBLICATION</w:t>
      </w:r>
    </w:p>
    <w:p>
      <w:pPr>
        <w:spacing w:after="0" w:line="132"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b w:val="1"/>
          <w:bCs w:val="1"/>
          <w:color w:val="auto"/>
        </w:rPr>
        <w:t>Nondisclosure Obligation</w:t>
      </w:r>
    </w:p>
    <w:p>
      <w:pPr>
        <w:spacing w:after="0" w:line="132" w:lineRule="exact"/>
        <w:rPr>
          <w:sz w:val="20"/>
          <w:szCs w:val="20"/>
          <w:color w:val="auto"/>
        </w:rPr>
      </w:pPr>
    </w:p>
    <w:p>
      <w:pPr>
        <w:ind w:left="-4" w:firstLine="920"/>
        <w:spacing w:after="0" w:line="322" w:lineRule="auto"/>
        <w:tabs>
          <w:tab w:leader="none" w:pos="1098" w:val="left"/>
        </w:tabs>
        <w:numPr>
          <w:ilvl w:val="1"/>
          <w:numId w:val="737"/>
        </w:numPr>
        <w:rPr>
          <w:rFonts w:ascii="Arial" w:cs="Arial" w:eastAsia="Arial" w:hAnsi="Arial"/>
          <w:sz w:val="12"/>
          <w:szCs w:val="12"/>
          <w:color w:val="auto"/>
        </w:rPr>
      </w:pPr>
      <w:r>
        <w:rPr>
          <w:rFonts w:ascii="Arial" w:cs="Arial" w:eastAsia="Arial" w:hAnsi="Arial"/>
          <w:sz w:val="12"/>
          <w:szCs w:val="12"/>
          <w:b w:val="1"/>
          <w:bCs w:val="1"/>
          <w:color w:val="auto"/>
        </w:rPr>
        <w:t>Definition and Restrictions</w:t>
      </w:r>
      <w:r>
        <w:rPr>
          <w:rFonts w:ascii="Arial" w:cs="Arial" w:eastAsia="Arial" w:hAnsi="Arial"/>
          <w:sz w:val="12"/>
          <w:szCs w:val="12"/>
          <w:color w:val="auto"/>
        </w:rPr>
        <w:t>. All Confidential Information disclosed by one Party to the other Party at any time, including, without limitation, before the Effective Date or after the expiration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or termination of this Agreement, shall be maintained in confidence by the receiving Party and shall not be disclosed by the receiving Party to any Third Party or used by the receiving Party for any purpose except as set forth herein without the prior written consent of the disclosing Party, </w:t>
      </w:r>
      <w:r>
        <w:rPr>
          <w:rFonts w:ascii="Arial" w:cs="Arial" w:eastAsia="Arial" w:hAnsi="Arial"/>
          <w:sz w:val="12"/>
          <w:szCs w:val="12"/>
          <w:b w:val="1"/>
          <w:bCs w:val="1"/>
          <w:color w:val="auto"/>
        </w:rPr>
        <w:t>***</w:t>
      </w:r>
      <w:r>
        <w:rPr>
          <w:rFonts w:ascii="Arial" w:cs="Arial" w:eastAsia="Arial" w:hAnsi="Arial"/>
          <w:sz w:val="12"/>
          <w:szCs w:val="12"/>
          <w:color w:val="auto"/>
        </w:rPr>
        <w:t xml:space="preserve"> The following shall not be deemed Confidential Information for purposes of the restrictions set forth in this Section 12.3(a):</w:t>
      </w:r>
    </w:p>
    <w:p>
      <w:pPr>
        <w:spacing w:after="0" w:line="10" w:lineRule="exact"/>
        <w:rPr>
          <w:rFonts w:ascii="Arial" w:cs="Arial" w:eastAsia="Arial" w:hAnsi="Arial"/>
          <w:sz w:val="12"/>
          <w:szCs w:val="12"/>
          <w:color w:val="auto"/>
        </w:rPr>
      </w:pPr>
    </w:p>
    <w:p>
      <w:pPr>
        <w:ind w:left="1496" w:hanging="158"/>
        <w:spacing w:after="0"/>
        <w:tabs>
          <w:tab w:leader="none" w:pos="1496" w:val="left"/>
        </w:tabs>
        <w:numPr>
          <w:ilvl w:val="2"/>
          <w:numId w:val="737"/>
        </w:numPr>
        <w:rPr>
          <w:rFonts w:ascii="Arial" w:cs="Arial" w:eastAsia="Arial" w:hAnsi="Arial"/>
          <w:sz w:val="12"/>
          <w:szCs w:val="12"/>
          <w:color w:val="auto"/>
        </w:rPr>
      </w:pPr>
      <w:r>
        <w:rPr>
          <w:rFonts w:ascii="Arial" w:cs="Arial" w:eastAsia="Arial" w:hAnsi="Arial"/>
          <w:sz w:val="12"/>
          <w:szCs w:val="12"/>
          <w:color w:val="auto"/>
        </w:rPr>
        <w:t>Information that is known by the receiving Party at the time of its receipt, and not through a prior disclosure by the disclosing Party, as documented by the receiving Party’s business</w:t>
      </w:r>
    </w:p>
    <w:p>
      <w:pPr>
        <w:spacing w:after="0" w:line="35" w:lineRule="exact"/>
        <w:rPr>
          <w:rFonts w:ascii="Arial" w:cs="Arial" w:eastAsia="Arial" w:hAnsi="Arial"/>
          <w:sz w:val="12"/>
          <w:szCs w:val="12"/>
          <w:color w:val="auto"/>
        </w:rPr>
      </w:pPr>
    </w:p>
    <w:p>
      <w:pPr>
        <w:ind w:left="916"/>
        <w:spacing w:after="0"/>
        <w:rPr>
          <w:rFonts w:ascii="Arial" w:cs="Arial" w:eastAsia="Arial" w:hAnsi="Arial"/>
          <w:sz w:val="12"/>
          <w:szCs w:val="12"/>
          <w:color w:val="auto"/>
        </w:rPr>
      </w:pPr>
      <w:r>
        <w:rPr>
          <w:rFonts w:ascii="Arial" w:cs="Arial" w:eastAsia="Arial" w:hAnsi="Arial"/>
          <w:sz w:val="14"/>
          <w:szCs w:val="14"/>
          <w:color w:val="auto"/>
        </w:rPr>
        <w:t>records;</w:t>
      </w:r>
    </w:p>
    <w:p>
      <w:pPr>
        <w:spacing w:after="0" w:line="62" w:lineRule="exact"/>
        <w:rPr>
          <w:rFonts w:ascii="Arial" w:cs="Arial" w:eastAsia="Arial" w:hAnsi="Arial"/>
          <w:sz w:val="12"/>
          <w:szCs w:val="12"/>
          <w:color w:val="auto"/>
        </w:rPr>
      </w:pPr>
    </w:p>
    <w:p>
      <w:pPr>
        <w:ind w:left="1536" w:hanging="198"/>
        <w:spacing w:after="0"/>
        <w:tabs>
          <w:tab w:leader="none" w:pos="1536" w:val="left"/>
        </w:tabs>
        <w:numPr>
          <w:ilvl w:val="2"/>
          <w:numId w:val="737"/>
        </w:numPr>
        <w:rPr>
          <w:rFonts w:ascii="Arial" w:cs="Arial" w:eastAsia="Arial" w:hAnsi="Arial"/>
          <w:sz w:val="14"/>
          <w:szCs w:val="14"/>
          <w:color w:val="auto"/>
        </w:rPr>
      </w:pPr>
      <w:r>
        <w:rPr>
          <w:rFonts w:ascii="Arial" w:cs="Arial" w:eastAsia="Arial" w:hAnsi="Arial"/>
          <w:sz w:val="14"/>
          <w:szCs w:val="14"/>
          <w:color w:val="auto"/>
        </w:rPr>
        <w:t>Information that is or becomes part of the public domain through no fault of the receiving Party;</w:t>
      </w:r>
    </w:p>
    <w:p>
      <w:pPr>
        <w:spacing w:after="0" w:line="68" w:lineRule="exact"/>
        <w:rPr>
          <w:rFonts w:ascii="Arial" w:cs="Arial" w:eastAsia="Arial" w:hAnsi="Arial"/>
          <w:sz w:val="14"/>
          <w:szCs w:val="14"/>
          <w:color w:val="auto"/>
        </w:rPr>
      </w:pPr>
    </w:p>
    <w:p>
      <w:pPr>
        <w:ind w:left="1576" w:hanging="238"/>
        <w:spacing w:after="0"/>
        <w:tabs>
          <w:tab w:leader="none" w:pos="1576" w:val="left"/>
        </w:tabs>
        <w:numPr>
          <w:ilvl w:val="2"/>
          <w:numId w:val="737"/>
        </w:numPr>
        <w:rPr>
          <w:rFonts w:ascii="Arial" w:cs="Arial" w:eastAsia="Arial" w:hAnsi="Arial"/>
          <w:sz w:val="12"/>
          <w:szCs w:val="12"/>
          <w:color w:val="auto"/>
        </w:rPr>
      </w:pPr>
      <w:r>
        <w:rPr>
          <w:rFonts w:ascii="Arial" w:cs="Arial" w:eastAsia="Arial" w:hAnsi="Arial"/>
          <w:sz w:val="12"/>
          <w:szCs w:val="12"/>
          <w:color w:val="auto"/>
        </w:rPr>
        <w:t>Information that is subsequently disclosed to the receiving Party by a Third Party who may lawfully do so and is not under an obligation of confidentiality to the disclosing Party;</w:t>
      </w:r>
    </w:p>
    <w:p>
      <w:pPr>
        <w:spacing w:after="0" w:line="35" w:lineRule="exact"/>
        <w:rPr>
          <w:rFonts w:ascii="Arial" w:cs="Arial" w:eastAsia="Arial" w:hAnsi="Arial"/>
          <w:sz w:val="12"/>
          <w:szCs w:val="12"/>
          <w:color w:val="auto"/>
        </w:rPr>
      </w:pPr>
    </w:p>
    <w:p>
      <w:pPr>
        <w:ind w:left="916"/>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62" w:lineRule="exact"/>
        <w:rPr>
          <w:rFonts w:ascii="Arial" w:cs="Arial" w:eastAsia="Arial" w:hAnsi="Arial"/>
          <w:sz w:val="12"/>
          <w:szCs w:val="12"/>
          <w:color w:val="auto"/>
        </w:rPr>
      </w:pPr>
    </w:p>
    <w:p>
      <w:pPr>
        <w:ind w:left="1576" w:hanging="238"/>
        <w:spacing w:after="0"/>
        <w:tabs>
          <w:tab w:leader="none" w:pos="1576" w:val="left"/>
        </w:tabs>
        <w:numPr>
          <w:ilvl w:val="2"/>
          <w:numId w:val="737"/>
        </w:numPr>
        <w:rPr>
          <w:rFonts w:ascii="Arial" w:cs="Arial" w:eastAsia="Arial" w:hAnsi="Arial"/>
          <w:sz w:val="12"/>
          <w:szCs w:val="12"/>
          <w:color w:val="auto"/>
        </w:rPr>
      </w:pPr>
      <w:r>
        <w:rPr>
          <w:rFonts w:ascii="Arial" w:cs="Arial" w:eastAsia="Arial" w:hAnsi="Arial"/>
          <w:sz w:val="12"/>
          <w:szCs w:val="12"/>
          <w:color w:val="auto"/>
        </w:rPr>
        <w:t>Information that is developed by the receiving Party independently of Confidential Information received from the disclosing Party, as documented by the receiving Party’s business</w:t>
      </w:r>
    </w:p>
    <w:p>
      <w:pPr>
        <w:spacing w:after="0" w:line="35" w:lineRule="exact"/>
        <w:rPr>
          <w:rFonts w:ascii="Arial" w:cs="Arial" w:eastAsia="Arial" w:hAnsi="Arial"/>
          <w:sz w:val="12"/>
          <w:szCs w:val="12"/>
          <w:color w:val="auto"/>
        </w:rPr>
      </w:pPr>
    </w:p>
    <w:p>
      <w:pPr>
        <w:ind w:left="916"/>
        <w:spacing w:after="0"/>
        <w:rPr>
          <w:rFonts w:ascii="Arial" w:cs="Arial" w:eastAsia="Arial" w:hAnsi="Arial"/>
          <w:sz w:val="12"/>
          <w:szCs w:val="12"/>
          <w:color w:val="auto"/>
        </w:rPr>
      </w:pPr>
      <w:r>
        <w:rPr>
          <w:rFonts w:ascii="Arial" w:cs="Arial" w:eastAsia="Arial" w:hAnsi="Arial"/>
          <w:sz w:val="14"/>
          <w:szCs w:val="14"/>
          <w:color w:val="auto"/>
        </w:rPr>
        <w:t>records.</w:t>
      </w:r>
    </w:p>
    <w:p>
      <w:pPr>
        <w:spacing w:after="0" w:line="123" w:lineRule="exact"/>
        <w:rPr>
          <w:rFonts w:ascii="Arial" w:cs="Arial" w:eastAsia="Arial" w:hAnsi="Arial"/>
          <w:sz w:val="12"/>
          <w:szCs w:val="12"/>
          <w:color w:val="auto"/>
        </w:rPr>
      </w:pPr>
    </w:p>
    <w:p>
      <w:pPr>
        <w:ind w:left="-4" w:right="140" w:firstLine="920"/>
        <w:spacing w:after="0" w:line="259" w:lineRule="auto"/>
        <w:tabs>
          <w:tab w:leader="none" w:pos="1105" w:val="left"/>
        </w:tabs>
        <w:numPr>
          <w:ilvl w:val="1"/>
          <w:numId w:val="737"/>
        </w:numPr>
        <w:rPr>
          <w:rFonts w:ascii="Arial" w:cs="Arial" w:eastAsia="Arial" w:hAnsi="Arial"/>
          <w:sz w:val="14"/>
          <w:szCs w:val="14"/>
          <w:color w:val="auto"/>
        </w:rPr>
      </w:pPr>
      <w:r>
        <w:rPr>
          <w:rFonts w:ascii="Arial" w:cs="Arial" w:eastAsia="Arial" w:hAnsi="Arial"/>
          <w:sz w:val="14"/>
          <w:szCs w:val="14"/>
          <w:b w:val="1"/>
          <w:bCs w:val="1"/>
          <w:color w:val="auto"/>
        </w:rPr>
        <w:t>Combinations</w:t>
      </w:r>
      <w:r>
        <w:rPr>
          <w:rFonts w:ascii="Arial" w:cs="Arial" w:eastAsia="Arial" w:hAnsi="Arial"/>
          <w:sz w:val="14"/>
          <w:szCs w:val="14"/>
          <w:color w:val="auto"/>
        </w:rPr>
        <w:t>. Any combination of features or disclosures shall not be deemed to fall within the exclusions set forth in Section 12.1(a) merely because individual features are published or</w:t>
      </w:r>
      <w:r>
        <w:rPr>
          <w:rFonts w:ascii="Arial" w:cs="Arial" w:eastAsia="Arial" w:hAnsi="Arial"/>
          <w:sz w:val="14"/>
          <w:szCs w:val="14"/>
          <w:b w:val="1"/>
          <w:bCs w:val="1"/>
          <w:color w:val="auto"/>
        </w:rPr>
        <w:t xml:space="preserve"> </w:t>
      </w:r>
      <w:r>
        <w:rPr>
          <w:rFonts w:ascii="Arial" w:cs="Arial" w:eastAsia="Arial" w:hAnsi="Arial"/>
          <w:sz w:val="14"/>
          <w:szCs w:val="14"/>
          <w:color w:val="auto"/>
        </w:rPr>
        <w:t>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05" w:lineRule="exact"/>
        <w:rPr>
          <w:rFonts w:ascii="Arial" w:cs="Arial" w:eastAsia="Arial" w:hAnsi="Arial"/>
          <w:sz w:val="14"/>
          <w:szCs w:val="14"/>
          <w:color w:val="auto"/>
        </w:rPr>
      </w:pPr>
    </w:p>
    <w:p>
      <w:pPr>
        <w:ind w:left="1096" w:hanging="180"/>
        <w:spacing w:after="0"/>
        <w:tabs>
          <w:tab w:leader="none" w:pos="1096" w:val="left"/>
        </w:tabs>
        <w:numPr>
          <w:ilvl w:val="1"/>
          <w:numId w:val="737"/>
        </w:numPr>
        <w:rPr>
          <w:rFonts w:ascii="Arial" w:cs="Arial" w:eastAsia="Arial" w:hAnsi="Arial"/>
          <w:sz w:val="14"/>
          <w:szCs w:val="14"/>
          <w:color w:val="auto"/>
        </w:rPr>
      </w:pPr>
      <w:r>
        <w:rPr>
          <w:rFonts w:ascii="Arial" w:cs="Arial" w:eastAsia="Arial" w:hAnsi="Arial"/>
          <w:sz w:val="14"/>
          <w:szCs w:val="14"/>
          <w:b w:val="1"/>
          <w:bCs w:val="1"/>
          <w:color w:val="auto"/>
        </w:rPr>
        <w:t>Exceptions</w:t>
      </w:r>
      <w:r>
        <w:rPr>
          <w:rFonts w:ascii="Arial" w:cs="Arial" w:eastAsia="Arial" w:hAnsi="Arial"/>
          <w:sz w:val="14"/>
          <w:szCs w:val="14"/>
          <w:color w:val="auto"/>
        </w:rPr>
        <w:t>. Notwithstanding the restrictions set forth in Section 12.1(a), the receiving Party may disclose Confidential Information of the other Party to:</w:t>
      </w:r>
    </w:p>
    <w:p>
      <w:pPr>
        <w:spacing w:after="0" w:line="70" w:lineRule="exact"/>
        <w:rPr>
          <w:rFonts w:ascii="Arial" w:cs="Arial" w:eastAsia="Arial" w:hAnsi="Arial"/>
          <w:sz w:val="14"/>
          <w:szCs w:val="14"/>
          <w:color w:val="auto"/>
        </w:rPr>
      </w:pPr>
    </w:p>
    <w:p>
      <w:pPr>
        <w:ind w:left="916" w:right="40" w:firstLine="422"/>
        <w:spacing w:after="0" w:line="267" w:lineRule="auto"/>
        <w:tabs>
          <w:tab w:leader="none" w:pos="1500" w:val="left"/>
        </w:tabs>
        <w:numPr>
          <w:ilvl w:val="2"/>
          <w:numId w:val="737"/>
        </w:numPr>
        <w:rPr>
          <w:rFonts w:ascii="Arial" w:cs="Arial" w:eastAsia="Arial" w:hAnsi="Arial"/>
          <w:sz w:val="14"/>
          <w:szCs w:val="14"/>
          <w:color w:val="auto"/>
        </w:rPr>
      </w:pPr>
      <w:r>
        <w:rPr>
          <w:rFonts w:ascii="Arial" w:cs="Arial" w:eastAsia="Arial" w:hAnsi="Arial"/>
          <w:sz w:val="14"/>
          <w:szCs w:val="14"/>
          <w:color w:val="auto"/>
        </w:rPr>
        <w:t>governmental or other regulatory agencies in order to obtain Patents or to gain or maintain approval to conduct clinical trials or to market Products, but such disclosure may be only to the extent reasonably necessary to obtain Patents or authorizations; or</w:t>
      </w:r>
    </w:p>
    <w:p>
      <w:pPr>
        <w:spacing w:after="0" w:line="38" w:lineRule="exact"/>
        <w:rPr>
          <w:rFonts w:ascii="Arial" w:cs="Arial" w:eastAsia="Arial" w:hAnsi="Arial"/>
          <w:sz w:val="14"/>
          <w:szCs w:val="14"/>
          <w:color w:val="auto"/>
        </w:rPr>
      </w:pPr>
    </w:p>
    <w:p>
      <w:pPr>
        <w:ind w:left="1536" w:hanging="198"/>
        <w:spacing w:after="0"/>
        <w:tabs>
          <w:tab w:leader="none" w:pos="1536" w:val="left"/>
        </w:tabs>
        <w:numPr>
          <w:ilvl w:val="2"/>
          <w:numId w:val="737"/>
        </w:numPr>
        <w:rPr>
          <w:rFonts w:ascii="Arial" w:cs="Arial" w:eastAsia="Arial" w:hAnsi="Arial"/>
          <w:sz w:val="14"/>
          <w:szCs w:val="14"/>
          <w:color w:val="auto"/>
        </w:rPr>
      </w:pPr>
      <w:r>
        <w:rPr>
          <w:rFonts w:ascii="Arial" w:cs="Arial" w:eastAsia="Arial" w:hAnsi="Arial"/>
          <w:sz w:val="14"/>
          <w:szCs w:val="14"/>
          <w:color w:val="auto"/>
        </w:rPr>
        <w:t>as the receiving Party deems necessary to be disclosed, to its Affiliates, agents, consultants, or other Third Parties for the Development or</w:t>
      </w:r>
    </w:p>
    <w:p>
      <w:pPr>
        <w:spacing w:after="0" w:line="121" w:lineRule="exact"/>
        <w:rPr>
          <w:rFonts w:ascii="Arial" w:cs="Arial" w:eastAsia="Arial" w:hAnsi="Arial"/>
          <w:sz w:val="14"/>
          <w:szCs w:val="14"/>
          <w:color w:val="auto"/>
        </w:rPr>
      </w:pPr>
    </w:p>
    <w:p>
      <w:pPr>
        <w:ind w:left="236" w:hanging="236"/>
        <w:spacing w:after="0"/>
        <w:tabs>
          <w:tab w:leader="none" w:pos="236" w:val="left"/>
        </w:tabs>
        <w:numPr>
          <w:ilvl w:val="0"/>
          <w:numId w:val="73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56"/>
          </w:cols>
          <w:pgMar w:left="224" w:top="245" w:right="219" w:bottom="1440" w:gutter="0" w:footer="0" w:header="0"/>
        </w:sectPr>
      </w:pPr>
    </w:p>
    <w:bookmarkStart w:id="655" w:name="page656"/>
    <w:bookmarkEnd w:id="655"/>
    <w:p>
      <w:pPr>
        <w:ind w:left="920" w:right="10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Commercialization of Product(s), or in connection with a licensing transaction related to such Product(s) or loan, financing or investment or acquisition, merger, consolidation or similar transaction (or for such entities to determine their interest in performing such activities) or in order to perform its obligations under this Agreement, in each case on the condition that any Third Parties, other than Regulatory Authorities, to whom such disclosures are made agree to be bound by confidentiality and non-use obligations substantially similar to those contained in this Agreement; provided that the term of confidentiality and non-use applicable to such Third Parties shall be no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from the date of disclosure to them.</w:t>
      </w:r>
    </w:p>
    <w:p>
      <w:pPr>
        <w:spacing w:after="0" w:line="77" w:lineRule="exact"/>
        <w:rPr>
          <w:sz w:val="20"/>
          <w:szCs w:val="20"/>
          <w:color w:val="auto"/>
        </w:rPr>
      </w:pPr>
    </w:p>
    <w:p>
      <w:pPr>
        <w:ind w:firstLine="920"/>
        <w:spacing w:after="0" w:line="254" w:lineRule="auto"/>
        <w:tabs>
          <w:tab w:leader="none" w:pos="1109" w:val="left"/>
        </w:tabs>
        <w:numPr>
          <w:ilvl w:val="0"/>
          <w:numId w:val="738"/>
        </w:numPr>
        <w:rPr>
          <w:rFonts w:ascii="Arial" w:cs="Arial" w:eastAsia="Arial" w:hAnsi="Arial"/>
          <w:sz w:val="14"/>
          <w:szCs w:val="14"/>
          <w:color w:val="auto"/>
        </w:rPr>
      </w:pPr>
      <w:r>
        <w:rPr>
          <w:rFonts w:ascii="Arial" w:cs="Arial" w:eastAsia="Arial" w:hAnsi="Arial"/>
          <w:sz w:val="14"/>
          <w:szCs w:val="14"/>
          <w:b w:val="1"/>
          <w:bCs w:val="1"/>
          <w:color w:val="auto"/>
        </w:rPr>
        <w:t xml:space="preserve">Disclosure Required by Judicial or Administrative Process. </w:t>
      </w:r>
      <w:r>
        <w:rPr>
          <w:rFonts w:ascii="Arial" w:cs="Arial" w:eastAsia="Arial" w:hAnsi="Arial"/>
          <w:sz w:val="14"/>
          <w:szCs w:val="14"/>
          <w:color w:val="auto"/>
        </w:rPr>
        <w:t>If a Party is required by judicial or administrative process to disclose Confidential Information of the other Party that is subject</w:t>
      </w:r>
      <w:r>
        <w:rPr>
          <w:rFonts w:ascii="Arial" w:cs="Arial" w:eastAsia="Arial" w:hAnsi="Arial"/>
          <w:sz w:val="14"/>
          <w:szCs w:val="14"/>
          <w:b w:val="1"/>
          <w:bCs w:val="1"/>
          <w:color w:val="auto"/>
        </w:rPr>
        <w:t xml:space="preserve"> </w:t>
      </w:r>
      <w:r>
        <w:rPr>
          <w:rFonts w:ascii="Arial" w:cs="Arial" w:eastAsia="Arial" w:hAnsi="Arial"/>
          <w:sz w:val="14"/>
          <w:szCs w:val="14"/>
          <w:color w:val="auto"/>
        </w:rPr>
        <w:t>to the non-disclosure provisions of this Section 12.1, such Party shall promptly inform the other Party of the disclosure that is being sought in order to provide the other Party an opportunity to challenge or limit the disclosure obligations. Confidential Information that is disclosed by judicial or administrative process shall remain otherwise subject to the confidentiality and non-use provisions of this Section 12.1, and the Party disclosing Confidential Information pursuant to law or court order shall take all steps reasonably necessary, including without limitation obtaining an order of confidentiality, to ensure the continued confidential treatment of such Confidential Information.</w:t>
      </w:r>
    </w:p>
    <w:p>
      <w:pPr>
        <w:spacing w:after="0" w:line="109" w:lineRule="exact"/>
        <w:rPr>
          <w:rFonts w:ascii="Arial" w:cs="Arial" w:eastAsia="Arial" w:hAnsi="Arial"/>
          <w:sz w:val="14"/>
          <w:szCs w:val="14"/>
          <w:color w:val="auto"/>
        </w:rPr>
      </w:pPr>
    </w:p>
    <w:p>
      <w:pPr>
        <w:ind w:right="120" w:firstLine="920"/>
        <w:spacing w:after="0" w:line="270" w:lineRule="auto"/>
        <w:tabs>
          <w:tab w:leader="none" w:pos="1101" w:val="left"/>
        </w:tabs>
        <w:numPr>
          <w:ilvl w:val="0"/>
          <w:numId w:val="738"/>
        </w:numPr>
        <w:rPr>
          <w:rFonts w:ascii="Arial" w:cs="Arial" w:eastAsia="Arial" w:hAnsi="Arial"/>
          <w:sz w:val="14"/>
          <w:szCs w:val="14"/>
          <w:color w:val="auto"/>
        </w:rPr>
      </w:pPr>
      <w:r>
        <w:rPr>
          <w:rFonts w:ascii="Arial" w:cs="Arial" w:eastAsia="Arial" w:hAnsi="Arial"/>
          <w:sz w:val="14"/>
          <w:szCs w:val="14"/>
          <w:b w:val="1"/>
          <w:bCs w:val="1"/>
          <w:color w:val="auto"/>
        </w:rPr>
        <w:t xml:space="preserve">Obligations Upon Termination. </w:t>
      </w:r>
      <w:r>
        <w:rPr>
          <w:rFonts w:ascii="Arial" w:cs="Arial" w:eastAsia="Arial" w:hAnsi="Arial"/>
          <w:sz w:val="14"/>
          <w:szCs w:val="14"/>
          <w:color w:val="auto"/>
        </w:rPr>
        <w:t>Upon the termination or expiration of this Agreement, or upon the earlier request of either Party, the receiving Party shall return to the disclosing Party, all</w:t>
      </w:r>
      <w:r>
        <w:rPr>
          <w:rFonts w:ascii="Arial" w:cs="Arial" w:eastAsia="Arial" w:hAnsi="Arial"/>
          <w:sz w:val="14"/>
          <w:szCs w:val="14"/>
          <w:b w:val="1"/>
          <w:bCs w:val="1"/>
          <w:color w:val="auto"/>
        </w:rPr>
        <w:t xml:space="preserve"> </w:t>
      </w:r>
      <w:r>
        <w:rPr>
          <w:rFonts w:ascii="Arial" w:cs="Arial" w:eastAsia="Arial" w:hAnsi="Arial"/>
          <w:sz w:val="14"/>
          <w:szCs w:val="14"/>
          <w:color w:val="auto"/>
        </w:rPr>
        <w:t>of the disclosing Party’s Confidential Information, including all copies thereof, provided that the receiving Party may retain one copy for archival purposes.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b w:val="1"/>
          <w:bCs w:val="1"/>
          <w:color w:val="auto"/>
        </w:rPr>
        <w:t>Publication</w:t>
      </w:r>
    </w:p>
    <w:p>
      <w:pPr>
        <w:spacing w:after="0" w:line="132" w:lineRule="exact"/>
        <w:rPr>
          <w:sz w:val="20"/>
          <w:szCs w:val="20"/>
          <w:color w:val="auto"/>
        </w:rPr>
      </w:pPr>
    </w:p>
    <w:p>
      <w:pPr>
        <w:ind w:firstLine="920"/>
        <w:spacing w:after="0" w:line="254" w:lineRule="auto"/>
        <w:tabs>
          <w:tab w:leader="none" w:pos="1101" w:val="left"/>
        </w:tabs>
        <w:numPr>
          <w:ilvl w:val="1"/>
          <w:numId w:val="739"/>
        </w:numPr>
        <w:rPr>
          <w:rFonts w:ascii="Arial" w:cs="Arial" w:eastAsia="Arial" w:hAnsi="Arial"/>
          <w:sz w:val="14"/>
          <w:szCs w:val="14"/>
          <w:color w:val="auto"/>
        </w:rPr>
      </w:pPr>
      <w:r>
        <w:rPr>
          <w:rFonts w:ascii="Arial" w:cs="Arial" w:eastAsia="Arial" w:hAnsi="Arial"/>
          <w:sz w:val="14"/>
          <w:szCs w:val="14"/>
          <w:b w:val="1"/>
          <w:bCs w:val="1"/>
          <w:color w:val="auto"/>
        </w:rPr>
        <w:t>Publication of Results</w:t>
      </w:r>
      <w:r>
        <w:rPr>
          <w:rFonts w:ascii="Arial" w:cs="Arial" w:eastAsia="Arial" w:hAnsi="Arial"/>
          <w:sz w:val="14"/>
          <w:szCs w:val="14"/>
          <w:color w:val="auto"/>
        </w:rPr>
        <w:t>. Green Cross and MacroGenics each acknowledge the other Party’s interest in publishing the results of its activities under the Collaboration in order to obtain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recognition within the scientific community and to advance the state of scientific knowledge. Each Party also recognizes the mutual interest in obtaining valid patent protection and in protecting business interests and trade secret information. Consequently, the JSC shall establish procedures for review of publications related to the Collaboration, ensuring that, except for disclosures permitted pursuant to Section 12.1, either Party and its employees wishing to make a publication related to work performed under this Agreement shall deliver to the other Party a copy of the proposed written publication or an outline of an oral disclosure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submission for publication or for presentation.</w:t>
      </w:r>
    </w:p>
    <w:p>
      <w:pPr>
        <w:spacing w:after="0" w:line="109" w:lineRule="exact"/>
        <w:rPr>
          <w:rFonts w:ascii="Arial" w:cs="Arial" w:eastAsia="Arial" w:hAnsi="Arial"/>
          <w:sz w:val="14"/>
          <w:szCs w:val="14"/>
          <w:color w:val="auto"/>
        </w:rPr>
      </w:pPr>
    </w:p>
    <w:p>
      <w:pPr>
        <w:ind w:left="1120" w:hanging="200"/>
        <w:spacing w:after="0"/>
        <w:tabs>
          <w:tab w:leader="none" w:pos="1120" w:val="left"/>
        </w:tabs>
        <w:numPr>
          <w:ilvl w:val="1"/>
          <w:numId w:val="739"/>
        </w:numPr>
        <w:rPr>
          <w:rFonts w:ascii="Arial" w:cs="Arial" w:eastAsia="Arial" w:hAnsi="Arial"/>
          <w:sz w:val="14"/>
          <w:szCs w:val="14"/>
          <w:color w:val="auto"/>
        </w:rPr>
      </w:pPr>
      <w:r>
        <w:rPr>
          <w:rFonts w:ascii="Arial" w:cs="Arial" w:eastAsia="Arial" w:hAnsi="Arial"/>
          <w:sz w:val="14"/>
          <w:szCs w:val="14"/>
          <w:b w:val="1"/>
          <w:bCs w:val="1"/>
          <w:color w:val="auto"/>
        </w:rPr>
        <w:t>Review of Publications and Presentations</w:t>
      </w:r>
    </w:p>
    <w:p>
      <w:pPr>
        <w:spacing w:after="0" w:line="70" w:lineRule="exact"/>
        <w:rPr>
          <w:rFonts w:ascii="Arial" w:cs="Arial" w:eastAsia="Arial" w:hAnsi="Arial"/>
          <w:sz w:val="14"/>
          <w:szCs w:val="14"/>
          <w:color w:val="auto"/>
        </w:rPr>
      </w:pPr>
    </w:p>
    <w:p>
      <w:pPr>
        <w:ind w:left="1500" w:hanging="158"/>
        <w:spacing w:after="0"/>
        <w:tabs>
          <w:tab w:leader="none" w:pos="1500" w:val="left"/>
        </w:tabs>
        <w:numPr>
          <w:ilvl w:val="2"/>
          <w:numId w:val="739"/>
        </w:numPr>
        <w:rPr>
          <w:rFonts w:ascii="Arial" w:cs="Arial" w:eastAsia="Arial" w:hAnsi="Arial"/>
          <w:sz w:val="14"/>
          <w:szCs w:val="14"/>
          <w:color w:val="auto"/>
        </w:rPr>
      </w:pPr>
      <w:r>
        <w:rPr>
          <w:rFonts w:ascii="Arial" w:cs="Arial" w:eastAsia="Arial" w:hAnsi="Arial"/>
          <w:sz w:val="14"/>
          <w:szCs w:val="14"/>
          <w:color w:val="auto"/>
        </w:rPr>
        <w:t>The reviewing Party shall have the right (a) to propose modifications to the publication or presentation for patent reasons, trade secret reasons,</w:t>
      </w:r>
    </w:p>
    <w:p>
      <w:pPr>
        <w:spacing w:after="0" w:line="121" w:lineRule="exact"/>
        <w:rPr>
          <w:rFonts w:ascii="Arial" w:cs="Arial" w:eastAsia="Arial" w:hAnsi="Arial"/>
          <w:sz w:val="14"/>
          <w:szCs w:val="14"/>
          <w:color w:val="auto"/>
        </w:rPr>
      </w:pPr>
    </w:p>
    <w:p>
      <w:pPr>
        <w:ind w:left="240" w:hanging="236"/>
        <w:spacing w:after="0"/>
        <w:tabs>
          <w:tab w:leader="none" w:pos="240" w:val="left"/>
        </w:tabs>
        <w:numPr>
          <w:ilvl w:val="0"/>
          <w:numId w:val="739"/>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247" w:right="219" w:bottom="1440" w:gutter="0" w:footer="0" w:header="0"/>
        </w:sectPr>
      </w:pPr>
    </w:p>
    <w:bookmarkStart w:id="656" w:name="page657"/>
    <w:bookmarkEnd w:id="656"/>
    <w:p>
      <w:pPr>
        <w:ind w:left="916" w:right="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or for purposes of removing the Confidential Information of the reviewing Party, or (b) to request a reasonable delay in publication or submission for presentation in order to protect trade secret or patentable information.</w:t>
      </w:r>
    </w:p>
    <w:p>
      <w:pPr>
        <w:spacing w:after="0" w:line="39" w:lineRule="exact"/>
        <w:rPr>
          <w:sz w:val="20"/>
          <w:szCs w:val="20"/>
          <w:color w:val="auto"/>
        </w:rPr>
      </w:pPr>
    </w:p>
    <w:p>
      <w:pPr>
        <w:ind w:left="916" w:right="160" w:firstLine="422"/>
        <w:spacing w:after="0" w:line="258" w:lineRule="auto"/>
        <w:tabs>
          <w:tab w:leader="none" w:pos="1538" w:val="left"/>
        </w:tabs>
        <w:numPr>
          <w:ilvl w:val="0"/>
          <w:numId w:val="740"/>
        </w:numPr>
        <w:rPr>
          <w:rFonts w:ascii="Arial" w:cs="Arial" w:eastAsia="Arial" w:hAnsi="Arial"/>
          <w:sz w:val="14"/>
          <w:szCs w:val="14"/>
          <w:color w:val="auto"/>
        </w:rPr>
      </w:pPr>
      <w:r>
        <w:rPr>
          <w:rFonts w:ascii="Arial" w:cs="Arial" w:eastAsia="Arial" w:hAnsi="Arial"/>
          <w:sz w:val="14"/>
          <w:szCs w:val="14"/>
          <w:color w:val="auto"/>
        </w:rPr>
        <w:t xml:space="preserve">If the reviewing Party requests the removal of the reviewing Party’s Confidential Information or a delay, the publishing Party shall remove such Confidential Information and delay submission for publication or submission for presentation for a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to enable patent applications protecting each Party’s rights in such Confidential Information to be filed in accordance with Section 15 below.</w:t>
      </w:r>
    </w:p>
    <w:p>
      <w:pPr>
        <w:spacing w:after="0" w:line="42" w:lineRule="exact"/>
        <w:rPr>
          <w:rFonts w:ascii="Arial" w:cs="Arial" w:eastAsia="Arial" w:hAnsi="Arial"/>
          <w:sz w:val="14"/>
          <w:szCs w:val="14"/>
          <w:color w:val="auto"/>
        </w:rPr>
      </w:pPr>
    </w:p>
    <w:p>
      <w:pPr>
        <w:ind w:left="916" w:right="460" w:firstLine="422"/>
        <w:spacing w:after="0" w:line="270" w:lineRule="auto"/>
        <w:tabs>
          <w:tab w:leader="none" w:pos="1576" w:val="left"/>
        </w:tabs>
        <w:numPr>
          <w:ilvl w:val="0"/>
          <w:numId w:val="740"/>
        </w:numPr>
        <w:rPr>
          <w:rFonts w:ascii="Arial" w:cs="Arial" w:eastAsia="Arial" w:hAnsi="Arial"/>
          <w:sz w:val="14"/>
          <w:szCs w:val="14"/>
          <w:color w:val="auto"/>
        </w:rPr>
      </w:pPr>
      <w:r>
        <w:rPr>
          <w:rFonts w:ascii="Arial" w:cs="Arial" w:eastAsia="Arial" w:hAnsi="Arial"/>
          <w:sz w:val="14"/>
          <w:szCs w:val="14"/>
          <w:color w:val="auto"/>
        </w:rPr>
        <w:t xml:space="preserve">Upon expiration of such </w:t>
      </w:r>
      <w:r>
        <w:rPr>
          <w:rFonts w:ascii="Arial" w:cs="Arial" w:eastAsia="Arial" w:hAnsi="Arial"/>
          <w:sz w:val="14"/>
          <w:szCs w:val="14"/>
          <w:b w:val="1"/>
          <w:bCs w:val="1"/>
          <w:color w:val="auto"/>
        </w:rPr>
        <w:t>***</w:t>
      </w:r>
      <w:r>
        <w:rPr>
          <w:rFonts w:ascii="Arial" w:cs="Arial" w:eastAsia="Arial" w:hAnsi="Arial"/>
          <w:sz w:val="14"/>
          <w:szCs w:val="14"/>
          <w:color w:val="auto"/>
        </w:rPr>
        <w:t xml:space="preserve"> and satisfaction of any other conditions imposed by the JSC, the publishing Party shall be free to proceed with the publication or submission for presentation.</w:t>
      </w:r>
    </w:p>
    <w:p>
      <w:pPr>
        <w:spacing w:after="0" w:line="36" w:lineRule="exact"/>
        <w:rPr>
          <w:rFonts w:ascii="Arial" w:cs="Arial" w:eastAsia="Arial" w:hAnsi="Arial"/>
          <w:sz w:val="14"/>
          <w:szCs w:val="14"/>
          <w:color w:val="auto"/>
        </w:rPr>
      </w:pPr>
    </w:p>
    <w:p>
      <w:pPr>
        <w:ind w:left="1576" w:hanging="238"/>
        <w:spacing w:after="0"/>
        <w:tabs>
          <w:tab w:leader="none" w:pos="1576" w:val="left"/>
        </w:tabs>
        <w:numPr>
          <w:ilvl w:val="0"/>
          <w:numId w:val="740"/>
        </w:numPr>
        <w:rPr>
          <w:rFonts w:ascii="Arial" w:cs="Arial" w:eastAsia="Arial" w:hAnsi="Arial"/>
          <w:sz w:val="14"/>
          <w:szCs w:val="14"/>
          <w:color w:val="auto"/>
        </w:rPr>
      </w:pPr>
      <w:r>
        <w:rPr>
          <w:rFonts w:ascii="Arial" w:cs="Arial" w:eastAsia="Arial" w:hAnsi="Arial"/>
          <w:sz w:val="14"/>
          <w:szCs w:val="14"/>
          <w:color w:val="auto"/>
        </w:rPr>
        <w:t>Upon request of the Party seeking publication, the reviewing Party shall consider expediting the time frames set forth in this Section 12.2.</w:t>
      </w:r>
    </w:p>
    <w:p>
      <w:pPr>
        <w:spacing w:after="0" w:line="68" w:lineRule="exact"/>
        <w:rPr>
          <w:rFonts w:ascii="Arial" w:cs="Arial" w:eastAsia="Arial" w:hAnsi="Arial"/>
          <w:sz w:val="14"/>
          <w:szCs w:val="14"/>
          <w:color w:val="auto"/>
        </w:rPr>
      </w:pPr>
    </w:p>
    <w:p>
      <w:pPr>
        <w:ind w:left="916" w:right="680" w:firstLine="422"/>
        <w:spacing w:after="0" w:line="351" w:lineRule="auto"/>
        <w:tabs>
          <w:tab w:leader="none" w:pos="1530" w:val="left"/>
        </w:tabs>
        <w:numPr>
          <w:ilvl w:val="0"/>
          <w:numId w:val="740"/>
        </w:numPr>
        <w:rPr>
          <w:rFonts w:ascii="Arial" w:cs="Arial" w:eastAsia="Arial" w:hAnsi="Arial"/>
          <w:sz w:val="12"/>
          <w:szCs w:val="12"/>
          <w:color w:val="auto"/>
        </w:rPr>
      </w:pPr>
      <w:r>
        <w:rPr>
          <w:rFonts w:ascii="Arial" w:cs="Arial" w:eastAsia="Arial" w:hAnsi="Arial"/>
          <w:sz w:val="12"/>
          <w:szCs w:val="12"/>
          <w:color w:val="auto"/>
        </w:rPr>
        <w:t>If the reviewing Party requests modifications to the publication or submission for presentation, the publishing Party shall edit such publication to prevent disclosure of the Confidential Information of the reviewing Party or trade secret or proprietary business information prior to submission for publication or for presentation.</w:t>
      </w:r>
    </w:p>
    <w:p>
      <w:pPr>
        <w:spacing w:after="0" w:line="54"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b w:val="1"/>
          <w:bCs w:val="1"/>
          <w:color w:val="auto"/>
        </w:rPr>
        <w:t>Publicity; Use of Names</w:t>
      </w:r>
    </w:p>
    <w:p>
      <w:pPr>
        <w:spacing w:after="0" w:line="132" w:lineRule="exact"/>
        <w:rPr>
          <w:sz w:val="20"/>
          <w:szCs w:val="20"/>
          <w:color w:val="auto"/>
        </w:rPr>
      </w:pPr>
    </w:p>
    <w:p>
      <w:pPr>
        <w:ind w:left="-4" w:firstLine="920"/>
        <w:spacing w:after="0" w:line="295" w:lineRule="auto"/>
        <w:tabs>
          <w:tab w:leader="none" w:pos="1098" w:val="left"/>
        </w:tabs>
        <w:numPr>
          <w:ilvl w:val="1"/>
          <w:numId w:val="741"/>
        </w:numPr>
        <w:rPr>
          <w:rFonts w:ascii="Arial" w:cs="Arial" w:eastAsia="Arial" w:hAnsi="Arial"/>
          <w:sz w:val="12"/>
          <w:szCs w:val="12"/>
          <w:color w:val="auto"/>
        </w:rPr>
      </w:pPr>
      <w:r>
        <w:rPr>
          <w:rFonts w:ascii="Arial" w:cs="Arial" w:eastAsia="Arial" w:hAnsi="Arial"/>
          <w:sz w:val="12"/>
          <w:szCs w:val="12"/>
          <w:b w:val="1"/>
          <w:bCs w:val="1"/>
          <w:color w:val="auto"/>
        </w:rPr>
        <w:t>Press Releases</w:t>
      </w:r>
      <w:r>
        <w:rPr>
          <w:rFonts w:ascii="Arial" w:cs="Arial" w:eastAsia="Arial" w:hAnsi="Arial"/>
          <w:sz w:val="12"/>
          <w:szCs w:val="12"/>
          <w:color w:val="auto"/>
        </w:rPr>
        <w:t>. The Parties shall issue a mutually acceptable press release announcing the execution of this Agreement. A Party may issue any subsequent press release relating to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or activities conducted hereunder upon prior written approval of the other Party, such approval not to be unreasonably withheld or delayed; provided, however, that no approval of the other Party shall be required if a subsequent press release or SEC filing solely discloses the information that (1) a milestone under this Agreement has been achieved and/or any payments associated therewith have been received;</w:t>
      </w:r>
    </w:p>
    <w:p>
      <w:pPr>
        <w:ind w:left="196" w:hanging="196"/>
        <w:spacing w:after="0"/>
        <w:tabs>
          <w:tab w:leader="none" w:pos="196" w:val="left"/>
        </w:tabs>
        <w:numPr>
          <w:ilvl w:val="0"/>
          <w:numId w:val="742"/>
        </w:numPr>
        <w:rPr>
          <w:rFonts w:ascii="Arial" w:cs="Arial" w:eastAsia="Arial" w:hAnsi="Arial"/>
          <w:sz w:val="12"/>
          <w:szCs w:val="12"/>
          <w:color w:val="auto"/>
        </w:rPr>
      </w:pPr>
      <w:r>
        <w:rPr>
          <w:rFonts w:ascii="Arial" w:cs="Arial" w:eastAsia="Arial" w:hAnsi="Arial"/>
          <w:sz w:val="12"/>
          <w:szCs w:val="12"/>
          <w:color w:val="auto"/>
        </w:rPr>
        <w:t>the filing and/or approval of a BLA generally has occurred (provided, however, that specific dates of filing shall not be disclosed); (3) initiation of any Phase II Clinical Trial or later clinical trial; and</w:t>
      </w:r>
    </w:p>
    <w:p>
      <w:pPr>
        <w:spacing w:after="0" w:line="29" w:lineRule="exact"/>
        <w:rPr>
          <w:sz w:val="20"/>
          <w:szCs w:val="20"/>
          <w:color w:val="auto"/>
        </w:rPr>
      </w:pPr>
    </w:p>
    <w:p>
      <w:pPr>
        <w:ind w:left="-4" w:right="100" w:firstLine="4"/>
        <w:spacing w:after="0" w:line="252" w:lineRule="auto"/>
        <w:tabs>
          <w:tab w:leader="none" w:pos="189" w:val="left"/>
        </w:tabs>
        <w:numPr>
          <w:ilvl w:val="0"/>
          <w:numId w:val="743"/>
        </w:numPr>
        <w:rPr>
          <w:rFonts w:ascii="Arial" w:cs="Arial" w:eastAsia="Arial" w:hAnsi="Arial"/>
          <w:sz w:val="14"/>
          <w:szCs w:val="14"/>
          <w:color w:val="auto"/>
        </w:rPr>
      </w:pPr>
      <w:r>
        <w:rPr>
          <w:rFonts w:ascii="Arial" w:cs="Arial" w:eastAsia="Arial" w:hAnsi="Arial"/>
          <w:sz w:val="14"/>
          <w:szCs w:val="14"/>
          <w:color w:val="auto"/>
        </w:rPr>
        <w:t xml:space="preserve">commercial launch of a Product or any information that has previously been approved and disclosed as permitted by this Section 12.3(a). In the case of items (1)-(4) of the preceding sentence, the disclosing Party shall provide the other Party a copy of such proposed disclosures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the proposed release and consider in good faith any comments the other Party may make, where practicable, and in light of any reporting obligations of such disclosing Party under applicable laws, rules or regulations, including without limitation the rules and regulations promulgated by the United States Securities and Exchange Commission or any other governmental agency.</w:t>
      </w:r>
    </w:p>
    <w:p>
      <w:pPr>
        <w:spacing w:after="0" w:line="102" w:lineRule="exact"/>
        <w:rPr>
          <w:sz w:val="20"/>
          <w:szCs w:val="20"/>
          <w:color w:val="auto"/>
        </w:rPr>
      </w:pPr>
    </w:p>
    <w:p>
      <w:pPr>
        <w:ind w:left="5656" w:right="1560" w:hanging="5656"/>
        <w:spacing w:after="0" w:line="438" w:lineRule="auto"/>
        <w:tabs>
          <w:tab w:leader="none" w:pos="232" w:val="left"/>
        </w:tabs>
        <w:numPr>
          <w:ilvl w:val="0"/>
          <w:numId w:val="744"/>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35</w:t>
      </w:r>
    </w:p>
    <w:p>
      <w:pPr>
        <w:sectPr>
          <w:pgSz w:w="11900" w:h="16838" w:orient="portrait"/>
          <w:cols w:equalWidth="0" w:num="1">
            <w:col w:w="11456"/>
          </w:cols>
          <w:pgMar w:left="224" w:top="248" w:right="219" w:bottom="1440" w:gutter="0" w:footer="0" w:header="0"/>
        </w:sectPr>
      </w:pPr>
    </w:p>
    <w:bookmarkStart w:id="657" w:name="page658"/>
    <w:bookmarkEnd w:id="657"/>
    <w:p>
      <w:pPr>
        <w:ind w:left="-4" w:right="40" w:firstLine="920"/>
        <w:spacing w:after="0" w:line="270" w:lineRule="auto"/>
        <w:tabs>
          <w:tab w:leader="none" w:pos="1105" w:val="left"/>
        </w:tabs>
        <w:numPr>
          <w:ilvl w:val="1"/>
          <w:numId w:val="745"/>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No Other Use of Company Names</w:t>
      </w:r>
      <w:r>
        <w:rPr>
          <w:rFonts w:ascii="Arial" w:cs="Arial" w:eastAsia="Arial" w:hAnsi="Arial"/>
          <w:sz w:val="14"/>
          <w:szCs w:val="14"/>
          <w:color w:val="auto"/>
        </w:rPr>
        <w:t>. Except as otherwise provided in this Section 12.3(b), neither Party shall use the name, trademark, trade name or logo of the other Party or its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in any publicity or news release relating to this Agreement or its subject matter, without the prior express written permission of the other Party.</w:t>
      </w:r>
    </w:p>
    <w:p>
      <w:pPr>
        <w:spacing w:after="0" w:line="97" w:lineRule="exact"/>
        <w:rPr>
          <w:rFonts w:ascii="Arial" w:cs="Arial" w:eastAsia="Arial" w:hAnsi="Arial"/>
          <w:sz w:val="14"/>
          <w:szCs w:val="14"/>
          <w:color w:val="auto"/>
        </w:rPr>
      </w:pPr>
    </w:p>
    <w:p>
      <w:pPr>
        <w:ind w:left="-4" w:firstLine="920"/>
        <w:spacing w:after="0" w:line="306" w:lineRule="auto"/>
        <w:tabs>
          <w:tab w:leader="none" w:pos="1098" w:val="left"/>
        </w:tabs>
        <w:numPr>
          <w:ilvl w:val="1"/>
          <w:numId w:val="745"/>
        </w:numPr>
        <w:rPr>
          <w:rFonts w:ascii="Arial" w:cs="Arial" w:eastAsia="Arial" w:hAnsi="Arial"/>
          <w:sz w:val="12"/>
          <w:szCs w:val="12"/>
          <w:color w:val="auto"/>
        </w:rPr>
      </w:pPr>
      <w:r>
        <w:rPr>
          <w:rFonts w:ascii="Arial" w:cs="Arial" w:eastAsia="Arial" w:hAnsi="Arial"/>
          <w:sz w:val="12"/>
          <w:szCs w:val="12"/>
          <w:b w:val="1"/>
          <w:bCs w:val="1"/>
          <w:color w:val="auto"/>
        </w:rPr>
        <w:t>Approved Press Releases</w:t>
      </w:r>
      <w:r>
        <w:rPr>
          <w:rFonts w:ascii="Arial" w:cs="Arial" w:eastAsia="Arial" w:hAnsi="Arial"/>
          <w:sz w:val="12"/>
          <w:szCs w:val="12"/>
          <w:color w:val="auto"/>
        </w:rPr>
        <w:t>. In addition and notwithstanding anything to the contrary herein, (a) if the relevant text of a proposed press release has already previously been reviewed and</w:t>
      </w:r>
      <w:r>
        <w:rPr>
          <w:rFonts w:ascii="Arial" w:cs="Arial" w:eastAsia="Arial" w:hAnsi="Arial"/>
          <w:sz w:val="12"/>
          <w:szCs w:val="12"/>
          <w:b w:val="1"/>
          <w:bCs w:val="1"/>
          <w:color w:val="auto"/>
        </w:rPr>
        <w:t xml:space="preserve"> </w:t>
      </w:r>
      <w:r>
        <w:rPr>
          <w:rFonts w:ascii="Arial" w:cs="Arial" w:eastAsia="Arial" w:hAnsi="Arial"/>
          <w:sz w:val="12"/>
          <w:szCs w:val="12"/>
          <w:color w:val="auto"/>
        </w:rPr>
        <w:t>approved for disclosure by the other Party then such text may be disclosed or republished in such proposed press release provided that the Party issuing such press release provides notice to the other Party of such press release at least four (4) business days prior to the issuance of such press release, where practicable, and (b) if the relevant text of a proposed public announcement such as a corporate presentation or comments to analysts or investors has already previously been reviewed and approved for disclosure by the other Party (whether in the form of an approved press release or prior approved presentation materials, Q&amp;A script or the like) then such text may be included in such proposed public announcement (but not a press release) without resubmission and review by the other Party.</w:t>
      </w:r>
    </w:p>
    <w:p>
      <w:pPr>
        <w:spacing w:after="0" w:line="81" w:lineRule="exact"/>
        <w:rPr>
          <w:rFonts w:ascii="Arial" w:cs="Arial" w:eastAsia="Arial" w:hAnsi="Arial"/>
          <w:sz w:val="12"/>
          <w:szCs w:val="12"/>
          <w:color w:val="auto"/>
        </w:rPr>
      </w:pPr>
    </w:p>
    <w:p>
      <w:pPr>
        <w:ind w:left="1116" w:hanging="200"/>
        <w:spacing w:after="0"/>
        <w:tabs>
          <w:tab w:leader="none" w:pos="1116" w:val="left"/>
        </w:tabs>
        <w:numPr>
          <w:ilvl w:val="1"/>
          <w:numId w:val="745"/>
        </w:numPr>
        <w:rPr>
          <w:rFonts w:ascii="Arial" w:cs="Arial" w:eastAsia="Arial" w:hAnsi="Arial"/>
          <w:sz w:val="14"/>
          <w:szCs w:val="14"/>
          <w:color w:val="auto"/>
        </w:rPr>
      </w:pPr>
      <w:r>
        <w:rPr>
          <w:rFonts w:ascii="Arial" w:cs="Arial" w:eastAsia="Arial" w:hAnsi="Arial"/>
          <w:sz w:val="14"/>
          <w:szCs w:val="14"/>
          <w:b w:val="1"/>
          <w:bCs w:val="1"/>
          <w:color w:val="auto"/>
        </w:rPr>
        <w:t>Existence of Agreement</w:t>
      </w:r>
    </w:p>
    <w:p>
      <w:pPr>
        <w:spacing w:after="0" w:line="68" w:lineRule="exact"/>
        <w:rPr>
          <w:rFonts w:ascii="Arial" w:cs="Arial" w:eastAsia="Arial" w:hAnsi="Arial"/>
          <w:sz w:val="14"/>
          <w:szCs w:val="14"/>
          <w:color w:val="auto"/>
        </w:rPr>
      </w:pPr>
    </w:p>
    <w:p>
      <w:pPr>
        <w:ind w:left="1496" w:hanging="158"/>
        <w:spacing w:after="0"/>
        <w:tabs>
          <w:tab w:leader="none" w:pos="1496" w:val="left"/>
        </w:tabs>
        <w:numPr>
          <w:ilvl w:val="2"/>
          <w:numId w:val="745"/>
        </w:numPr>
        <w:rPr>
          <w:rFonts w:ascii="Arial" w:cs="Arial" w:eastAsia="Arial" w:hAnsi="Arial"/>
          <w:sz w:val="12"/>
          <w:szCs w:val="12"/>
          <w:color w:val="auto"/>
        </w:rPr>
      </w:pPr>
      <w:r>
        <w:rPr>
          <w:rFonts w:ascii="Arial" w:cs="Arial" w:eastAsia="Arial" w:hAnsi="Arial"/>
          <w:sz w:val="12"/>
          <w:szCs w:val="12"/>
          <w:b w:val="1"/>
          <w:bCs w:val="1"/>
          <w:color w:val="auto"/>
        </w:rPr>
        <w:t>No Disclosure</w:t>
      </w:r>
      <w:r>
        <w:rPr>
          <w:rFonts w:ascii="Arial" w:cs="Arial" w:eastAsia="Arial" w:hAnsi="Arial"/>
          <w:sz w:val="12"/>
          <w:szCs w:val="12"/>
          <w:color w:val="auto"/>
        </w:rPr>
        <w:t>. Neither Party shall disclose the existence or terms of this Agreement pursuant to a press release or otherwise except as provided in this Section 12.3(d).</w:t>
      </w:r>
    </w:p>
    <w:p>
      <w:pPr>
        <w:spacing w:after="0" w:line="91" w:lineRule="exact"/>
        <w:rPr>
          <w:rFonts w:ascii="Arial" w:cs="Arial" w:eastAsia="Arial" w:hAnsi="Arial"/>
          <w:sz w:val="12"/>
          <w:szCs w:val="12"/>
          <w:color w:val="auto"/>
        </w:rPr>
      </w:pPr>
    </w:p>
    <w:p>
      <w:pPr>
        <w:ind w:left="1536" w:hanging="198"/>
        <w:spacing w:after="0"/>
        <w:tabs>
          <w:tab w:leader="none" w:pos="1536" w:val="left"/>
        </w:tabs>
        <w:numPr>
          <w:ilvl w:val="2"/>
          <w:numId w:val="745"/>
        </w:numPr>
        <w:rPr>
          <w:rFonts w:ascii="Arial" w:cs="Arial" w:eastAsia="Arial" w:hAnsi="Arial"/>
          <w:sz w:val="14"/>
          <w:szCs w:val="14"/>
          <w:color w:val="auto"/>
        </w:rPr>
      </w:pPr>
      <w:r>
        <w:rPr>
          <w:rFonts w:ascii="Arial" w:cs="Arial" w:eastAsia="Arial" w:hAnsi="Arial"/>
          <w:sz w:val="14"/>
          <w:szCs w:val="14"/>
          <w:b w:val="1"/>
          <w:bCs w:val="1"/>
          <w:color w:val="auto"/>
        </w:rPr>
        <w:t>Permitted Disclosures</w:t>
      </w:r>
    </w:p>
    <w:p>
      <w:pPr>
        <w:spacing w:after="0" w:line="133" w:lineRule="exact"/>
        <w:rPr>
          <w:rFonts w:ascii="Arial" w:cs="Arial" w:eastAsia="Arial" w:hAnsi="Arial"/>
          <w:sz w:val="14"/>
          <w:szCs w:val="14"/>
          <w:color w:val="auto"/>
        </w:rPr>
      </w:pPr>
    </w:p>
    <w:p>
      <w:pPr>
        <w:jc w:val="both"/>
        <w:ind w:left="-4" w:right="120" w:firstLine="1952"/>
        <w:spacing w:after="0" w:line="255" w:lineRule="auto"/>
        <w:tabs>
          <w:tab w:leader="none" w:pos="2167" w:val="left"/>
        </w:tabs>
        <w:numPr>
          <w:ilvl w:val="3"/>
          <w:numId w:val="745"/>
        </w:numPr>
        <w:rPr>
          <w:rFonts w:ascii="Arial" w:cs="Arial" w:eastAsia="Arial" w:hAnsi="Arial"/>
          <w:sz w:val="14"/>
          <w:szCs w:val="14"/>
          <w:color w:val="auto"/>
        </w:rPr>
      </w:pPr>
      <w:r>
        <w:rPr>
          <w:rFonts w:ascii="Arial" w:cs="Arial" w:eastAsia="Arial" w:hAnsi="Arial"/>
          <w:sz w:val="14"/>
          <w:szCs w:val="14"/>
          <w:color w:val="auto"/>
        </w:rPr>
        <w:t>Notwithstanding the terms of this Section 12, either Party shall be permitted to disclose the existence and terms of this Agreement and the conduct of the Collaboration under this Agreement, to the extent required, in the reasonable opinion of such Party’s legal counsel, to comply with applicable laws, rules or regulations, including without limitation the rules and regulations promulgated by the United States Securities and Exchange Commission or any other governmental agency. The disclosing Party shall take reasonable and lawful actions to avoid and/or minimize the degree of such disclosure.</w:t>
      </w:r>
    </w:p>
    <w:p>
      <w:pPr>
        <w:spacing w:after="0" w:line="109" w:lineRule="exact"/>
        <w:rPr>
          <w:rFonts w:ascii="Arial" w:cs="Arial" w:eastAsia="Arial" w:hAnsi="Arial"/>
          <w:sz w:val="14"/>
          <w:szCs w:val="14"/>
          <w:color w:val="auto"/>
        </w:rPr>
      </w:pPr>
    </w:p>
    <w:p>
      <w:pPr>
        <w:ind w:left="-4" w:firstLine="1952"/>
        <w:spacing w:after="0" w:line="255" w:lineRule="auto"/>
        <w:tabs>
          <w:tab w:leader="none" w:pos="2160" w:val="left"/>
        </w:tabs>
        <w:numPr>
          <w:ilvl w:val="3"/>
          <w:numId w:val="745"/>
        </w:numPr>
        <w:rPr>
          <w:rFonts w:ascii="Arial" w:cs="Arial" w:eastAsia="Arial" w:hAnsi="Arial"/>
          <w:sz w:val="14"/>
          <w:szCs w:val="14"/>
          <w:color w:val="auto"/>
        </w:rPr>
      </w:pPr>
      <w:r>
        <w:rPr>
          <w:rFonts w:ascii="Arial" w:cs="Arial" w:eastAsia="Arial" w:hAnsi="Arial"/>
          <w:sz w:val="14"/>
          <w:szCs w:val="14"/>
          <w:color w:val="auto"/>
        </w:rPr>
        <w:t>Either Party may also disclose the existence and terms of this Agreement to its attorneys and advisors, and to potential acquirors, in connection with a potential acquisition or other change of control transaction and to existing and potential investors or lenders of such Party, as a part of their due diligence investigations, or to potential licensees or to permitted assignees in each case under an agreement to keep the terms of this Agreement confidential under terms of confidentiality and non-use substantially similar to the terms contained in this Agreement and to use such confidential information solely for the purpose of the contemplated transaction.</w:t>
      </w:r>
    </w:p>
    <w:p>
      <w:pPr>
        <w:spacing w:after="0" w:line="99" w:lineRule="exact"/>
        <w:rPr>
          <w:rFonts w:ascii="Arial" w:cs="Arial" w:eastAsia="Arial" w:hAnsi="Arial"/>
          <w:sz w:val="14"/>
          <w:szCs w:val="14"/>
          <w:color w:val="auto"/>
        </w:rPr>
      </w:pPr>
    </w:p>
    <w:p>
      <w:pPr>
        <w:ind w:left="236" w:hanging="236"/>
        <w:spacing w:after="0"/>
        <w:tabs>
          <w:tab w:leader="none" w:pos="236" w:val="left"/>
        </w:tabs>
        <w:numPr>
          <w:ilvl w:val="0"/>
          <w:numId w:val="74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36"/>
          </w:cols>
          <w:pgMar w:left="224" w:top="245" w:right="239" w:bottom="1440" w:gutter="0" w:footer="0" w:header="0"/>
        </w:sectPr>
      </w:pPr>
    </w:p>
    <w:bookmarkStart w:id="658" w:name="page659"/>
    <w:bookmarkEnd w:id="658"/>
    <w:p>
      <w:pPr>
        <w:ind w:left="-4" w:firstLine="1952"/>
        <w:spacing w:after="0" w:line="305" w:lineRule="auto"/>
        <w:tabs>
          <w:tab w:leader="none" w:pos="2160" w:val="left"/>
        </w:tabs>
        <w:numPr>
          <w:ilvl w:val="1"/>
          <w:numId w:val="74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MacroGenics may also disclose the existence and terms of this Agreement pursuant to transactions related to the Commercialization or Development of MGAH22 or any Product (“</w:t>
      </w:r>
      <w:r>
        <w:rPr>
          <w:rFonts w:ascii="Arial" w:cs="Arial" w:eastAsia="Arial" w:hAnsi="Arial"/>
          <w:sz w:val="12"/>
          <w:szCs w:val="12"/>
          <w:b w:val="1"/>
          <w:bCs w:val="1"/>
          <w:color w:val="auto"/>
        </w:rPr>
        <w:t>Licensing Transactions</w:t>
      </w:r>
      <w:r>
        <w:rPr>
          <w:rFonts w:ascii="Arial" w:cs="Arial" w:eastAsia="Arial" w:hAnsi="Arial"/>
          <w:sz w:val="12"/>
          <w:szCs w:val="12"/>
          <w:color w:val="auto"/>
        </w:rPr>
        <w:t>”), in each case under an agreement to keep the terms of this Agreement confidential under terms of confidentiality and non-use substantially similar to the terms contained in this Agreement and to use such confidential information solely for the purpose of the contemplated transaction, provided that prior to the disclosure of the terms of this Agreement in connection with any Licensing Transaction, MacroGenics shall redact in any written summary or copy of this Agreement, all financial terms of this Agreement, in a manner substantially consistent with a form provided to Green Cross by MacroGenics on or before the Effective Date. The transactions described in Section 12.3(d)(ii)(B) shall not be deemed Licensing Transactions for purposes of this Section 12.3(d)(ii)(C).</w:t>
      </w:r>
    </w:p>
    <w:p>
      <w:pPr>
        <w:spacing w:after="0" w:line="82" w:lineRule="exact"/>
        <w:rPr>
          <w:rFonts w:ascii="Arial" w:cs="Arial" w:eastAsia="Arial" w:hAnsi="Arial"/>
          <w:sz w:val="12"/>
          <w:szCs w:val="12"/>
          <w:color w:val="auto"/>
        </w:rPr>
      </w:pPr>
    </w:p>
    <w:p>
      <w:pPr>
        <w:ind w:left="196" w:hanging="196"/>
        <w:spacing w:after="0"/>
        <w:tabs>
          <w:tab w:leader="none" w:pos="196" w:val="left"/>
        </w:tabs>
        <w:numPr>
          <w:ilvl w:val="0"/>
          <w:numId w:val="747"/>
        </w:numPr>
        <w:rPr>
          <w:rFonts w:ascii="Arial" w:cs="Arial" w:eastAsia="Arial" w:hAnsi="Arial"/>
          <w:sz w:val="14"/>
          <w:szCs w:val="14"/>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EPRESENTATIONS AND</w:t>
      </w:r>
      <w:r>
        <w:rPr>
          <w:rFonts w:ascii="Arial" w:cs="Arial" w:eastAsia="Arial" w:hAnsi="Arial"/>
          <w:sz w:val="14"/>
          <w:szCs w:val="14"/>
          <w:b w:val="1"/>
          <w:bCs w:val="1"/>
          <w:color w:val="auto"/>
        </w:rPr>
        <w:t xml:space="preserve"> W</w:t>
      </w:r>
      <w:r>
        <w:rPr>
          <w:rFonts w:ascii="Arial" w:cs="Arial" w:eastAsia="Arial" w:hAnsi="Arial"/>
          <w:sz w:val="11"/>
          <w:szCs w:val="11"/>
          <w:b w:val="1"/>
          <w:bCs w:val="1"/>
          <w:color w:val="auto"/>
        </w:rPr>
        <w:t>ARRANTIES</w:t>
      </w:r>
    </w:p>
    <w:p>
      <w:pPr>
        <w:spacing w:after="0" w:line="132"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b w:val="1"/>
          <w:bCs w:val="1"/>
          <w:color w:val="auto"/>
        </w:rPr>
        <w:t>Representations and Warranties of MacroGenics</w:t>
      </w:r>
      <w:r>
        <w:rPr>
          <w:rFonts w:ascii="Arial" w:cs="Arial" w:eastAsia="Arial" w:hAnsi="Arial"/>
          <w:sz w:val="14"/>
          <w:szCs w:val="14"/>
          <w:color w:val="auto"/>
        </w:rPr>
        <w:t>. MacroGenics represents and warrants to Green Cross that, as of the Effective Date:</w:t>
      </w:r>
    </w:p>
    <w:p>
      <w:pPr>
        <w:spacing w:after="0" w:line="134" w:lineRule="exact"/>
        <w:rPr>
          <w:sz w:val="20"/>
          <w:szCs w:val="20"/>
          <w:color w:val="auto"/>
        </w:rPr>
      </w:pPr>
    </w:p>
    <w:p>
      <w:pPr>
        <w:jc w:val="both"/>
        <w:ind w:left="-4" w:right="420" w:firstLine="920"/>
        <w:spacing w:after="0" w:line="258" w:lineRule="auto"/>
        <w:tabs>
          <w:tab w:leader="none" w:pos="1098" w:val="left"/>
        </w:tabs>
        <w:numPr>
          <w:ilvl w:val="1"/>
          <w:numId w:val="748"/>
        </w:numPr>
        <w:rPr>
          <w:rFonts w:ascii="Arial" w:cs="Arial" w:eastAsia="Arial" w:hAnsi="Arial"/>
          <w:sz w:val="14"/>
          <w:szCs w:val="14"/>
          <w:color w:val="auto"/>
        </w:rPr>
      </w:pPr>
      <w:r>
        <w:rPr>
          <w:rFonts w:ascii="Arial" w:cs="Arial" w:eastAsia="Arial" w:hAnsi="Arial"/>
          <w:sz w:val="14"/>
          <w:szCs w:val="14"/>
          <w:color w:val="auto"/>
        </w:rPr>
        <w:t>it has the full right, power and authority to enter into this Agreement, to perform the Collaboration, and to grant the licenses contemplated under Section 10, and the fulfillment of its obligations and performance of its activities hereunder do not materially conflict with, violate, or breach or constitute a default under any contractual obligation or court or administrative order by which MacroGenics is bound;</w:t>
      </w:r>
    </w:p>
    <w:p>
      <w:pPr>
        <w:spacing w:after="0" w:line="107" w:lineRule="exact"/>
        <w:rPr>
          <w:rFonts w:ascii="Arial" w:cs="Arial" w:eastAsia="Arial" w:hAnsi="Arial"/>
          <w:sz w:val="14"/>
          <w:szCs w:val="14"/>
          <w:color w:val="auto"/>
        </w:rPr>
      </w:pPr>
    </w:p>
    <w:p>
      <w:pPr>
        <w:ind w:left="-4" w:right="60" w:firstLine="920"/>
        <w:spacing w:after="0" w:line="267" w:lineRule="auto"/>
        <w:tabs>
          <w:tab w:leader="none" w:pos="1105" w:val="left"/>
        </w:tabs>
        <w:numPr>
          <w:ilvl w:val="1"/>
          <w:numId w:val="748"/>
        </w:numPr>
        <w:rPr>
          <w:rFonts w:ascii="Arial" w:cs="Arial" w:eastAsia="Arial" w:hAnsi="Arial"/>
          <w:sz w:val="14"/>
          <w:szCs w:val="14"/>
          <w:color w:val="auto"/>
        </w:rPr>
      </w:pPr>
      <w:r>
        <w:rPr>
          <w:rFonts w:ascii="Arial" w:cs="Arial" w:eastAsia="Arial" w:hAnsi="Arial"/>
          <w:sz w:val="14"/>
          <w:szCs w:val="14"/>
          <w:color w:val="auto"/>
        </w:rPr>
        <w:t>all necessary consents, approvals and authorizations of all government authorities and other persons required to be obtained by MacroGenics as of the Effective Date in connection with the execution, delivery and performance of this Agreement have been obtained;</w:t>
      </w:r>
    </w:p>
    <w:p>
      <w:pPr>
        <w:spacing w:after="0" w:line="101" w:lineRule="exact"/>
        <w:rPr>
          <w:rFonts w:ascii="Arial" w:cs="Arial" w:eastAsia="Arial" w:hAnsi="Arial"/>
          <w:sz w:val="14"/>
          <w:szCs w:val="14"/>
          <w:color w:val="auto"/>
        </w:rPr>
      </w:pPr>
    </w:p>
    <w:p>
      <w:pPr>
        <w:ind w:left="-4" w:right="80" w:firstLine="920"/>
        <w:spacing w:after="0" w:line="351" w:lineRule="auto"/>
        <w:tabs>
          <w:tab w:leader="none" w:pos="1098" w:val="left"/>
        </w:tabs>
        <w:numPr>
          <w:ilvl w:val="1"/>
          <w:numId w:val="748"/>
        </w:numPr>
        <w:rPr>
          <w:rFonts w:ascii="Arial" w:cs="Arial" w:eastAsia="Arial" w:hAnsi="Arial"/>
          <w:sz w:val="12"/>
          <w:szCs w:val="12"/>
          <w:color w:val="auto"/>
        </w:rPr>
      </w:pPr>
      <w:r>
        <w:rPr>
          <w:rFonts w:ascii="Arial" w:cs="Arial" w:eastAsia="Arial" w:hAnsi="Arial"/>
          <w:sz w:val="12"/>
          <w:szCs w:val="12"/>
          <w:color w:val="auto"/>
        </w:rPr>
        <w:t>it is the exclusive licensee of or otherwise Controls the right, title and interest in and to the MacroGenics Licensed Technology and MacroGenics Licensed Trademarks, and has the right to grant to Green Cross the licenses that it purports to grant hereunder and has not granted any Third Party rights that would interfere or be inconsistent with Green Cross’ rights hereunder;</w:t>
      </w:r>
    </w:p>
    <w:p>
      <w:pPr>
        <w:spacing w:after="0" w:line="56" w:lineRule="exact"/>
        <w:rPr>
          <w:rFonts w:ascii="Arial" w:cs="Arial" w:eastAsia="Arial" w:hAnsi="Arial"/>
          <w:sz w:val="12"/>
          <w:szCs w:val="12"/>
          <w:color w:val="auto"/>
        </w:rPr>
      </w:pPr>
    </w:p>
    <w:p>
      <w:pPr>
        <w:ind w:left="-4" w:right="40" w:firstLine="920"/>
        <w:spacing w:after="0" w:line="267" w:lineRule="auto"/>
        <w:tabs>
          <w:tab w:leader="none" w:pos="1105" w:val="left"/>
        </w:tabs>
        <w:numPr>
          <w:ilvl w:val="1"/>
          <w:numId w:val="748"/>
        </w:numPr>
        <w:rPr>
          <w:rFonts w:ascii="Arial" w:cs="Arial" w:eastAsia="Arial" w:hAnsi="Arial"/>
          <w:sz w:val="14"/>
          <w:szCs w:val="14"/>
          <w:color w:val="auto"/>
        </w:rPr>
      </w:pPr>
      <w:r>
        <w:rPr>
          <w:rFonts w:ascii="Arial" w:cs="Arial" w:eastAsia="Arial" w:hAnsi="Arial"/>
          <w:sz w:val="14"/>
          <w:szCs w:val="14"/>
          <w:color w:val="auto"/>
        </w:rPr>
        <w:t>to its knowledge, except for those licensed or sublicensed under the Upstream Agreements, the MacroGenics Licensed Patents and MacroGenics Licensed Know-how are not subject to any existing royalty or other payment obligations to any Third Party; and</w:t>
      </w:r>
    </w:p>
    <w:p>
      <w:pPr>
        <w:spacing w:after="0" w:line="101" w:lineRule="exact"/>
        <w:rPr>
          <w:rFonts w:ascii="Arial" w:cs="Arial" w:eastAsia="Arial" w:hAnsi="Arial"/>
          <w:sz w:val="14"/>
          <w:szCs w:val="14"/>
          <w:color w:val="auto"/>
        </w:rPr>
      </w:pPr>
    </w:p>
    <w:p>
      <w:pPr>
        <w:ind w:left="-4" w:right="140" w:firstLine="920"/>
        <w:spacing w:after="0" w:line="267" w:lineRule="auto"/>
        <w:tabs>
          <w:tab w:leader="none" w:pos="1098" w:val="left"/>
        </w:tabs>
        <w:numPr>
          <w:ilvl w:val="1"/>
          <w:numId w:val="748"/>
        </w:numPr>
        <w:rPr>
          <w:rFonts w:ascii="Arial" w:cs="Arial" w:eastAsia="Arial" w:hAnsi="Arial"/>
          <w:sz w:val="14"/>
          <w:szCs w:val="14"/>
          <w:color w:val="auto"/>
        </w:rPr>
      </w:pPr>
      <w:r>
        <w:rPr>
          <w:rFonts w:ascii="Arial" w:cs="Arial" w:eastAsia="Arial" w:hAnsi="Arial"/>
          <w:sz w:val="14"/>
          <w:szCs w:val="14"/>
          <w:color w:val="auto"/>
        </w:rPr>
        <w:t>as of the Effective Date, to its knowledge, the issued Patents in the MacroGenics Licensed Patents are valid and enforceable and it is not aware of any action, suit, inquiry, investigation or other proceeding threatened, pending, or ongoing brought by any Third Party that challenges or threatens the validity or enforceability of</w:t>
      </w:r>
    </w:p>
    <w:p>
      <w:pPr>
        <w:spacing w:after="0" w:line="91" w:lineRule="exact"/>
        <w:rPr>
          <w:rFonts w:ascii="Arial" w:cs="Arial" w:eastAsia="Arial" w:hAnsi="Arial"/>
          <w:sz w:val="14"/>
          <w:szCs w:val="14"/>
          <w:color w:val="auto"/>
        </w:rPr>
      </w:pPr>
    </w:p>
    <w:p>
      <w:pPr>
        <w:ind w:left="236" w:hanging="236"/>
        <w:spacing w:after="0"/>
        <w:tabs>
          <w:tab w:leader="none" w:pos="236" w:val="left"/>
        </w:tabs>
        <w:numPr>
          <w:ilvl w:val="0"/>
          <w:numId w:val="74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95"/>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76"/>
          </w:cols>
          <w:pgMar w:left="224" w:top="248" w:right="299" w:bottom="1440" w:gutter="0" w:footer="0" w:header="0"/>
        </w:sectPr>
      </w:pPr>
    </w:p>
    <w:bookmarkStart w:id="659" w:name="page660"/>
    <w:bookmarkEnd w:id="659"/>
    <w:p>
      <w:pPr>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any of the MacroGenics Licensed Patents or that alleges the use of the MacroGenics Licensed Patents or the MacroGenics Licensed Know-how or the development, manufacture commercialization and use of the Products would infringe or misappropriate the intellectual property or intellectual property rights of any Third Party (and it has not received any notice alleging such an infringement or misappropriation). In the event that MacroGenics becomes aware of any such action or proceeding, it shall immediately notify Green Cross in writing.</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Representations and Warranties of Green Cross</w:t>
      </w:r>
      <w:r>
        <w:rPr>
          <w:rFonts w:ascii="Arial" w:cs="Arial" w:eastAsia="Arial" w:hAnsi="Arial"/>
          <w:sz w:val="14"/>
          <w:szCs w:val="14"/>
          <w:color w:val="auto"/>
        </w:rPr>
        <w:t>. Green Cross represents and warrants to MacroGenics that as of the Effective Date:</w:t>
      </w:r>
    </w:p>
    <w:p>
      <w:pPr>
        <w:spacing w:after="0" w:line="134" w:lineRule="exact"/>
        <w:rPr>
          <w:sz w:val="20"/>
          <w:szCs w:val="20"/>
          <w:color w:val="auto"/>
        </w:rPr>
      </w:pPr>
    </w:p>
    <w:p>
      <w:pPr>
        <w:ind w:right="120" w:firstLine="920"/>
        <w:spacing w:after="0" w:line="351" w:lineRule="auto"/>
        <w:tabs>
          <w:tab w:leader="none" w:pos="1101" w:val="left"/>
        </w:tabs>
        <w:numPr>
          <w:ilvl w:val="0"/>
          <w:numId w:val="749"/>
        </w:numPr>
        <w:rPr>
          <w:rFonts w:ascii="Arial" w:cs="Arial" w:eastAsia="Arial" w:hAnsi="Arial"/>
          <w:sz w:val="12"/>
          <w:szCs w:val="12"/>
          <w:color w:val="auto"/>
        </w:rPr>
      </w:pPr>
      <w:r>
        <w:rPr>
          <w:rFonts w:ascii="Arial" w:cs="Arial" w:eastAsia="Arial" w:hAnsi="Arial"/>
          <w:sz w:val="12"/>
          <w:szCs w:val="12"/>
          <w:color w:val="auto"/>
        </w:rPr>
        <w:t>it has the full right, power and authority to enter into this Agreement, to perform the Collaboration, to grant the licenses granted hereunder, and the fulfillment of its obligations and performance of its activities hereunder do not materially conflict with, violate, or breach or constitute a default under any contractual obligation or court or administrative order by which Green Cross is bound;</w:t>
      </w:r>
    </w:p>
    <w:p>
      <w:pPr>
        <w:spacing w:after="0" w:line="56" w:lineRule="exact"/>
        <w:rPr>
          <w:rFonts w:ascii="Arial" w:cs="Arial" w:eastAsia="Arial" w:hAnsi="Arial"/>
          <w:sz w:val="12"/>
          <w:szCs w:val="12"/>
          <w:color w:val="auto"/>
        </w:rPr>
      </w:pPr>
    </w:p>
    <w:p>
      <w:pPr>
        <w:ind w:right="200" w:firstLine="920"/>
        <w:spacing w:after="0" w:line="267" w:lineRule="auto"/>
        <w:tabs>
          <w:tab w:leader="none" w:pos="1109" w:val="left"/>
        </w:tabs>
        <w:numPr>
          <w:ilvl w:val="0"/>
          <w:numId w:val="749"/>
        </w:numPr>
        <w:rPr>
          <w:rFonts w:ascii="Arial" w:cs="Arial" w:eastAsia="Arial" w:hAnsi="Arial"/>
          <w:sz w:val="14"/>
          <w:szCs w:val="14"/>
          <w:color w:val="auto"/>
        </w:rPr>
      </w:pPr>
      <w:r>
        <w:rPr>
          <w:rFonts w:ascii="Arial" w:cs="Arial" w:eastAsia="Arial" w:hAnsi="Arial"/>
          <w:sz w:val="14"/>
          <w:szCs w:val="14"/>
          <w:color w:val="auto"/>
        </w:rPr>
        <w:t>all necessary consents, approvals and authorizations of all government authorities and other persons required to be obtained by Green Cross as of the Effective Date in connection with the execution, delivery and performance of this Agreement have been obtained.</w:t>
      </w:r>
    </w:p>
    <w:p>
      <w:pPr>
        <w:spacing w:after="0" w:line="101" w:lineRule="exact"/>
        <w:rPr>
          <w:rFonts w:ascii="Arial" w:cs="Arial" w:eastAsia="Arial" w:hAnsi="Arial"/>
          <w:sz w:val="14"/>
          <w:szCs w:val="14"/>
          <w:color w:val="auto"/>
        </w:rPr>
      </w:pPr>
    </w:p>
    <w:p>
      <w:pPr>
        <w:ind w:right="120" w:firstLine="920"/>
        <w:spacing w:after="0" w:line="351" w:lineRule="auto"/>
        <w:tabs>
          <w:tab w:leader="none" w:pos="1101" w:val="left"/>
        </w:tabs>
        <w:numPr>
          <w:ilvl w:val="0"/>
          <w:numId w:val="749"/>
        </w:numPr>
        <w:rPr>
          <w:rFonts w:ascii="Arial" w:cs="Arial" w:eastAsia="Arial" w:hAnsi="Arial"/>
          <w:sz w:val="12"/>
          <w:szCs w:val="12"/>
          <w:color w:val="auto"/>
        </w:rPr>
      </w:pPr>
      <w:r>
        <w:rPr>
          <w:rFonts w:ascii="Arial" w:cs="Arial" w:eastAsia="Arial" w:hAnsi="Arial"/>
          <w:sz w:val="12"/>
          <w:szCs w:val="12"/>
          <w:color w:val="auto"/>
        </w:rPr>
        <w:t>it is the exclusive licensee of or otherwise Controls the right, title and interest in and to the Green Cross Licensed Patents and Green Cross Licensed Know-how, and has the right to grant to MacroGenics the licenses that it purports to grant hereunder and has not granted any Third Party rights that would interfere or be inconsistent with MacroGenics’ rights hereunder;</w:t>
      </w:r>
    </w:p>
    <w:p>
      <w:pPr>
        <w:spacing w:after="0" w:line="56" w:lineRule="exact"/>
        <w:rPr>
          <w:rFonts w:ascii="Arial" w:cs="Arial" w:eastAsia="Arial" w:hAnsi="Arial"/>
          <w:sz w:val="12"/>
          <w:szCs w:val="12"/>
          <w:color w:val="auto"/>
        </w:rPr>
      </w:pPr>
    </w:p>
    <w:p>
      <w:pPr>
        <w:ind w:left="1120" w:hanging="200"/>
        <w:spacing w:after="0"/>
        <w:tabs>
          <w:tab w:leader="none" w:pos="1120" w:val="left"/>
        </w:tabs>
        <w:numPr>
          <w:ilvl w:val="0"/>
          <w:numId w:val="749"/>
        </w:numPr>
        <w:rPr>
          <w:rFonts w:ascii="Arial" w:cs="Arial" w:eastAsia="Arial" w:hAnsi="Arial"/>
          <w:sz w:val="12"/>
          <w:szCs w:val="12"/>
          <w:color w:val="auto"/>
        </w:rPr>
      </w:pPr>
      <w:r>
        <w:rPr>
          <w:rFonts w:ascii="Arial" w:cs="Arial" w:eastAsia="Arial" w:hAnsi="Arial"/>
          <w:sz w:val="12"/>
          <w:szCs w:val="12"/>
          <w:color w:val="auto"/>
        </w:rPr>
        <w:t>to its knowledge, the Green Cross Licensed Patents and Green Cross Licensed Know-how are not subject to any existing royalty or other payment obligations to any Third Party; and</w:t>
      </w:r>
    </w:p>
    <w:p>
      <w:pPr>
        <w:spacing w:after="0" w:line="154" w:lineRule="exact"/>
        <w:rPr>
          <w:rFonts w:ascii="Arial" w:cs="Arial" w:eastAsia="Arial" w:hAnsi="Arial"/>
          <w:sz w:val="12"/>
          <w:szCs w:val="12"/>
          <w:color w:val="auto"/>
        </w:rPr>
      </w:pPr>
    </w:p>
    <w:p>
      <w:pPr>
        <w:ind w:right="120" w:firstLine="920"/>
        <w:spacing w:after="0" w:line="253" w:lineRule="auto"/>
        <w:tabs>
          <w:tab w:leader="none" w:pos="1101" w:val="left"/>
        </w:tabs>
        <w:numPr>
          <w:ilvl w:val="0"/>
          <w:numId w:val="749"/>
        </w:numPr>
        <w:rPr>
          <w:rFonts w:ascii="Arial" w:cs="Arial" w:eastAsia="Arial" w:hAnsi="Arial"/>
          <w:sz w:val="14"/>
          <w:szCs w:val="14"/>
          <w:color w:val="auto"/>
        </w:rPr>
      </w:pPr>
      <w:r>
        <w:rPr>
          <w:rFonts w:ascii="Arial" w:cs="Arial" w:eastAsia="Arial" w:hAnsi="Arial"/>
          <w:sz w:val="14"/>
          <w:szCs w:val="14"/>
          <w:color w:val="auto"/>
        </w:rPr>
        <w:t>as of the Effective Date, to its knowledge, the issued Patents in the Green Cross Licensed Patents are valid and enforceable and it is not aware of any action, suit, inquiry, investigation or other proceeding threatened, pending, or ongoing brought by any Third Party that challenges or threatens the validity or enforceability of any of the Green Cross Licensed Patents or that alleges the use of the Green Cross Licensed Patents or the Green Cross Licensed Know-how or the development, manufacture commercialization and use of the Products would infringe or misappropriate the intellectual property or intellectual property rights of any Third Party (and it has not received any notice alleging such an infringement or misappropriation). In the event that Green Cross becomes aware of any such action or proceeding, it shall immediately notify MacroGenics in writing.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Upstream Agreements</w:t>
      </w:r>
      <w:r>
        <w:rPr>
          <w:rFonts w:ascii="Arial" w:cs="Arial" w:eastAsia="Arial" w:hAnsi="Arial"/>
          <w:sz w:val="14"/>
          <w:szCs w:val="14"/>
          <w:color w:val="auto"/>
        </w:rPr>
        <w:t>. MacroGenics represents, warrants and covenants to Green Cross that:</w:t>
      </w:r>
    </w:p>
    <w:p>
      <w:pPr>
        <w:spacing w:after="0" w:line="134" w:lineRule="exact"/>
        <w:rPr>
          <w:sz w:val="20"/>
          <w:szCs w:val="20"/>
          <w:color w:val="auto"/>
        </w:rPr>
      </w:pPr>
    </w:p>
    <w:p>
      <w:pPr>
        <w:ind w:firstLine="920"/>
        <w:spacing w:after="0" w:line="258" w:lineRule="auto"/>
        <w:tabs>
          <w:tab w:leader="none" w:pos="1101" w:val="left"/>
        </w:tabs>
        <w:numPr>
          <w:ilvl w:val="1"/>
          <w:numId w:val="750"/>
        </w:numPr>
        <w:rPr>
          <w:rFonts w:ascii="Arial" w:cs="Arial" w:eastAsia="Arial" w:hAnsi="Arial"/>
          <w:sz w:val="14"/>
          <w:szCs w:val="14"/>
          <w:color w:val="auto"/>
        </w:rPr>
      </w:pPr>
      <w:r>
        <w:rPr>
          <w:rFonts w:ascii="Arial" w:cs="Arial" w:eastAsia="Arial" w:hAnsi="Arial"/>
          <w:sz w:val="14"/>
          <w:szCs w:val="14"/>
          <w:color w:val="auto"/>
        </w:rPr>
        <w:t>Exhibit E lists all of the Upstream Agreements in existence as of the Effective Date. True and correct copies of the existing Upstream Agreements have previously been provided to Green Cross by MacroGenics, and copies of any additional Upstream Agreement entered following the Effective Date will be provided to Green Cross by MacroGenics. Notwithstanding the foregoing, prior to entering into additional Upstream Agreements, MacroGenics shall inform Green Cross to allow Green Cross to review the same.</w:t>
      </w:r>
    </w:p>
    <w:p>
      <w:pPr>
        <w:spacing w:after="0" w:line="97" w:lineRule="exact"/>
        <w:rPr>
          <w:rFonts w:ascii="Arial" w:cs="Arial" w:eastAsia="Arial" w:hAnsi="Arial"/>
          <w:sz w:val="14"/>
          <w:szCs w:val="14"/>
          <w:color w:val="auto"/>
        </w:rPr>
      </w:pPr>
    </w:p>
    <w:p>
      <w:pPr>
        <w:ind w:left="240" w:hanging="236"/>
        <w:spacing w:after="0"/>
        <w:tabs>
          <w:tab w:leader="none" w:pos="240" w:val="left"/>
        </w:tabs>
        <w:numPr>
          <w:ilvl w:val="0"/>
          <w:numId w:val="75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247" w:right="219" w:bottom="1440" w:gutter="0" w:footer="0" w:header="0"/>
        </w:sectPr>
      </w:pPr>
    </w:p>
    <w:bookmarkStart w:id="660" w:name="page661"/>
    <w:bookmarkEnd w:id="660"/>
    <w:p>
      <w:pPr>
        <w:ind w:firstLine="920"/>
        <w:spacing w:after="0" w:line="255" w:lineRule="auto"/>
        <w:tabs>
          <w:tab w:leader="none" w:pos="1109" w:val="left"/>
        </w:tabs>
        <w:numPr>
          <w:ilvl w:val="0"/>
          <w:numId w:val="7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Upstream Agreements identified on Exhibit E are, to MacroGenics’ knowledge, in full force and effect as of the Effective Date, and MacroGenics is not aware of any that it has committed any material breach of any of the provisions of any of such Upstream Agreements, nor does there exist any condition that, to the knowledge of MacroGenics, with passage of time or sending of notice would constitute a material breach by MacroGenics of any of the provisions of such Upstream Agreements, nor is MacroGenics aware of any material breach of such Upstream Agreements by any other party thereto.</w:t>
      </w:r>
    </w:p>
    <w:p>
      <w:pPr>
        <w:spacing w:after="0" w:line="109" w:lineRule="exact"/>
        <w:rPr>
          <w:rFonts w:ascii="Arial" w:cs="Arial" w:eastAsia="Arial" w:hAnsi="Arial"/>
          <w:sz w:val="14"/>
          <w:szCs w:val="14"/>
          <w:color w:val="auto"/>
        </w:rPr>
      </w:pPr>
    </w:p>
    <w:p>
      <w:pPr>
        <w:ind w:right="360" w:firstLine="920"/>
        <w:spacing w:after="0" w:line="267" w:lineRule="auto"/>
        <w:tabs>
          <w:tab w:leader="none" w:pos="1101" w:val="left"/>
        </w:tabs>
        <w:numPr>
          <w:ilvl w:val="0"/>
          <w:numId w:val="751"/>
        </w:numPr>
        <w:rPr>
          <w:rFonts w:ascii="Arial" w:cs="Arial" w:eastAsia="Arial" w:hAnsi="Arial"/>
          <w:sz w:val="14"/>
          <w:szCs w:val="14"/>
          <w:color w:val="auto"/>
        </w:rPr>
      </w:pPr>
      <w:r>
        <w:rPr>
          <w:rFonts w:ascii="Arial" w:cs="Arial" w:eastAsia="Arial" w:hAnsi="Arial"/>
          <w:sz w:val="14"/>
          <w:szCs w:val="14"/>
          <w:color w:val="auto"/>
        </w:rPr>
        <w:t>To the extent required to grant the licenses in this Agreement, MacroGenics has the right under the Upstream Agreements listed on Exhibit E to enter into this Agreement and grant the licenses contemplated hereby.</w:t>
      </w:r>
    </w:p>
    <w:p>
      <w:pPr>
        <w:spacing w:after="0" w:line="101" w:lineRule="exact"/>
        <w:rPr>
          <w:rFonts w:ascii="Arial" w:cs="Arial" w:eastAsia="Arial" w:hAnsi="Arial"/>
          <w:sz w:val="14"/>
          <w:szCs w:val="14"/>
          <w:color w:val="auto"/>
        </w:rPr>
      </w:pPr>
    </w:p>
    <w:p>
      <w:pPr>
        <w:ind w:right="100" w:firstLine="920"/>
        <w:spacing w:after="0" w:line="351" w:lineRule="auto"/>
        <w:tabs>
          <w:tab w:leader="none" w:pos="1109" w:val="left"/>
        </w:tabs>
        <w:numPr>
          <w:ilvl w:val="0"/>
          <w:numId w:val="751"/>
        </w:numPr>
        <w:rPr>
          <w:rFonts w:ascii="Arial" w:cs="Arial" w:eastAsia="Arial" w:hAnsi="Arial"/>
          <w:sz w:val="12"/>
          <w:szCs w:val="12"/>
          <w:color w:val="auto"/>
        </w:rPr>
      </w:pPr>
      <w:r>
        <w:rPr>
          <w:rFonts w:ascii="Arial" w:cs="Arial" w:eastAsia="Arial" w:hAnsi="Arial"/>
          <w:sz w:val="12"/>
          <w:szCs w:val="12"/>
          <w:color w:val="auto"/>
        </w:rPr>
        <w:t>MacroGenics will fulfill all of its material obligations under the Upstream Agreements and otherwise comply with the terms thereof. MacroGenics shall furnish to Green Cross copies of all notices received by MacroGenics relating to alleged breaches or defaults by MacroGenics of its obligations under the Upstream Agreements within five (5) business days of MacroGenics receipt thereof.</w:t>
      </w:r>
    </w:p>
    <w:p>
      <w:pPr>
        <w:spacing w:after="0" w:line="56" w:lineRule="exact"/>
        <w:rPr>
          <w:rFonts w:ascii="Arial" w:cs="Arial" w:eastAsia="Arial" w:hAnsi="Arial"/>
          <w:sz w:val="12"/>
          <w:szCs w:val="12"/>
          <w:color w:val="auto"/>
        </w:rPr>
      </w:pPr>
    </w:p>
    <w:p>
      <w:pPr>
        <w:ind w:right="80" w:firstLine="920"/>
        <w:spacing w:after="0" w:line="258" w:lineRule="auto"/>
        <w:tabs>
          <w:tab w:leader="none" w:pos="1101" w:val="left"/>
        </w:tabs>
        <w:numPr>
          <w:ilvl w:val="0"/>
          <w:numId w:val="751"/>
        </w:numPr>
        <w:rPr>
          <w:rFonts w:ascii="Arial" w:cs="Arial" w:eastAsia="Arial" w:hAnsi="Arial"/>
          <w:sz w:val="14"/>
          <w:szCs w:val="14"/>
          <w:color w:val="auto"/>
        </w:rPr>
      </w:pPr>
      <w:r>
        <w:rPr>
          <w:rFonts w:ascii="Arial" w:cs="Arial" w:eastAsia="Arial" w:hAnsi="Arial"/>
          <w:sz w:val="14"/>
          <w:szCs w:val="14"/>
          <w:color w:val="auto"/>
        </w:rPr>
        <w:t>To the extent MacroGenics is permitted or required under the terms of the Upstream Agreements to participate in the prosecution, maintenance, or enforcement or defense of any Patent or other intellectual property right sublicensed to Green Cross under this Agreement, MacroGenics shall do so after consultation with Green Cross and, as and to the extent permitted by the Upstream Agreements, Green Cross shall have the same rights with respect thereto as set forth in Section 15 hereof.</w:t>
      </w:r>
    </w:p>
    <w:p>
      <w:pPr>
        <w:spacing w:after="0" w:line="106" w:lineRule="exact"/>
        <w:rPr>
          <w:sz w:val="20"/>
          <w:szCs w:val="20"/>
          <w:color w:val="auto"/>
        </w:rPr>
      </w:pPr>
    </w:p>
    <w:p>
      <w:pPr>
        <w:ind w:right="520" w:firstLine="458"/>
        <w:spacing w:after="0" w:line="256" w:lineRule="auto"/>
        <w:rPr>
          <w:sz w:val="20"/>
          <w:szCs w:val="20"/>
          <w:color w:val="auto"/>
        </w:rPr>
      </w:pPr>
      <w:r>
        <w:rPr>
          <w:rFonts w:ascii="Arial" w:cs="Arial" w:eastAsia="Arial" w:hAnsi="Arial"/>
          <w:sz w:val="14"/>
          <w:szCs w:val="14"/>
          <w:color w:val="auto"/>
        </w:rPr>
        <w:t xml:space="preserve">13.4 </w:t>
      </w:r>
      <w:r>
        <w:rPr>
          <w:rFonts w:ascii="Arial" w:cs="Arial" w:eastAsia="Arial" w:hAnsi="Arial"/>
          <w:sz w:val="14"/>
          <w:szCs w:val="14"/>
          <w:b w:val="1"/>
          <w:bCs w:val="1"/>
          <w:color w:val="auto"/>
        </w:rPr>
        <w:t>No Other Representations or Warranties</w:t>
      </w:r>
      <w:r>
        <w:rPr>
          <w:rFonts w:ascii="Arial" w:cs="Arial" w:eastAsia="Arial" w:hAnsi="Arial"/>
          <w:sz w:val="14"/>
          <w:szCs w:val="14"/>
          <w:color w:val="auto"/>
        </w:rPr>
        <w:t>. EXCEPT AS EXPRESSLY STATED IN THIS AGREEMENT, 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A PARTY. ALL REPRESENTATIONS AND WARRANTIES, WHETHER ARISING BY OPERATION OF LAW OR OTHERWISE, ARE HEREBY EXPRESSLY EXCLUDED.</w:t>
      </w:r>
    </w:p>
    <w:p>
      <w:pPr>
        <w:spacing w:after="0" w:line="99" w:lineRule="exact"/>
        <w:rPr>
          <w:sz w:val="20"/>
          <w:szCs w:val="20"/>
          <w:color w:val="auto"/>
        </w:rPr>
      </w:pPr>
    </w:p>
    <w:p>
      <w:pPr>
        <w:ind w:left="5660" w:right="1540" w:hanging="5656"/>
        <w:spacing w:after="0" w:line="438" w:lineRule="auto"/>
        <w:tabs>
          <w:tab w:leader="none" w:pos="235" w:val="left"/>
        </w:tabs>
        <w:numPr>
          <w:ilvl w:val="0"/>
          <w:numId w:val="75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39</w:t>
      </w:r>
    </w:p>
    <w:p>
      <w:pPr>
        <w:sectPr>
          <w:pgSz w:w="11900" w:h="16838" w:orient="portrait"/>
          <w:cols w:equalWidth="0" w:num="1">
            <w:col w:w="11440"/>
          </w:cols>
          <w:pgMar w:left="220" w:top="247" w:right="239" w:bottom="1440" w:gutter="0" w:footer="0" w:header="0"/>
        </w:sectPr>
      </w:pPr>
    </w:p>
    <w:bookmarkStart w:id="661" w:name="page662"/>
    <w:bookmarkEnd w:id="661"/>
    <w:p>
      <w:pPr>
        <w:ind w:left="200" w:hanging="196"/>
        <w:spacing w:after="0"/>
        <w:tabs>
          <w:tab w:leader="none" w:pos="200" w:val="left"/>
        </w:tabs>
        <w:numPr>
          <w:ilvl w:val="0"/>
          <w:numId w:val="753"/>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w:t>
      </w:r>
      <w:r>
        <w:rPr>
          <w:rFonts w:ascii="Arial" w:cs="Arial" w:eastAsia="Arial" w:hAnsi="Arial"/>
          <w:sz w:val="11"/>
          <w:szCs w:val="11"/>
          <w:b w:val="1"/>
          <w:bCs w:val="1"/>
          <w:color w:val="auto"/>
        </w:rPr>
        <w:t>NDEMNIFICATION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b w:val="1"/>
          <w:bCs w:val="1"/>
          <w:color w:val="auto"/>
        </w:rPr>
        <w:t>By Green Cross</w:t>
      </w:r>
      <w:r>
        <w:rPr>
          <w:rFonts w:ascii="Arial" w:cs="Arial" w:eastAsia="Arial" w:hAnsi="Arial"/>
          <w:sz w:val="12"/>
          <w:szCs w:val="12"/>
          <w:color w:val="auto"/>
        </w:rPr>
        <w:t>. Green Cross agrees to indemnify and hold harmless MacroGenics, its Affiliates, and their directors, officers, employees and agents (individually and collectively, the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MacroGenics Indemnitee(s)</w:t>
      </w:r>
      <w:r>
        <w:rPr>
          <w:rFonts w:ascii="Arial" w:cs="Arial" w:eastAsia="Arial" w:hAnsi="Arial"/>
          <w:sz w:val="12"/>
          <w:szCs w:val="12"/>
          <w:color w:val="auto"/>
        </w:rPr>
        <w:t>”) from and against all losses, liabilities, damages and expenses (including reasonable attorneys’ fees and costs) incurred in connection with any claims, demands, actions or other</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proceedings by any Third Party (individually and collectively, “</w:t>
      </w:r>
      <w:r>
        <w:rPr>
          <w:rFonts w:ascii="Arial" w:cs="Arial" w:eastAsia="Arial" w:hAnsi="Arial"/>
          <w:sz w:val="12"/>
          <w:szCs w:val="12"/>
          <w:b w:val="1"/>
          <w:bCs w:val="1"/>
          <w:color w:val="auto"/>
        </w:rPr>
        <w:t>Losses</w:t>
      </w:r>
      <w:r>
        <w:rPr>
          <w:rFonts w:ascii="Arial" w:cs="Arial" w:eastAsia="Arial" w:hAnsi="Arial"/>
          <w:sz w:val="12"/>
          <w:szCs w:val="12"/>
          <w:color w:val="auto"/>
        </w:rPr>
        <w:t>”) first arising after the Effective Date to the extent arising from (a) activities performed by Green Cross or any of its Affiliates or Permitted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Subcontractors with respect to the research, Development, manufacture, use, Commercialization or sale of MGAH22 or Products or any other exercise of their rights or performance of their obligations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hereunder, (b) the use by Green Cross or any of its Related Parties or Permitted Subcontractors of the MacroGenics Licensed Patents or MacroGenics Licensed Know-how except as permitted in this Agreement,</w:t>
      </w:r>
    </w:p>
    <w:p>
      <w:pPr>
        <w:spacing w:after="0" w:line="29" w:lineRule="exact"/>
        <w:rPr>
          <w:sz w:val="20"/>
          <w:szCs w:val="20"/>
          <w:color w:val="auto"/>
        </w:rPr>
      </w:pPr>
    </w:p>
    <w:p>
      <w:pPr>
        <w:ind w:right="200" w:firstLine="4"/>
        <w:spacing w:after="0" w:line="258" w:lineRule="auto"/>
        <w:tabs>
          <w:tab w:leader="none" w:pos="185" w:val="left"/>
        </w:tabs>
        <w:numPr>
          <w:ilvl w:val="0"/>
          <w:numId w:val="754"/>
        </w:numPr>
        <w:rPr>
          <w:rFonts w:ascii="Arial" w:cs="Arial" w:eastAsia="Arial" w:hAnsi="Arial"/>
          <w:sz w:val="14"/>
          <w:szCs w:val="14"/>
          <w:color w:val="auto"/>
        </w:rPr>
      </w:pPr>
      <w:r>
        <w:rPr>
          <w:rFonts w:ascii="Arial" w:cs="Arial" w:eastAsia="Arial" w:hAnsi="Arial"/>
          <w:sz w:val="14"/>
          <w:szCs w:val="14"/>
          <w:color w:val="auto"/>
        </w:rPr>
        <w:t>the negligence, illegal conduct or willful misconduct of Green Cross, or (d) Green Cross’ material breach of this Agreement, except to the extent such Losses arise out of any of MacroGenics Indemnitee’s negligence, illegal conduct or willful misconduct, or breach of this Agreement.</w:t>
      </w:r>
    </w:p>
    <w:p>
      <w:pPr>
        <w:spacing w:after="0" w:line="106" w:lineRule="exact"/>
        <w:rPr>
          <w:sz w:val="20"/>
          <w:szCs w:val="20"/>
          <w:color w:val="auto"/>
        </w:rPr>
      </w:pPr>
    </w:p>
    <w:p>
      <w:pPr>
        <w:ind w:right="40" w:firstLine="458"/>
        <w:spacing w:after="0" w:line="303" w:lineRule="auto"/>
        <w:rPr>
          <w:sz w:val="20"/>
          <w:szCs w:val="20"/>
          <w:color w:val="auto"/>
        </w:rPr>
      </w:pPr>
      <w:r>
        <w:rPr>
          <w:rFonts w:ascii="Arial" w:cs="Arial" w:eastAsia="Arial" w:hAnsi="Arial"/>
          <w:sz w:val="12"/>
          <w:szCs w:val="12"/>
          <w:color w:val="auto"/>
        </w:rPr>
        <w:t xml:space="preserve">14.2 </w:t>
      </w:r>
      <w:r>
        <w:rPr>
          <w:rFonts w:ascii="Arial" w:cs="Arial" w:eastAsia="Arial" w:hAnsi="Arial"/>
          <w:sz w:val="12"/>
          <w:szCs w:val="12"/>
          <w:b w:val="1"/>
          <w:bCs w:val="1"/>
          <w:color w:val="auto"/>
        </w:rPr>
        <w:t>By MacroGenics</w:t>
      </w:r>
      <w:r>
        <w:rPr>
          <w:rFonts w:ascii="Arial" w:cs="Arial" w:eastAsia="Arial" w:hAnsi="Arial"/>
          <w:sz w:val="12"/>
          <w:szCs w:val="12"/>
          <w:color w:val="auto"/>
        </w:rPr>
        <w:t>. MacroGenics agrees to indemnify and hold harmless Green Cross, its Affiliates, and their directors, officers, employees and agents (individually and collectively, the “</w:t>
      </w:r>
      <w:r>
        <w:rPr>
          <w:rFonts w:ascii="Arial" w:cs="Arial" w:eastAsia="Arial" w:hAnsi="Arial"/>
          <w:sz w:val="12"/>
          <w:szCs w:val="12"/>
          <w:b w:val="1"/>
          <w:bCs w:val="1"/>
          <w:color w:val="auto"/>
        </w:rPr>
        <w:t>Green</w:t>
      </w:r>
      <w:r>
        <w:rPr>
          <w:rFonts w:ascii="Arial" w:cs="Arial" w:eastAsia="Arial" w:hAnsi="Arial"/>
          <w:sz w:val="12"/>
          <w:szCs w:val="12"/>
          <w:color w:val="auto"/>
        </w:rPr>
        <w:t xml:space="preserve"> </w:t>
      </w:r>
      <w:r>
        <w:rPr>
          <w:rFonts w:ascii="Arial" w:cs="Arial" w:eastAsia="Arial" w:hAnsi="Arial"/>
          <w:sz w:val="12"/>
          <w:szCs w:val="12"/>
          <w:b w:val="1"/>
          <w:bCs w:val="1"/>
          <w:color w:val="auto"/>
        </w:rPr>
        <w:t>Cross Indemnitee(s)</w:t>
      </w:r>
      <w:r>
        <w:rPr>
          <w:rFonts w:ascii="Arial" w:cs="Arial" w:eastAsia="Arial" w:hAnsi="Arial"/>
          <w:sz w:val="12"/>
          <w:szCs w:val="12"/>
          <w:color w:val="auto"/>
        </w:rPr>
        <w:t>”) from and against all Losses to the extent arising from (a) activities performed by MacroGenics or any of its Affiliates or Permitted Subcontractors with respect to the research,</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manufacture, use, Commercialization or sale of Products, (b) any latent or hidden defect in a Product that is not caused by any act or omission of Green Cross, (c) the use by Green Cross or any of its Related Parties or Permitted Subcontractors of the MacroGenics Licensed Patents or MacroGenics Licensed Know-how or any intellectual property rights under Upstream Agreements as permitted under this Agreement, (d) the negligence, illegal conduct or willful misconduct of MacroGenics, or (e) MacroGenics’ material breach of this Agreement, except to the extent such Losses arise out of any of Green Cross Indemnitee’s negligence, illegal conduct or willful misconduct, or breach of this Agreement.</w:t>
      </w:r>
    </w:p>
    <w:p>
      <w:pPr>
        <w:spacing w:after="0" w:line="83"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color w:val="auto"/>
        </w:rPr>
        <w:t xml:space="preserve">14.3 </w:t>
      </w:r>
      <w:r>
        <w:rPr>
          <w:rFonts w:ascii="Arial" w:cs="Arial" w:eastAsia="Arial" w:hAnsi="Arial"/>
          <w:sz w:val="14"/>
          <w:szCs w:val="14"/>
          <w:b w:val="1"/>
          <w:bCs w:val="1"/>
          <w:color w:val="auto"/>
        </w:rPr>
        <w:t>Defense</w:t>
      </w:r>
      <w:r>
        <w:rPr>
          <w:rFonts w:ascii="Arial" w:cs="Arial" w:eastAsia="Arial" w:hAnsi="Arial"/>
          <w:sz w:val="14"/>
          <w:szCs w:val="14"/>
          <w:color w:val="auto"/>
        </w:rPr>
        <w:t>. If any such claims or actions are made, the Indemnitee shall be defended at the Indemnifying Party’s sole expense by counsel selected by the Indemnifying Party and reasonably acceptable to the Indemnitee, provided that the Indemnitee may, at its own expense, also be represented by counsel of its own choosing. The Indemnifying Party shall have the sole right to control the defense of any such claim or action, subject to the terms of this Section 14.</w:t>
      </w:r>
    </w:p>
    <w:p>
      <w:pPr>
        <w:spacing w:after="0" w:line="106" w:lineRule="exact"/>
        <w:rPr>
          <w:sz w:val="20"/>
          <w:szCs w:val="20"/>
          <w:color w:val="auto"/>
        </w:rPr>
      </w:pPr>
    </w:p>
    <w:p>
      <w:pPr>
        <w:ind w:right="120" w:firstLine="458"/>
        <w:spacing w:after="0" w:line="259" w:lineRule="auto"/>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b w:val="1"/>
          <w:bCs w:val="1"/>
          <w:color w:val="auto"/>
        </w:rPr>
        <w:t>Settlement</w:t>
      </w:r>
      <w:r>
        <w:rPr>
          <w:rFonts w:ascii="Arial" w:cs="Arial" w:eastAsia="Arial" w:hAnsi="Arial"/>
          <w:sz w:val="14"/>
          <w:szCs w:val="14"/>
          <w:color w:val="auto"/>
        </w:rPr>
        <w:t>. The Indemnifying Party may settle any such claim, demand, action or other proceeding or otherwise consent to an adverse judgment (a) with prior written notice to the Indemnitee but without the consent of the Indemnitee where the only liability to the Indemnitee is the payment of money and the Indemnifying Party makes such payment, or (b) in all other cases, only with the prior written consent of the Indemnitee, such consent not to be unreasonably withheld.</w:t>
      </w:r>
    </w:p>
    <w:p>
      <w:pPr>
        <w:spacing w:after="0" w:line="97" w:lineRule="exact"/>
        <w:rPr>
          <w:sz w:val="20"/>
          <w:szCs w:val="20"/>
          <w:color w:val="auto"/>
        </w:rPr>
      </w:pPr>
    </w:p>
    <w:p>
      <w:pPr>
        <w:ind w:left="5660" w:right="1560" w:hanging="5656"/>
        <w:spacing w:after="0" w:line="438" w:lineRule="auto"/>
        <w:tabs>
          <w:tab w:leader="none" w:pos="235" w:val="left"/>
        </w:tabs>
        <w:numPr>
          <w:ilvl w:val="0"/>
          <w:numId w:val="75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40</w:t>
      </w:r>
    </w:p>
    <w:p>
      <w:pPr>
        <w:sectPr>
          <w:pgSz w:w="11900" w:h="16838" w:orient="portrait"/>
          <w:cols w:equalWidth="0" w:num="1">
            <w:col w:w="11460"/>
          </w:cols>
          <w:pgMar w:left="220" w:top="246" w:right="219" w:bottom="1440" w:gutter="0" w:footer="0" w:header="0"/>
        </w:sectPr>
      </w:pPr>
    </w:p>
    <w:bookmarkStart w:id="662" w:name="page663"/>
    <w:bookmarkEnd w:id="662"/>
    <w:p>
      <w:pPr>
        <w:ind w:right="180" w:firstLine="458"/>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14.5 </w:t>
      </w:r>
      <w:r>
        <w:rPr>
          <w:rFonts w:ascii="Arial" w:cs="Arial" w:eastAsia="Arial" w:hAnsi="Arial"/>
          <w:sz w:val="14"/>
          <w:szCs w:val="14"/>
          <w:b w:val="1"/>
          <w:bCs w:val="1"/>
          <w:color w:val="auto"/>
        </w:rPr>
        <w:t>Notice</w:t>
      </w:r>
      <w:r>
        <w:rPr>
          <w:rFonts w:ascii="Arial" w:cs="Arial" w:eastAsia="Arial" w:hAnsi="Arial"/>
          <w:sz w:val="14"/>
          <w:szCs w:val="14"/>
          <w:color w:val="auto"/>
        </w:rPr>
        <w:t>. The Indemnitee shall notify the Indemnifying Party promptly of any claim, demand, action or other proceeding under Section 14.1 or Section 14.2 and shall reasonably cooperate with all reasonable requests of the Indemnifying Party with respect thereto.</w:t>
      </w:r>
    </w:p>
    <w:p>
      <w:pPr>
        <w:spacing w:after="0" w:line="97" w:lineRule="exact"/>
        <w:rPr>
          <w:sz w:val="20"/>
          <w:szCs w:val="20"/>
          <w:color w:val="auto"/>
        </w:rPr>
      </w:pPr>
    </w:p>
    <w:p>
      <w:pPr>
        <w:ind w:right="120" w:firstLine="458"/>
        <w:spacing w:after="0" w:line="322" w:lineRule="auto"/>
        <w:rPr>
          <w:sz w:val="20"/>
          <w:szCs w:val="20"/>
          <w:color w:val="auto"/>
        </w:rPr>
      </w:pPr>
      <w:r>
        <w:rPr>
          <w:rFonts w:ascii="Arial" w:cs="Arial" w:eastAsia="Arial" w:hAnsi="Arial"/>
          <w:sz w:val="12"/>
          <w:szCs w:val="12"/>
          <w:color w:val="auto"/>
        </w:rPr>
        <w:t xml:space="preserve">14.6 </w:t>
      </w:r>
      <w:r>
        <w:rPr>
          <w:rFonts w:ascii="Arial" w:cs="Arial" w:eastAsia="Arial" w:hAnsi="Arial"/>
          <w:sz w:val="12"/>
          <w:szCs w:val="12"/>
          <w:b w:val="1"/>
          <w:bCs w:val="1"/>
          <w:color w:val="auto"/>
        </w:rPr>
        <w:t>Permission by Indemnifying Party</w:t>
      </w:r>
      <w:r>
        <w:rPr>
          <w:rFonts w:ascii="Arial" w:cs="Arial" w:eastAsia="Arial" w:hAnsi="Arial"/>
          <w:sz w:val="12"/>
          <w:szCs w:val="12"/>
          <w:color w:val="auto"/>
        </w:rPr>
        <w:t>. The Indemnitee may not settle any such claim, demand, action or other proceeding or otherwise consent to an adverse judgment in any such action or other proceeding or make any admission as to liability or fault without the express written permission of the Indemnifying Party. Provided, however, that such permission shall not be required if such settlement does not involve (a) any admission of legal wrongdoing by the other Party’s Indemnitee(s), or (b) the imposition of any equitable relief against the other Party’s Indemnitee(s).</w:t>
      </w:r>
    </w:p>
    <w:p>
      <w:pPr>
        <w:spacing w:after="0" w:line="71" w:lineRule="exact"/>
        <w:rPr>
          <w:sz w:val="20"/>
          <w:szCs w:val="20"/>
          <w:color w:val="auto"/>
        </w:rPr>
      </w:pPr>
    </w:p>
    <w:p>
      <w:pPr>
        <w:ind w:firstLine="458"/>
        <w:spacing w:after="0" w:line="256" w:lineRule="auto"/>
        <w:rPr>
          <w:sz w:val="20"/>
          <w:szCs w:val="20"/>
          <w:color w:val="auto"/>
        </w:rPr>
      </w:pPr>
      <w:r>
        <w:rPr>
          <w:rFonts w:ascii="Arial" w:cs="Arial" w:eastAsia="Arial" w:hAnsi="Arial"/>
          <w:sz w:val="14"/>
          <w:szCs w:val="14"/>
          <w:color w:val="auto"/>
        </w:rPr>
        <w:t xml:space="preserve">14.7 </w:t>
      </w:r>
      <w:r>
        <w:rPr>
          <w:rFonts w:ascii="Arial" w:cs="Arial" w:eastAsia="Arial" w:hAnsi="Arial"/>
          <w:sz w:val="14"/>
          <w:szCs w:val="14"/>
          <w:b w:val="1"/>
          <w:bCs w:val="1"/>
          <w:color w:val="auto"/>
        </w:rPr>
        <w:t>Limitation of Liability.</w:t>
      </w:r>
      <w:r>
        <w:rPr>
          <w:rFonts w:ascii="Arial" w:cs="Arial" w:eastAsia="Arial" w:hAnsi="Arial"/>
          <w:sz w:val="14"/>
          <w:szCs w:val="14"/>
          <w:color w:val="auto"/>
        </w:rPr>
        <w:t xml:space="preserve"> NEITHER PARTY SHALL BE LIABLE TO THE OTHER FOR ANY SPECIAL, CONSEQUENTIAL, INCIDENTAL, PUNITIVE, OR INDIRECT DAMAGES OR FOR LOST PROFITS ARISING FROM OR RELATING TO ANY BREACH OF THIS AGREEMENT, REGARDLESS OF ANY NOTICE OF THE POSSIBILITY OF SUCH DAMAGES. NOTWITHSTANDING THE FOREGOING, NOTHING IN THIS SECTION 14.7 IS INTENDED TO OR SHALL LIMIT OR RESTRICT THE INDEMNIFICATION RIGHTS OR OBLIGATIONS OF ANY PARTY UNDER ARTICLE 14, OR DAMAGES AVAILABLE FOR A PARTY’S BREACH OF CONFIDENTIALITY OBLIGATIONS IN ARTICLE 12.</w:t>
      </w:r>
    </w:p>
    <w:p>
      <w:pPr>
        <w:spacing w:after="0" w:line="107" w:lineRule="exact"/>
        <w:rPr>
          <w:sz w:val="20"/>
          <w:szCs w:val="20"/>
          <w:color w:val="auto"/>
        </w:rPr>
      </w:pPr>
    </w:p>
    <w:p>
      <w:pPr>
        <w:ind w:left="200" w:hanging="196"/>
        <w:spacing w:after="0"/>
        <w:tabs>
          <w:tab w:leader="none" w:pos="200" w:val="left"/>
        </w:tabs>
        <w:numPr>
          <w:ilvl w:val="0"/>
          <w:numId w:val="756"/>
        </w:numPr>
        <w:rPr>
          <w:rFonts w:ascii="Arial" w:cs="Arial" w:eastAsia="Arial" w:hAnsi="Arial"/>
          <w:sz w:val="14"/>
          <w:szCs w:val="14"/>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NVENTIONS</w:t>
      </w:r>
      <w:r>
        <w:rPr>
          <w:rFonts w:ascii="Arial" w:cs="Arial" w:eastAsia="Arial" w:hAnsi="Arial"/>
          <w:sz w:val="14"/>
          <w:szCs w:val="14"/>
          <w:b w:val="1"/>
          <w:bCs w:val="1"/>
          <w:color w:val="auto"/>
        </w:rPr>
        <w:t>; P</w:t>
      </w:r>
      <w:r>
        <w:rPr>
          <w:rFonts w:ascii="Arial" w:cs="Arial" w:eastAsia="Arial" w:hAnsi="Arial"/>
          <w:sz w:val="11"/>
          <w:szCs w:val="11"/>
          <w:b w:val="1"/>
          <w:bCs w:val="1"/>
          <w:color w:val="auto"/>
        </w:rPr>
        <w:t>ATENT</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Ownership of Intellectual Property</w:t>
      </w:r>
    </w:p>
    <w:p>
      <w:pPr>
        <w:spacing w:after="0" w:line="134" w:lineRule="exact"/>
        <w:rPr>
          <w:sz w:val="20"/>
          <w:szCs w:val="20"/>
          <w:color w:val="auto"/>
        </w:rPr>
      </w:pPr>
    </w:p>
    <w:p>
      <w:pPr>
        <w:ind w:right="340" w:firstLine="920"/>
        <w:spacing w:after="0" w:line="267" w:lineRule="auto"/>
        <w:tabs>
          <w:tab w:leader="none" w:pos="1101" w:val="left"/>
        </w:tabs>
        <w:numPr>
          <w:ilvl w:val="1"/>
          <w:numId w:val="757"/>
        </w:numPr>
        <w:rPr>
          <w:rFonts w:ascii="Arial" w:cs="Arial" w:eastAsia="Arial" w:hAnsi="Arial"/>
          <w:sz w:val="14"/>
          <w:szCs w:val="14"/>
          <w:color w:val="auto"/>
        </w:rPr>
      </w:pPr>
      <w:r>
        <w:rPr>
          <w:rFonts w:ascii="Arial" w:cs="Arial" w:eastAsia="Arial" w:hAnsi="Arial"/>
          <w:sz w:val="14"/>
          <w:szCs w:val="14"/>
          <w:u w:val="single" w:color="auto"/>
          <w:color w:val="auto"/>
        </w:rPr>
        <w:t>Ownership of MacroGenics IP</w:t>
      </w:r>
      <w:r>
        <w:rPr>
          <w:rFonts w:ascii="Arial" w:cs="Arial" w:eastAsia="Arial" w:hAnsi="Arial"/>
          <w:sz w:val="14"/>
          <w:szCs w:val="14"/>
          <w:color w:val="auto"/>
        </w:rPr>
        <w:t>. As between MacroGenics and Green Cross, MacroGenics shall remain the sole and exclusive owner of all MacroGenics Licensed Patents, MacroGenics Licensed Trademarks and MacroGenics Licensed Know-how that exist as of the Effective Date.</w:t>
      </w:r>
    </w:p>
    <w:p>
      <w:pPr>
        <w:spacing w:after="0" w:line="101" w:lineRule="exact"/>
        <w:rPr>
          <w:rFonts w:ascii="Arial" w:cs="Arial" w:eastAsia="Arial" w:hAnsi="Arial"/>
          <w:sz w:val="14"/>
          <w:szCs w:val="14"/>
          <w:color w:val="auto"/>
        </w:rPr>
      </w:pPr>
    </w:p>
    <w:p>
      <w:pPr>
        <w:ind w:left="1120" w:hanging="200"/>
        <w:spacing w:after="0"/>
        <w:tabs>
          <w:tab w:leader="none" w:pos="1120" w:val="left"/>
        </w:tabs>
        <w:numPr>
          <w:ilvl w:val="1"/>
          <w:numId w:val="757"/>
        </w:numPr>
        <w:rPr>
          <w:rFonts w:ascii="Arial" w:cs="Arial" w:eastAsia="Arial" w:hAnsi="Arial"/>
          <w:sz w:val="12"/>
          <w:szCs w:val="12"/>
          <w:color w:val="auto"/>
        </w:rPr>
      </w:pPr>
      <w:r>
        <w:rPr>
          <w:rFonts w:ascii="Arial" w:cs="Arial" w:eastAsia="Arial" w:hAnsi="Arial"/>
          <w:sz w:val="12"/>
          <w:szCs w:val="12"/>
          <w:u w:val="single" w:color="auto"/>
          <w:color w:val="auto"/>
        </w:rPr>
        <w:t>Ownership of Green Cross IP</w:t>
      </w:r>
      <w:r>
        <w:rPr>
          <w:rFonts w:ascii="Arial" w:cs="Arial" w:eastAsia="Arial" w:hAnsi="Arial"/>
          <w:sz w:val="12"/>
          <w:szCs w:val="12"/>
          <w:color w:val="auto"/>
        </w:rPr>
        <w:t>. As between Green Cross and MacroGenics, Green Cross shall remain the sole and exclusive owner of all Green Cross Licensed know-how that exists as of the</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Effective Date.</w:t>
      </w:r>
    </w:p>
    <w:p>
      <w:pPr>
        <w:spacing w:after="0" w:line="125" w:lineRule="exact"/>
        <w:rPr>
          <w:rFonts w:ascii="Arial" w:cs="Arial" w:eastAsia="Arial" w:hAnsi="Arial"/>
          <w:sz w:val="12"/>
          <w:szCs w:val="12"/>
          <w:color w:val="auto"/>
        </w:rPr>
      </w:pPr>
    </w:p>
    <w:p>
      <w:pPr>
        <w:ind w:right="180" w:firstLine="920"/>
        <w:spacing w:after="0" w:line="258" w:lineRule="auto"/>
        <w:tabs>
          <w:tab w:leader="none" w:pos="1101" w:val="left"/>
        </w:tabs>
        <w:numPr>
          <w:ilvl w:val="1"/>
          <w:numId w:val="757"/>
        </w:numPr>
        <w:rPr>
          <w:rFonts w:ascii="Arial" w:cs="Arial" w:eastAsia="Arial" w:hAnsi="Arial"/>
          <w:sz w:val="14"/>
          <w:szCs w:val="14"/>
          <w:color w:val="auto"/>
        </w:rPr>
      </w:pPr>
      <w:r>
        <w:rPr>
          <w:rFonts w:ascii="Arial" w:cs="Arial" w:eastAsia="Arial" w:hAnsi="Arial"/>
          <w:sz w:val="14"/>
          <w:szCs w:val="14"/>
          <w:u w:val="single" w:color="auto"/>
          <w:color w:val="auto"/>
        </w:rPr>
        <w:t>Ownership of Jointly Owned IP</w:t>
      </w:r>
      <w:r>
        <w:rPr>
          <w:rFonts w:ascii="Arial" w:cs="Arial" w:eastAsia="Arial" w:hAnsi="Arial"/>
          <w:sz w:val="14"/>
          <w:szCs w:val="14"/>
          <w:color w:val="auto"/>
        </w:rPr>
        <w:t>. MacroGenics shall own all data, results and inventions, whether patentable or not, conceived or reduced to practice in the course of conducting the Collaboration solely by MacroGenics or its consultants or subcontractors, together with all intellectual property rights therein. Green Cross shall own all data, results and inventions, whether patentable or not, conceived or reduced to practice in the course of conducting the Collaboration solely by Green Cross or its</w:t>
      </w:r>
    </w:p>
    <w:p>
      <w:pPr>
        <w:spacing w:after="0" w:line="97" w:lineRule="exact"/>
        <w:rPr>
          <w:rFonts w:ascii="Arial" w:cs="Arial" w:eastAsia="Arial" w:hAnsi="Arial"/>
          <w:sz w:val="14"/>
          <w:szCs w:val="14"/>
          <w:color w:val="auto"/>
        </w:rPr>
      </w:pPr>
    </w:p>
    <w:p>
      <w:pPr>
        <w:ind w:left="240" w:hanging="236"/>
        <w:spacing w:after="0"/>
        <w:tabs>
          <w:tab w:leader="none" w:pos="240" w:val="left"/>
        </w:tabs>
        <w:numPr>
          <w:ilvl w:val="0"/>
          <w:numId w:val="75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245" w:right="219" w:bottom="1440" w:gutter="0" w:footer="0" w:header="0"/>
        </w:sectPr>
      </w:pPr>
    </w:p>
    <w:bookmarkStart w:id="663" w:name="page664"/>
    <w:bookmarkEnd w:id="663"/>
    <w:p>
      <w:pPr>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consultants or subcontractors, together with all intellectual property rights therein. MacroGenics and Green Cross shall jointly own all data, results and inventions, whether patentable or not, conceived or reduced to practice by MacroGenics and Green Cross jointly (“</w:t>
      </w:r>
      <w:r>
        <w:rPr>
          <w:rFonts w:ascii="Arial" w:cs="Arial" w:eastAsia="Arial" w:hAnsi="Arial"/>
          <w:sz w:val="12"/>
          <w:szCs w:val="12"/>
          <w:b w:val="1"/>
          <w:bCs w:val="1"/>
          <w:color w:val="auto"/>
        </w:rPr>
        <w:t>Jointly Owned IP</w:t>
      </w:r>
      <w:r>
        <w:rPr>
          <w:rFonts w:ascii="Arial" w:cs="Arial" w:eastAsia="Arial" w:hAnsi="Arial"/>
          <w:sz w:val="12"/>
          <w:szCs w:val="12"/>
          <w:color w:val="auto"/>
        </w:rPr>
        <w:t>”), together with all intellectual property rights therein, with each Party owning an undivided half interest and the right to exploit without the duty of accounting or seeking consent from the other Party to the extent to be permitted under Applicable Laws and Regulations.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b w:val="1"/>
          <w:bCs w:val="1"/>
          <w:color w:val="auto"/>
        </w:rPr>
        <w:t>Patent and Trademark Filing, Prosecution and Maintenance</w:t>
      </w:r>
    </w:p>
    <w:p>
      <w:pPr>
        <w:spacing w:after="0" w:line="132" w:lineRule="exact"/>
        <w:rPr>
          <w:sz w:val="20"/>
          <w:szCs w:val="20"/>
          <w:color w:val="auto"/>
        </w:rPr>
      </w:pPr>
    </w:p>
    <w:p>
      <w:pPr>
        <w:ind w:right="200" w:firstLine="920"/>
        <w:spacing w:after="0" w:line="270" w:lineRule="auto"/>
        <w:tabs>
          <w:tab w:leader="none" w:pos="1101" w:val="left"/>
        </w:tabs>
        <w:numPr>
          <w:ilvl w:val="1"/>
          <w:numId w:val="758"/>
        </w:numPr>
        <w:rPr>
          <w:rFonts w:ascii="Arial" w:cs="Arial" w:eastAsia="Arial" w:hAnsi="Arial"/>
          <w:sz w:val="14"/>
          <w:szCs w:val="14"/>
          <w:color w:val="auto"/>
        </w:rPr>
      </w:pPr>
      <w:r>
        <w:rPr>
          <w:rFonts w:ascii="Arial" w:cs="Arial" w:eastAsia="Arial" w:hAnsi="Arial"/>
          <w:sz w:val="14"/>
          <w:szCs w:val="14"/>
          <w:b w:val="1"/>
          <w:bCs w:val="1"/>
          <w:color w:val="auto"/>
        </w:rPr>
        <w:t>Overall Strategy</w:t>
      </w:r>
      <w:r>
        <w:rPr>
          <w:rFonts w:ascii="Arial" w:cs="Arial" w:eastAsia="Arial" w:hAnsi="Arial"/>
          <w:sz w:val="14"/>
          <w:szCs w:val="14"/>
          <w:color w:val="auto"/>
        </w:rPr>
        <w:t>. The JSC shall establish an overall strategy for the filing, prosecution and maintenance of MacroGenics Licensed Patents, MacroGenics Licensed Trademarks and Green</w:t>
      </w:r>
      <w:r>
        <w:rPr>
          <w:rFonts w:ascii="Arial" w:cs="Arial" w:eastAsia="Arial" w:hAnsi="Arial"/>
          <w:sz w:val="14"/>
          <w:szCs w:val="14"/>
          <w:b w:val="1"/>
          <w:bCs w:val="1"/>
          <w:color w:val="auto"/>
        </w:rPr>
        <w:t xml:space="preserve"> </w:t>
      </w:r>
      <w:r>
        <w:rPr>
          <w:rFonts w:ascii="Arial" w:cs="Arial" w:eastAsia="Arial" w:hAnsi="Arial"/>
          <w:sz w:val="14"/>
          <w:szCs w:val="14"/>
          <w:color w:val="auto"/>
        </w:rPr>
        <w:t>Cross Licensed Patents in the Territory.</w:t>
      </w:r>
    </w:p>
    <w:p>
      <w:pPr>
        <w:spacing w:after="0" w:line="97" w:lineRule="exact"/>
        <w:rPr>
          <w:rFonts w:ascii="Arial" w:cs="Arial" w:eastAsia="Arial" w:hAnsi="Arial"/>
          <w:sz w:val="14"/>
          <w:szCs w:val="14"/>
          <w:color w:val="auto"/>
        </w:rPr>
      </w:pPr>
    </w:p>
    <w:p>
      <w:pPr>
        <w:ind w:left="1120" w:hanging="200"/>
        <w:spacing w:after="0"/>
        <w:tabs>
          <w:tab w:leader="none" w:pos="1120" w:val="left"/>
        </w:tabs>
        <w:numPr>
          <w:ilvl w:val="1"/>
          <w:numId w:val="758"/>
        </w:numPr>
        <w:rPr>
          <w:rFonts w:ascii="Arial" w:cs="Arial" w:eastAsia="Arial" w:hAnsi="Arial"/>
          <w:sz w:val="14"/>
          <w:szCs w:val="14"/>
          <w:color w:val="auto"/>
        </w:rPr>
      </w:pPr>
      <w:r>
        <w:rPr>
          <w:rFonts w:ascii="Arial" w:cs="Arial" w:eastAsia="Arial" w:hAnsi="Arial"/>
          <w:sz w:val="14"/>
          <w:szCs w:val="14"/>
          <w:b w:val="1"/>
          <w:bCs w:val="1"/>
          <w:color w:val="auto"/>
        </w:rPr>
        <w:t>Prosecution</w:t>
      </w:r>
    </w:p>
    <w:p>
      <w:pPr>
        <w:spacing w:after="0" w:line="70" w:lineRule="exact"/>
        <w:rPr>
          <w:rFonts w:ascii="Arial" w:cs="Arial" w:eastAsia="Arial" w:hAnsi="Arial"/>
          <w:sz w:val="14"/>
          <w:szCs w:val="14"/>
          <w:color w:val="auto"/>
        </w:rPr>
      </w:pPr>
    </w:p>
    <w:p>
      <w:pPr>
        <w:ind w:left="920" w:right="20" w:firstLine="422"/>
        <w:spacing w:after="0" w:line="255" w:lineRule="auto"/>
        <w:tabs>
          <w:tab w:leader="none" w:pos="1504" w:val="left"/>
        </w:tabs>
        <w:numPr>
          <w:ilvl w:val="2"/>
          <w:numId w:val="758"/>
        </w:numPr>
        <w:rPr>
          <w:rFonts w:ascii="Arial" w:cs="Arial" w:eastAsia="Arial" w:hAnsi="Arial"/>
          <w:sz w:val="14"/>
          <w:szCs w:val="14"/>
          <w:color w:val="auto"/>
        </w:rPr>
      </w:pPr>
      <w:r>
        <w:rPr>
          <w:rFonts w:ascii="Arial" w:cs="Arial" w:eastAsia="Arial" w:hAnsi="Arial"/>
          <w:sz w:val="14"/>
          <w:szCs w:val="14"/>
          <w:color w:val="auto"/>
        </w:rPr>
        <w:t>The responsibility for Patent Prosecution and Trademark Prosecution related to a Patent or Trademark that is within the MacroGenics Licensed Patents and MacroGenics Licensed Trademarks or the Green Cross Licensed Patents that is owned solely by a Party shall be the responsibility of such Party. Such Party shall keep the JSC and the other Party informed of the status of all such Patent Prosecution and Trademark Prosecution activities. MacroGenics shall be responsible for undertaking the Patent Prosecution with respect to Patents jointly owned by the Parties (the “</w:t>
      </w:r>
      <w:r>
        <w:rPr>
          <w:rFonts w:ascii="Arial" w:cs="Arial" w:eastAsia="Arial" w:hAnsi="Arial"/>
          <w:sz w:val="14"/>
          <w:szCs w:val="14"/>
          <w:b w:val="1"/>
          <w:bCs w:val="1"/>
          <w:color w:val="auto"/>
        </w:rPr>
        <w:t>Jointly Owned Patents</w:t>
      </w:r>
      <w:r>
        <w:rPr>
          <w:rFonts w:ascii="Arial" w:cs="Arial" w:eastAsia="Arial" w:hAnsi="Arial"/>
          <w:sz w:val="14"/>
          <w:szCs w:val="14"/>
          <w:color w:val="auto"/>
        </w:rPr>
        <w:t>”), and shall do as directed by the JSC.</w:t>
      </w:r>
    </w:p>
    <w:p>
      <w:pPr>
        <w:spacing w:after="0" w:line="47" w:lineRule="exact"/>
        <w:rPr>
          <w:rFonts w:ascii="Arial" w:cs="Arial" w:eastAsia="Arial" w:hAnsi="Arial"/>
          <w:sz w:val="14"/>
          <w:szCs w:val="14"/>
          <w:color w:val="auto"/>
        </w:rPr>
      </w:pPr>
    </w:p>
    <w:p>
      <w:pPr>
        <w:ind w:left="920" w:right="20" w:firstLine="422"/>
        <w:spacing w:after="0" w:line="321" w:lineRule="auto"/>
        <w:tabs>
          <w:tab w:leader="none" w:pos="1542" w:val="left"/>
        </w:tabs>
        <w:numPr>
          <w:ilvl w:val="2"/>
          <w:numId w:val="758"/>
        </w:numPr>
        <w:rPr>
          <w:rFonts w:ascii="Arial" w:cs="Arial" w:eastAsia="Arial" w:hAnsi="Arial"/>
          <w:sz w:val="12"/>
          <w:szCs w:val="12"/>
          <w:color w:val="auto"/>
        </w:rPr>
      </w:pPr>
      <w:r>
        <w:rPr>
          <w:rFonts w:ascii="Arial" w:cs="Arial" w:eastAsia="Arial" w:hAnsi="Arial"/>
          <w:sz w:val="12"/>
          <w:szCs w:val="12"/>
          <w:color w:val="auto"/>
        </w:rPr>
        <w:t>MacroGenics shall keep the JSC and Green Cross informed of the status of all matters affecting Patent Prosecution and Trademark Prosecution of MacroGenics Licensed Patents, MacroGenics Licensed Trademarks and Jointly Owned Patents in the Territory, including providing a copy of any correspondence from any governmental authorities to the JSC and Green Cross upon request, and consulting on the strategy and content of submissions to such governmental authorities in advance of any submissions.</w:t>
      </w:r>
    </w:p>
    <w:p>
      <w:pPr>
        <w:spacing w:after="0" w:line="10" w:lineRule="exact"/>
        <w:rPr>
          <w:rFonts w:ascii="Arial" w:cs="Arial" w:eastAsia="Arial" w:hAnsi="Arial"/>
          <w:sz w:val="12"/>
          <w:szCs w:val="12"/>
          <w:color w:val="auto"/>
        </w:rPr>
      </w:pPr>
    </w:p>
    <w:p>
      <w:pPr>
        <w:ind w:left="920" w:right="300" w:firstLine="422"/>
        <w:spacing w:after="0" w:line="267" w:lineRule="auto"/>
        <w:tabs>
          <w:tab w:leader="none" w:pos="1579" w:val="left"/>
        </w:tabs>
        <w:numPr>
          <w:ilvl w:val="2"/>
          <w:numId w:val="758"/>
        </w:numPr>
        <w:rPr>
          <w:rFonts w:ascii="Arial" w:cs="Arial" w:eastAsia="Arial" w:hAnsi="Arial"/>
          <w:sz w:val="14"/>
          <w:szCs w:val="14"/>
          <w:color w:val="auto"/>
        </w:rPr>
      </w:pPr>
      <w:r>
        <w:rPr>
          <w:rFonts w:ascii="Arial" w:cs="Arial" w:eastAsia="Arial" w:hAnsi="Arial"/>
          <w:sz w:val="14"/>
          <w:szCs w:val="14"/>
          <w:color w:val="auto"/>
        </w:rPr>
        <w:t>Any dispute regarding Patent Prosecution and Trademark Prosecution of MacroGenics Licensed Patents, MacroGenics Licensed Trademarks, or Jointly Owned Patents, shall be resolved by the JSC.</w:t>
      </w:r>
    </w:p>
    <w:p>
      <w:pPr>
        <w:spacing w:after="0" w:line="38" w:lineRule="exact"/>
        <w:rPr>
          <w:rFonts w:ascii="Arial" w:cs="Arial" w:eastAsia="Arial" w:hAnsi="Arial"/>
          <w:sz w:val="14"/>
          <w:szCs w:val="14"/>
          <w:color w:val="auto"/>
        </w:rPr>
      </w:pPr>
    </w:p>
    <w:p>
      <w:pPr>
        <w:ind w:left="920" w:firstLine="422"/>
        <w:spacing w:after="0" w:line="311" w:lineRule="auto"/>
        <w:tabs>
          <w:tab w:leader="none" w:pos="1572" w:val="left"/>
        </w:tabs>
        <w:numPr>
          <w:ilvl w:val="2"/>
          <w:numId w:val="758"/>
        </w:numPr>
        <w:rPr>
          <w:rFonts w:ascii="Arial" w:cs="Arial" w:eastAsia="Arial" w:hAnsi="Arial"/>
          <w:sz w:val="12"/>
          <w:szCs w:val="12"/>
          <w:color w:val="auto"/>
        </w:rPr>
      </w:pPr>
      <w:r>
        <w:rPr>
          <w:rFonts w:ascii="Arial" w:cs="Arial" w:eastAsia="Arial" w:hAnsi="Arial"/>
          <w:sz w:val="12"/>
          <w:szCs w:val="12"/>
          <w:color w:val="auto"/>
        </w:rPr>
        <w:t>Without limiting the generality of the foregoing, MacroGenics shall prosecute and maintain Jointly Owned Patents using outside counsel acceptable to Green Cross, and shall instruct such counsel to provide copies of correspondence and filings directly to Green Cross and otherwise permit Green Cross to participate with MacroGenics in any of the activities of such counsel with respect to the Patent and Trademark Prosecution of such Jointly Owned Patents. Before taking any material step in the Patent Prosecution or Jointly Owned Patents, MacroGenics and its counsel shall allow Green Cross a reasonable opportunity to comment on the action proposed to be taken, and agrees to incorporate in such filings all reasonable comments of Green Cross.</w:t>
      </w:r>
    </w:p>
    <w:p>
      <w:pPr>
        <w:spacing w:after="0" w:line="16" w:lineRule="exact"/>
        <w:rPr>
          <w:rFonts w:ascii="Arial" w:cs="Arial" w:eastAsia="Arial" w:hAnsi="Arial"/>
          <w:sz w:val="12"/>
          <w:szCs w:val="12"/>
          <w:color w:val="auto"/>
        </w:rPr>
      </w:pPr>
    </w:p>
    <w:p>
      <w:pPr>
        <w:ind w:left="920" w:right="40" w:firstLine="422"/>
        <w:spacing w:after="0" w:line="267" w:lineRule="auto"/>
        <w:tabs>
          <w:tab w:leader="none" w:pos="1534" w:val="left"/>
        </w:tabs>
        <w:numPr>
          <w:ilvl w:val="2"/>
          <w:numId w:val="758"/>
        </w:numPr>
        <w:rPr>
          <w:rFonts w:ascii="Arial" w:cs="Arial" w:eastAsia="Arial" w:hAnsi="Arial"/>
          <w:sz w:val="14"/>
          <w:szCs w:val="14"/>
          <w:color w:val="auto"/>
        </w:rPr>
      </w:pPr>
      <w:r>
        <w:rPr>
          <w:rFonts w:ascii="Arial" w:cs="Arial" w:eastAsia="Arial" w:hAnsi="Arial"/>
          <w:sz w:val="14"/>
          <w:szCs w:val="14"/>
          <w:color w:val="auto"/>
        </w:rPr>
        <w:t>Green Cross acknowledges and understands that its rights and obligations under this Section 15.2 are secondary to and shall be subject to any Third Party rights and obligations under the Upstream Agreements.</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75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248" w:right="219" w:bottom="1440" w:gutter="0" w:footer="0" w:header="0"/>
        </w:sectPr>
      </w:pPr>
    </w:p>
    <w:bookmarkStart w:id="664" w:name="page665"/>
    <w:bookmarkEnd w:id="664"/>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(c) </w:t>
      </w:r>
      <w:r>
        <w:rPr>
          <w:rFonts w:ascii="Arial" w:cs="Arial" w:eastAsia="Arial" w:hAnsi="Arial"/>
          <w:sz w:val="12"/>
          <w:szCs w:val="12"/>
          <w:b w:val="1"/>
          <w:bCs w:val="1"/>
          <w:color w:val="auto"/>
        </w:rPr>
        <w:t>Patent and Trademark Oppositions</w:t>
      </w:r>
      <w:r>
        <w:rPr>
          <w:rFonts w:ascii="Arial" w:cs="Arial" w:eastAsia="Arial" w:hAnsi="Arial"/>
          <w:sz w:val="12"/>
          <w:szCs w:val="12"/>
          <w:color w:val="auto"/>
        </w:rPr>
        <w:t>. The JSC will decide whether and how to participate in Patent and Trademark oppositions and undertake activities intended to invalidate Third Party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Patents.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b w:val="1"/>
          <w:bCs w:val="1"/>
          <w:color w:val="auto"/>
        </w:rPr>
        <w:t>Costs of Patent and Trademark Prosecution</w:t>
      </w:r>
    </w:p>
    <w:p>
      <w:pPr>
        <w:spacing w:after="0" w:line="132" w:lineRule="exact"/>
        <w:rPr>
          <w:sz w:val="20"/>
          <w:szCs w:val="20"/>
          <w:color w:val="auto"/>
        </w:rPr>
      </w:pPr>
    </w:p>
    <w:p>
      <w:pPr>
        <w:ind w:right="40" w:firstLine="920"/>
        <w:spacing w:after="0" w:line="256" w:lineRule="auto"/>
        <w:tabs>
          <w:tab w:leader="none" w:pos="1101" w:val="left"/>
        </w:tabs>
        <w:numPr>
          <w:ilvl w:val="0"/>
          <w:numId w:val="759"/>
        </w:numPr>
        <w:rPr>
          <w:rFonts w:ascii="Arial" w:cs="Arial" w:eastAsia="Arial" w:hAnsi="Arial"/>
          <w:sz w:val="14"/>
          <w:szCs w:val="14"/>
          <w:color w:val="auto"/>
        </w:rPr>
      </w:pPr>
      <w:r>
        <w:rPr>
          <w:rFonts w:ascii="Arial" w:cs="Arial" w:eastAsia="Arial" w:hAnsi="Arial"/>
          <w:sz w:val="14"/>
          <w:szCs w:val="14"/>
          <w:b w:val="1"/>
          <w:bCs w:val="1"/>
          <w:color w:val="auto"/>
        </w:rPr>
        <w:t xml:space="preserve">Costs. </w:t>
      </w:r>
      <w:r>
        <w:rPr>
          <w:rFonts w:ascii="Arial" w:cs="Arial" w:eastAsia="Arial" w:hAnsi="Arial"/>
          <w:sz w:val="14"/>
          <w:szCs w:val="14"/>
          <w:color w:val="auto"/>
        </w:rPr>
        <w:t>All out-of-pocket costs for Patent Prosecution and Trademark Prosecution of a Party’s solely owned Patent or Trademark and for maintaining a Party’s solely owned Patent or</w:t>
      </w:r>
      <w:r>
        <w:rPr>
          <w:rFonts w:ascii="Arial" w:cs="Arial" w:eastAsia="Arial" w:hAnsi="Arial"/>
          <w:sz w:val="14"/>
          <w:szCs w:val="14"/>
          <w:b w:val="1"/>
          <w:bCs w:val="1"/>
          <w:color w:val="auto"/>
        </w:rPr>
        <w:t xml:space="preserve"> </w:t>
      </w:r>
      <w:r>
        <w:rPr>
          <w:rFonts w:ascii="Arial" w:cs="Arial" w:eastAsia="Arial" w:hAnsi="Arial"/>
          <w:sz w:val="14"/>
          <w:szCs w:val="14"/>
          <w:color w:val="auto"/>
        </w:rPr>
        <w:t>Trademark shall be solely incurred by and the sole responsibility of that Party. All out-of-pocket costs for Patent Prosecution of Jointly Owned Patents and for maintaining Jointly Owned Patents in the Territory shall be shared equally by the Parties. The out-of-pocket costs of MacroGenics’ participation in Patent and Trademark oppositions, interferences and similar actions, and activities intended to invalidate Third Party Patents and Trademarks in the Territory shall be borne solely by Green Cross.</w:t>
      </w:r>
    </w:p>
    <w:p>
      <w:pPr>
        <w:spacing w:after="0" w:line="107"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15.4 </w:t>
      </w:r>
      <w:r>
        <w:rPr>
          <w:rFonts w:ascii="Arial" w:cs="Arial" w:eastAsia="Arial" w:hAnsi="Arial"/>
          <w:sz w:val="14"/>
          <w:szCs w:val="14"/>
          <w:b w:val="1"/>
          <w:bCs w:val="1"/>
          <w:color w:val="auto"/>
        </w:rPr>
        <w:t>Patent and Trademark Prosecution Cooperation</w:t>
      </w:r>
      <w:r>
        <w:rPr>
          <w:rFonts w:ascii="Arial" w:cs="Arial" w:eastAsia="Arial" w:hAnsi="Arial"/>
          <w:sz w:val="14"/>
          <w:szCs w:val="14"/>
          <w:color w:val="auto"/>
        </w:rPr>
        <w:t>. With respect to all Patent Prosecution and Trademark Prosecution related to Patents and Trademarks included in MacroGenics Licensed Patents, MacroGenics Licensed Trademarks or Green Cross Licensed Patents, each Party shall:</w:t>
      </w:r>
    </w:p>
    <w:p>
      <w:pPr>
        <w:spacing w:after="0" w:line="99" w:lineRule="exact"/>
        <w:rPr>
          <w:sz w:val="20"/>
          <w:szCs w:val="20"/>
          <w:color w:val="auto"/>
        </w:rPr>
      </w:pPr>
    </w:p>
    <w:p>
      <w:pPr>
        <w:ind w:left="1100" w:hanging="180"/>
        <w:spacing w:after="0"/>
        <w:tabs>
          <w:tab w:leader="none" w:pos="1100" w:val="left"/>
        </w:tabs>
        <w:numPr>
          <w:ilvl w:val="1"/>
          <w:numId w:val="760"/>
        </w:numPr>
        <w:rPr>
          <w:rFonts w:ascii="Arial" w:cs="Arial" w:eastAsia="Arial" w:hAnsi="Arial"/>
          <w:sz w:val="14"/>
          <w:szCs w:val="14"/>
          <w:color w:val="auto"/>
        </w:rPr>
      </w:pPr>
      <w:r>
        <w:rPr>
          <w:rFonts w:ascii="Arial" w:cs="Arial" w:eastAsia="Arial" w:hAnsi="Arial"/>
          <w:sz w:val="14"/>
          <w:szCs w:val="14"/>
          <w:color w:val="auto"/>
        </w:rPr>
        <w:t>execute all further instruments to document their respective ownership consistent with this Agreement as reasonably requested by the other Party;</w:t>
      </w:r>
    </w:p>
    <w:p>
      <w:pPr>
        <w:spacing w:after="0" w:line="131" w:lineRule="exact"/>
        <w:rPr>
          <w:rFonts w:ascii="Arial" w:cs="Arial" w:eastAsia="Arial" w:hAnsi="Arial"/>
          <w:sz w:val="14"/>
          <w:szCs w:val="14"/>
          <w:color w:val="auto"/>
        </w:rPr>
      </w:pPr>
    </w:p>
    <w:p>
      <w:pPr>
        <w:ind w:right="80" w:firstLine="920"/>
        <w:spacing w:after="0" w:line="267" w:lineRule="auto"/>
        <w:tabs>
          <w:tab w:leader="none" w:pos="1109" w:val="left"/>
        </w:tabs>
        <w:numPr>
          <w:ilvl w:val="1"/>
          <w:numId w:val="760"/>
        </w:numPr>
        <w:rPr>
          <w:rFonts w:ascii="Arial" w:cs="Arial" w:eastAsia="Arial" w:hAnsi="Arial"/>
          <w:sz w:val="14"/>
          <w:szCs w:val="14"/>
          <w:color w:val="auto"/>
        </w:rPr>
      </w:pPr>
      <w:r>
        <w:rPr>
          <w:rFonts w:ascii="Arial" w:cs="Arial" w:eastAsia="Arial" w:hAnsi="Arial"/>
          <w:sz w:val="14"/>
          <w:szCs w:val="14"/>
          <w:color w:val="auto"/>
        </w:rPr>
        <w:t>make its employees, agents and consultants reasonably available to the other Party (or to the other Party’s authorized attorneys, agents or representatives), to the extent reasonably necessary to enable the appropriate Party hereunder to undertake its Patent Prosecution and Trademark Prosecution responsibilities;</w:t>
      </w:r>
    </w:p>
    <w:p>
      <w:pPr>
        <w:spacing w:after="0" w:line="101" w:lineRule="exact"/>
        <w:rPr>
          <w:rFonts w:ascii="Arial" w:cs="Arial" w:eastAsia="Arial" w:hAnsi="Arial"/>
          <w:sz w:val="14"/>
          <w:szCs w:val="14"/>
          <w:color w:val="auto"/>
        </w:rPr>
      </w:pPr>
    </w:p>
    <w:p>
      <w:pPr>
        <w:ind w:right="120" w:firstLine="920"/>
        <w:spacing w:after="0" w:line="267" w:lineRule="auto"/>
        <w:tabs>
          <w:tab w:leader="none" w:pos="1101" w:val="left"/>
        </w:tabs>
        <w:numPr>
          <w:ilvl w:val="1"/>
          <w:numId w:val="760"/>
        </w:numPr>
        <w:rPr>
          <w:rFonts w:ascii="Arial" w:cs="Arial" w:eastAsia="Arial" w:hAnsi="Arial"/>
          <w:sz w:val="14"/>
          <w:szCs w:val="14"/>
          <w:color w:val="auto"/>
        </w:rPr>
      </w:pPr>
      <w:r>
        <w:rPr>
          <w:rFonts w:ascii="Arial" w:cs="Arial" w:eastAsia="Arial" w:hAnsi="Arial"/>
          <w:sz w:val="14"/>
          <w:szCs w:val="14"/>
          <w:color w:val="auto"/>
        </w:rPr>
        <w:t>cooperate, if necessary and appropriate, with the other Party in gaining Patent and Trademark term extensions; provided, however, that any dispute regarding the same shall be submitted to the JSC for resolution; and</w:t>
      </w:r>
    </w:p>
    <w:p>
      <w:pPr>
        <w:spacing w:after="0" w:line="101" w:lineRule="exact"/>
        <w:rPr>
          <w:rFonts w:ascii="Arial" w:cs="Arial" w:eastAsia="Arial" w:hAnsi="Arial"/>
          <w:sz w:val="14"/>
          <w:szCs w:val="14"/>
          <w:color w:val="auto"/>
        </w:rPr>
      </w:pPr>
    </w:p>
    <w:p>
      <w:pPr>
        <w:ind w:right="240" w:firstLine="920"/>
        <w:spacing w:after="0" w:line="267" w:lineRule="auto"/>
        <w:tabs>
          <w:tab w:leader="none" w:pos="1109" w:val="left"/>
        </w:tabs>
        <w:numPr>
          <w:ilvl w:val="1"/>
          <w:numId w:val="760"/>
        </w:numPr>
        <w:rPr>
          <w:rFonts w:ascii="Arial" w:cs="Arial" w:eastAsia="Arial" w:hAnsi="Arial"/>
          <w:sz w:val="14"/>
          <w:szCs w:val="14"/>
          <w:color w:val="auto"/>
        </w:rPr>
      </w:pPr>
      <w:r>
        <w:rPr>
          <w:rFonts w:ascii="Arial" w:cs="Arial" w:eastAsia="Arial" w:hAnsi="Arial"/>
          <w:sz w:val="14"/>
          <w:szCs w:val="14"/>
          <w:color w:val="auto"/>
        </w:rPr>
        <w:t>endeavor in good faith to coordinate its efforts under this Agreement with the other Party to minimize or avoid interference with the Patent Prosecution and Trademark Prosecution of the other Party’s Patents and Trademarks.</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76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40"/>
          </w:cols>
          <w:pgMar w:left="220" w:top="245" w:right="239" w:bottom="1440" w:gutter="0" w:footer="0" w:header="0"/>
        </w:sectPr>
      </w:pPr>
    </w:p>
    <w:bookmarkStart w:id="665" w:name="page666"/>
    <w:bookmarkEnd w:id="665"/>
    <w:p>
      <w:pPr>
        <w:ind w:left="45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15.5 </w:t>
      </w:r>
      <w:r>
        <w:rPr>
          <w:rFonts w:ascii="Arial" w:cs="Arial" w:eastAsia="Arial" w:hAnsi="Arial"/>
          <w:sz w:val="14"/>
          <w:szCs w:val="14"/>
          <w:b w:val="1"/>
          <w:bCs w:val="1"/>
          <w:color w:val="auto"/>
        </w:rPr>
        <w:t>Enforcement</w:t>
      </w:r>
    </w:p>
    <w:p>
      <w:pPr>
        <w:spacing w:after="0" w:line="132" w:lineRule="exact"/>
        <w:rPr>
          <w:sz w:val="20"/>
          <w:szCs w:val="20"/>
          <w:color w:val="auto"/>
        </w:rPr>
      </w:pPr>
    </w:p>
    <w:p>
      <w:pPr>
        <w:ind w:left="-4" w:right="160" w:firstLine="920"/>
        <w:spacing w:after="0" w:line="270" w:lineRule="auto"/>
        <w:tabs>
          <w:tab w:leader="none" w:pos="1098" w:val="left"/>
        </w:tabs>
        <w:numPr>
          <w:ilvl w:val="1"/>
          <w:numId w:val="761"/>
        </w:numPr>
        <w:rPr>
          <w:rFonts w:ascii="Arial" w:cs="Arial" w:eastAsia="Arial" w:hAnsi="Arial"/>
          <w:sz w:val="14"/>
          <w:szCs w:val="14"/>
          <w:color w:val="auto"/>
        </w:rPr>
      </w:pPr>
      <w:r>
        <w:rPr>
          <w:rFonts w:ascii="Arial" w:cs="Arial" w:eastAsia="Arial" w:hAnsi="Arial"/>
          <w:sz w:val="14"/>
          <w:szCs w:val="14"/>
          <w:b w:val="1"/>
          <w:bCs w:val="1"/>
          <w:color w:val="auto"/>
        </w:rPr>
        <w:t>Notice</w:t>
      </w:r>
      <w:r>
        <w:rPr>
          <w:rFonts w:ascii="Arial" w:cs="Arial" w:eastAsia="Arial" w:hAnsi="Arial"/>
          <w:sz w:val="14"/>
          <w:szCs w:val="14"/>
          <w:color w:val="auto"/>
        </w:rPr>
        <w:t>. Each Party shall promptly provide, but in no event later than ***, the other with written notice reasonably detailing any known or alleged infringement of any Patent or Trademark</w:t>
      </w:r>
      <w:r>
        <w:rPr>
          <w:rFonts w:ascii="Arial" w:cs="Arial" w:eastAsia="Arial" w:hAnsi="Arial"/>
          <w:sz w:val="14"/>
          <w:szCs w:val="14"/>
          <w:b w:val="1"/>
          <w:bCs w:val="1"/>
          <w:color w:val="auto"/>
        </w:rPr>
        <w:t xml:space="preserve"> </w:t>
      </w:r>
      <w:r>
        <w:rPr>
          <w:rFonts w:ascii="Arial" w:cs="Arial" w:eastAsia="Arial" w:hAnsi="Arial"/>
          <w:sz w:val="14"/>
          <w:szCs w:val="14"/>
          <w:color w:val="auto"/>
        </w:rPr>
        <w:t>owned by the other Party and subject to a license under this Agreement.</w:t>
      </w:r>
    </w:p>
    <w:p>
      <w:pPr>
        <w:spacing w:after="0" w:line="97" w:lineRule="exact"/>
        <w:rPr>
          <w:rFonts w:ascii="Arial" w:cs="Arial" w:eastAsia="Arial" w:hAnsi="Arial"/>
          <w:sz w:val="14"/>
          <w:szCs w:val="14"/>
          <w:color w:val="auto"/>
        </w:rPr>
      </w:pPr>
    </w:p>
    <w:p>
      <w:pPr>
        <w:ind w:left="1116" w:hanging="200"/>
        <w:spacing w:after="0"/>
        <w:tabs>
          <w:tab w:leader="none" w:pos="1116" w:val="left"/>
        </w:tabs>
        <w:numPr>
          <w:ilvl w:val="1"/>
          <w:numId w:val="761"/>
        </w:numPr>
        <w:rPr>
          <w:rFonts w:ascii="Arial" w:cs="Arial" w:eastAsia="Arial" w:hAnsi="Arial"/>
          <w:sz w:val="14"/>
          <w:szCs w:val="14"/>
          <w:color w:val="auto"/>
        </w:rPr>
      </w:pPr>
      <w:r>
        <w:rPr>
          <w:rFonts w:ascii="Arial" w:cs="Arial" w:eastAsia="Arial" w:hAnsi="Arial"/>
          <w:sz w:val="14"/>
          <w:szCs w:val="14"/>
          <w:b w:val="1"/>
          <w:bCs w:val="1"/>
          <w:color w:val="auto"/>
        </w:rPr>
        <w:t>Enforcement of Intellectual Property Rights</w:t>
      </w:r>
    </w:p>
    <w:p>
      <w:pPr>
        <w:spacing w:after="0" w:line="70" w:lineRule="exact"/>
        <w:rPr>
          <w:rFonts w:ascii="Arial" w:cs="Arial" w:eastAsia="Arial" w:hAnsi="Arial"/>
          <w:sz w:val="14"/>
          <w:szCs w:val="14"/>
          <w:color w:val="auto"/>
        </w:rPr>
      </w:pPr>
    </w:p>
    <w:p>
      <w:pPr>
        <w:ind w:left="916" w:firstLine="422"/>
        <w:spacing w:after="0" w:line="252" w:lineRule="auto"/>
        <w:tabs>
          <w:tab w:leader="none" w:pos="1500" w:val="left"/>
        </w:tabs>
        <w:numPr>
          <w:ilvl w:val="2"/>
          <w:numId w:val="761"/>
        </w:numPr>
        <w:rPr>
          <w:rFonts w:ascii="Arial" w:cs="Arial" w:eastAsia="Arial" w:hAnsi="Arial"/>
          <w:sz w:val="14"/>
          <w:szCs w:val="14"/>
          <w:color w:val="auto"/>
        </w:rPr>
      </w:pPr>
      <w:r>
        <w:rPr>
          <w:rFonts w:ascii="Arial" w:cs="Arial" w:eastAsia="Arial" w:hAnsi="Arial"/>
          <w:sz w:val="14"/>
          <w:szCs w:val="14"/>
          <w:color w:val="auto"/>
        </w:rPr>
        <w:t xml:space="preserve">The sole owner of a Patent, Trademark, Know-how or Confidential Information shall have the exclusive right to institute and direct legal proceedings against any Third Party believed to be infringing such Patent or Trademark or misappropriating or otherwise violating such Know-how or Confidential Information. Green Cross shall have the initial right to institute and direct legal proceedings against any Third Party believed to be infringing Jointly Owned Patents that claims or covers a Product sold in the Territory. If Green Cross has the right to direct legal proceedings pursuant to this Section 15.5(b)(i) and does not abate such violation of Jointly Owned Patents, including by commencement of a lawsuit against the accused person if necessary,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receiving notice of such infringement of Jointly Owned Patents and immediately after notice of other violation of such Jointly Owned Patents, then MacroGenics shall be entitled (but shall not be obligated) to take all actions reasonably necessary to abate such violation in the Territory, including commencement of a lawsuit against the accused Third Party if necessary.</w:t>
      </w:r>
    </w:p>
    <w:p>
      <w:pPr>
        <w:spacing w:after="0" w:line="49" w:lineRule="exact"/>
        <w:rPr>
          <w:rFonts w:ascii="Arial" w:cs="Arial" w:eastAsia="Arial" w:hAnsi="Arial"/>
          <w:sz w:val="14"/>
          <w:szCs w:val="14"/>
          <w:color w:val="auto"/>
        </w:rPr>
      </w:pPr>
    </w:p>
    <w:p>
      <w:pPr>
        <w:ind w:left="916" w:firstLine="422"/>
        <w:spacing w:after="0" w:line="311" w:lineRule="auto"/>
        <w:tabs>
          <w:tab w:leader="none" w:pos="1538" w:val="left"/>
        </w:tabs>
        <w:numPr>
          <w:ilvl w:val="2"/>
          <w:numId w:val="761"/>
        </w:numPr>
        <w:rPr>
          <w:rFonts w:ascii="Arial" w:cs="Arial" w:eastAsia="Arial" w:hAnsi="Arial"/>
          <w:sz w:val="12"/>
          <w:szCs w:val="12"/>
          <w:color w:val="auto"/>
        </w:rPr>
      </w:pPr>
      <w:r>
        <w:rPr>
          <w:rFonts w:ascii="Arial" w:cs="Arial" w:eastAsia="Arial" w:hAnsi="Arial"/>
          <w:sz w:val="12"/>
          <w:szCs w:val="12"/>
          <w:color w:val="auto"/>
        </w:rPr>
        <w:t xml:space="preserve">MacroGenics shall have the initial right to institute and direct legal proceedings against any Third Party believed to be infringing Jointly Owned Patents that claims or covers a Product sold outside the Territory. If MacroGenics does not abate such violation of Jointly Owned Patents, including by commencement of a lawsuit against the accused person if necessary,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receiving notice of such infringement of Jointly Owned Patents and immediately after notice of other violation of such Jointly Owned Patents, then Green Cross shall be entitled (but shall not be obligated) to take all actions reasonably necessary to abate such violation in the Territory, including commencement of a lawsuit against the accused Third Party if necessary.</w:t>
      </w:r>
    </w:p>
    <w:p>
      <w:pPr>
        <w:spacing w:after="0" w:line="16" w:lineRule="exact"/>
        <w:rPr>
          <w:rFonts w:ascii="Arial" w:cs="Arial" w:eastAsia="Arial" w:hAnsi="Arial"/>
          <w:sz w:val="12"/>
          <w:szCs w:val="12"/>
          <w:color w:val="auto"/>
        </w:rPr>
      </w:pPr>
    </w:p>
    <w:p>
      <w:pPr>
        <w:ind w:left="916" w:right="40" w:firstLine="422"/>
        <w:spacing w:after="0" w:line="305" w:lineRule="auto"/>
        <w:tabs>
          <w:tab w:leader="none" w:pos="1576" w:val="left"/>
        </w:tabs>
        <w:numPr>
          <w:ilvl w:val="2"/>
          <w:numId w:val="761"/>
        </w:numPr>
        <w:rPr>
          <w:rFonts w:ascii="Arial" w:cs="Arial" w:eastAsia="Arial" w:hAnsi="Arial"/>
          <w:sz w:val="12"/>
          <w:szCs w:val="12"/>
          <w:color w:val="auto"/>
        </w:rPr>
      </w:pPr>
      <w:r>
        <w:rPr>
          <w:rFonts w:ascii="Arial" w:cs="Arial" w:eastAsia="Arial" w:hAnsi="Arial"/>
          <w:sz w:val="12"/>
          <w:szCs w:val="12"/>
          <w:color w:val="auto"/>
        </w:rPr>
        <w:t>All amounts recovered from enforcement of any such rights by either Party in the Territory relating to the intellectual property licensed under this Agreement shall be first used to reimburse each Party’s costs and expenses incurred in connection with such action, and any remainder of such recovery, other than amounts recovered as lost profits, shall be retained by the Party instituting the action, provided that any remainder retained by Green Cross shall be treated as Net Sales and shall be subject to Green Cross’ royalty payment obligations at the applicable rate specified in Section 8.5. For amounts recovered as lost profits the amount of Net Sales represented by such lost profits and Green Cross shall be obligated to pay MacroGenics any amounts due under this Agreement if such projected Net Sales were actually made by Green Cross. All amounts recovered from</w:t>
      </w:r>
    </w:p>
    <w:p>
      <w:pPr>
        <w:spacing w:after="0" w:line="73" w:lineRule="exact"/>
        <w:rPr>
          <w:rFonts w:ascii="Arial" w:cs="Arial" w:eastAsia="Arial" w:hAnsi="Arial"/>
          <w:sz w:val="12"/>
          <w:szCs w:val="12"/>
          <w:color w:val="auto"/>
        </w:rPr>
      </w:pPr>
    </w:p>
    <w:p>
      <w:pPr>
        <w:ind w:left="236" w:hanging="236"/>
        <w:spacing w:after="0"/>
        <w:tabs>
          <w:tab w:leader="none" w:pos="236" w:val="left"/>
        </w:tabs>
        <w:numPr>
          <w:ilvl w:val="0"/>
          <w:numId w:val="76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16"/>
          </w:cols>
          <w:pgMar w:left="224" w:top="246" w:right="259" w:bottom="1440" w:gutter="0" w:footer="0" w:header="0"/>
        </w:sectPr>
      </w:pPr>
    </w:p>
    <w:bookmarkStart w:id="666" w:name="page667"/>
    <w:bookmarkEnd w:id="666"/>
    <w:p>
      <w:pPr>
        <w:ind w:left="916" w:right="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enforcement of any such rights by either Party outside the Territory relating to Jointly Owned Patents shall be first used to reimburse each Party’s costs and expenses incurred in connection with such action, and any remainder of such recovery, shall be retained by the Party instituting the action.</w:t>
      </w:r>
    </w:p>
    <w:p>
      <w:pPr>
        <w:spacing w:after="0" w:line="99" w:lineRule="exact"/>
        <w:rPr>
          <w:sz w:val="20"/>
          <w:szCs w:val="20"/>
          <w:color w:val="auto"/>
        </w:rPr>
      </w:pPr>
    </w:p>
    <w:p>
      <w:pPr>
        <w:jc w:val="both"/>
        <w:ind w:left="-4" w:right="60" w:firstLine="920"/>
        <w:spacing w:after="0" w:line="306" w:lineRule="auto"/>
        <w:tabs>
          <w:tab w:leader="none" w:pos="1098" w:val="left"/>
        </w:tabs>
        <w:numPr>
          <w:ilvl w:val="0"/>
          <w:numId w:val="762"/>
        </w:numPr>
        <w:rPr>
          <w:rFonts w:ascii="Arial" w:cs="Arial" w:eastAsia="Arial" w:hAnsi="Arial"/>
          <w:sz w:val="12"/>
          <w:szCs w:val="12"/>
          <w:color w:val="auto"/>
        </w:rPr>
      </w:pPr>
      <w:r>
        <w:rPr>
          <w:rFonts w:ascii="Arial" w:cs="Arial" w:eastAsia="Arial" w:hAnsi="Arial"/>
          <w:sz w:val="12"/>
          <w:szCs w:val="12"/>
          <w:b w:val="1"/>
          <w:bCs w:val="1"/>
          <w:color w:val="auto"/>
        </w:rPr>
        <w:t>Cooperation in Enforcement Proceedings</w:t>
      </w:r>
      <w:r>
        <w:rPr>
          <w:rFonts w:ascii="Arial" w:cs="Arial" w:eastAsia="Arial" w:hAnsi="Arial"/>
          <w:sz w:val="12"/>
          <w:szCs w:val="12"/>
          <w:color w:val="auto"/>
        </w:rPr>
        <w:t>. For any action by a Party pursuant to subsection (b) above, in the event that such Party is unable to initiate or prosecute such action solely in its</w:t>
      </w:r>
      <w:r>
        <w:rPr>
          <w:rFonts w:ascii="Arial" w:cs="Arial" w:eastAsia="Arial" w:hAnsi="Arial"/>
          <w:sz w:val="12"/>
          <w:szCs w:val="12"/>
          <w:b w:val="1"/>
          <w:bCs w:val="1"/>
          <w:color w:val="auto"/>
        </w:rPr>
        <w:t xml:space="preserve"> </w:t>
      </w:r>
      <w:r>
        <w:rPr>
          <w:rFonts w:ascii="Arial" w:cs="Arial" w:eastAsia="Arial" w:hAnsi="Arial"/>
          <w:sz w:val="12"/>
          <w:szCs w:val="12"/>
          <w:color w:val="auto"/>
        </w:rPr>
        <w:t>own name, the other Party will join such action voluntarily and will execute all documents necessary for such Party to initiate, prosecute and maintain such action. If either Green Cross or MacroGenics initiates an enforcement action pursuant to Section 15.5(b), then the other Party shall cooperate to the extent reasonably necessary and at the first Parties’ sole expense (except for the expenses of the non-controlling Party’s counsel, if any). Upon the reasonable request of the Party instituting any such action, such other Party shall join the suit and can be represented in any such legal proceedings using counsel of its own choice. Each Party shall assert and not waive the joint defense privilege with respect to all communications between the Parties reasonably the subject thereof.</w:t>
      </w:r>
    </w:p>
    <w:p>
      <w:pPr>
        <w:spacing w:after="0" w:line="81" w:lineRule="exact"/>
        <w:rPr>
          <w:rFonts w:ascii="Arial" w:cs="Arial" w:eastAsia="Arial" w:hAnsi="Arial"/>
          <w:sz w:val="12"/>
          <w:szCs w:val="12"/>
          <w:color w:val="auto"/>
        </w:rPr>
      </w:pPr>
    </w:p>
    <w:p>
      <w:pPr>
        <w:ind w:left="-4" w:right="120" w:firstLine="920"/>
        <w:spacing w:after="0" w:line="355" w:lineRule="auto"/>
        <w:tabs>
          <w:tab w:leader="none" w:pos="1105" w:val="left"/>
        </w:tabs>
        <w:numPr>
          <w:ilvl w:val="0"/>
          <w:numId w:val="762"/>
        </w:numPr>
        <w:rPr>
          <w:rFonts w:ascii="Arial" w:cs="Arial" w:eastAsia="Arial" w:hAnsi="Arial"/>
          <w:sz w:val="12"/>
          <w:szCs w:val="12"/>
          <w:color w:val="auto"/>
        </w:rPr>
      </w:pPr>
      <w:r>
        <w:rPr>
          <w:rFonts w:ascii="Arial" w:cs="Arial" w:eastAsia="Arial" w:hAnsi="Arial"/>
          <w:sz w:val="12"/>
          <w:szCs w:val="12"/>
          <w:b w:val="1"/>
          <w:bCs w:val="1"/>
          <w:color w:val="auto"/>
        </w:rPr>
        <w:t>Status; Settlement</w:t>
      </w:r>
      <w:r>
        <w:rPr>
          <w:rFonts w:ascii="Arial" w:cs="Arial" w:eastAsia="Arial" w:hAnsi="Arial"/>
          <w:sz w:val="12"/>
          <w:szCs w:val="12"/>
          <w:color w:val="auto"/>
        </w:rPr>
        <w:t>. The Parties shall keep each other informed of the status of and of their respective activities regarding any enforcement action pursuant to Section 15.5(b). Neither Party</w:t>
      </w:r>
      <w:r>
        <w:rPr>
          <w:rFonts w:ascii="Arial" w:cs="Arial" w:eastAsia="Arial" w:hAnsi="Arial"/>
          <w:sz w:val="12"/>
          <w:szCs w:val="12"/>
          <w:b w:val="1"/>
          <w:bCs w:val="1"/>
          <w:color w:val="auto"/>
        </w:rPr>
        <w:t xml:space="preserve"> </w:t>
      </w:r>
      <w:r>
        <w:rPr>
          <w:rFonts w:ascii="Arial" w:cs="Arial" w:eastAsia="Arial" w:hAnsi="Arial"/>
          <w:sz w:val="12"/>
          <w:szCs w:val="12"/>
          <w:color w:val="auto"/>
        </w:rPr>
        <w:t>shall settle any litigation or legal proceeding in the Territory to enforce MacroGenics Licensed Patents or MacroGenics Licensed Trademarks without the other Party’s written authorization.</w:t>
      </w:r>
    </w:p>
    <w:p>
      <w:pPr>
        <w:spacing w:after="0" w:line="51"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15.6 </w:t>
      </w:r>
      <w:r>
        <w:rPr>
          <w:rFonts w:ascii="Arial" w:cs="Arial" w:eastAsia="Arial" w:hAnsi="Arial"/>
          <w:sz w:val="14"/>
          <w:szCs w:val="14"/>
          <w:b w:val="1"/>
          <w:bCs w:val="1"/>
          <w:color w:val="auto"/>
        </w:rPr>
        <w:t>Defense</w:t>
      </w:r>
    </w:p>
    <w:p>
      <w:pPr>
        <w:spacing w:after="0" w:line="132" w:lineRule="exact"/>
        <w:rPr>
          <w:sz w:val="20"/>
          <w:szCs w:val="20"/>
          <w:color w:val="auto"/>
        </w:rPr>
      </w:pPr>
    </w:p>
    <w:p>
      <w:pPr>
        <w:ind w:left="-4" w:right="80" w:firstLine="920"/>
        <w:spacing w:after="0" w:line="259" w:lineRule="auto"/>
        <w:tabs>
          <w:tab w:leader="none" w:pos="1098" w:val="left"/>
        </w:tabs>
        <w:numPr>
          <w:ilvl w:val="1"/>
          <w:numId w:val="763"/>
        </w:numPr>
        <w:rPr>
          <w:rFonts w:ascii="Arial" w:cs="Arial" w:eastAsia="Arial" w:hAnsi="Arial"/>
          <w:sz w:val="14"/>
          <w:szCs w:val="14"/>
          <w:color w:val="auto"/>
        </w:rPr>
      </w:pPr>
      <w:r>
        <w:rPr>
          <w:rFonts w:ascii="Arial" w:cs="Arial" w:eastAsia="Arial" w:hAnsi="Arial"/>
          <w:sz w:val="14"/>
          <w:szCs w:val="14"/>
          <w:b w:val="1"/>
          <w:bCs w:val="1"/>
          <w:color w:val="auto"/>
        </w:rPr>
        <w:t>Notice of Allegations</w:t>
      </w:r>
      <w:r>
        <w:rPr>
          <w:rFonts w:ascii="Arial" w:cs="Arial" w:eastAsia="Arial" w:hAnsi="Arial"/>
          <w:sz w:val="14"/>
          <w:szCs w:val="14"/>
          <w:color w:val="auto"/>
        </w:rPr>
        <w:t>. Each Party shall notify the other in writing of any allegations it receives from a Third Party that the manufacture, production, use, development, sale or distribution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any Product or any technology or intellectual property licensed by a Party under this Agreement infringes the intellectual property rights of such Third Party. Such notice shall be provided promptly, but in no event after more than fifteen (15) business days, following receipt of such allegations.</w:t>
      </w:r>
    </w:p>
    <w:p>
      <w:pPr>
        <w:spacing w:after="0" w:line="105" w:lineRule="exact"/>
        <w:rPr>
          <w:rFonts w:ascii="Arial" w:cs="Arial" w:eastAsia="Arial" w:hAnsi="Arial"/>
          <w:sz w:val="14"/>
          <w:szCs w:val="14"/>
          <w:color w:val="auto"/>
        </w:rPr>
      </w:pPr>
    </w:p>
    <w:p>
      <w:pPr>
        <w:ind w:left="-4" w:firstLine="920"/>
        <w:spacing w:after="0" w:line="303" w:lineRule="auto"/>
        <w:tabs>
          <w:tab w:leader="none" w:pos="1105" w:val="left"/>
        </w:tabs>
        <w:numPr>
          <w:ilvl w:val="1"/>
          <w:numId w:val="763"/>
        </w:numPr>
        <w:rPr>
          <w:rFonts w:ascii="Arial" w:cs="Arial" w:eastAsia="Arial" w:hAnsi="Arial"/>
          <w:sz w:val="12"/>
          <w:szCs w:val="12"/>
          <w:color w:val="auto"/>
        </w:rPr>
      </w:pPr>
      <w:r>
        <w:rPr>
          <w:rFonts w:ascii="Arial" w:cs="Arial" w:eastAsia="Arial" w:hAnsi="Arial"/>
          <w:sz w:val="12"/>
          <w:szCs w:val="12"/>
          <w:b w:val="1"/>
          <w:bCs w:val="1"/>
          <w:color w:val="auto"/>
        </w:rPr>
        <w:t>Notice of Suit</w:t>
      </w:r>
      <w:r>
        <w:rPr>
          <w:rFonts w:ascii="Arial" w:cs="Arial" w:eastAsia="Arial" w:hAnsi="Arial"/>
          <w:sz w:val="12"/>
          <w:szCs w:val="12"/>
          <w:color w:val="auto"/>
        </w:rPr>
        <w:t>. In the event that a Party receives notice that it or any of its Affiliates have been individually named as a defendant in a legal proceeding by a Third Party alleging infringement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of a Third Party’s Patents or other intellectual property right as a result of the manufacture, production, use, development, sale or distribution of Products or any technology or intellectual property licensed by a Party under this Agreement, such Party shall immediately notify the other Party in writing and in no event notify such other Party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receipt of such notice. Such written notice shall include a copy of any summons or complaint (or the equivalent thereof) received regarding the foregoing. Each Party shall assert and not waive the joint defense privilege with respect to all communications between the Parties reasonably the subject thereof. In such event, the Parties shall agree how best to mitigate or control the defense of any such legal proceeding; provided however, that if either Party or any of its Affiliates have been individually named as a defendant in a legal proceeding relating to</w:t>
      </w:r>
    </w:p>
    <w:p>
      <w:pPr>
        <w:spacing w:after="0" w:line="74" w:lineRule="exact"/>
        <w:rPr>
          <w:rFonts w:ascii="Arial" w:cs="Arial" w:eastAsia="Arial" w:hAnsi="Arial"/>
          <w:sz w:val="12"/>
          <w:szCs w:val="12"/>
          <w:color w:val="auto"/>
        </w:rPr>
      </w:pPr>
    </w:p>
    <w:p>
      <w:pPr>
        <w:ind w:left="236" w:hanging="236"/>
        <w:spacing w:after="0"/>
        <w:tabs>
          <w:tab w:leader="none" w:pos="236" w:val="left"/>
        </w:tabs>
        <w:numPr>
          <w:ilvl w:val="0"/>
          <w:numId w:val="76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56"/>
          </w:cols>
          <w:pgMar w:left="224" w:top="247" w:right="219" w:bottom="1440" w:gutter="0" w:footer="0" w:header="0"/>
        </w:sectPr>
      </w:pPr>
    </w:p>
    <w:bookmarkStart w:id="667" w:name="page668"/>
    <w:bookmarkEnd w:id="667"/>
    <w:p>
      <w:pPr>
        <w:ind w:right="4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alleged infringement of a Third Party’s Patents or other intellectual property right as a result of the manufacture, production, use, development, sale or distribution of Products, the other Party shall be allowed to join in such action, at its own expense.</w:t>
      </w:r>
    </w:p>
    <w:p>
      <w:pPr>
        <w:spacing w:after="0" w:line="99" w:lineRule="exact"/>
        <w:rPr>
          <w:sz w:val="20"/>
          <w:szCs w:val="20"/>
          <w:color w:val="auto"/>
        </w:rPr>
      </w:pPr>
    </w:p>
    <w:p>
      <w:pPr>
        <w:ind w:right="20" w:firstLine="920"/>
        <w:spacing w:after="0" w:line="256" w:lineRule="auto"/>
        <w:tabs>
          <w:tab w:leader="none" w:pos="1101" w:val="left"/>
        </w:tabs>
        <w:numPr>
          <w:ilvl w:val="1"/>
          <w:numId w:val="764"/>
        </w:numPr>
        <w:rPr>
          <w:rFonts w:ascii="Arial" w:cs="Arial" w:eastAsia="Arial" w:hAnsi="Arial"/>
          <w:sz w:val="14"/>
          <w:szCs w:val="14"/>
          <w:color w:val="auto"/>
        </w:rPr>
      </w:pPr>
      <w:r>
        <w:rPr>
          <w:rFonts w:ascii="Arial" w:cs="Arial" w:eastAsia="Arial" w:hAnsi="Arial"/>
          <w:sz w:val="14"/>
          <w:szCs w:val="14"/>
          <w:b w:val="1"/>
          <w:bCs w:val="1"/>
          <w:color w:val="auto"/>
        </w:rPr>
        <w:t>Status; Settlement</w:t>
      </w:r>
      <w:r>
        <w:rPr>
          <w:rFonts w:ascii="Arial" w:cs="Arial" w:eastAsia="Arial" w:hAnsi="Arial"/>
          <w:sz w:val="14"/>
          <w:szCs w:val="14"/>
          <w:color w:val="auto"/>
        </w:rPr>
        <w:t>. The Parties shall keep each other informed of the status of and of their respective activities regarding any litigation or settlement thereof initiated by a Third Party in the</w:t>
      </w:r>
      <w:r>
        <w:rPr>
          <w:rFonts w:ascii="Arial" w:cs="Arial" w:eastAsia="Arial" w:hAnsi="Arial"/>
          <w:sz w:val="14"/>
          <w:szCs w:val="14"/>
          <w:b w:val="1"/>
          <w:bCs w:val="1"/>
          <w:color w:val="auto"/>
        </w:rPr>
        <w:t xml:space="preserve"> </w:t>
      </w:r>
      <w:r>
        <w:rPr>
          <w:rFonts w:ascii="Arial" w:cs="Arial" w:eastAsia="Arial" w:hAnsi="Arial"/>
          <w:sz w:val="14"/>
          <w:szCs w:val="14"/>
          <w:color w:val="auto"/>
        </w:rPr>
        <w:t>Territory concerning a Party’s manufacture, production, use, development, sale or distribution of Products or any technology or intellectual property licensed by a Party under this Agreement; provided, however, that no settlement or consent judgment or other voluntary final disposition of a suit under this Section 15.6(c) may be undertaken by a Party without the consent of the other Party which consent shall not be unreasonably withheld or delayed.</w:t>
      </w:r>
    </w:p>
    <w:p>
      <w:pPr>
        <w:spacing w:after="0" w:line="107" w:lineRule="exact"/>
        <w:rPr>
          <w:rFonts w:ascii="Arial" w:cs="Arial" w:eastAsia="Arial" w:hAnsi="Arial"/>
          <w:sz w:val="14"/>
          <w:szCs w:val="14"/>
          <w:color w:val="auto"/>
        </w:rPr>
      </w:pPr>
    </w:p>
    <w:p>
      <w:pPr>
        <w:ind w:left="200" w:hanging="196"/>
        <w:spacing w:after="0"/>
        <w:tabs>
          <w:tab w:leader="none" w:pos="200" w:val="left"/>
        </w:tabs>
        <w:numPr>
          <w:ilvl w:val="0"/>
          <w:numId w:val="765"/>
        </w:numPr>
        <w:rPr>
          <w:rFonts w:ascii="Arial" w:cs="Arial" w:eastAsia="Arial" w:hAnsi="Arial"/>
          <w:sz w:val="14"/>
          <w:szCs w:val="14"/>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ERMS AND</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ERMINATION</w:t>
      </w:r>
    </w:p>
    <w:p>
      <w:pPr>
        <w:spacing w:after="0" w:line="132"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b w:val="1"/>
          <w:bCs w:val="1"/>
          <w:color w:val="auto"/>
        </w:rPr>
        <w:t>Term.</w:t>
      </w:r>
      <w:r>
        <w:rPr>
          <w:rFonts w:ascii="Arial" w:cs="Arial" w:eastAsia="Arial" w:hAnsi="Arial"/>
          <w:sz w:val="14"/>
          <w:szCs w:val="14"/>
          <w:color w:val="auto"/>
        </w:rPr>
        <w:t xml:space="preserve"> Unless earlier terminated, this Agreement shall continue in effect until the expiration of the Royalty Term as defined in Section 1.87 (“</w:t>
      </w:r>
      <w:r>
        <w:rPr>
          <w:rFonts w:ascii="Arial" w:cs="Arial" w:eastAsia="Arial" w:hAnsi="Arial"/>
          <w:sz w:val="14"/>
          <w:szCs w:val="14"/>
          <w:b w:val="1"/>
          <w:bCs w:val="1"/>
          <w:color w:val="auto"/>
        </w:rPr>
        <w:t>Term</w:t>
      </w:r>
      <w:r>
        <w:rPr>
          <w:rFonts w:ascii="Arial" w:cs="Arial" w:eastAsia="Arial" w:hAnsi="Arial"/>
          <w:sz w:val="14"/>
          <w:szCs w:val="14"/>
          <w:color w:val="auto"/>
        </w:rPr>
        <w:t>”), and thereafter Green Cross has no remaining payment obligations with respect to the Products pursuant to Section 8.5 above and MacroGenics shall have no further obligations hereunder.</w:t>
      </w:r>
    </w:p>
    <w:p>
      <w:pPr>
        <w:spacing w:after="0" w:line="97" w:lineRule="exact"/>
        <w:rPr>
          <w:sz w:val="20"/>
          <w:szCs w:val="20"/>
          <w:color w:val="auto"/>
        </w:rPr>
      </w:pPr>
    </w:p>
    <w:p>
      <w:pPr>
        <w:jc w:val="both"/>
        <w:ind w:right="60" w:firstLine="458"/>
        <w:spacing w:after="0" w:line="259" w:lineRule="auto"/>
        <w:rPr>
          <w:sz w:val="20"/>
          <w:szCs w:val="20"/>
          <w:color w:val="auto"/>
        </w:rPr>
      </w:pPr>
      <w:r>
        <w:rPr>
          <w:rFonts w:ascii="Arial" w:cs="Arial" w:eastAsia="Arial" w:hAnsi="Arial"/>
          <w:sz w:val="14"/>
          <w:szCs w:val="14"/>
          <w:color w:val="auto"/>
        </w:rPr>
        <w:t xml:space="preserve">16.2 </w:t>
      </w:r>
      <w:r>
        <w:rPr>
          <w:rFonts w:ascii="Arial" w:cs="Arial" w:eastAsia="Arial" w:hAnsi="Arial"/>
          <w:sz w:val="14"/>
          <w:szCs w:val="14"/>
          <w:b w:val="1"/>
          <w:bCs w:val="1"/>
          <w:color w:val="auto"/>
        </w:rPr>
        <w:t>Termination for Change in Control of Green Cross</w:t>
      </w:r>
      <w:r>
        <w:rPr>
          <w:rFonts w:ascii="Arial" w:cs="Arial" w:eastAsia="Arial" w:hAnsi="Arial"/>
          <w:sz w:val="14"/>
          <w:szCs w:val="14"/>
          <w:color w:val="auto"/>
        </w:rPr>
        <w:t xml:space="preserve">. In the event of a Change in Control involving Green Cross, Green Cross shall provide prompt written notice to MacroGenics following such Change in Control, and MacroGenics may, in its sole discretion, terminate this Agreement by providing written notice to Green Cross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of MacroGenics’ receipt of such written notice of the Change in Control.</w:t>
      </w:r>
    </w:p>
    <w:p>
      <w:pPr>
        <w:spacing w:after="0" w:line="106" w:lineRule="exact"/>
        <w:rPr>
          <w:sz w:val="20"/>
          <w:szCs w:val="20"/>
          <w:color w:val="auto"/>
        </w:rPr>
      </w:pPr>
    </w:p>
    <w:p>
      <w:pPr>
        <w:ind w:right="260" w:firstLine="458"/>
        <w:spacing w:after="0" w:line="259" w:lineRule="auto"/>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b w:val="1"/>
          <w:bCs w:val="1"/>
          <w:color w:val="auto"/>
        </w:rPr>
        <w:t>Termination for Change in Control of MacroGenics</w:t>
      </w:r>
      <w:r>
        <w:rPr>
          <w:rFonts w:ascii="Arial" w:cs="Arial" w:eastAsia="Arial" w:hAnsi="Arial"/>
          <w:sz w:val="14"/>
          <w:szCs w:val="14"/>
          <w:color w:val="auto"/>
        </w:rPr>
        <w:t xml:space="preserve">. In the event of a Change in Control involving MacroGenics, MacroGenics shall provide prompt written notice to Green Cross following such Change in Control, and Green Cross may, in its sole discretion, terminate this Agreement by providing written notice to MacroGenics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of Green Cross’ receipt of such written notice of the Change in Control.</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16.4 </w:t>
      </w:r>
      <w:r>
        <w:rPr>
          <w:rFonts w:ascii="Arial" w:cs="Arial" w:eastAsia="Arial" w:hAnsi="Arial"/>
          <w:sz w:val="12"/>
          <w:szCs w:val="12"/>
          <w:b w:val="1"/>
          <w:bCs w:val="1"/>
          <w:color w:val="auto"/>
        </w:rPr>
        <w:t>Termination for Challenge to Patent Validity</w:t>
      </w:r>
      <w:r>
        <w:rPr>
          <w:rFonts w:ascii="Arial" w:cs="Arial" w:eastAsia="Arial" w:hAnsi="Arial"/>
          <w:sz w:val="12"/>
          <w:szCs w:val="12"/>
          <w:color w:val="auto"/>
        </w:rPr>
        <w:t>. MacroGenics may terminate this Agreement immediately upon written notice to Green Cross in the event Green Cross or any of its Affiliates:</w:t>
      </w:r>
    </w:p>
    <w:p>
      <w:pPr>
        <w:spacing w:after="0" w:line="157" w:lineRule="exact"/>
        <w:rPr>
          <w:sz w:val="20"/>
          <w:szCs w:val="20"/>
          <w:color w:val="auto"/>
        </w:rPr>
      </w:pPr>
    </w:p>
    <w:p>
      <w:pPr>
        <w:jc w:val="both"/>
        <w:ind w:firstLine="920"/>
        <w:spacing w:after="0" w:line="258" w:lineRule="auto"/>
        <w:tabs>
          <w:tab w:leader="none" w:pos="1101" w:val="left"/>
        </w:tabs>
        <w:numPr>
          <w:ilvl w:val="1"/>
          <w:numId w:val="766"/>
        </w:numPr>
        <w:rPr>
          <w:rFonts w:ascii="Arial" w:cs="Arial" w:eastAsia="Arial" w:hAnsi="Arial"/>
          <w:sz w:val="14"/>
          <w:szCs w:val="14"/>
          <w:color w:val="auto"/>
        </w:rPr>
      </w:pPr>
      <w:r>
        <w:rPr>
          <w:rFonts w:ascii="Arial" w:cs="Arial" w:eastAsia="Arial" w:hAnsi="Arial"/>
          <w:sz w:val="14"/>
          <w:szCs w:val="14"/>
          <w:color w:val="auto"/>
        </w:rPr>
        <w:t>directly or indirectly oppose, or assist any Third Party to oppose, in any patent office proceeding, the grant of any patent or patent application within the MacroGenics Licensed Patents, or, in any patent office proceeding, dispute or directly or indirectly assist any Third Party to dispute, the validity of any patent within the MacroGenics Licensed Patents or any of the claims thereof, including opposing any application for amendment thereto;</w:t>
      </w:r>
    </w:p>
    <w:p>
      <w:pPr>
        <w:spacing w:after="0" w:line="97" w:lineRule="exact"/>
        <w:rPr>
          <w:rFonts w:ascii="Arial" w:cs="Arial" w:eastAsia="Arial" w:hAnsi="Arial"/>
          <w:sz w:val="14"/>
          <w:szCs w:val="14"/>
          <w:color w:val="auto"/>
        </w:rPr>
      </w:pPr>
    </w:p>
    <w:p>
      <w:pPr>
        <w:ind w:left="240" w:hanging="236"/>
        <w:spacing w:after="0"/>
        <w:tabs>
          <w:tab w:leader="none" w:pos="240" w:val="left"/>
        </w:tabs>
        <w:numPr>
          <w:ilvl w:val="0"/>
          <w:numId w:val="766"/>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248" w:right="219" w:bottom="1440" w:gutter="0" w:footer="0" w:header="0"/>
        </w:sectPr>
      </w:pPr>
    </w:p>
    <w:bookmarkStart w:id="668" w:name="page669"/>
    <w:bookmarkEnd w:id="668"/>
    <w:p>
      <w:pPr>
        <w:ind w:right="160" w:firstLine="920"/>
        <w:spacing w:after="0" w:line="351" w:lineRule="auto"/>
        <w:tabs>
          <w:tab w:leader="none" w:pos="1109" w:val="left"/>
        </w:tabs>
        <w:numPr>
          <w:ilvl w:val="0"/>
          <w:numId w:val="76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directly or indirectly oppose, or assist any Third Party to oppose, in any court proceeding, the grant of any patent or patent application within the MacroGenics Licensed Patents, or, in any court proceeding, dispute or directly or indirectly assist any Third Party to dispute, the validity of any patent within the MacroGenics Licensed Patents or any of the claims thereof; or</w:t>
      </w:r>
    </w:p>
    <w:p>
      <w:pPr>
        <w:spacing w:after="0" w:line="56" w:lineRule="exact"/>
        <w:rPr>
          <w:rFonts w:ascii="Arial" w:cs="Arial" w:eastAsia="Arial" w:hAnsi="Arial"/>
          <w:sz w:val="12"/>
          <w:szCs w:val="12"/>
          <w:color w:val="auto"/>
        </w:rPr>
      </w:pPr>
    </w:p>
    <w:p>
      <w:pPr>
        <w:ind w:firstLine="920"/>
        <w:spacing w:after="0" w:line="351" w:lineRule="auto"/>
        <w:tabs>
          <w:tab w:leader="none" w:pos="1101" w:val="left"/>
        </w:tabs>
        <w:numPr>
          <w:ilvl w:val="0"/>
          <w:numId w:val="767"/>
        </w:numPr>
        <w:rPr>
          <w:rFonts w:ascii="Arial" w:cs="Arial" w:eastAsia="Arial" w:hAnsi="Arial"/>
          <w:sz w:val="12"/>
          <w:szCs w:val="12"/>
          <w:color w:val="auto"/>
        </w:rPr>
      </w:pPr>
      <w:r>
        <w:rPr>
          <w:rFonts w:ascii="Arial" w:cs="Arial" w:eastAsia="Arial" w:hAnsi="Arial"/>
          <w:sz w:val="12"/>
          <w:szCs w:val="12"/>
          <w:color w:val="auto"/>
        </w:rPr>
        <w:t>bring any claim or proceedings of whatever nature in relation to the MacroGenics Licensed Patents against MacroGenics and/or any of MacroGenics’ Affiliates (or in respect of the foregoing their directors and officers) in respect of any activities carried out by them under any MacroGenics Licensed Patents which may be the subject of a Valid Claim of the MacroGenics Licensed Patents.</w:t>
      </w:r>
    </w:p>
    <w:p>
      <w:pPr>
        <w:spacing w:after="0" w:line="54" w:lineRule="exact"/>
        <w:rPr>
          <w:sz w:val="20"/>
          <w:szCs w:val="20"/>
          <w:color w:val="auto"/>
        </w:rPr>
      </w:pPr>
    </w:p>
    <w:p>
      <w:pPr>
        <w:ind w:firstLine="458"/>
        <w:spacing w:after="0" w:line="355" w:lineRule="auto"/>
        <w:rPr>
          <w:sz w:val="20"/>
          <w:szCs w:val="20"/>
          <w:color w:val="auto"/>
        </w:rPr>
      </w:pPr>
      <w:r>
        <w:rPr>
          <w:rFonts w:ascii="Arial" w:cs="Arial" w:eastAsia="Arial" w:hAnsi="Arial"/>
          <w:sz w:val="12"/>
          <w:szCs w:val="12"/>
          <w:color w:val="auto"/>
        </w:rPr>
        <w:t xml:space="preserve">16.5 </w:t>
      </w:r>
      <w:r>
        <w:rPr>
          <w:rFonts w:ascii="Arial" w:cs="Arial" w:eastAsia="Arial" w:hAnsi="Arial"/>
          <w:sz w:val="12"/>
          <w:szCs w:val="12"/>
          <w:b w:val="1"/>
          <w:bCs w:val="1"/>
          <w:color w:val="auto"/>
        </w:rPr>
        <w:t>Termination for Cause</w:t>
      </w:r>
      <w:r>
        <w:rPr>
          <w:rFonts w:ascii="Arial" w:cs="Arial" w:eastAsia="Arial" w:hAnsi="Arial"/>
          <w:sz w:val="12"/>
          <w:szCs w:val="12"/>
          <w:color w:val="auto"/>
        </w:rPr>
        <w:t xml:space="preserve">. This Agreement may be terminated at any time during the Term upon written notice by either Party if the other Party is in material breach of its other obligations under this Agreement and, in each case, has not cured such breach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notice requesting cure of the breach (other than for non-payment which shall be cured within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16.6 </w:t>
      </w:r>
      <w:r>
        <w:rPr>
          <w:rFonts w:ascii="Arial" w:cs="Arial" w:eastAsia="Arial" w:hAnsi="Arial"/>
          <w:sz w:val="14"/>
          <w:szCs w:val="14"/>
          <w:b w:val="1"/>
          <w:bCs w:val="1"/>
          <w:color w:val="auto"/>
        </w:rPr>
        <w:t>Effect of Termination</w:t>
      </w:r>
    </w:p>
    <w:p>
      <w:pPr>
        <w:spacing w:after="0" w:line="134" w:lineRule="exact"/>
        <w:rPr>
          <w:sz w:val="20"/>
          <w:szCs w:val="20"/>
          <w:color w:val="auto"/>
        </w:rPr>
      </w:pPr>
    </w:p>
    <w:p>
      <w:pPr>
        <w:ind w:left="1100" w:hanging="180"/>
        <w:spacing w:after="0"/>
        <w:tabs>
          <w:tab w:leader="none" w:pos="1100" w:val="left"/>
        </w:tabs>
        <w:numPr>
          <w:ilvl w:val="1"/>
          <w:numId w:val="768"/>
        </w:numPr>
        <w:rPr>
          <w:rFonts w:ascii="Arial" w:cs="Arial" w:eastAsia="Arial" w:hAnsi="Arial"/>
          <w:sz w:val="14"/>
          <w:szCs w:val="14"/>
          <w:color w:val="auto"/>
        </w:rPr>
      </w:pPr>
      <w:r>
        <w:rPr>
          <w:rFonts w:ascii="Arial" w:cs="Arial" w:eastAsia="Arial" w:hAnsi="Arial"/>
          <w:sz w:val="14"/>
          <w:szCs w:val="14"/>
          <w:color w:val="auto"/>
        </w:rPr>
        <w:t>If MacroGenics terminates this Agreement pursuant to Section 16.2, 16.4, or pursuant to Section 16.5 for cause based on material breach by Green Cross:</w:t>
      </w:r>
    </w:p>
    <w:p>
      <w:pPr>
        <w:spacing w:after="0" w:line="68" w:lineRule="exact"/>
        <w:rPr>
          <w:rFonts w:ascii="Arial" w:cs="Arial" w:eastAsia="Arial" w:hAnsi="Arial"/>
          <w:sz w:val="14"/>
          <w:szCs w:val="14"/>
          <w:color w:val="auto"/>
        </w:rPr>
      </w:pPr>
    </w:p>
    <w:p>
      <w:pPr>
        <w:ind w:left="1500" w:hanging="158"/>
        <w:spacing w:after="0"/>
        <w:tabs>
          <w:tab w:leader="none" w:pos="1500" w:val="left"/>
        </w:tabs>
        <w:numPr>
          <w:ilvl w:val="2"/>
          <w:numId w:val="768"/>
        </w:numPr>
        <w:rPr>
          <w:rFonts w:ascii="Arial" w:cs="Arial" w:eastAsia="Arial" w:hAnsi="Arial"/>
          <w:sz w:val="14"/>
          <w:szCs w:val="14"/>
          <w:color w:val="auto"/>
        </w:rPr>
      </w:pPr>
      <w:r>
        <w:rPr>
          <w:rFonts w:ascii="Arial" w:cs="Arial" w:eastAsia="Arial" w:hAnsi="Arial"/>
          <w:sz w:val="14"/>
          <w:szCs w:val="14"/>
          <w:color w:val="auto"/>
        </w:rPr>
        <w:t>Green Cross shall pay any amounts due pursuant to Section 8 prior to the date of termination;</w:t>
      </w:r>
    </w:p>
    <w:p>
      <w:pPr>
        <w:spacing w:after="0" w:line="68" w:lineRule="exact"/>
        <w:rPr>
          <w:rFonts w:ascii="Arial" w:cs="Arial" w:eastAsia="Arial" w:hAnsi="Arial"/>
          <w:sz w:val="14"/>
          <w:szCs w:val="14"/>
          <w:color w:val="auto"/>
        </w:rPr>
      </w:pPr>
    </w:p>
    <w:p>
      <w:pPr>
        <w:ind w:left="1540" w:hanging="198"/>
        <w:spacing w:after="0"/>
        <w:tabs>
          <w:tab w:leader="none" w:pos="1540" w:val="left"/>
        </w:tabs>
        <w:numPr>
          <w:ilvl w:val="2"/>
          <w:numId w:val="768"/>
        </w:numPr>
        <w:rPr>
          <w:rFonts w:ascii="Arial" w:cs="Arial" w:eastAsia="Arial" w:hAnsi="Arial"/>
          <w:sz w:val="14"/>
          <w:szCs w:val="14"/>
          <w:color w:val="auto"/>
        </w:rPr>
      </w:pPr>
      <w:r>
        <w:rPr>
          <w:rFonts w:ascii="Arial" w:cs="Arial" w:eastAsia="Arial" w:hAnsi="Arial"/>
          <w:sz w:val="14"/>
          <w:szCs w:val="14"/>
          <w:color w:val="auto"/>
        </w:rPr>
        <w:t>For the avoidance of doubt, the licenses and sublicenses granted to Green Cross under Sections 10.1(a) and 10.4 shall terminate;</w:t>
      </w:r>
    </w:p>
    <w:p>
      <w:pPr>
        <w:spacing w:after="0" w:line="68" w:lineRule="exact"/>
        <w:rPr>
          <w:rFonts w:ascii="Arial" w:cs="Arial" w:eastAsia="Arial" w:hAnsi="Arial"/>
          <w:sz w:val="14"/>
          <w:szCs w:val="14"/>
          <w:color w:val="auto"/>
        </w:rPr>
      </w:pPr>
    </w:p>
    <w:p>
      <w:pPr>
        <w:ind w:left="920" w:right="100" w:firstLine="422"/>
        <w:spacing w:after="0" w:line="267" w:lineRule="auto"/>
        <w:tabs>
          <w:tab w:leader="none" w:pos="1579" w:val="left"/>
        </w:tabs>
        <w:numPr>
          <w:ilvl w:val="2"/>
          <w:numId w:val="768"/>
        </w:numPr>
        <w:rPr>
          <w:rFonts w:ascii="Arial" w:cs="Arial" w:eastAsia="Arial" w:hAnsi="Arial"/>
          <w:sz w:val="14"/>
          <w:szCs w:val="14"/>
          <w:color w:val="auto"/>
        </w:rPr>
      </w:pPr>
      <w:r>
        <w:rPr>
          <w:rFonts w:ascii="Arial" w:cs="Arial" w:eastAsia="Arial" w:hAnsi="Arial"/>
          <w:sz w:val="14"/>
          <w:szCs w:val="14"/>
          <w:color w:val="auto"/>
        </w:rPr>
        <w:t>Green Cross shall return to MacroGenics all Products (including, without limitation, all MGAH22) within its possession or control and arrange for the Green Cross Sublicensees to return to MacroGenics all Products (including, without limitation, all MGAH22) within such Green Cross Sublicensees’ possession or control;</w:t>
      </w:r>
    </w:p>
    <w:p>
      <w:pPr>
        <w:spacing w:after="0" w:line="38" w:lineRule="exact"/>
        <w:rPr>
          <w:rFonts w:ascii="Arial" w:cs="Arial" w:eastAsia="Arial" w:hAnsi="Arial"/>
          <w:sz w:val="14"/>
          <w:szCs w:val="14"/>
          <w:color w:val="auto"/>
        </w:rPr>
      </w:pPr>
    </w:p>
    <w:p>
      <w:pPr>
        <w:ind w:left="1580" w:hanging="238"/>
        <w:spacing w:after="0"/>
        <w:tabs>
          <w:tab w:leader="none" w:pos="1580" w:val="left"/>
        </w:tabs>
        <w:numPr>
          <w:ilvl w:val="2"/>
          <w:numId w:val="768"/>
        </w:numPr>
        <w:rPr>
          <w:rFonts w:ascii="Arial" w:cs="Arial" w:eastAsia="Arial" w:hAnsi="Arial"/>
          <w:sz w:val="14"/>
          <w:szCs w:val="14"/>
          <w:color w:val="auto"/>
        </w:rPr>
      </w:pPr>
      <w:r>
        <w:rPr>
          <w:rFonts w:ascii="Arial" w:cs="Arial" w:eastAsia="Arial" w:hAnsi="Arial"/>
          <w:sz w:val="14"/>
          <w:szCs w:val="14"/>
          <w:color w:val="auto"/>
        </w:rPr>
        <w:t>Green Cross shall cease to research, develop, market and sell any Product that infringes a Valid Claim in a MacroGenics Licensed Patent;</w:t>
      </w:r>
    </w:p>
    <w:p>
      <w:pPr>
        <w:spacing w:after="0" w:line="68" w:lineRule="exact"/>
        <w:rPr>
          <w:rFonts w:ascii="Arial" w:cs="Arial" w:eastAsia="Arial" w:hAnsi="Arial"/>
          <w:sz w:val="14"/>
          <w:szCs w:val="14"/>
          <w:color w:val="auto"/>
        </w:rPr>
      </w:pPr>
    </w:p>
    <w:p>
      <w:pPr>
        <w:jc w:val="both"/>
        <w:ind w:left="920" w:right="80" w:firstLine="422"/>
        <w:spacing w:after="0" w:line="321" w:lineRule="auto"/>
        <w:tabs>
          <w:tab w:leader="none" w:pos="1534" w:val="left"/>
        </w:tabs>
        <w:numPr>
          <w:ilvl w:val="2"/>
          <w:numId w:val="768"/>
        </w:numPr>
        <w:rPr>
          <w:rFonts w:ascii="Arial" w:cs="Arial" w:eastAsia="Arial" w:hAnsi="Arial"/>
          <w:sz w:val="12"/>
          <w:szCs w:val="12"/>
          <w:color w:val="auto"/>
        </w:rPr>
      </w:pPr>
      <w:r>
        <w:rPr>
          <w:rFonts w:ascii="Arial" w:cs="Arial" w:eastAsia="Arial" w:hAnsi="Arial"/>
          <w:sz w:val="12"/>
          <w:szCs w:val="12"/>
          <w:color w:val="auto"/>
        </w:rPr>
        <w:t>for the Products (including, without limitation, MGAH22), Green Cross shall assign and promptly transfer to MacroGenics, at no expense to MacroGenics, all of Green Cross’ right, title and interest in and to (A) all regulatory filings (such as INDs, CTAs and drug master files), Regulatory Approvals, and clinical trial agreements (to the extent assignable and not cancelled) for such Products(s), to the extent that MacroGenics elects to continue development of such Product(s); (B) all data, including clinical data, materials and information of any kind</w:t>
      </w:r>
    </w:p>
    <w:p>
      <w:pPr>
        <w:spacing w:after="0" w:line="62" w:lineRule="exact"/>
        <w:rPr>
          <w:rFonts w:ascii="Arial" w:cs="Arial" w:eastAsia="Arial" w:hAnsi="Arial"/>
          <w:sz w:val="12"/>
          <w:szCs w:val="12"/>
          <w:color w:val="auto"/>
        </w:rPr>
      </w:pPr>
    </w:p>
    <w:p>
      <w:pPr>
        <w:ind w:left="240" w:hanging="236"/>
        <w:spacing w:after="0"/>
        <w:tabs>
          <w:tab w:leader="none" w:pos="240" w:val="left"/>
        </w:tabs>
        <w:numPr>
          <w:ilvl w:val="0"/>
          <w:numId w:val="76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40"/>
          </w:cols>
          <w:pgMar w:left="220" w:top="247" w:right="239" w:bottom="1440" w:gutter="0" w:footer="0" w:header="0"/>
        </w:sectPr>
      </w:pPr>
    </w:p>
    <w:bookmarkStart w:id="669" w:name="page670"/>
    <w:bookmarkEnd w:id="669"/>
    <w:p>
      <w:pPr>
        <w:ind w:left="920" w:right="20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or nature whatsoever, in Green Cross’ possession or in the possession of its Affiliates or its or their respective agents related to such Product(s); (C) all trademarks related to such Products (if such termination occurs after approval of such trademark by a Regulatory Authority); and (D) all material information, and any other information reasonably requested and required by MacroGenics, relating to the manufacture of such Products;</w:t>
      </w:r>
    </w:p>
    <w:p>
      <w:pPr>
        <w:spacing w:after="0" w:line="45" w:lineRule="exact"/>
        <w:rPr>
          <w:sz w:val="20"/>
          <w:szCs w:val="20"/>
          <w:color w:val="auto"/>
        </w:rPr>
      </w:pPr>
    </w:p>
    <w:p>
      <w:pPr>
        <w:ind w:left="1580" w:hanging="238"/>
        <w:spacing w:after="0"/>
        <w:tabs>
          <w:tab w:leader="none" w:pos="1580" w:val="left"/>
        </w:tabs>
        <w:numPr>
          <w:ilvl w:val="1"/>
          <w:numId w:val="769"/>
        </w:numPr>
        <w:rPr>
          <w:rFonts w:ascii="Arial" w:cs="Arial" w:eastAsia="Arial" w:hAnsi="Arial"/>
          <w:sz w:val="14"/>
          <w:szCs w:val="14"/>
          <w:color w:val="auto"/>
        </w:rPr>
      </w:pPr>
      <w:r>
        <w:rPr>
          <w:rFonts w:ascii="Arial" w:cs="Arial" w:eastAsia="Arial" w:hAnsi="Arial"/>
          <w:sz w:val="14"/>
          <w:szCs w:val="14"/>
          <w:color w:val="auto"/>
        </w:rPr>
        <w:t>all sublicenses under the rights granted pursuant to Section 10.1(b) shall terminate; and</w:t>
      </w:r>
    </w:p>
    <w:p>
      <w:pPr>
        <w:spacing w:after="0" w:line="68" w:lineRule="exact"/>
        <w:rPr>
          <w:rFonts w:ascii="Arial" w:cs="Arial" w:eastAsia="Arial" w:hAnsi="Arial"/>
          <w:sz w:val="14"/>
          <w:szCs w:val="14"/>
          <w:color w:val="auto"/>
        </w:rPr>
      </w:pPr>
    </w:p>
    <w:p>
      <w:pPr>
        <w:ind w:left="920" w:right="100" w:firstLine="422"/>
        <w:spacing w:after="0" w:line="267" w:lineRule="auto"/>
        <w:tabs>
          <w:tab w:leader="none" w:pos="1609" w:val="left"/>
        </w:tabs>
        <w:numPr>
          <w:ilvl w:val="1"/>
          <w:numId w:val="769"/>
        </w:numPr>
        <w:rPr>
          <w:rFonts w:ascii="Arial" w:cs="Arial" w:eastAsia="Arial" w:hAnsi="Arial"/>
          <w:sz w:val="14"/>
          <w:szCs w:val="14"/>
          <w:color w:val="auto"/>
        </w:rPr>
      </w:pPr>
      <w:r>
        <w:rPr>
          <w:rFonts w:ascii="Arial" w:cs="Arial" w:eastAsia="Arial" w:hAnsi="Arial"/>
          <w:sz w:val="14"/>
          <w:szCs w:val="14"/>
          <w:color w:val="auto"/>
        </w:rPr>
        <w:t>MacroGenics shall revoke (and Green Cross shall allow revocation of) any powers of attorney for any MacroGenics Licensed Patents that Green Cross holds as of the time of such termination; and</w:t>
      </w:r>
    </w:p>
    <w:p>
      <w:pPr>
        <w:spacing w:after="0" w:line="101" w:lineRule="exact"/>
        <w:rPr>
          <w:rFonts w:ascii="Arial" w:cs="Arial" w:eastAsia="Arial" w:hAnsi="Arial"/>
          <w:sz w:val="14"/>
          <w:szCs w:val="14"/>
          <w:color w:val="auto"/>
        </w:rPr>
      </w:pPr>
    </w:p>
    <w:p>
      <w:pPr>
        <w:ind w:left="1120" w:hanging="200"/>
        <w:spacing w:after="0"/>
        <w:tabs>
          <w:tab w:leader="none" w:pos="1120" w:val="left"/>
        </w:tabs>
        <w:numPr>
          <w:ilvl w:val="0"/>
          <w:numId w:val="770"/>
        </w:numPr>
        <w:rPr>
          <w:rFonts w:ascii="Arial" w:cs="Arial" w:eastAsia="Arial" w:hAnsi="Arial"/>
          <w:sz w:val="14"/>
          <w:szCs w:val="14"/>
          <w:color w:val="auto"/>
        </w:rPr>
      </w:pPr>
      <w:r>
        <w:rPr>
          <w:rFonts w:ascii="Arial" w:cs="Arial" w:eastAsia="Arial" w:hAnsi="Arial"/>
          <w:sz w:val="14"/>
          <w:szCs w:val="14"/>
          <w:color w:val="auto"/>
        </w:rPr>
        <w:t>If Green Cross terminates this Agreement pursuant to Section 16.3:</w:t>
      </w:r>
    </w:p>
    <w:p>
      <w:pPr>
        <w:spacing w:after="0" w:line="68" w:lineRule="exact"/>
        <w:rPr>
          <w:rFonts w:ascii="Arial" w:cs="Arial" w:eastAsia="Arial" w:hAnsi="Arial"/>
          <w:sz w:val="14"/>
          <w:szCs w:val="14"/>
          <w:color w:val="auto"/>
        </w:rPr>
      </w:pPr>
    </w:p>
    <w:p>
      <w:pPr>
        <w:ind w:left="1500" w:hanging="158"/>
        <w:spacing w:after="0"/>
        <w:tabs>
          <w:tab w:leader="none" w:pos="1500" w:val="left"/>
        </w:tabs>
        <w:numPr>
          <w:ilvl w:val="1"/>
          <w:numId w:val="770"/>
        </w:numPr>
        <w:rPr>
          <w:rFonts w:ascii="Arial" w:cs="Arial" w:eastAsia="Arial" w:hAnsi="Arial"/>
          <w:sz w:val="14"/>
          <w:szCs w:val="14"/>
          <w:color w:val="auto"/>
        </w:rPr>
      </w:pPr>
      <w:r>
        <w:rPr>
          <w:rFonts w:ascii="Arial" w:cs="Arial" w:eastAsia="Arial" w:hAnsi="Arial"/>
          <w:sz w:val="14"/>
          <w:szCs w:val="14"/>
          <w:color w:val="auto"/>
        </w:rPr>
        <w:t>The provisions of Section 16.6(a) shall apply;</w:t>
      </w:r>
    </w:p>
    <w:p>
      <w:pPr>
        <w:spacing w:after="0" w:line="66" w:lineRule="exact"/>
        <w:rPr>
          <w:rFonts w:ascii="Arial" w:cs="Arial" w:eastAsia="Arial" w:hAnsi="Arial"/>
          <w:sz w:val="14"/>
          <w:szCs w:val="14"/>
          <w:color w:val="auto"/>
        </w:rPr>
      </w:pPr>
    </w:p>
    <w:p>
      <w:pPr>
        <w:ind w:left="920" w:firstLine="422"/>
        <w:spacing w:after="0" w:line="270" w:lineRule="auto"/>
        <w:tabs>
          <w:tab w:leader="none" w:pos="1542" w:val="left"/>
        </w:tabs>
        <w:numPr>
          <w:ilvl w:val="1"/>
          <w:numId w:val="770"/>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MacroGenics shall continue to provide Green Cross, for up to </w:t>
      </w:r>
      <w:r>
        <w:rPr>
          <w:rFonts w:ascii="Arial" w:cs="Arial" w:eastAsia="Arial" w:hAnsi="Arial"/>
          <w:sz w:val="14"/>
          <w:szCs w:val="14"/>
          <w:b w:val="1"/>
          <w:bCs w:val="1"/>
          <w:color w:val="auto"/>
        </w:rPr>
        <w:t>***</w:t>
      </w:r>
      <w:r>
        <w:rPr>
          <w:rFonts w:ascii="Arial" w:cs="Arial" w:eastAsia="Arial" w:hAnsi="Arial"/>
          <w:sz w:val="14"/>
          <w:szCs w:val="14"/>
          <w:color w:val="auto"/>
        </w:rPr>
        <w:t>, the Products (including, without limitation, all MGAH22), at the request of Green Cross in accordance with the terms of Section 6.2; and</w:t>
      </w:r>
    </w:p>
    <w:p>
      <w:pPr>
        <w:spacing w:after="0" w:line="99" w:lineRule="exact"/>
        <w:rPr>
          <w:rFonts w:ascii="Arial" w:cs="Arial" w:eastAsia="Arial" w:hAnsi="Arial"/>
          <w:sz w:val="14"/>
          <w:szCs w:val="14"/>
          <w:color w:val="auto"/>
        </w:rPr>
      </w:pPr>
    </w:p>
    <w:p>
      <w:pPr>
        <w:ind w:left="1100" w:hanging="180"/>
        <w:spacing w:after="0"/>
        <w:tabs>
          <w:tab w:leader="none" w:pos="1100" w:val="left"/>
        </w:tabs>
        <w:numPr>
          <w:ilvl w:val="0"/>
          <w:numId w:val="770"/>
        </w:numPr>
        <w:rPr>
          <w:rFonts w:ascii="Arial" w:cs="Arial" w:eastAsia="Arial" w:hAnsi="Arial"/>
          <w:sz w:val="14"/>
          <w:szCs w:val="14"/>
          <w:color w:val="auto"/>
        </w:rPr>
      </w:pPr>
      <w:r>
        <w:rPr>
          <w:rFonts w:ascii="Arial" w:cs="Arial" w:eastAsia="Arial" w:hAnsi="Arial"/>
          <w:sz w:val="14"/>
          <w:szCs w:val="14"/>
          <w:color w:val="auto"/>
        </w:rPr>
        <w:t>If Green Cross terminates this Agreement pursuant to Section 16.5 for cause based on material breach by MacroGenics:</w:t>
      </w:r>
    </w:p>
    <w:p>
      <w:pPr>
        <w:spacing w:after="0" w:line="66" w:lineRule="exact"/>
        <w:rPr>
          <w:rFonts w:ascii="Arial" w:cs="Arial" w:eastAsia="Arial" w:hAnsi="Arial"/>
          <w:sz w:val="14"/>
          <w:szCs w:val="14"/>
          <w:color w:val="auto"/>
        </w:rPr>
      </w:pPr>
    </w:p>
    <w:p>
      <w:pPr>
        <w:ind w:left="1500" w:hanging="158"/>
        <w:spacing w:after="0"/>
        <w:tabs>
          <w:tab w:leader="none" w:pos="1500" w:val="left"/>
        </w:tabs>
        <w:numPr>
          <w:ilvl w:val="1"/>
          <w:numId w:val="770"/>
        </w:numPr>
        <w:rPr>
          <w:rFonts w:ascii="Arial" w:cs="Arial" w:eastAsia="Arial" w:hAnsi="Arial"/>
          <w:sz w:val="14"/>
          <w:szCs w:val="14"/>
          <w:color w:val="auto"/>
        </w:rPr>
      </w:pPr>
      <w:r>
        <w:rPr>
          <w:rFonts w:ascii="Arial" w:cs="Arial" w:eastAsia="Arial" w:hAnsi="Arial"/>
          <w:sz w:val="14"/>
          <w:szCs w:val="14"/>
          <w:color w:val="auto"/>
        </w:rPr>
        <w:t xml:space="preserve">As full satisfaction of any claims Green Cross may have based upon such material breach and termination,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ind w:left="2140" w:hanging="188"/>
        <w:spacing w:after="0"/>
        <w:tabs>
          <w:tab w:leader="none" w:pos="2140" w:val="left"/>
        </w:tabs>
        <w:numPr>
          <w:ilvl w:val="2"/>
          <w:numId w:val="770"/>
        </w:numPr>
        <w:rPr>
          <w:rFonts w:ascii="Arial" w:cs="Arial" w:eastAsia="Arial" w:hAnsi="Arial"/>
          <w:sz w:val="12"/>
          <w:szCs w:val="12"/>
          <w:b w:val="1"/>
          <w:bCs w:val="1"/>
          <w:color w:val="auto"/>
        </w:rPr>
      </w:pPr>
      <w:r>
        <w:rPr>
          <w:rFonts w:ascii="Arial" w:cs="Arial" w:eastAsia="Arial" w:hAnsi="Arial"/>
          <w:sz w:val="12"/>
          <w:szCs w:val="12"/>
          <w:color w:val="auto"/>
        </w:rPr>
        <w:t>Such material breach by MacroGenics results in a substantial reduction in the profit Green Cross would have received if such material breach and termination had not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occurred;</w:t>
      </w:r>
    </w:p>
    <w:p>
      <w:pPr>
        <w:spacing w:after="0" w:line="126" w:lineRule="exact"/>
        <w:rPr>
          <w:sz w:val="20"/>
          <w:szCs w:val="20"/>
          <w:color w:val="auto"/>
        </w:rPr>
      </w:pPr>
    </w:p>
    <w:p>
      <w:pPr>
        <w:ind w:left="2140" w:hanging="188"/>
        <w:spacing w:after="0"/>
        <w:tabs>
          <w:tab w:leader="none" w:pos="2140" w:val="left"/>
        </w:tabs>
        <w:numPr>
          <w:ilvl w:val="2"/>
          <w:numId w:val="771"/>
        </w:numPr>
        <w:rPr>
          <w:rFonts w:ascii="Arial" w:cs="Arial" w:eastAsia="Arial" w:hAnsi="Arial"/>
          <w:sz w:val="14"/>
          <w:szCs w:val="14"/>
          <w:b w:val="1"/>
          <w:bCs w:val="1"/>
          <w:color w:val="auto"/>
        </w:rPr>
      </w:pPr>
      <w:r>
        <w:rPr>
          <w:rFonts w:ascii="Arial" w:cs="Arial" w:eastAsia="Arial" w:hAnsi="Arial"/>
          <w:sz w:val="14"/>
          <w:szCs w:val="14"/>
          <w:color w:val="auto"/>
        </w:rPr>
        <w:t>MacroGenics committed such material breach other than as a result of a material breach committed by Green Cross; and</w:t>
      </w:r>
    </w:p>
    <w:p>
      <w:pPr>
        <w:spacing w:after="0" w:line="131" w:lineRule="exact"/>
        <w:rPr>
          <w:rFonts w:ascii="Arial" w:cs="Arial" w:eastAsia="Arial" w:hAnsi="Arial"/>
          <w:sz w:val="14"/>
          <w:szCs w:val="14"/>
          <w:b w:val="1"/>
          <w:bCs w:val="1"/>
          <w:color w:val="auto"/>
        </w:rPr>
      </w:pPr>
    </w:p>
    <w:p>
      <w:pPr>
        <w:ind w:left="2140" w:hanging="188"/>
        <w:spacing w:after="0"/>
        <w:tabs>
          <w:tab w:leader="none" w:pos="2140" w:val="left"/>
        </w:tabs>
        <w:numPr>
          <w:ilvl w:val="2"/>
          <w:numId w:val="771"/>
        </w:numPr>
        <w:rPr>
          <w:rFonts w:ascii="Arial" w:cs="Arial" w:eastAsia="Arial" w:hAnsi="Arial"/>
          <w:sz w:val="12"/>
          <w:szCs w:val="12"/>
          <w:b w:val="1"/>
          <w:bCs w:val="1"/>
          <w:color w:val="auto"/>
        </w:rPr>
      </w:pPr>
      <w:r>
        <w:rPr>
          <w:rFonts w:ascii="Arial" w:cs="Arial" w:eastAsia="Arial" w:hAnsi="Arial"/>
          <w:sz w:val="12"/>
          <w:szCs w:val="12"/>
          <w:color w:val="auto"/>
        </w:rPr>
        <w:t>Both Parties agree in writing not to undertake arbitration in accordance with Section 17.7 to determine whether MacroGenics committed a material breach.</w:t>
      </w:r>
    </w:p>
    <w:p>
      <w:pPr>
        <w:spacing w:after="0" w:line="91" w:lineRule="exact"/>
        <w:rPr>
          <w:rFonts w:ascii="Arial" w:cs="Arial" w:eastAsia="Arial" w:hAnsi="Arial"/>
          <w:sz w:val="12"/>
          <w:szCs w:val="12"/>
          <w:b w:val="1"/>
          <w:bCs w:val="1"/>
          <w:color w:val="auto"/>
        </w:rPr>
      </w:pPr>
    </w:p>
    <w:p>
      <w:pPr>
        <w:ind w:left="1540" w:hanging="198"/>
        <w:spacing w:after="0"/>
        <w:tabs>
          <w:tab w:leader="none" w:pos="1540" w:val="left"/>
        </w:tabs>
        <w:numPr>
          <w:ilvl w:val="1"/>
          <w:numId w:val="772"/>
        </w:numPr>
        <w:rPr>
          <w:rFonts w:ascii="Arial" w:cs="Arial" w:eastAsia="Arial" w:hAnsi="Arial"/>
          <w:sz w:val="14"/>
          <w:szCs w:val="14"/>
          <w:color w:val="auto"/>
        </w:rPr>
      </w:pPr>
      <w:r>
        <w:rPr>
          <w:rFonts w:ascii="Arial" w:cs="Arial" w:eastAsia="Arial" w:hAnsi="Arial"/>
          <w:sz w:val="14"/>
          <w:szCs w:val="14"/>
          <w:color w:val="auto"/>
        </w:rPr>
        <w:t>For the avoidance of doubt, the license granted under Section 10.3 shall terminate;</w:t>
      </w:r>
    </w:p>
    <w:p>
      <w:pPr>
        <w:spacing w:after="0" w:line="68" w:lineRule="exact"/>
        <w:rPr>
          <w:rFonts w:ascii="Arial" w:cs="Arial" w:eastAsia="Arial" w:hAnsi="Arial"/>
          <w:sz w:val="14"/>
          <w:szCs w:val="14"/>
          <w:color w:val="auto"/>
        </w:rPr>
      </w:pPr>
    </w:p>
    <w:p>
      <w:pPr>
        <w:ind w:left="1580" w:hanging="238"/>
        <w:spacing w:after="0"/>
        <w:tabs>
          <w:tab w:leader="none" w:pos="1580" w:val="left"/>
        </w:tabs>
        <w:numPr>
          <w:ilvl w:val="1"/>
          <w:numId w:val="772"/>
        </w:numPr>
        <w:rPr>
          <w:rFonts w:ascii="Arial" w:cs="Arial" w:eastAsia="Arial" w:hAnsi="Arial"/>
          <w:sz w:val="14"/>
          <w:szCs w:val="14"/>
          <w:color w:val="auto"/>
        </w:rPr>
      </w:pPr>
      <w:r>
        <w:rPr>
          <w:rFonts w:ascii="Arial" w:cs="Arial" w:eastAsia="Arial" w:hAnsi="Arial"/>
          <w:sz w:val="14"/>
          <w:szCs w:val="14"/>
          <w:color w:val="auto"/>
        </w:rPr>
        <w:t>The provisions of Section 16.6(a) shall apply;</w:t>
      </w:r>
    </w:p>
    <w:p>
      <w:pPr>
        <w:spacing w:after="0" w:line="66" w:lineRule="exact"/>
        <w:rPr>
          <w:rFonts w:ascii="Arial" w:cs="Arial" w:eastAsia="Arial" w:hAnsi="Arial"/>
          <w:sz w:val="14"/>
          <w:szCs w:val="14"/>
          <w:color w:val="auto"/>
        </w:rPr>
      </w:pPr>
    </w:p>
    <w:p>
      <w:pPr>
        <w:ind w:left="920" w:firstLine="422"/>
        <w:spacing w:after="0" w:line="270" w:lineRule="auto"/>
        <w:tabs>
          <w:tab w:leader="none" w:pos="1572" w:val="left"/>
        </w:tabs>
        <w:numPr>
          <w:ilvl w:val="1"/>
          <w:numId w:val="772"/>
        </w:numPr>
        <w:rPr>
          <w:rFonts w:ascii="Arial" w:cs="Arial" w:eastAsia="Arial" w:hAnsi="Arial"/>
          <w:sz w:val="14"/>
          <w:szCs w:val="14"/>
          <w:color w:val="auto"/>
        </w:rPr>
      </w:pPr>
      <w:r>
        <w:rPr>
          <w:rFonts w:ascii="Arial" w:cs="Arial" w:eastAsia="Arial" w:hAnsi="Arial"/>
          <w:sz w:val="14"/>
          <w:szCs w:val="14"/>
          <w:color w:val="auto"/>
        </w:rPr>
        <w:t>Notwithstanding anything to the contrary, MacroGenics shall continue to provide Green Cross, for up to</w:t>
      </w:r>
      <w:r>
        <w:rPr>
          <w:rFonts w:ascii="Arial" w:cs="Arial" w:eastAsia="Arial" w:hAnsi="Arial"/>
          <w:sz w:val="14"/>
          <w:szCs w:val="14"/>
          <w:b w:val="1"/>
          <w:bCs w:val="1"/>
          <w:color w:val="auto"/>
        </w:rPr>
        <w:t>***</w:t>
      </w:r>
      <w:r>
        <w:rPr>
          <w:rFonts w:ascii="Arial" w:cs="Arial" w:eastAsia="Arial" w:hAnsi="Arial"/>
          <w:sz w:val="14"/>
          <w:szCs w:val="14"/>
          <w:color w:val="auto"/>
        </w:rPr>
        <w:t>, the Products (including, without limitation, all MGAH22), at the request of Green Cross in accordance with the terms of Section 6.2; and</w:t>
      </w:r>
    </w:p>
    <w:p>
      <w:pPr>
        <w:spacing w:after="0" w:line="36" w:lineRule="exact"/>
        <w:rPr>
          <w:rFonts w:ascii="Arial" w:cs="Arial" w:eastAsia="Arial" w:hAnsi="Arial"/>
          <w:sz w:val="14"/>
          <w:szCs w:val="14"/>
          <w:color w:val="auto"/>
        </w:rPr>
      </w:pPr>
    </w:p>
    <w:p>
      <w:pPr>
        <w:ind w:left="920" w:right="180" w:firstLine="422"/>
        <w:spacing w:after="0" w:line="267" w:lineRule="auto"/>
        <w:tabs>
          <w:tab w:leader="none" w:pos="1534" w:val="left"/>
        </w:tabs>
        <w:numPr>
          <w:ilvl w:val="1"/>
          <w:numId w:val="772"/>
        </w:numPr>
        <w:rPr>
          <w:rFonts w:ascii="Arial" w:cs="Arial" w:eastAsia="Arial" w:hAnsi="Arial"/>
          <w:sz w:val="14"/>
          <w:szCs w:val="14"/>
          <w:color w:val="auto"/>
        </w:rPr>
      </w:pPr>
      <w:r>
        <w:rPr>
          <w:rFonts w:ascii="Arial" w:cs="Arial" w:eastAsia="Arial" w:hAnsi="Arial"/>
          <w:sz w:val="14"/>
          <w:szCs w:val="14"/>
          <w:color w:val="auto"/>
        </w:rPr>
        <w:t>Green Cross shall revoke (and MacroGenics shall allow revocation of) any powers of attorney for any Green Cross Licensed Patents that MacroGenics holds as of the time of such termination.</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77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40"/>
          </w:cols>
          <w:pgMar w:left="220" w:top="247" w:right="239" w:bottom="1440" w:gutter="0" w:footer="0" w:header="0"/>
        </w:sectPr>
      </w:pPr>
    </w:p>
    <w:bookmarkStart w:id="670" w:name="page671"/>
    <w:bookmarkEnd w:id="670"/>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(d) </w:t>
      </w:r>
      <w:r>
        <w:rPr>
          <w:rFonts w:ascii="Arial" w:cs="Arial" w:eastAsia="Arial" w:hAnsi="Arial"/>
          <w:sz w:val="14"/>
          <w:szCs w:val="14"/>
          <w:b w:val="1"/>
          <w:bCs w:val="1"/>
          <w:color w:val="auto"/>
        </w:rPr>
        <w:t>Return of Confidential Information</w:t>
      </w:r>
      <w:r>
        <w:rPr>
          <w:rFonts w:ascii="Arial" w:cs="Arial" w:eastAsia="Arial" w:hAnsi="Arial"/>
          <w:sz w:val="14"/>
          <w:szCs w:val="14"/>
          <w:color w:val="auto"/>
        </w:rPr>
        <w:t>. Upon expiration or termination of this Agreement, the Parties shall comply with Section 12.1(e).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16.7 </w:t>
      </w:r>
      <w:r>
        <w:rPr>
          <w:rFonts w:ascii="Arial" w:cs="Arial" w:eastAsia="Arial" w:hAnsi="Arial"/>
          <w:sz w:val="12"/>
          <w:szCs w:val="12"/>
          <w:b w:val="1"/>
          <w:bCs w:val="1"/>
          <w:color w:val="auto"/>
        </w:rPr>
        <w:t>Survival</w:t>
      </w:r>
      <w:r>
        <w:rPr>
          <w:rFonts w:ascii="Arial" w:cs="Arial" w:eastAsia="Arial" w:hAnsi="Arial"/>
          <w:sz w:val="12"/>
          <w:szCs w:val="12"/>
          <w:color w:val="auto"/>
        </w:rPr>
        <w:t>. The following provisions shall survive the termination or expiration of this Agreement for any reason: Sections 1, 8.9, 8.11, 9, 10.4 (with respect to the license granted to MacroGenics),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12 (to the extent provided therein), 13, 14, 15.1, 16 and 17.</w:t>
      </w:r>
    </w:p>
    <w:p>
      <w:pPr>
        <w:spacing w:after="0" w:line="124" w:lineRule="exact"/>
        <w:rPr>
          <w:sz w:val="20"/>
          <w:szCs w:val="20"/>
          <w:color w:val="auto"/>
        </w:rPr>
      </w:pPr>
    </w:p>
    <w:p>
      <w:pPr>
        <w:ind w:left="200" w:hanging="196"/>
        <w:spacing w:after="0"/>
        <w:tabs>
          <w:tab w:leader="none" w:pos="200" w:val="left"/>
        </w:tabs>
        <w:numPr>
          <w:ilvl w:val="0"/>
          <w:numId w:val="773"/>
        </w:numPr>
        <w:rPr>
          <w:rFonts w:ascii="Arial" w:cs="Arial" w:eastAsia="Arial" w:hAnsi="Arial"/>
          <w:sz w:val="14"/>
          <w:szCs w:val="14"/>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ISCELLANEOUS</w:t>
      </w:r>
    </w:p>
    <w:p>
      <w:pPr>
        <w:spacing w:after="0" w:line="132" w:lineRule="exact"/>
        <w:rPr>
          <w:sz w:val="20"/>
          <w:szCs w:val="20"/>
          <w:color w:val="auto"/>
        </w:rPr>
      </w:pPr>
    </w:p>
    <w:p>
      <w:pPr>
        <w:ind w:firstLine="917"/>
        <w:spacing w:after="0" w:line="303" w:lineRule="auto"/>
        <w:rPr>
          <w:sz w:val="20"/>
          <w:szCs w:val="20"/>
          <w:color w:val="auto"/>
        </w:rPr>
      </w:pPr>
      <w:r>
        <w:rPr>
          <w:rFonts w:ascii="Arial" w:cs="Arial" w:eastAsia="Arial" w:hAnsi="Arial"/>
          <w:sz w:val="12"/>
          <w:szCs w:val="12"/>
          <w:color w:val="auto"/>
        </w:rPr>
        <w:t xml:space="preserve">17.1 </w:t>
      </w:r>
      <w:r>
        <w:rPr>
          <w:rFonts w:ascii="Arial" w:cs="Arial" w:eastAsia="Arial" w:hAnsi="Arial"/>
          <w:sz w:val="12"/>
          <w:szCs w:val="12"/>
          <w:b w:val="1"/>
          <w:bCs w:val="1"/>
          <w:color w:val="auto"/>
        </w:rPr>
        <w:t>Force Majeure</w:t>
      </w:r>
      <w:r>
        <w:rPr>
          <w:rFonts w:ascii="Arial" w:cs="Arial" w:eastAsia="Arial" w:hAnsi="Arial"/>
          <w:sz w:val="12"/>
          <w:szCs w:val="12"/>
          <w:color w:val="auto"/>
        </w:rPr>
        <w:t>. Neither Party shall be held liable to the other Party nor be deemed to have defaulted under or breached this Agreement for failure or delay in performing any obligation under this Agreement to the extent such failure or delay is caused by or results from causes beyond the reasonable control of the affected Party including, but not limited to, embargoes, war, acts of war (whether war be declared or not), insurrections, riots, civil commotions, strikes, lockouts or other labor disturbances, fire, floods, or other acts of God, or acts, omissions or delays in acting by any governmental authority or the other Party (“</w:t>
      </w:r>
      <w:r>
        <w:rPr>
          <w:rFonts w:ascii="Arial" w:cs="Arial" w:eastAsia="Arial" w:hAnsi="Arial"/>
          <w:sz w:val="12"/>
          <w:szCs w:val="12"/>
          <w:b w:val="1"/>
          <w:bCs w:val="1"/>
          <w:color w:val="auto"/>
        </w:rPr>
        <w:t>Force Majeure</w:t>
      </w:r>
      <w:r>
        <w:rPr>
          <w:rFonts w:ascii="Arial" w:cs="Arial" w:eastAsia="Arial" w:hAnsi="Arial"/>
          <w:sz w:val="12"/>
          <w:szCs w:val="12"/>
          <w:color w:val="auto"/>
        </w:rPr>
        <w:t xml:space="preserve">”). The affected Party shall notify the other Party of such force majeure circumstances as soon as reasonably practical, and shall promptly undertake all reasonable efforts necessary to cure such force majeure circumstances. In the event a Party is unable to perform its obligations under this Agreement due to Force Majeure for a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the other Party shall have the option of unilaterally terminating this Agreement upon providing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w:t>
      </w:r>
    </w:p>
    <w:p>
      <w:pPr>
        <w:spacing w:after="0" w:line="83" w:lineRule="exact"/>
        <w:rPr>
          <w:sz w:val="20"/>
          <w:szCs w:val="20"/>
          <w:color w:val="auto"/>
        </w:rPr>
      </w:pPr>
    </w:p>
    <w:p>
      <w:pPr>
        <w:ind w:right="120" w:firstLine="917"/>
        <w:spacing w:after="0" w:line="303" w:lineRule="auto"/>
        <w:rPr>
          <w:sz w:val="20"/>
          <w:szCs w:val="20"/>
          <w:color w:val="auto"/>
        </w:rPr>
      </w:pPr>
      <w:r>
        <w:rPr>
          <w:rFonts w:ascii="Arial" w:cs="Arial" w:eastAsia="Arial" w:hAnsi="Arial"/>
          <w:sz w:val="12"/>
          <w:szCs w:val="12"/>
          <w:color w:val="auto"/>
        </w:rPr>
        <w:t xml:space="preserve">17.2 </w:t>
      </w:r>
      <w:r>
        <w:rPr>
          <w:rFonts w:ascii="Arial" w:cs="Arial" w:eastAsia="Arial" w:hAnsi="Arial"/>
          <w:sz w:val="12"/>
          <w:szCs w:val="12"/>
          <w:b w:val="1"/>
          <w:bCs w:val="1"/>
          <w:color w:val="auto"/>
        </w:rPr>
        <w:t>Section 365(n) of the Bankruptcy Code</w:t>
      </w:r>
      <w:r>
        <w:rPr>
          <w:rFonts w:ascii="Arial" w:cs="Arial" w:eastAsia="Arial" w:hAnsi="Arial"/>
          <w:sz w:val="12"/>
          <w:szCs w:val="12"/>
          <w:color w:val="auto"/>
        </w:rPr>
        <w:t>. All rights and licenses granted under or pursuant to any section of this Agreement are, and shall otherwise be deemed to be, for purposes of Section 365(n) of the U.S. Bankruptcy Code, licenses of rights to “intellectual property” as defined under Section 101(35A) of the U.S. Bankruptcy Code. The Parties shall retain and may fully exercise all of their respective rights and elections under the U.S. Bankruptcy Code. The Parties agree that a Party that is a licensee of such rights under this Agreement shall retain and may fully exercise all of its rights and elections under the U.S. Bankruptcy Code, and that upon commencement of a bankruptcy proceeding by or against the licensing Party (such Party, the “</w:t>
      </w:r>
      <w:r>
        <w:rPr>
          <w:rFonts w:ascii="Arial" w:cs="Arial" w:eastAsia="Arial" w:hAnsi="Arial"/>
          <w:sz w:val="12"/>
          <w:szCs w:val="12"/>
          <w:b w:val="1"/>
          <w:bCs w:val="1"/>
          <w:color w:val="auto"/>
        </w:rPr>
        <w:t>Involved Party</w:t>
      </w:r>
      <w:r>
        <w:rPr>
          <w:rFonts w:ascii="Arial" w:cs="Arial" w:eastAsia="Arial" w:hAnsi="Arial"/>
          <w:sz w:val="12"/>
          <w:szCs w:val="12"/>
          <w:color w:val="auto"/>
        </w:rPr>
        <w:t>”) under the U.S. Bankruptcy Code, the other Party (such Party, the “</w:t>
      </w:r>
      <w:r>
        <w:rPr>
          <w:rFonts w:ascii="Arial" w:cs="Arial" w:eastAsia="Arial" w:hAnsi="Arial"/>
          <w:sz w:val="12"/>
          <w:szCs w:val="12"/>
          <w:b w:val="1"/>
          <w:bCs w:val="1"/>
          <w:color w:val="auto"/>
        </w:rPr>
        <w:t>Noninvolved Party</w:t>
      </w:r>
      <w:r>
        <w:rPr>
          <w:rFonts w:ascii="Arial" w:cs="Arial" w:eastAsia="Arial" w:hAnsi="Arial"/>
          <w:sz w:val="12"/>
          <w:szCs w:val="12"/>
          <w:color w:val="auto"/>
        </w:rPr>
        <w:t>”) shall be entitled to a complete duplicate of or complete access to (as such Noninvolved Party deems appropriate), any such intellectual property and all embodiments of such intellectual property, provided the Noninvolved Party continues to fulfill its payment or royalty obligations as specified herein in full. Such intellectual property and all</w:t>
      </w:r>
    </w:p>
    <w:p>
      <w:pPr>
        <w:spacing w:after="0" w:line="75" w:lineRule="exact"/>
        <w:rPr>
          <w:sz w:val="20"/>
          <w:szCs w:val="20"/>
          <w:color w:val="auto"/>
        </w:rPr>
      </w:pPr>
    </w:p>
    <w:p>
      <w:pPr>
        <w:ind w:left="5660" w:right="1500" w:hanging="5656"/>
        <w:spacing w:after="0" w:line="438" w:lineRule="auto"/>
        <w:tabs>
          <w:tab w:leader="none" w:pos="235" w:val="left"/>
        </w:tabs>
        <w:numPr>
          <w:ilvl w:val="0"/>
          <w:numId w:val="774"/>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49</w:t>
      </w:r>
    </w:p>
    <w:p>
      <w:pPr>
        <w:sectPr>
          <w:pgSz w:w="11900" w:h="16838" w:orient="portrait"/>
          <w:cols w:equalWidth="0" w:num="1">
            <w:col w:w="11400"/>
          </w:cols>
          <w:pgMar w:left="220" w:top="245" w:right="279" w:bottom="1440" w:gutter="0" w:footer="0" w:header="0"/>
        </w:sectPr>
      </w:pPr>
    </w:p>
    <w:bookmarkStart w:id="671" w:name="page672"/>
    <w:bookmarkEnd w:id="671"/>
    <w:p>
      <w:pPr>
        <w:ind w:right="22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embodiments thereof shall be promptly delivered to the Noninvolved Party (a) upon any such commencement of a bankruptcy proceeding upon written request therefor by the Noninvolved Party, unless the Involved Party elects to continue to perform all of its obligations under this Agreement or (b) if not delivered under (a) above, upon the rejection of this Agreement by or on behalf of the Involved Party upon written request therefor by Noninvolved Party. The foregoing is without prejudice to any rights the Noninvolved Party may have arising under the U.S. Bankruptcy Code or other applicable law.</w:t>
      </w:r>
    </w:p>
    <w:p>
      <w:pPr>
        <w:spacing w:after="0" w:line="71" w:lineRule="exact"/>
        <w:rPr>
          <w:sz w:val="20"/>
          <w:szCs w:val="20"/>
          <w:color w:val="auto"/>
        </w:rPr>
      </w:pPr>
    </w:p>
    <w:p>
      <w:pPr>
        <w:ind w:right="180" w:firstLine="458"/>
        <w:spacing w:after="0" w:line="256" w:lineRule="auto"/>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b w:val="1"/>
          <w:bCs w:val="1"/>
          <w:color w:val="auto"/>
        </w:rPr>
        <w:t>Assignment</w:t>
      </w:r>
      <w:r>
        <w:rPr>
          <w:rFonts w:ascii="Arial" w:cs="Arial" w:eastAsia="Arial" w:hAnsi="Arial"/>
          <w:sz w:val="14"/>
          <w:szCs w:val="14"/>
          <w:color w:val="auto"/>
        </w:rPr>
        <w:t>. Neither Party may assign its rights and obligations under this Agreement without the prior written consent of the other Party, provided that either Party may assign its rights and obligations under this Agreement, without such consent from the other Party, to its Affiliate or any successor in interest in connection with the sale of all or substantially all of its assets or a sale of all or substantially of the business related to MGAH22 or a Product, or a merger, acquisition or other similar transactions. For the avoidance of doubt, the terms and conditions of this Agreement shall be binding on the permitted successors and assignees of each Party.</w:t>
      </w:r>
    </w:p>
    <w:p>
      <w:pPr>
        <w:spacing w:after="0" w:line="107" w:lineRule="exact"/>
        <w:rPr>
          <w:sz w:val="20"/>
          <w:szCs w:val="20"/>
          <w:color w:val="auto"/>
        </w:rPr>
      </w:pPr>
    </w:p>
    <w:p>
      <w:pPr>
        <w:ind w:right="80" w:firstLine="458"/>
        <w:spacing w:after="0" w:line="322" w:lineRule="auto"/>
        <w:rPr>
          <w:sz w:val="20"/>
          <w:szCs w:val="20"/>
          <w:color w:val="auto"/>
        </w:rPr>
      </w:pPr>
      <w:r>
        <w:rPr>
          <w:rFonts w:ascii="Arial" w:cs="Arial" w:eastAsia="Arial" w:hAnsi="Arial"/>
          <w:sz w:val="12"/>
          <w:szCs w:val="12"/>
          <w:color w:val="auto"/>
        </w:rPr>
        <w:t xml:space="preserve">17.4 </w:t>
      </w:r>
      <w:r>
        <w:rPr>
          <w:rFonts w:ascii="Arial" w:cs="Arial" w:eastAsia="Arial" w:hAnsi="Arial"/>
          <w:sz w:val="12"/>
          <w:szCs w:val="12"/>
          <w:b w:val="1"/>
          <w:bCs w:val="1"/>
          <w:color w:val="auto"/>
        </w:rPr>
        <w:t>Severability</w:t>
      </w:r>
      <w:r>
        <w:rPr>
          <w:rFonts w:ascii="Arial" w:cs="Arial" w:eastAsia="Arial" w:hAnsi="Arial"/>
          <w:sz w:val="12"/>
          <w:szCs w:val="12"/>
          <w:color w:val="auto"/>
        </w:rPr>
        <w:t>. If any one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71" w:lineRule="exact"/>
        <w:rPr>
          <w:sz w:val="20"/>
          <w:szCs w:val="20"/>
          <w:color w:val="auto"/>
        </w:rPr>
      </w:pPr>
    </w:p>
    <w:p>
      <w:pPr>
        <w:ind w:firstLine="458"/>
        <w:spacing w:after="0" w:line="355" w:lineRule="auto"/>
        <w:rPr>
          <w:sz w:val="20"/>
          <w:szCs w:val="20"/>
          <w:color w:val="auto"/>
        </w:rPr>
      </w:pPr>
      <w:r>
        <w:rPr>
          <w:rFonts w:ascii="Arial" w:cs="Arial" w:eastAsia="Arial" w:hAnsi="Arial"/>
          <w:sz w:val="12"/>
          <w:szCs w:val="12"/>
          <w:color w:val="auto"/>
        </w:rPr>
        <w:t xml:space="preserve">17.5 </w:t>
      </w:r>
      <w:r>
        <w:rPr>
          <w:rFonts w:ascii="Arial" w:cs="Arial" w:eastAsia="Arial" w:hAnsi="Arial"/>
          <w:sz w:val="12"/>
          <w:szCs w:val="12"/>
          <w:b w:val="1"/>
          <w:bCs w:val="1"/>
          <w:color w:val="auto"/>
        </w:rPr>
        <w:t>Notices</w:t>
      </w:r>
      <w:r>
        <w:rPr>
          <w:rFonts w:ascii="Arial" w:cs="Arial" w:eastAsia="Arial" w:hAnsi="Arial"/>
          <w:sz w:val="12"/>
          <w:szCs w:val="12"/>
          <w:color w:val="auto"/>
        </w:rPr>
        <w:t>. All notices which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return receipt requested, addressed as follows:</w:t>
      </w:r>
    </w:p>
    <w:p>
      <w:pPr>
        <w:sectPr>
          <w:pgSz w:w="11900" w:h="16838" w:orient="portrait"/>
          <w:cols w:equalWidth="0" w:num="1">
            <w:col w:w="11460"/>
          </w:cols>
          <w:pgMar w:left="220" w:top="247" w:right="219" w:bottom="1440" w:gutter="0" w:footer="0" w:header="0"/>
        </w:sectPr>
      </w:pPr>
    </w:p>
    <w:p>
      <w:pPr>
        <w:spacing w:after="0" w:line="8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to MacroGenics, to:</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1500 East Gude Drive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Rockville, MD 20850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Chief Executive Officer</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94" w:lineRule="exact"/>
        <w:rPr>
          <w:sz w:val="20"/>
          <w:szCs w:val="20"/>
          <w:color w:val="auto"/>
        </w:rPr>
      </w:pPr>
    </w:p>
    <w:p>
      <w:pPr>
        <w:sectPr>
          <w:pgSz w:w="11900" w:h="16838" w:orient="portrait"/>
          <w:cols w:equalWidth="0" w:num="2">
            <w:col w:w="2800" w:space="720"/>
            <w:col w:w="7940"/>
          </w:cols>
          <w:pgMar w:left="220" w:top="247" w:right="219" w:bottom="1440" w:gutter="0" w:footer="0" w:header="0"/>
          <w:type w:val="continuous"/>
        </w:sectPr>
      </w:pPr>
    </w:p>
    <w:p>
      <w:pPr>
        <w:ind w:left="800"/>
        <w:spacing w:after="0"/>
        <w:rPr>
          <w:sz w:val="20"/>
          <w:szCs w:val="20"/>
          <w:color w:val="auto"/>
        </w:rPr>
      </w:pPr>
      <w:r>
        <w:rPr>
          <w:rFonts w:ascii="Arial" w:cs="Arial" w:eastAsia="Arial" w:hAnsi="Arial"/>
          <w:sz w:val="14"/>
          <w:szCs w:val="14"/>
          <w:color w:val="auto"/>
        </w:rPr>
        <w:t>with copy to:</w:t>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Arnold &amp; Porter, LLP</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1600 Tysons Boulevard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Suite 900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McLean, VA 22102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126" w:lineRule="exact"/>
        <w:rPr>
          <w:sz w:val="20"/>
          <w:szCs w:val="20"/>
          <w:color w:val="auto"/>
        </w:rPr>
      </w:pPr>
    </w:p>
    <w:p>
      <w:pPr>
        <w:sectPr>
          <w:pgSz w:w="11900" w:h="16838" w:orient="portrait"/>
          <w:cols w:equalWidth="0" w:num="2">
            <w:col w:w="2800" w:space="720"/>
            <w:col w:w="7940"/>
          </w:cols>
          <w:pgMar w:left="220" w:top="247" w:right="219" w:bottom="1440" w:gutter="0" w:footer="0" w:header="0"/>
          <w:type w:val="continuous"/>
        </w:sectPr>
      </w:pPr>
    </w:p>
    <w:p>
      <w:pPr>
        <w:ind w:left="5660" w:right="1560" w:hanging="5656"/>
        <w:spacing w:after="0" w:line="438" w:lineRule="auto"/>
        <w:tabs>
          <w:tab w:leader="none" w:pos="235" w:val="left"/>
        </w:tabs>
        <w:numPr>
          <w:ilvl w:val="0"/>
          <w:numId w:val="77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50</w:t>
      </w:r>
    </w:p>
    <w:p>
      <w:pPr>
        <w:sectPr>
          <w:pgSz w:w="11900" w:h="16838" w:orient="portrait"/>
          <w:cols w:equalWidth="0" w:num="1">
            <w:col w:w="11460"/>
          </w:cols>
          <w:pgMar w:left="220" w:top="247" w:right="219" w:bottom="1440" w:gutter="0" w:footer="0" w:header="0"/>
          <w:type w:val="continuous"/>
        </w:sectPr>
      </w:pPr>
    </w:p>
    <w:bookmarkStart w:id="672" w:name="page673"/>
    <w:bookmarkEnd w:id="672"/>
    <w:p>
      <w:pPr>
        <w:ind w:left="460"/>
        <w:spacing w:after="0"/>
        <w:rPr>
          <w:sz w:val="20"/>
          <w:szCs w:val="20"/>
          <w:color w:val="auto"/>
        </w:rPr>
      </w:pPr>
      <w:r>
        <w:rPr>
          <w:rFonts w:ascii="Arial" w:cs="Arial" w:eastAsia="Arial" w:hAnsi="Arial"/>
          <w:sz w:val="12"/>
          <w:szCs w:val="12"/>
          <w:color w:val="auto"/>
        </w:rPr>
        <w:t>if to Green Cross,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Green Cross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-169545</wp:posOffset>
            </wp:positionV>
            <wp:extent cx="7316470" cy="323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303 Bojeong-dong, Giheung-gu</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Yongin, 446-770, Korea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President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94" w:lineRule="exact"/>
        <w:rPr>
          <w:sz w:val="20"/>
          <w:szCs w:val="20"/>
          <w:color w:val="auto"/>
        </w:rPr>
      </w:pPr>
    </w:p>
    <w:p>
      <w:pPr>
        <w:sectPr>
          <w:pgSz w:w="11900" w:h="16838" w:orient="portrait"/>
          <w:cols w:equalWidth="0" w:num="2">
            <w:col w:w="2800" w:space="720"/>
            <w:col w:w="7840"/>
          </w:cols>
          <w:pgMar w:left="220" w:top="247" w:right="319" w:bottom="1440" w:gutter="0" w:footer="0" w:header="0"/>
        </w:sectPr>
      </w:pPr>
    </w:p>
    <w:p>
      <w:pPr>
        <w:ind w:left="800"/>
        <w:spacing w:after="0"/>
        <w:rPr>
          <w:sz w:val="20"/>
          <w:szCs w:val="20"/>
          <w:color w:val="auto"/>
        </w:rPr>
      </w:pPr>
      <w:r>
        <w:rPr>
          <w:rFonts w:ascii="Arial" w:cs="Arial" w:eastAsia="Arial" w:hAnsi="Arial"/>
          <w:sz w:val="12"/>
          <w:szCs w:val="12"/>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Green Cross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303 Bojeong-dong, Giheung-gu</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Yongin, 446-770, Korea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Attn: </w:t>
      </w: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136" w:lineRule="exact"/>
        <w:rPr>
          <w:sz w:val="20"/>
          <w:szCs w:val="20"/>
          <w:color w:val="auto"/>
        </w:rPr>
      </w:pPr>
    </w:p>
    <w:p>
      <w:pPr>
        <w:sectPr>
          <w:pgSz w:w="11900" w:h="16838" w:orient="portrait"/>
          <w:cols w:equalWidth="0" w:num="2">
            <w:col w:w="2800" w:space="720"/>
            <w:col w:w="7840"/>
          </w:cols>
          <w:pgMar w:left="220" w:top="247" w:right="319" w:bottom="1440" w:gutter="0" w:footer="0" w:header="0"/>
          <w:type w:val="continuous"/>
        </w:sectPr>
      </w:pPr>
    </w:p>
    <w:p>
      <w:pPr>
        <w:spacing w:after="0"/>
        <w:rPr>
          <w:sz w:val="20"/>
          <w:szCs w:val="20"/>
          <w:color w:val="auto"/>
        </w:rPr>
      </w:pPr>
      <w:r>
        <w:rPr>
          <w:rFonts w:ascii="Arial" w:cs="Arial" w:eastAsia="Arial" w:hAnsi="Arial"/>
          <w:sz w:val="12"/>
          <w:szCs w:val="12"/>
          <w:color w:val="auto"/>
        </w:rPr>
        <w:t>or to such other address as the Party to whom notice is to be given may have furnished to the other Party in writing in accordance herewith. Any such notice shall be deemed to have been given upon receipt.</w:t>
      </w:r>
    </w:p>
    <w:p>
      <w:pPr>
        <w:spacing w:after="0" w:line="153" w:lineRule="exact"/>
        <w:rPr>
          <w:sz w:val="20"/>
          <w:szCs w:val="20"/>
          <w:color w:val="auto"/>
        </w:rPr>
      </w:pPr>
    </w:p>
    <w:p>
      <w:pPr>
        <w:ind w:right="40" w:firstLine="458"/>
        <w:spacing w:after="0" w:line="259" w:lineRule="auto"/>
        <w:rPr>
          <w:sz w:val="20"/>
          <w:szCs w:val="20"/>
          <w:color w:val="auto"/>
        </w:rPr>
      </w:pPr>
      <w:r>
        <w:rPr>
          <w:rFonts w:ascii="Arial" w:cs="Arial" w:eastAsia="Arial" w:hAnsi="Arial"/>
          <w:sz w:val="14"/>
          <w:szCs w:val="14"/>
          <w:color w:val="auto"/>
        </w:rPr>
        <w:t xml:space="preserve">17.6 </w:t>
      </w:r>
      <w:r>
        <w:rPr>
          <w:rFonts w:ascii="Arial" w:cs="Arial" w:eastAsia="Arial" w:hAnsi="Arial"/>
          <w:sz w:val="14"/>
          <w:szCs w:val="14"/>
          <w:b w:val="1"/>
          <w:bCs w:val="1"/>
          <w:color w:val="auto"/>
        </w:rPr>
        <w:t>Applicable Law</w:t>
      </w:r>
      <w:r>
        <w:rPr>
          <w:rFonts w:ascii="Arial" w:cs="Arial" w:eastAsia="Arial" w:hAnsi="Arial"/>
          <w:sz w:val="14"/>
          <w:szCs w:val="14"/>
          <w:color w:val="auto"/>
        </w:rPr>
        <w:t xml:space="preserve">. All questions of inventorship will be determined in accordance with </w:t>
      </w:r>
      <w:r>
        <w:rPr>
          <w:rFonts w:ascii="Arial" w:cs="Arial" w:eastAsia="Arial" w:hAnsi="Arial"/>
          <w:sz w:val="14"/>
          <w:szCs w:val="14"/>
          <w:b w:val="1"/>
          <w:bCs w:val="1"/>
          <w:color w:val="auto"/>
        </w:rPr>
        <w:t>***</w:t>
      </w:r>
      <w:r>
        <w:rPr>
          <w:rFonts w:ascii="Arial" w:cs="Arial" w:eastAsia="Arial" w:hAnsi="Arial"/>
          <w:sz w:val="14"/>
          <w:szCs w:val="14"/>
          <w:color w:val="auto"/>
        </w:rPr>
        <w:t xml:space="preserve">. In respect to all other Patent issues related to the enforceability or validity of a Patent, the laws of the jurisdiction in which the applicable Patent is filed or granted shall govern. Except as otherwise indicated, in all other respects, the right and obligations of the Parties under this Agreement shall be governed by and construed in accordance with the laws of the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17.7 </w:t>
      </w:r>
      <w:r>
        <w:rPr>
          <w:rFonts w:ascii="Arial" w:cs="Arial" w:eastAsia="Arial" w:hAnsi="Arial"/>
          <w:sz w:val="14"/>
          <w:szCs w:val="14"/>
          <w:b w:val="1"/>
          <w:bCs w:val="1"/>
          <w:color w:val="auto"/>
        </w:rPr>
        <w:t>Arbitration</w:t>
      </w:r>
    </w:p>
    <w:p>
      <w:pPr>
        <w:spacing w:after="0" w:line="132" w:lineRule="exact"/>
        <w:rPr>
          <w:sz w:val="20"/>
          <w:szCs w:val="20"/>
          <w:color w:val="auto"/>
        </w:rPr>
      </w:pPr>
    </w:p>
    <w:p>
      <w:pPr>
        <w:ind w:left="1100" w:hanging="180"/>
        <w:spacing w:after="0"/>
        <w:tabs>
          <w:tab w:leader="none" w:pos="1100" w:val="left"/>
        </w:tabs>
        <w:numPr>
          <w:ilvl w:val="1"/>
          <w:numId w:val="776"/>
        </w:numPr>
        <w:rPr>
          <w:rFonts w:ascii="Arial" w:cs="Arial" w:eastAsia="Arial" w:hAnsi="Arial"/>
          <w:sz w:val="12"/>
          <w:szCs w:val="12"/>
          <w:color w:val="auto"/>
        </w:rPr>
      </w:pPr>
      <w:r>
        <w:rPr>
          <w:rFonts w:ascii="Arial" w:cs="Arial" w:eastAsia="Arial" w:hAnsi="Arial"/>
          <w:sz w:val="12"/>
          <w:szCs w:val="12"/>
          <w:color w:val="auto"/>
        </w:rPr>
        <w:t xml:space="preserve">All disputes arising out of or in connection with the Agreement shall be finally settled under the Rules of Arbitration of the </w:t>
      </w:r>
      <w:r>
        <w:rPr>
          <w:rFonts w:ascii="Arial" w:cs="Arial" w:eastAsia="Arial" w:hAnsi="Arial"/>
          <w:sz w:val="12"/>
          <w:szCs w:val="12"/>
          <w:b w:val="1"/>
          <w:bCs w:val="1"/>
          <w:color w:val="auto"/>
        </w:rPr>
        <w:t>***</w:t>
      </w:r>
      <w:r>
        <w:rPr>
          <w:rFonts w:ascii="Arial" w:cs="Arial" w:eastAsia="Arial" w:hAnsi="Arial"/>
          <w:sz w:val="12"/>
          <w:szCs w:val="12"/>
          <w:color w:val="auto"/>
        </w:rPr>
        <w:t xml:space="preserve"> by three (3) arbitrators (“</w:t>
      </w:r>
      <w:r>
        <w:rPr>
          <w:rFonts w:ascii="Arial" w:cs="Arial" w:eastAsia="Arial" w:hAnsi="Arial"/>
          <w:sz w:val="12"/>
          <w:szCs w:val="12"/>
          <w:b w:val="1"/>
          <w:bCs w:val="1"/>
          <w:color w:val="auto"/>
        </w:rPr>
        <w:t>Arbitral Tribunal</w:t>
      </w:r>
      <w:r>
        <w:rPr>
          <w:rFonts w:ascii="Arial" w:cs="Arial" w:eastAsia="Arial" w:hAnsi="Arial"/>
          <w:sz w:val="12"/>
          <w:szCs w:val="12"/>
          <w:color w:val="auto"/>
        </w:rPr>
        <w:t>”).</w:t>
      </w:r>
    </w:p>
    <w:p>
      <w:pPr>
        <w:spacing w:after="0" w:line="154" w:lineRule="exact"/>
        <w:rPr>
          <w:rFonts w:ascii="Arial" w:cs="Arial" w:eastAsia="Arial" w:hAnsi="Arial"/>
          <w:sz w:val="12"/>
          <w:szCs w:val="12"/>
          <w:color w:val="auto"/>
        </w:rPr>
      </w:pPr>
    </w:p>
    <w:p>
      <w:pPr>
        <w:ind w:right="240" w:firstLine="920"/>
        <w:spacing w:after="0" w:line="355" w:lineRule="auto"/>
        <w:tabs>
          <w:tab w:leader="none" w:pos="1109" w:val="left"/>
        </w:tabs>
        <w:numPr>
          <w:ilvl w:val="1"/>
          <w:numId w:val="776"/>
        </w:numPr>
        <w:rPr>
          <w:rFonts w:ascii="Arial" w:cs="Arial" w:eastAsia="Arial" w:hAnsi="Arial"/>
          <w:sz w:val="12"/>
          <w:szCs w:val="12"/>
          <w:color w:val="auto"/>
        </w:rPr>
      </w:pPr>
      <w:r>
        <w:rPr>
          <w:rFonts w:ascii="Arial" w:cs="Arial" w:eastAsia="Arial" w:hAnsi="Arial"/>
          <w:sz w:val="12"/>
          <w:szCs w:val="12"/>
          <w:color w:val="auto"/>
        </w:rPr>
        <w:t xml:space="preserve">Each Party shall nominate one arbitrator. Should the claimant fail to appoint an arbitrator in the Request for Arbitration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of being requested to do so, or if the respondent should fail to appoint an arbitrator in its Answer to the Request for Arbitration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of being requested to do so, the other party shall request the </w:t>
      </w:r>
      <w:r>
        <w:rPr>
          <w:rFonts w:ascii="Arial" w:cs="Arial" w:eastAsia="Arial" w:hAnsi="Arial"/>
          <w:sz w:val="12"/>
          <w:szCs w:val="12"/>
          <w:b w:val="1"/>
          <w:bCs w:val="1"/>
          <w:color w:val="auto"/>
        </w:rPr>
        <w:t>***</w:t>
      </w:r>
      <w:r>
        <w:rPr>
          <w:rFonts w:ascii="Arial" w:cs="Arial" w:eastAsia="Arial" w:hAnsi="Arial"/>
          <w:sz w:val="12"/>
          <w:szCs w:val="12"/>
          <w:color w:val="auto"/>
        </w:rPr>
        <w:t xml:space="preserve"> to make such appointment.</w:t>
      </w:r>
    </w:p>
    <w:p>
      <w:pPr>
        <w:spacing w:after="0" w:line="51" w:lineRule="exact"/>
        <w:rPr>
          <w:rFonts w:ascii="Arial" w:cs="Arial" w:eastAsia="Arial" w:hAnsi="Arial"/>
          <w:sz w:val="12"/>
          <w:szCs w:val="12"/>
          <w:color w:val="auto"/>
        </w:rPr>
      </w:pPr>
    </w:p>
    <w:p>
      <w:pPr>
        <w:ind w:firstLine="920"/>
        <w:spacing w:after="0" w:line="259" w:lineRule="auto"/>
        <w:tabs>
          <w:tab w:leader="none" w:pos="1101" w:val="left"/>
        </w:tabs>
        <w:numPr>
          <w:ilvl w:val="1"/>
          <w:numId w:val="776"/>
        </w:numPr>
        <w:rPr>
          <w:rFonts w:ascii="Arial" w:cs="Arial" w:eastAsia="Arial" w:hAnsi="Arial"/>
          <w:sz w:val="14"/>
          <w:szCs w:val="14"/>
          <w:color w:val="auto"/>
        </w:rPr>
      </w:pPr>
      <w:r>
        <w:rPr>
          <w:rFonts w:ascii="Arial" w:cs="Arial" w:eastAsia="Arial" w:hAnsi="Arial"/>
          <w:sz w:val="14"/>
          <w:szCs w:val="14"/>
          <w:color w:val="auto"/>
        </w:rPr>
        <w:t xml:space="preserve">The arbitrators nominated by the parties shall,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from the appointment of the arbitrator nominated in the Answer to the Request for Arbitration, and after consultation with the parties, agree and appoint a third arbitrator, who will act as a chairman of the Arbitral Tribunal. Should such procedure not result in an appointment within the </w:t>
      </w:r>
      <w:r>
        <w:rPr>
          <w:rFonts w:ascii="Arial" w:cs="Arial" w:eastAsia="Arial" w:hAnsi="Arial"/>
          <w:sz w:val="14"/>
          <w:szCs w:val="14"/>
          <w:b w:val="1"/>
          <w:bCs w:val="1"/>
          <w:color w:val="auto"/>
        </w:rPr>
        <w:t>***</w:t>
      </w:r>
      <w:r>
        <w:rPr>
          <w:rFonts w:ascii="Arial" w:cs="Arial" w:eastAsia="Arial" w:hAnsi="Arial"/>
          <w:sz w:val="14"/>
          <w:szCs w:val="14"/>
          <w:color w:val="auto"/>
        </w:rPr>
        <w:t xml:space="preserve"> time limit, either party shall be free to request the </w:t>
      </w:r>
      <w:r>
        <w:rPr>
          <w:rFonts w:ascii="Arial" w:cs="Arial" w:eastAsia="Arial" w:hAnsi="Arial"/>
          <w:sz w:val="14"/>
          <w:szCs w:val="14"/>
          <w:b w:val="1"/>
          <w:bCs w:val="1"/>
          <w:color w:val="auto"/>
        </w:rPr>
        <w:t>***</w:t>
      </w:r>
      <w:r>
        <w:rPr>
          <w:rFonts w:ascii="Arial" w:cs="Arial" w:eastAsia="Arial" w:hAnsi="Arial"/>
          <w:sz w:val="14"/>
          <w:szCs w:val="14"/>
          <w:color w:val="auto"/>
        </w:rPr>
        <w:t xml:space="preserve"> to appoint the third arbitrator.</w:t>
      </w:r>
    </w:p>
    <w:p>
      <w:pPr>
        <w:spacing w:after="0" w:line="105" w:lineRule="exact"/>
        <w:rPr>
          <w:rFonts w:ascii="Arial" w:cs="Arial" w:eastAsia="Arial" w:hAnsi="Arial"/>
          <w:sz w:val="14"/>
          <w:szCs w:val="14"/>
          <w:color w:val="auto"/>
        </w:rPr>
      </w:pPr>
    </w:p>
    <w:p>
      <w:pPr>
        <w:ind w:left="1120" w:hanging="200"/>
        <w:spacing w:after="0"/>
        <w:tabs>
          <w:tab w:leader="none" w:pos="1120" w:val="left"/>
        </w:tabs>
        <w:numPr>
          <w:ilvl w:val="1"/>
          <w:numId w:val="776"/>
        </w:numPr>
        <w:rPr>
          <w:rFonts w:ascii="Arial" w:cs="Arial" w:eastAsia="Arial" w:hAnsi="Arial"/>
          <w:sz w:val="14"/>
          <w:szCs w:val="14"/>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shall be the seat of the arbitration.</w:t>
      </w:r>
    </w:p>
    <w:p>
      <w:pPr>
        <w:spacing w:after="0" w:line="123" w:lineRule="exact"/>
        <w:rPr>
          <w:rFonts w:ascii="Arial" w:cs="Arial" w:eastAsia="Arial" w:hAnsi="Arial"/>
          <w:sz w:val="14"/>
          <w:szCs w:val="14"/>
          <w:color w:val="auto"/>
        </w:rPr>
      </w:pPr>
    </w:p>
    <w:p>
      <w:pPr>
        <w:ind w:left="240" w:hanging="236"/>
        <w:spacing w:after="0"/>
        <w:tabs>
          <w:tab w:leader="none" w:pos="240" w:val="left"/>
        </w:tabs>
        <w:numPr>
          <w:ilvl w:val="0"/>
          <w:numId w:val="776"/>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60"/>
          </w:cols>
          <w:pgMar w:left="220" w:top="247" w:right="319" w:bottom="1440" w:gutter="0" w:footer="0" w:header="0"/>
          <w:type w:val="continuous"/>
        </w:sectPr>
      </w:pPr>
    </w:p>
    <w:bookmarkStart w:id="673" w:name="page674"/>
    <w:bookmarkEnd w:id="673"/>
    <w:p>
      <w:pPr>
        <w:ind w:left="1100" w:hanging="180"/>
        <w:spacing w:after="0"/>
        <w:tabs>
          <w:tab w:leader="none" w:pos="1100" w:val="left"/>
        </w:tabs>
        <w:numPr>
          <w:ilvl w:val="0"/>
          <w:numId w:val="77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language of the arbitration shall be English. Documents submitted in the arbitration (the originals of which are not in English) shall be submitted together with an English translation.</w:t>
      </w:r>
    </w:p>
    <w:p>
      <w:pPr>
        <w:spacing w:after="0" w:line="154" w:lineRule="exact"/>
        <w:rPr>
          <w:rFonts w:ascii="Arial" w:cs="Arial" w:eastAsia="Arial" w:hAnsi="Arial"/>
          <w:sz w:val="12"/>
          <w:szCs w:val="12"/>
          <w:color w:val="auto"/>
        </w:rPr>
      </w:pPr>
    </w:p>
    <w:p>
      <w:pPr>
        <w:ind w:right="20" w:firstLine="920"/>
        <w:spacing w:after="0" w:line="321" w:lineRule="auto"/>
        <w:tabs>
          <w:tab w:leader="none" w:pos="1086" w:val="left"/>
        </w:tabs>
        <w:numPr>
          <w:ilvl w:val="0"/>
          <w:numId w:val="777"/>
        </w:numPr>
        <w:rPr>
          <w:rFonts w:ascii="Arial" w:cs="Arial" w:eastAsia="Arial" w:hAnsi="Arial"/>
          <w:sz w:val="12"/>
          <w:szCs w:val="12"/>
          <w:color w:val="auto"/>
        </w:rPr>
      </w:pPr>
      <w:r>
        <w:rPr>
          <w:rFonts w:ascii="Arial" w:cs="Arial" w:eastAsia="Arial" w:hAnsi="Arial"/>
          <w:sz w:val="12"/>
          <w:szCs w:val="12"/>
          <w:color w:val="auto"/>
        </w:rPr>
        <w:t>This arbitration agreement does not preclude either party seeking conservatory or interim measures from any court of competent jurisdiction including, without limitation, the courts having jurisdiction by reason of either party’s domicile. Conservatory or interim measures sought by either party in any one or more jurisdictions shall not preclude the Arbitral Tribunal granting conservatory or interim measures. Conservatory or interim measures sought by either party before the Arbitral Tribunal shall not preclude any court of competent jurisdiction granting conservatory or interim measures.</w:t>
      </w:r>
    </w:p>
    <w:p>
      <w:pPr>
        <w:spacing w:after="0" w:line="71" w:lineRule="exact"/>
        <w:rPr>
          <w:rFonts w:ascii="Arial" w:cs="Arial" w:eastAsia="Arial" w:hAnsi="Arial"/>
          <w:sz w:val="12"/>
          <w:szCs w:val="12"/>
          <w:color w:val="auto"/>
        </w:rPr>
      </w:pPr>
    </w:p>
    <w:p>
      <w:pPr>
        <w:ind w:left="1120" w:hanging="200"/>
        <w:spacing w:after="0"/>
        <w:tabs>
          <w:tab w:leader="none" w:pos="1120" w:val="left"/>
        </w:tabs>
        <w:numPr>
          <w:ilvl w:val="0"/>
          <w:numId w:val="777"/>
        </w:numPr>
        <w:rPr>
          <w:rFonts w:ascii="Arial" w:cs="Arial" w:eastAsia="Arial" w:hAnsi="Arial"/>
          <w:sz w:val="12"/>
          <w:szCs w:val="12"/>
          <w:color w:val="auto"/>
        </w:rPr>
      </w:pPr>
      <w:r>
        <w:rPr>
          <w:rFonts w:ascii="Arial" w:cs="Arial" w:eastAsia="Arial" w:hAnsi="Arial"/>
          <w:sz w:val="12"/>
          <w:szCs w:val="12"/>
          <w:color w:val="auto"/>
        </w:rPr>
        <w:t xml:space="preserve">In the event that any issue shall arise which is not clearly provided for in this arbitration agreement the matter shall be resolved in accordance with the </w:t>
      </w:r>
      <w:r>
        <w:rPr>
          <w:rFonts w:ascii="Arial" w:cs="Arial" w:eastAsia="Arial" w:hAnsi="Arial"/>
          <w:sz w:val="12"/>
          <w:szCs w:val="12"/>
          <w:b w:val="1"/>
          <w:bCs w:val="1"/>
          <w:color w:val="auto"/>
        </w:rPr>
        <w:t>***</w:t>
      </w:r>
      <w:r>
        <w:rPr>
          <w:rFonts w:ascii="Arial" w:cs="Arial" w:eastAsia="Arial" w:hAnsi="Arial"/>
          <w:sz w:val="12"/>
          <w:szCs w:val="12"/>
          <w:color w:val="auto"/>
        </w:rPr>
        <w:t xml:space="preserve"> Arbitration Rules.</w:t>
      </w:r>
    </w:p>
    <w:p>
      <w:pPr>
        <w:spacing w:after="0" w:line="155"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color w:val="auto"/>
        </w:rPr>
        <w:t xml:space="preserve">17.8 </w:t>
      </w:r>
      <w:r>
        <w:rPr>
          <w:rFonts w:ascii="Arial" w:cs="Arial" w:eastAsia="Arial" w:hAnsi="Arial"/>
          <w:sz w:val="14"/>
          <w:szCs w:val="14"/>
          <w:b w:val="1"/>
          <w:bCs w:val="1"/>
          <w:color w:val="auto"/>
        </w:rPr>
        <w:t>Entire Agreement; Amendments.</w:t>
      </w:r>
      <w:r>
        <w:rPr>
          <w:rFonts w:ascii="Arial" w:cs="Arial" w:eastAsia="Arial" w:hAnsi="Arial"/>
          <w:sz w:val="14"/>
          <w:szCs w:val="14"/>
          <w:color w:val="auto"/>
        </w:rPr>
        <w:t xml:space="preserve"> The Agreement contains the entire understanding of the Parties with respect to the Collaboration and licenses granted hereunder. All express or implied agreements and understandings, either oral or written, with regard to the Collaboration and the licenses granted hereunder are superseded by the terms of this Agreement. The Agreement may be amended, or any term hereof modified, only by a written instrument duly executed by authorized representatives of both Parties hereto.</w:t>
      </w:r>
    </w:p>
    <w:p>
      <w:pPr>
        <w:spacing w:after="0" w:line="106" w:lineRule="exact"/>
        <w:rPr>
          <w:sz w:val="20"/>
          <w:szCs w:val="20"/>
          <w:color w:val="auto"/>
        </w:rPr>
      </w:pPr>
    </w:p>
    <w:p>
      <w:pPr>
        <w:ind w:right="340" w:firstLine="458"/>
        <w:spacing w:after="0" w:line="270" w:lineRule="auto"/>
        <w:rPr>
          <w:sz w:val="20"/>
          <w:szCs w:val="20"/>
          <w:color w:val="auto"/>
        </w:rPr>
      </w:pPr>
      <w:r>
        <w:rPr>
          <w:rFonts w:ascii="Arial" w:cs="Arial" w:eastAsia="Arial" w:hAnsi="Arial"/>
          <w:sz w:val="14"/>
          <w:szCs w:val="14"/>
          <w:color w:val="auto"/>
        </w:rPr>
        <w:t xml:space="preserve">17.9 </w:t>
      </w:r>
      <w:r>
        <w:rPr>
          <w:rFonts w:ascii="Arial" w:cs="Arial" w:eastAsia="Arial" w:hAnsi="Arial"/>
          <w:sz w:val="14"/>
          <w:szCs w:val="14"/>
          <w:b w:val="1"/>
          <w:bCs w:val="1"/>
          <w:color w:val="auto"/>
        </w:rPr>
        <w:t>Headings.</w:t>
      </w:r>
      <w:r>
        <w:rPr>
          <w:rFonts w:ascii="Arial" w:cs="Arial" w:eastAsia="Arial" w:hAnsi="Arial"/>
          <w:sz w:val="14"/>
          <w:szCs w:val="14"/>
          <w:color w:val="auto"/>
        </w:rPr>
        <w:t xml:space="preserve"> The captions to the several Sections hereof are not a part of the Agreement, but are merely for convenience to assist in locating and reading the several Sections and Sections of this Agreement.</w:t>
      </w:r>
    </w:p>
    <w:p>
      <w:pPr>
        <w:spacing w:after="0" w:line="97" w:lineRule="exact"/>
        <w:rPr>
          <w:sz w:val="20"/>
          <w:szCs w:val="20"/>
          <w:color w:val="auto"/>
        </w:rPr>
      </w:pPr>
    </w:p>
    <w:p>
      <w:pPr>
        <w:ind w:right="260" w:firstLine="458"/>
        <w:spacing w:after="0" w:line="259" w:lineRule="auto"/>
        <w:rPr>
          <w:sz w:val="20"/>
          <w:szCs w:val="20"/>
          <w:color w:val="auto"/>
        </w:rPr>
      </w:pPr>
      <w:r>
        <w:rPr>
          <w:rFonts w:ascii="Arial" w:cs="Arial" w:eastAsia="Arial" w:hAnsi="Arial"/>
          <w:sz w:val="14"/>
          <w:szCs w:val="14"/>
          <w:color w:val="auto"/>
        </w:rPr>
        <w:t xml:space="preserve">17.10 </w:t>
      </w:r>
      <w:r>
        <w:rPr>
          <w:rFonts w:ascii="Arial" w:cs="Arial" w:eastAsia="Arial" w:hAnsi="Arial"/>
          <w:sz w:val="14"/>
          <w:szCs w:val="14"/>
          <w:b w:val="1"/>
          <w:bCs w:val="1"/>
          <w:color w:val="auto"/>
        </w:rPr>
        <w:t>Independent Contractors</w:t>
      </w:r>
      <w:r>
        <w:rPr>
          <w:rFonts w:ascii="Arial" w:cs="Arial" w:eastAsia="Arial" w:hAnsi="Arial"/>
          <w:sz w:val="14"/>
          <w:szCs w:val="14"/>
          <w:color w:val="auto"/>
        </w:rPr>
        <w:t>. It is expressly agreed that MacroGenics and Green Cross shall be independent contractors and that the relationship between the two Parties shall not constitute a partnership, joint venture or agency. Neither MacroGenics nor Green Cross shall have the authority to make any statements, representations or commitments of any kind, or to take any action, which shall be binding on the other Party, without the prior written consent of the other Party.</w:t>
      </w:r>
    </w:p>
    <w:p>
      <w:pPr>
        <w:spacing w:after="0" w:line="106"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 xml:space="preserve">17.11 </w:t>
      </w:r>
      <w:r>
        <w:rPr>
          <w:rFonts w:ascii="Arial" w:cs="Arial" w:eastAsia="Arial" w:hAnsi="Arial"/>
          <w:sz w:val="14"/>
          <w:szCs w:val="14"/>
          <w:b w:val="1"/>
          <w:bCs w:val="1"/>
          <w:color w:val="auto"/>
        </w:rPr>
        <w:t>Waiver</w:t>
      </w:r>
      <w:r>
        <w:rPr>
          <w:rFonts w:ascii="Arial" w:cs="Arial" w:eastAsia="Arial" w:hAnsi="Arial"/>
          <w:sz w:val="14"/>
          <w:szCs w:val="14"/>
          <w:color w:val="auto"/>
        </w:rPr>
        <w:t>. The waiver by either Party of any right hereunder, or the failure of the other Party to perform, or a breach by the other Party, shall not be deemed a waiver of any other right hereunder or of any other breach or failure by such other Party whether of a similar nature or otherwise.</w:t>
      </w:r>
    </w:p>
    <w:p>
      <w:pPr>
        <w:spacing w:after="0" w:line="97" w:lineRule="exact"/>
        <w:rPr>
          <w:sz w:val="20"/>
          <w:szCs w:val="20"/>
          <w:color w:val="auto"/>
        </w:rPr>
      </w:pPr>
    </w:p>
    <w:p>
      <w:pPr>
        <w:ind w:right="280" w:firstLine="458"/>
        <w:spacing w:after="0" w:line="270" w:lineRule="auto"/>
        <w:rPr>
          <w:sz w:val="20"/>
          <w:szCs w:val="20"/>
          <w:color w:val="auto"/>
        </w:rPr>
      </w:pPr>
      <w:r>
        <w:rPr>
          <w:rFonts w:ascii="Arial" w:cs="Arial" w:eastAsia="Arial" w:hAnsi="Arial"/>
          <w:sz w:val="14"/>
          <w:szCs w:val="14"/>
          <w:color w:val="auto"/>
        </w:rPr>
        <w:t xml:space="preserve">17.12 </w:t>
      </w:r>
      <w:r>
        <w:rPr>
          <w:rFonts w:ascii="Arial" w:cs="Arial" w:eastAsia="Arial" w:hAnsi="Arial"/>
          <w:sz w:val="14"/>
          <w:szCs w:val="14"/>
          <w:b w:val="1"/>
          <w:bCs w:val="1"/>
          <w:color w:val="auto"/>
        </w:rPr>
        <w:t>Cumulative Remedies</w:t>
      </w:r>
      <w:r>
        <w:rPr>
          <w:rFonts w:ascii="Arial" w:cs="Arial" w:eastAsia="Arial" w:hAnsi="Arial"/>
          <w:sz w:val="14"/>
          <w:szCs w:val="14"/>
          <w:color w:val="auto"/>
        </w:rPr>
        <w:t>. No remedy referred to in this Agreement is intended to be exclusive, but each shall be cumulative and in addition to any other remedy referred to in this Agreement or otherwise available under law.</w:t>
      </w:r>
    </w:p>
    <w:p>
      <w:pPr>
        <w:spacing w:after="0" w:line="89" w:lineRule="exact"/>
        <w:rPr>
          <w:sz w:val="20"/>
          <w:szCs w:val="20"/>
          <w:color w:val="auto"/>
        </w:rPr>
      </w:pPr>
    </w:p>
    <w:p>
      <w:pPr>
        <w:ind w:left="5660" w:right="1560" w:hanging="5656"/>
        <w:spacing w:after="0" w:line="438" w:lineRule="auto"/>
        <w:tabs>
          <w:tab w:leader="none" w:pos="235" w:val="left"/>
        </w:tabs>
        <w:numPr>
          <w:ilvl w:val="0"/>
          <w:numId w:val="77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52</w:t>
      </w:r>
    </w:p>
    <w:p>
      <w:pPr>
        <w:sectPr>
          <w:pgSz w:w="11900" w:h="16838" w:orient="portrait"/>
          <w:cols w:equalWidth="0" w:num="1">
            <w:col w:w="11460"/>
          </w:cols>
          <w:pgMar w:left="220" w:top="247" w:right="219" w:bottom="1440" w:gutter="0" w:footer="0" w:header="0"/>
        </w:sectPr>
      </w:pPr>
    </w:p>
    <w:bookmarkStart w:id="674" w:name="page675"/>
    <w:bookmarkEnd w:id="674"/>
    <w:p>
      <w:pPr>
        <w:ind w:right="140" w:firstLine="458"/>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17.13 </w:t>
      </w:r>
      <w:r>
        <w:rPr>
          <w:rFonts w:ascii="Arial" w:cs="Arial" w:eastAsia="Arial" w:hAnsi="Arial"/>
          <w:sz w:val="14"/>
          <w:szCs w:val="14"/>
          <w:b w:val="1"/>
          <w:bCs w:val="1"/>
          <w:color w:val="auto"/>
        </w:rPr>
        <w:t>Waiver of Rule of Construction</w:t>
      </w:r>
      <w:r>
        <w:rPr>
          <w:rFonts w:ascii="Arial" w:cs="Arial" w:eastAsia="Arial" w:hAnsi="Arial"/>
          <w:sz w:val="14"/>
          <w:szCs w:val="14"/>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17.14 </w:t>
      </w:r>
      <w:r>
        <w:rPr>
          <w:rFonts w:ascii="Arial" w:cs="Arial" w:eastAsia="Arial" w:hAnsi="Arial"/>
          <w:sz w:val="12"/>
          <w:szCs w:val="12"/>
          <w:b w:val="1"/>
          <w:bCs w:val="1"/>
          <w:color w:val="auto"/>
        </w:rPr>
        <w:t>Counterparts</w:t>
      </w:r>
      <w:r>
        <w:rPr>
          <w:rFonts w:ascii="Arial" w:cs="Arial" w:eastAsia="Arial" w:hAnsi="Arial"/>
          <w:sz w:val="12"/>
          <w:szCs w:val="12"/>
          <w:color w:val="auto"/>
        </w:rPr>
        <w:t>. The Agreement may be executed in two or more counterparts, each of which shall be deemed an original, but all of which together shall constitute one and the same instrument.</w:t>
      </w:r>
    </w:p>
    <w:p>
      <w:pPr>
        <w:spacing w:after="0" w:line="155" w:lineRule="exact"/>
        <w:rPr>
          <w:sz w:val="20"/>
          <w:szCs w:val="20"/>
          <w:color w:val="auto"/>
        </w:rPr>
      </w:pPr>
    </w:p>
    <w:p>
      <w:pPr>
        <w:jc w:val="both"/>
        <w:ind w:right="300" w:firstLine="458"/>
        <w:spacing w:after="0" w:line="322" w:lineRule="auto"/>
        <w:rPr>
          <w:sz w:val="20"/>
          <w:szCs w:val="20"/>
          <w:color w:val="auto"/>
        </w:rPr>
      </w:pPr>
      <w:r>
        <w:rPr>
          <w:rFonts w:ascii="Arial" w:cs="Arial" w:eastAsia="Arial" w:hAnsi="Arial"/>
          <w:sz w:val="12"/>
          <w:szCs w:val="12"/>
          <w:color w:val="auto"/>
        </w:rPr>
        <w:t xml:space="preserve">17.15 </w:t>
      </w:r>
      <w:r>
        <w:rPr>
          <w:rFonts w:ascii="Arial" w:cs="Arial" w:eastAsia="Arial" w:hAnsi="Arial"/>
          <w:sz w:val="12"/>
          <w:szCs w:val="12"/>
          <w:b w:val="1"/>
          <w:bCs w:val="1"/>
          <w:color w:val="auto"/>
        </w:rPr>
        <w:t>Further Assurances</w:t>
      </w:r>
      <w:r>
        <w:rPr>
          <w:rFonts w:ascii="Arial" w:cs="Arial" w:eastAsia="Arial" w:hAnsi="Arial"/>
          <w:sz w:val="12"/>
          <w:szCs w:val="12"/>
          <w:color w:val="auto"/>
        </w:rPr>
        <w:t>. Each Party will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71" w:lineRule="exact"/>
        <w:rPr>
          <w:sz w:val="20"/>
          <w:szCs w:val="20"/>
          <w:color w:val="auto"/>
        </w:rPr>
      </w:pPr>
    </w:p>
    <w:p>
      <w:pPr>
        <w:ind w:firstLine="458"/>
        <w:spacing w:after="0" w:line="312" w:lineRule="auto"/>
        <w:rPr>
          <w:sz w:val="20"/>
          <w:szCs w:val="20"/>
          <w:color w:val="auto"/>
        </w:rPr>
      </w:pPr>
      <w:r>
        <w:rPr>
          <w:rFonts w:ascii="Arial" w:cs="Arial" w:eastAsia="Arial" w:hAnsi="Arial"/>
          <w:sz w:val="12"/>
          <w:szCs w:val="12"/>
          <w:color w:val="auto"/>
        </w:rPr>
        <w:t xml:space="preserve">17.16 </w:t>
      </w:r>
      <w:r>
        <w:rPr>
          <w:rFonts w:ascii="Arial" w:cs="Arial" w:eastAsia="Arial" w:hAnsi="Arial"/>
          <w:sz w:val="12"/>
          <w:szCs w:val="12"/>
          <w:b w:val="1"/>
          <w:bCs w:val="1"/>
          <w:color w:val="auto"/>
        </w:rPr>
        <w:t>Construction</w:t>
      </w:r>
      <w:r>
        <w:rPr>
          <w:rFonts w:ascii="Arial" w:cs="Arial" w:eastAsia="Arial" w:hAnsi="Arial"/>
          <w:sz w:val="12"/>
          <w:szCs w:val="12"/>
          <w:color w:val="auto"/>
        </w:rPr>
        <w:t>. Except where the context otherwise requires, wherever used, the singular will include the plural, the plural the singular, the use of any gender will be applicable to all genders, and the word “or”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References to “Section” or “Sections” are references to the numbered sections of this Agreement, unless expressly stated otherwise. All dollars are United States Dollars.</w:t>
      </w:r>
    </w:p>
    <w:p>
      <w:pPr>
        <w:spacing w:after="0" w:line="68" w:lineRule="exact"/>
        <w:rPr>
          <w:sz w:val="20"/>
          <w:szCs w:val="20"/>
          <w:color w:val="auto"/>
        </w:rPr>
      </w:pPr>
    </w:p>
    <w:p>
      <w:pPr>
        <w:ind w:left="5660" w:right="1520" w:hanging="5656"/>
        <w:spacing w:after="0" w:line="438" w:lineRule="auto"/>
        <w:tabs>
          <w:tab w:leader="none" w:pos="235" w:val="left"/>
        </w:tabs>
        <w:numPr>
          <w:ilvl w:val="0"/>
          <w:numId w:val="779"/>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53</w:t>
      </w:r>
    </w:p>
    <w:p>
      <w:pPr>
        <w:sectPr>
          <w:pgSz w:w="11900" w:h="16838" w:orient="portrait"/>
          <w:cols w:equalWidth="0" w:num="1">
            <w:col w:w="11420"/>
          </w:cols>
          <w:pgMar w:left="220" w:top="245" w:right="259" w:bottom="1440" w:gutter="0" w:footer="0" w:header="0"/>
        </w:sectPr>
      </w:pPr>
    </w:p>
    <w:bookmarkStart w:id="675" w:name="page676"/>
    <w:bookmarkEnd w:id="675"/>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760" w:type="dxa"/>
            <w:vAlign w:val="bottom"/>
            <w:gridSpan w:val="3"/>
          </w:tcPr>
          <w:p>
            <w:pPr>
              <w:ind w:left="1220"/>
              <w:spacing w:after="0"/>
              <w:rPr>
                <w:sz w:val="20"/>
                <w:szCs w:val="20"/>
                <w:color w:val="auto"/>
              </w:rPr>
            </w:pPr>
            <w:r>
              <w:rPr>
                <w:rFonts w:ascii="Arial" w:cs="Arial" w:eastAsia="Arial" w:hAnsi="Arial"/>
                <w:sz w:val="14"/>
                <w:szCs w:val="14"/>
                <w:color w:val="auto"/>
              </w:rPr>
              <w:t>The Parties have executed this Agreement as of the Effective Date.</w:t>
            </w:r>
          </w:p>
        </w:tc>
      </w:tr>
      <w:tr>
        <w:trPr>
          <w:trHeight w:val="324"/>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Green Cross Corporation</w:t>
            </w:r>
          </w:p>
        </w:tc>
        <w:tc>
          <w:tcPr>
            <w:tcW w:w="2660" w:type="dxa"/>
            <w:vAlign w:val="bottom"/>
          </w:tcPr>
          <w:p>
            <w:pPr>
              <w:spacing w:after="0"/>
              <w:rPr>
                <w:sz w:val="24"/>
                <w:szCs w:val="24"/>
                <w:color w:val="auto"/>
              </w:rPr>
            </w:pPr>
          </w:p>
        </w:tc>
        <w:tc>
          <w:tcPr>
            <w:tcW w:w="6100" w:type="dxa"/>
            <w:vAlign w:val="bottom"/>
            <w:gridSpan w:val="2"/>
          </w:tcPr>
          <w:p>
            <w:pPr>
              <w:ind w:left="740"/>
              <w:spacing w:after="0"/>
              <w:rPr>
                <w:sz w:val="20"/>
                <w:szCs w:val="20"/>
                <w:color w:val="auto"/>
              </w:rPr>
            </w:pPr>
            <w:r>
              <w:rPr>
                <w:rFonts w:ascii="Arial" w:cs="Arial" w:eastAsia="Arial" w:hAnsi="Arial"/>
                <w:sz w:val="14"/>
                <w:szCs w:val="14"/>
                <w:b w:val="1"/>
                <w:bCs w:val="1"/>
                <w:color w:val="auto"/>
              </w:rPr>
              <w:t>MacroGenics, Inc.</w:t>
            </w:r>
          </w:p>
        </w:tc>
      </w:tr>
      <w:tr>
        <w:trPr>
          <w:trHeight w:val="334"/>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 G. Rhee</w:t>
            </w:r>
          </w:p>
        </w:tc>
        <w:tc>
          <w:tcPr>
            <w:tcW w:w="2660" w:type="dxa"/>
            <w:vAlign w:val="bottom"/>
            <w:tcBorders>
              <w:bottom w:val="single" w:sz="8" w:color="auto"/>
            </w:tcBorders>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4"/>
                <w:szCs w:val="14"/>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Scott Koenig</w:t>
            </w:r>
          </w:p>
        </w:tc>
      </w:tr>
      <w:tr>
        <w:trPr>
          <w:trHeight w:val="168"/>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 G. Rhee</w:t>
            </w:r>
          </w:p>
        </w:tc>
        <w:tc>
          <w:tcPr>
            <w:tcW w:w="2660" w:type="dxa"/>
            <w:vAlign w:val="bottom"/>
            <w:tcBorders>
              <w:bottom w:val="single" w:sz="8" w:color="auto"/>
            </w:tcBorders>
          </w:tcPr>
          <w:p>
            <w:pPr>
              <w:spacing w:after="0"/>
              <w:rPr>
                <w:sz w:val="14"/>
                <w:szCs w:val="14"/>
                <w:color w:val="auto"/>
              </w:rPr>
            </w:pPr>
          </w:p>
        </w:tc>
        <w:tc>
          <w:tcPr>
            <w:tcW w:w="1300" w:type="dxa"/>
            <w:vAlign w:val="bottom"/>
          </w:tcPr>
          <w:p>
            <w:pPr>
              <w:ind w:left="740"/>
              <w:spacing w:after="0"/>
              <w:rPr>
                <w:sz w:val="20"/>
                <w:szCs w:val="20"/>
                <w:color w:val="auto"/>
              </w:rPr>
            </w:pPr>
            <w:r>
              <w:rPr>
                <w:rFonts w:ascii="Arial" w:cs="Arial" w:eastAsia="Arial" w:hAnsi="Arial"/>
                <w:sz w:val="14"/>
                <w:szCs w:val="14"/>
                <w:color w:val="auto"/>
              </w:rPr>
              <w:t>Name: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Scott Koenig</w:t>
            </w:r>
          </w:p>
        </w:tc>
      </w:tr>
      <w:tr>
        <w:trPr>
          <w:trHeight w:val="169"/>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w:t>
            </w:r>
          </w:p>
        </w:tc>
        <w:tc>
          <w:tcPr>
            <w:tcW w:w="2660" w:type="dxa"/>
            <w:vAlign w:val="bottom"/>
            <w:tcBorders>
              <w:bottom w:val="single" w:sz="8" w:color="auto"/>
            </w:tcBorders>
          </w:tcPr>
          <w:p>
            <w:pPr>
              <w:spacing w:after="0"/>
              <w:rPr>
                <w:sz w:val="14"/>
                <w:szCs w:val="14"/>
                <w:color w:val="auto"/>
              </w:rPr>
            </w:pPr>
          </w:p>
        </w:tc>
        <w:tc>
          <w:tcPr>
            <w:tcW w:w="1300" w:type="dxa"/>
            <w:vAlign w:val="bottom"/>
          </w:tcPr>
          <w:p>
            <w:pPr>
              <w:ind w:left="740"/>
              <w:spacing w:after="0"/>
              <w:rPr>
                <w:sz w:val="20"/>
                <w:szCs w:val="20"/>
                <w:color w:val="auto"/>
              </w:rPr>
            </w:pPr>
            <w:r>
              <w:rPr>
                <w:rFonts w:ascii="Arial" w:cs="Arial" w:eastAsia="Arial" w:hAnsi="Arial"/>
                <w:sz w:val="14"/>
                <w:szCs w:val="14"/>
                <w:color w:val="auto"/>
              </w:rPr>
              <w:t>Title: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CEO</w:t>
            </w: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60" w:right="1560" w:hanging="5656"/>
        <w:spacing w:after="0" w:line="438" w:lineRule="auto"/>
        <w:tabs>
          <w:tab w:leader="none" w:pos="235" w:val="left"/>
        </w:tabs>
        <w:numPr>
          <w:ilvl w:val="0"/>
          <w:numId w:val="78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54</w:t>
      </w:r>
    </w:p>
    <w:p>
      <w:pPr>
        <w:sectPr>
          <w:pgSz w:w="11900" w:h="16838" w:orient="portrait"/>
          <w:cols w:equalWidth="0" w:num="1">
            <w:col w:w="11460"/>
          </w:cols>
          <w:pgMar w:left="220" w:top="247" w:right="219" w:bottom="1440" w:gutter="0" w:footer="0" w:header="0"/>
        </w:sectPr>
      </w:pPr>
    </w:p>
    <w:bookmarkStart w:id="676" w:name="page677"/>
    <w:bookmarkEnd w:id="676"/>
    <w:p>
      <w:pPr>
        <w:jc w:val="center"/>
        <w:ind w:right="-12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A</w:t>
      </w:r>
    </w:p>
    <w:p>
      <w:pPr>
        <w:spacing w:after="0" w:line="13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MacroGenics Licensed Patents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00" w:type="dxa"/>
            <w:vAlign w:val="bottom"/>
          </w:tcPr>
          <w:p>
            <w:pPr>
              <w:jc w:val="right"/>
              <w:ind w:right="932"/>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7"/>
        </w:trPr>
        <w:tc>
          <w:tcPr>
            <w:tcW w:w="1200" w:type="dxa"/>
            <w:vAlign w:val="bottom"/>
          </w:tcPr>
          <w:p>
            <w:pPr>
              <w:jc w:val="right"/>
              <w:ind w:right="932"/>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7"/>
        </w:trPr>
        <w:tc>
          <w:tcPr>
            <w:tcW w:w="1200" w:type="dxa"/>
            <w:vAlign w:val="bottom"/>
          </w:tcPr>
          <w:p>
            <w:pPr>
              <w:jc w:val="right"/>
              <w:ind w:right="932"/>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7"/>
        </w:trPr>
        <w:tc>
          <w:tcPr>
            <w:tcW w:w="1200" w:type="dxa"/>
            <w:vAlign w:val="bottom"/>
          </w:tcPr>
          <w:p>
            <w:pPr>
              <w:jc w:val="right"/>
              <w:ind w:right="932"/>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7"/>
        </w:trPr>
        <w:tc>
          <w:tcPr>
            <w:tcW w:w="1200" w:type="dxa"/>
            <w:vAlign w:val="bottom"/>
          </w:tcPr>
          <w:p>
            <w:pPr>
              <w:jc w:val="right"/>
              <w:ind w:right="932"/>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5"/>
        </w:trPr>
        <w:tc>
          <w:tcPr>
            <w:tcW w:w="1200" w:type="dxa"/>
            <w:vAlign w:val="bottom"/>
          </w:tcPr>
          <w:p>
            <w:pPr>
              <w:jc w:val="right"/>
              <w:ind w:right="932"/>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p>
    <w:p>
      <w:pPr>
        <w:ind w:left="5660" w:right="339" w:hanging="5656"/>
        <w:spacing w:after="0" w:line="438" w:lineRule="auto"/>
        <w:tabs>
          <w:tab w:leader="none" w:pos="235" w:val="left"/>
        </w:tabs>
        <w:numPr>
          <w:ilvl w:val="0"/>
          <w:numId w:val="78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55</w:t>
      </w:r>
    </w:p>
    <w:p>
      <w:pPr>
        <w:sectPr>
          <w:pgSz w:w="11900" w:h="16838" w:orient="portrait"/>
          <w:cols w:equalWidth="0" w:num="1">
            <w:col w:w="10239"/>
          </w:cols>
          <w:pgMar w:left="220" w:top="245" w:right="1440" w:bottom="1440" w:gutter="0" w:footer="0" w:header="0"/>
        </w:sectPr>
      </w:pPr>
    </w:p>
    <w:bookmarkStart w:id="677" w:name="page678"/>
    <w:bookmarkEnd w:id="677"/>
    <w:p>
      <w:pPr>
        <w:jc w:val="center"/>
        <w:ind w:right="-12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B</w:t>
      </w:r>
    </w:p>
    <w:p>
      <w:pPr>
        <w:spacing w:after="0" w:line="13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MacroGenics Licensed Trademarks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3" w:lineRule="exact"/>
        <w:rPr>
          <w:sz w:val="20"/>
          <w:szCs w:val="20"/>
          <w:color w:val="auto"/>
        </w:rPr>
      </w:pPr>
    </w:p>
    <w:p>
      <w:pPr>
        <w:ind w:left="5660" w:right="339" w:hanging="5656"/>
        <w:spacing w:after="0" w:line="438" w:lineRule="auto"/>
        <w:tabs>
          <w:tab w:leader="none" w:pos="235" w:val="left"/>
        </w:tabs>
        <w:numPr>
          <w:ilvl w:val="0"/>
          <w:numId w:val="78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56</w:t>
      </w:r>
    </w:p>
    <w:p>
      <w:pPr>
        <w:sectPr>
          <w:pgSz w:w="11900" w:h="16838" w:orient="portrait"/>
          <w:cols w:equalWidth="0" w:num="1">
            <w:col w:w="10239"/>
          </w:cols>
          <w:pgMar w:left="220" w:top="245" w:right="1440" w:bottom="1440" w:gutter="0" w:footer="0" w:header="0"/>
        </w:sectPr>
      </w:pPr>
    </w:p>
    <w:bookmarkStart w:id="678" w:name="page679"/>
    <w:bookmarkEnd w:id="678"/>
    <w:p>
      <w:pPr>
        <w:jc w:val="center"/>
        <w:ind w:right="-79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C</w:t>
      </w:r>
    </w:p>
    <w:p>
      <w:pPr>
        <w:spacing w:after="0" w:line="132" w:lineRule="exact"/>
        <w:rPr>
          <w:sz w:val="20"/>
          <w:szCs w:val="20"/>
          <w:color w:val="auto"/>
        </w:rPr>
      </w:pPr>
    </w:p>
    <w:p>
      <w:pPr>
        <w:jc w:val="center"/>
        <w:ind w:right="-799"/>
        <w:spacing w:after="0"/>
        <w:rPr>
          <w:sz w:val="20"/>
          <w:szCs w:val="20"/>
          <w:color w:val="auto"/>
        </w:rPr>
      </w:pPr>
      <w:r>
        <w:rPr>
          <w:rFonts w:ascii="Arial" w:cs="Arial" w:eastAsia="Arial" w:hAnsi="Arial"/>
          <w:sz w:val="14"/>
          <w:szCs w:val="14"/>
          <w:b w:val="1"/>
          <w:bCs w:val="1"/>
          <w:color w:val="auto"/>
        </w:rPr>
        <w:t>Phase I Clinical Development Plan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2360" w:type="dxa"/>
            <w:vAlign w:val="bottom"/>
          </w:tcPr>
          <w:p>
            <w:pPr>
              <w:spacing w:after="0"/>
              <w:rPr>
                <w:sz w:val="10"/>
                <w:szCs w:val="10"/>
                <w:color w:val="auto"/>
              </w:rPr>
            </w:pPr>
          </w:p>
        </w:tc>
        <w:tc>
          <w:tcPr>
            <w:tcW w:w="2460" w:type="dxa"/>
            <w:vAlign w:val="bottom"/>
            <w:gridSpan w:val="2"/>
          </w:tcPr>
          <w:p>
            <w:pPr>
              <w:jc w:val="center"/>
              <w:ind w:left="2234"/>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3"/>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6120" w:type="dxa"/>
            <w:vAlign w:val="bottom"/>
            <w:gridSpan w:val="3"/>
          </w:tcPr>
          <w:p>
            <w:pPr>
              <w:ind w:left="3520"/>
              <w:spacing w:after="0" w:line="148" w:lineRule="exact"/>
              <w:rPr>
                <w:sz w:val="20"/>
                <w:szCs w:val="20"/>
                <w:color w:val="auto"/>
              </w:rPr>
            </w:pPr>
            <w:r>
              <w:rPr>
                <w:rFonts w:ascii="Arial" w:cs="Arial" w:eastAsia="Arial" w:hAnsi="Arial"/>
                <w:sz w:val="14"/>
                <w:szCs w:val="14"/>
                <w:b w:val="1"/>
                <w:bCs w:val="1"/>
                <w:i w:val="1"/>
                <w:iCs w:val="1"/>
                <w:color w:val="auto"/>
              </w:rPr>
              <w:t>A.</w:t>
            </w:r>
            <w:r>
              <w:rPr>
                <w:rFonts w:ascii="Arial" w:cs="Arial" w:eastAsia="Arial" w:hAnsi="Arial"/>
                <w:sz w:val="14"/>
                <w:szCs w:val="14"/>
                <w:b w:val="1"/>
                <w:bCs w:val="1"/>
                <w:color w:val="auto"/>
              </w:rPr>
              <w:t>***</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6.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7.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8.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9.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0" w:type="dxa"/>
            <w:vAlign w:val="bottom"/>
            <w:gridSpan w:val="3"/>
          </w:tcPr>
          <w:p>
            <w:pPr>
              <w:jc w:val="center"/>
              <w:ind w:left="129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p>
    <w:p>
      <w:pPr>
        <w:ind w:left="5660" w:right="760" w:hanging="5656"/>
        <w:spacing w:after="0" w:line="438" w:lineRule="auto"/>
        <w:tabs>
          <w:tab w:leader="none" w:pos="235" w:val="left"/>
        </w:tabs>
        <w:numPr>
          <w:ilvl w:val="0"/>
          <w:numId w:val="78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57</w:t>
      </w:r>
    </w:p>
    <w:p>
      <w:pPr>
        <w:sectPr>
          <w:pgSz w:w="11900" w:h="16838" w:orient="portrait"/>
          <w:cols w:equalWidth="0" w:num="1">
            <w:col w:w="10660"/>
          </w:cols>
          <w:pgMar w:left="220" w:top="245" w:right="1019" w:bottom="1440" w:gutter="0" w:footer="0" w:header="0"/>
        </w:sectPr>
      </w:pPr>
    </w:p>
    <w:bookmarkStart w:id="679" w:name="page680"/>
    <w:bookmarkEnd w:id="679"/>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4"/>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3"/>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10.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 xml:space="preserve">15. </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B.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C.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5"/>
                <w:szCs w:val="15"/>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84"/>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58</w:t>
      </w:r>
    </w:p>
    <w:p>
      <w:pPr>
        <w:sectPr>
          <w:pgSz w:w="11900" w:h="16838" w:orient="portrait"/>
          <w:cols w:equalWidth="0" w:num="1">
            <w:col w:w="10660"/>
          </w:cols>
          <w:pgMar w:left="220" w:top="244" w:right="1019" w:bottom="1440" w:gutter="0" w:footer="0" w:header="0"/>
        </w:sectPr>
      </w:pPr>
    </w:p>
    <w:bookmarkStart w:id="680" w:name="page681"/>
    <w:bookmarkEnd w:id="680"/>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3"/>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3. ***</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D.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E.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5"/>
                <w:szCs w:val="15"/>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8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59</w:t>
      </w:r>
    </w:p>
    <w:p>
      <w:pPr>
        <w:sectPr>
          <w:pgSz w:w="11900" w:h="16838" w:orient="portrait"/>
          <w:cols w:equalWidth="0" w:num="1">
            <w:col w:w="10660"/>
          </w:cols>
          <w:pgMar w:left="220" w:top="244" w:right="1019" w:bottom="1440" w:gutter="0" w:footer="0" w:header="0"/>
        </w:sectPr>
      </w:pPr>
    </w:p>
    <w:bookmarkStart w:id="681" w:name="page682"/>
    <w:bookmarkEnd w:id="681"/>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3"/>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7. ***</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14.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16.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F.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86"/>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60</w:t>
      </w:r>
    </w:p>
    <w:p>
      <w:pPr>
        <w:sectPr>
          <w:pgSz w:w="11900" w:h="16838" w:orient="portrait"/>
          <w:cols w:equalWidth="0" w:num="1">
            <w:col w:w="10660"/>
          </w:cols>
          <w:pgMar w:left="220" w:top="244" w:right="1019" w:bottom="1440" w:gutter="0" w:footer="0" w:header="0"/>
        </w:sectPr>
      </w:pPr>
    </w:p>
    <w:bookmarkStart w:id="682" w:name="page683"/>
    <w:bookmarkEnd w:id="682"/>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4"/>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G.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H.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8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61</w:t>
      </w:r>
    </w:p>
    <w:p>
      <w:pPr>
        <w:sectPr>
          <w:pgSz w:w="11900" w:h="16838" w:orient="portrait"/>
          <w:cols w:equalWidth="0" w:num="1">
            <w:col w:w="10660"/>
          </w:cols>
          <w:pgMar w:left="220" w:top="244" w:right="1019" w:bottom="1440" w:gutter="0" w:footer="0" w:header="0"/>
        </w:sectPr>
      </w:pPr>
    </w:p>
    <w:bookmarkStart w:id="683" w:name="page684"/>
    <w:bookmarkEnd w:id="683"/>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4"/>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13. ***</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14.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J.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15. ***</w:t>
            </w:r>
          </w:p>
        </w:tc>
        <w:tc>
          <w:tcPr>
            <w:tcW w:w="160" w:type="dxa"/>
            <w:vAlign w:val="bottom"/>
          </w:tcPr>
          <w:p>
            <w:pPr>
              <w:spacing w:after="0"/>
              <w:rPr>
                <w:sz w:val="15"/>
                <w:szCs w:val="15"/>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60" w:right="760" w:hanging="5656"/>
        <w:spacing w:after="0" w:line="438" w:lineRule="auto"/>
        <w:tabs>
          <w:tab w:leader="none" w:pos="235" w:val="left"/>
        </w:tabs>
        <w:numPr>
          <w:ilvl w:val="0"/>
          <w:numId w:val="788"/>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62</w:t>
      </w:r>
    </w:p>
    <w:p>
      <w:pPr>
        <w:sectPr>
          <w:pgSz w:w="11900" w:h="16838" w:orient="portrait"/>
          <w:cols w:equalWidth="0" w:num="1">
            <w:col w:w="10660"/>
          </w:cols>
          <w:pgMar w:left="220" w:top="243" w:right="1019" w:bottom="1440" w:gutter="0" w:footer="0" w:header="0"/>
        </w:sectPr>
      </w:pPr>
    </w:p>
    <w:bookmarkStart w:id="684" w:name="page685"/>
    <w:bookmarkEnd w:id="684"/>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4"/>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3"/>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16. ***</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17.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K.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L.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5"/>
                <w:szCs w:val="15"/>
                <w:color w:val="auto"/>
              </w:rPr>
            </w:pPr>
          </w:p>
        </w:tc>
        <w:tc>
          <w:tcPr>
            <w:tcW w:w="5760" w:type="dxa"/>
            <w:vAlign w:val="bottom"/>
            <w:gridSpan w:val="3"/>
          </w:tcPr>
          <w:p>
            <w:pPr>
              <w:jc w:val="center"/>
              <w:ind w:left="3654"/>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89"/>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63</w:t>
      </w:r>
    </w:p>
    <w:p>
      <w:pPr>
        <w:sectPr>
          <w:pgSz w:w="11900" w:h="16838" w:orient="portrait"/>
          <w:cols w:equalWidth="0" w:num="1">
            <w:col w:w="10660"/>
          </w:cols>
          <w:pgMar w:left="220" w:top="244" w:right="1019" w:bottom="1440" w:gutter="0" w:footer="0" w:header="0"/>
        </w:sectPr>
      </w:pPr>
    </w:p>
    <w:bookmarkStart w:id="685" w:name="page686"/>
    <w:bookmarkEnd w:id="685"/>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jc w:val="center"/>
              <w:ind w:left="3533"/>
              <w:spacing w:after="0"/>
              <w:rPr>
                <w:sz w:val="20"/>
                <w:szCs w:val="20"/>
                <w:color w:val="auto"/>
              </w:rPr>
            </w:pPr>
            <w:r>
              <w:rPr>
                <w:rFonts w:ascii="Arial" w:cs="Arial" w:eastAsia="Arial" w:hAnsi="Arial"/>
                <w:sz w:val="10"/>
                <w:szCs w:val="10"/>
                <w:b w:val="1"/>
                <w:bCs w:val="1"/>
                <w:color w:val="auto"/>
              </w:rPr>
              <w:t>***</w:t>
            </w:r>
          </w:p>
        </w:tc>
        <w:tc>
          <w:tcPr>
            <w:tcW w:w="2360" w:type="dxa"/>
            <w:vAlign w:val="bottom"/>
          </w:tcPr>
          <w:p>
            <w:pPr>
              <w:spacing w:after="0"/>
              <w:rPr>
                <w:sz w:val="10"/>
                <w:szCs w:val="10"/>
                <w:color w:val="auto"/>
              </w:rPr>
            </w:pPr>
          </w:p>
        </w:tc>
        <w:tc>
          <w:tcPr>
            <w:tcW w:w="2460" w:type="dxa"/>
            <w:vAlign w:val="bottom"/>
            <w:gridSpan w:val="2"/>
          </w:tcPr>
          <w:p>
            <w:pPr>
              <w:jc w:val="center"/>
              <w:ind w:left="223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4"/>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6. ***</w:t>
            </w:r>
          </w:p>
        </w:tc>
        <w:tc>
          <w:tcPr>
            <w:tcW w:w="160" w:type="dxa"/>
            <w:vAlign w:val="bottom"/>
            <w:tcBorders>
              <w:top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67"/>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M. ***</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N. ***</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r>
        <w:trPr>
          <w:trHeight w:val="167"/>
        </w:trPr>
        <w:tc>
          <w:tcPr>
            <w:tcW w:w="6120" w:type="dxa"/>
            <w:vAlign w:val="bottom"/>
            <w:gridSpan w:val="3"/>
          </w:tcPr>
          <w:p>
            <w:pPr>
              <w:ind w:left="3480"/>
              <w:spacing w:after="0"/>
              <w:rPr>
                <w:sz w:val="20"/>
                <w:szCs w:val="20"/>
                <w:color w:val="auto"/>
              </w:rPr>
            </w:pPr>
            <w:r>
              <w:rPr>
                <w:rFonts w:ascii="Arial" w:cs="Arial" w:eastAsia="Arial" w:hAnsi="Arial"/>
                <w:sz w:val="14"/>
                <w:szCs w:val="14"/>
                <w:b w:val="1"/>
                <w:bCs w:val="1"/>
                <w:color w:val="auto"/>
              </w:rPr>
              <w:t>O. ***</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1.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2.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3.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4.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5.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6.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612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7. ***</w:t>
            </w:r>
          </w:p>
        </w:tc>
        <w:tc>
          <w:tcPr>
            <w:tcW w:w="3400" w:type="dxa"/>
            <w:vAlign w:val="bottom"/>
            <w:gridSpan w:val="3"/>
          </w:tcPr>
          <w:p>
            <w:pPr>
              <w:jc w:val="center"/>
              <w:ind w:left="129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60" w:right="760" w:hanging="5656"/>
        <w:spacing w:after="0" w:line="438" w:lineRule="auto"/>
        <w:tabs>
          <w:tab w:leader="none" w:pos="235" w:val="left"/>
        </w:tabs>
        <w:numPr>
          <w:ilvl w:val="0"/>
          <w:numId w:val="79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64</w:t>
      </w:r>
    </w:p>
    <w:p>
      <w:pPr>
        <w:sectPr>
          <w:pgSz w:w="11900" w:h="16838" w:orient="portrait"/>
          <w:cols w:equalWidth="0" w:num="1">
            <w:col w:w="10660"/>
          </w:cols>
          <w:pgMar w:left="220" w:top="243" w:right="1019" w:bottom="1440" w:gutter="0" w:footer="0" w:header="0"/>
        </w:sectPr>
      </w:pPr>
    </w:p>
    <w:bookmarkStart w:id="686" w:name="page687"/>
    <w:bookmarkEnd w:id="686"/>
    <w:tbl>
      <w:tblPr>
        <w:tblLayout w:type="fixed"/>
        <w:tblInd w:w="3476" w:type="dxa"/>
        <w:tblCellMar>
          <w:top w:w="0" w:type="dxa"/>
          <w:left w:w="0" w:type="dxa"/>
          <w:bottom w:w="0" w:type="dxa"/>
          <w:right w:w="0" w:type="dxa"/>
        </w:tblCellMar>
      </w:tblPr>
      <w:tr>
        <w:trPr>
          <w:trHeight w:val="126"/>
        </w:trPr>
        <w:tc>
          <w:tcPr>
            <w:tcW w:w="280" w:type="dxa"/>
            <w:vAlign w:val="bottom"/>
            <w:gridSpan w:val="2"/>
          </w:tcPr>
          <w:p>
            <w:pPr>
              <w:jc w:val="center"/>
              <w:ind w:left="53"/>
              <w:spacing w:after="0"/>
              <w:rPr>
                <w:sz w:val="20"/>
                <w:szCs w:val="20"/>
                <w:color w:val="auto"/>
              </w:rPr>
            </w:pPr>
            <w:r>
              <w:rPr>
                <w:rFonts w:ascii="Arial" w:cs="Arial" w:eastAsia="Arial" w:hAnsi="Arial"/>
                <w:sz w:val="10"/>
                <w:szCs w:val="10"/>
                <w:b w:val="1"/>
                <w:bCs w:val="1"/>
                <w:color w:val="auto"/>
              </w:rPr>
              <w:t>***</w:t>
            </w:r>
          </w:p>
        </w:tc>
        <w:tc>
          <w:tcPr>
            <w:tcW w:w="2380" w:type="dxa"/>
            <w:vAlign w:val="bottom"/>
          </w:tcPr>
          <w:p>
            <w:pPr>
              <w:spacing w:after="0"/>
              <w:rPr>
                <w:sz w:val="10"/>
                <w:szCs w:val="10"/>
                <w:color w:val="auto"/>
              </w:rPr>
            </w:pPr>
          </w:p>
        </w:tc>
        <w:tc>
          <w:tcPr>
            <w:tcW w:w="2440" w:type="dxa"/>
            <w:vAlign w:val="bottom"/>
            <w:gridSpan w:val="2"/>
          </w:tcPr>
          <w:p>
            <w:pPr>
              <w:jc w:val="center"/>
              <w:ind w:left="221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7"/>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9"/>
              </w:rPr>
              <w:t>8.</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0" w:type="dxa"/>
            <w:vAlign w:val="bottom"/>
            <w:vMerge w:val="continue"/>
          </w:tcPr>
          <w:p>
            <w:pPr>
              <w:spacing w:after="0"/>
              <w:rPr>
                <w:sz w:val="12"/>
                <w:szCs w:val="12"/>
                <w:color w:val="auto"/>
              </w:rPr>
            </w:pPr>
          </w:p>
        </w:tc>
        <w:tc>
          <w:tcPr>
            <w:tcW w:w="2540" w:type="dxa"/>
            <w:vAlign w:val="bottom"/>
            <w:gridSpan w:val="2"/>
          </w:tcPr>
          <w:p>
            <w:pPr>
              <w:jc w:val="right"/>
              <w:ind w:right="2260"/>
              <w:spacing w:after="0" w:line="148" w:lineRule="exact"/>
              <w:rPr>
                <w:sz w:val="20"/>
                <w:szCs w:val="20"/>
                <w:color w:val="auto"/>
              </w:rPr>
            </w:pPr>
            <w:r>
              <w:rPr>
                <w:rFonts w:ascii="Arial" w:cs="Arial" w:eastAsia="Arial" w:hAnsi="Arial"/>
                <w:sz w:val="14"/>
                <w:szCs w:val="14"/>
                <w:b w:val="1"/>
                <w:bCs w:val="1"/>
                <w:color w:val="auto"/>
              </w:rPr>
              <w:t>***</w:t>
            </w:r>
          </w:p>
        </w:tc>
        <w:tc>
          <w:tcPr>
            <w:tcW w:w="2280" w:type="dxa"/>
            <w:vAlign w:val="bottom"/>
            <w:vMerge w:val="continue"/>
          </w:tcPr>
          <w:p>
            <w:pPr>
              <w:spacing w:after="0"/>
              <w:rPr>
                <w:sz w:val="12"/>
                <w:szCs w:val="12"/>
                <w:color w:val="auto"/>
              </w:rPr>
            </w:pPr>
          </w:p>
        </w:tc>
        <w:tc>
          <w:tcPr>
            <w:tcW w:w="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9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79"/>
              </w:rPr>
              <w:t>9.</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10.</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gridSpan w:val="3"/>
          </w:tcPr>
          <w:p>
            <w:pPr>
              <w:jc w:val="right"/>
              <w:ind w:right="2260"/>
              <w:spacing w:after="0"/>
              <w:rPr>
                <w:sz w:val="20"/>
                <w:szCs w:val="20"/>
                <w:color w:val="auto"/>
              </w:rPr>
            </w:pPr>
            <w:r>
              <w:rPr>
                <w:rFonts w:ascii="Arial" w:cs="Arial" w:eastAsia="Arial" w:hAnsi="Arial"/>
                <w:sz w:val="14"/>
                <w:szCs w:val="14"/>
                <w:b w:val="1"/>
                <w:bCs w:val="1"/>
                <w:color w:val="auto"/>
                <w:w w:val="95"/>
              </w:rPr>
              <w:t>11. ***</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12.</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13.</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14.</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15.</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16.</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17.</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18.</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19.</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20.</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21.</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22.</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23.</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24.</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25.</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1"/>
              </w:rPr>
              <w:t>26.</w:t>
            </w:r>
          </w:p>
        </w:tc>
        <w:tc>
          <w:tcPr>
            <w:tcW w:w="2540" w:type="dxa"/>
            <w:vAlign w:val="bottom"/>
            <w:gridSpan w:val="2"/>
          </w:tcPr>
          <w:p>
            <w:pPr>
              <w:jc w:val="right"/>
              <w:ind w:right="2260"/>
              <w:spacing w:after="0"/>
              <w:rPr>
                <w:sz w:val="20"/>
                <w:szCs w:val="20"/>
                <w:color w:val="auto"/>
              </w:rPr>
            </w:pPr>
            <w:r>
              <w:rPr>
                <w:rFonts w:ascii="Arial" w:cs="Arial" w:eastAsia="Arial" w:hAnsi="Arial"/>
                <w:sz w:val="14"/>
                <w:szCs w:val="14"/>
                <w:b w:val="1"/>
                <w:bCs w:val="1"/>
                <w:color w:val="auto"/>
              </w:rPr>
              <w:t>***</w:t>
            </w:r>
          </w:p>
        </w:tc>
        <w:tc>
          <w:tcPr>
            <w:tcW w:w="3380" w:type="dxa"/>
            <w:vAlign w:val="bottom"/>
            <w:gridSpan w:val="3"/>
          </w:tcPr>
          <w:p>
            <w:pPr>
              <w:jc w:val="center"/>
              <w:ind w:left="12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56" w:right="760" w:hanging="5656"/>
        <w:spacing w:after="0" w:line="438" w:lineRule="auto"/>
        <w:tabs>
          <w:tab w:leader="none" w:pos="232" w:val="left"/>
        </w:tabs>
        <w:numPr>
          <w:ilvl w:val="0"/>
          <w:numId w:val="79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65</w:t>
      </w:r>
    </w:p>
    <w:p>
      <w:pPr>
        <w:sectPr>
          <w:pgSz w:w="11900" w:h="16838" w:orient="portrait"/>
          <w:cols w:equalWidth="0" w:num="1">
            <w:col w:w="10656"/>
          </w:cols>
          <w:pgMar w:left="224" w:top="244" w:right="1019" w:bottom="1440" w:gutter="0" w:footer="0" w:header="0"/>
        </w:sectPr>
      </w:pPr>
    </w:p>
    <w:bookmarkStart w:id="687" w:name="page688"/>
    <w:bookmarkEnd w:id="687"/>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jc w:val="center"/>
              <w:ind w:left="3533"/>
              <w:spacing w:after="0"/>
              <w:rPr>
                <w:sz w:val="20"/>
                <w:szCs w:val="20"/>
                <w:color w:val="auto"/>
              </w:rPr>
            </w:pPr>
            <w:r>
              <w:rPr>
                <w:rFonts w:ascii="Arial" w:cs="Arial" w:eastAsia="Arial" w:hAnsi="Arial"/>
                <w:sz w:val="10"/>
                <w:szCs w:val="10"/>
                <w:b w:val="1"/>
                <w:bCs w:val="1"/>
                <w:color w:val="auto"/>
              </w:rPr>
              <w:t>***</w:t>
            </w:r>
          </w:p>
        </w:tc>
        <w:tc>
          <w:tcPr>
            <w:tcW w:w="2380" w:type="dxa"/>
            <w:vAlign w:val="bottom"/>
          </w:tcPr>
          <w:p>
            <w:pPr>
              <w:spacing w:after="0"/>
              <w:rPr>
                <w:sz w:val="10"/>
                <w:szCs w:val="10"/>
                <w:color w:val="auto"/>
              </w:rPr>
            </w:pPr>
          </w:p>
        </w:tc>
        <w:tc>
          <w:tcPr>
            <w:tcW w:w="2440" w:type="dxa"/>
            <w:vAlign w:val="bottom"/>
            <w:gridSpan w:val="2"/>
          </w:tcPr>
          <w:p>
            <w:pPr>
              <w:jc w:val="center"/>
              <w:ind w:left="2213"/>
              <w:spacing w:after="0"/>
              <w:rPr>
                <w:sz w:val="20"/>
                <w:szCs w:val="20"/>
                <w:color w:val="auto"/>
              </w:rPr>
            </w:pPr>
            <w:r>
              <w:rPr>
                <w:rFonts w:ascii="Arial" w:cs="Arial" w:eastAsia="Arial" w:hAnsi="Arial"/>
                <w:sz w:val="10"/>
                <w:szCs w:val="10"/>
                <w:b w:val="1"/>
                <w:bCs w:val="1"/>
                <w:color w:val="auto"/>
              </w:rPr>
              <w:t>***</w:t>
            </w:r>
          </w:p>
        </w:tc>
        <w:tc>
          <w:tcPr>
            <w:tcW w:w="190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20"/>
        </w:trPr>
        <w:tc>
          <w:tcPr>
            <w:tcW w:w="3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148"/>
        </w:trPr>
        <w:tc>
          <w:tcPr>
            <w:tcW w:w="6140" w:type="dxa"/>
            <w:vAlign w:val="bottom"/>
            <w:gridSpan w:val="3"/>
          </w:tcPr>
          <w:p>
            <w:pPr>
              <w:jc w:val="center"/>
              <w:ind w:left="1153"/>
              <w:spacing w:after="0" w:line="148" w:lineRule="exact"/>
              <w:rPr>
                <w:sz w:val="20"/>
                <w:szCs w:val="20"/>
                <w:color w:val="auto"/>
              </w:rPr>
            </w:pPr>
            <w:r>
              <w:rPr>
                <w:rFonts w:ascii="Arial" w:cs="Arial" w:eastAsia="Arial" w:hAnsi="Arial"/>
                <w:sz w:val="14"/>
                <w:szCs w:val="14"/>
                <w:b w:val="1"/>
                <w:bCs w:val="1"/>
                <w:color w:val="auto"/>
              </w:rPr>
              <w:t>27. ***</w:t>
            </w:r>
          </w:p>
        </w:tc>
        <w:tc>
          <w:tcPr>
            <w:tcW w:w="4340" w:type="dxa"/>
            <w:vAlign w:val="bottom"/>
            <w:gridSpan w:val="3"/>
          </w:tcPr>
          <w:p>
            <w:pPr>
              <w:jc w:val="center"/>
              <w:ind w:left="313"/>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67"/>
        </w:trPr>
        <w:tc>
          <w:tcPr>
            <w:tcW w:w="614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28. ***</w:t>
            </w: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614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29. ***</w:t>
            </w: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6140" w:type="dxa"/>
            <w:vAlign w:val="bottom"/>
            <w:gridSpan w:val="3"/>
          </w:tcPr>
          <w:p>
            <w:pPr>
              <w:jc w:val="center"/>
              <w:ind w:left="1153"/>
              <w:spacing w:after="0"/>
              <w:rPr>
                <w:sz w:val="20"/>
                <w:szCs w:val="20"/>
                <w:color w:val="auto"/>
              </w:rPr>
            </w:pPr>
            <w:r>
              <w:rPr>
                <w:rFonts w:ascii="Arial" w:cs="Arial" w:eastAsia="Arial" w:hAnsi="Arial"/>
                <w:sz w:val="14"/>
                <w:szCs w:val="14"/>
                <w:b w:val="1"/>
                <w:bCs w:val="1"/>
                <w:color w:val="auto"/>
              </w:rPr>
              <w:t>30. ***</w:t>
            </w: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P. ***</w:t>
            </w: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13.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Q. ***</w:t>
            </w: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3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60" w:right="740" w:hanging="5656"/>
        <w:spacing w:after="0" w:line="438" w:lineRule="auto"/>
        <w:tabs>
          <w:tab w:leader="none" w:pos="235" w:val="left"/>
        </w:tabs>
        <w:numPr>
          <w:ilvl w:val="0"/>
          <w:numId w:val="79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66</w:t>
      </w:r>
    </w:p>
    <w:p>
      <w:pPr>
        <w:sectPr>
          <w:pgSz w:w="11900" w:h="16838" w:orient="portrait"/>
          <w:cols w:equalWidth="0" w:num="1">
            <w:col w:w="10640"/>
          </w:cols>
          <w:pgMar w:left="220" w:top="243" w:right="1039" w:bottom="1440" w:gutter="0" w:footer="0" w:header="0"/>
        </w:sectPr>
      </w:pPr>
    </w:p>
    <w:bookmarkStart w:id="688" w:name="page689"/>
    <w:bookmarkEnd w:id="688"/>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7"/>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4. ***</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R.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16. ***</w:t>
            </w:r>
          </w:p>
        </w:tc>
        <w:tc>
          <w:tcPr>
            <w:tcW w:w="160" w:type="dxa"/>
            <w:vAlign w:val="bottom"/>
          </w:tcPr>
          <w:p>
            <w:pPr>
              <w:spacing w:after="0"/>
              <w:rPr>
                <w:sz w:val="15"/>
                <w:szCs w:val="15"/>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9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67</w:t>
      </w:r>
    </w:p>
    <w:p>
      <w:pPr>
        <w:sectPr>
          <w:pgSz w:w="11900" w:h="16838" w:orient="portrait"/>
          <w:cols w:equalWidth="0" w:num="1">
            <w:col w:w="10660"/>
          </w:cols>
          <w:pgMar w:left="220" w:top="244" w:right="1019" w:bottom="1440" w:gutter="0" w:footer="0" w:header="0"/>
        </w:sectPr>
      </w:pPr>
    </w:p>
    <w:bookmarkStart w:id="689" w:name="page690"/>
    <w:bookmarkEnd w:id="689"/>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3"/>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0"/>
                <w:szCs w:val="10"/>
                <w:color w:val="auto"/>
              </w:rPr>
            </w:pPr>
          </w:p>
        </w:tc>
        <w:tc>
          <w:tcPr>
            <w:tcW w:w="1120" w:type="dxa"/>
            <w:vAlign w:val="bottom"/>
            <w:gridSpan w:val="2"/>
          </w:tcPr>
          <w:p>
            <w:pPr>
              <w:jc w:val="center"/>
              <w:ind w:left="876"/>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18.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19.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20.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76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856"/>
              <w:spacing w:after="0"/>
              <w:rPr>
                <w:sz w:val="20"/>
                <w:szCs w:val="20"/>
                <w:color w:val="auto"/>
              </w:rPr>
            </w:pPr>
            <w:r>
              <w:rPr>
                <w:rFonts w:ascii="Arial" w:cs="Arial" w:eastAsia="Arial" w:hAnsi="Arial"/>
                <w:sz w:val="14"/>
                <w:szCs w:val="14"/>
                <w:color w:val="auto"/>
              </w:rPr>
              <w:t>***</w:t>
            </w:r>
          </w:p>
        </w:tc>
      </w:tr>
      <w:tr>
        <w:trPr>
          <w:trHeight w:val="16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S. ***</w:t>
            </w: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w:t>
            </w: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4"/>
                <w:szCs w:val="14"/>
                <w:color w:val="auto"/>
              </w:rPr>
            </w:pPr>
          </w:p>
        </w:tc>
        <w:tc>
          <w:tcPr>
            <w:tcW w:w="5760" w:type="dxa"/>
            <w:vAlign w:val="bottom"/>
            <w:gridSpan w:val="3"/>
          </w:tcPr>
          <w:p>
            <w:pPr>
              <w:jc w:val="center"/>
              <w:ind w:left="365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T. ***</w:t>
            </w:r>
          </w:p>
        </w:tc>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ind w:left="5660" w:right="760" w:hanging="5656"/>
        <w:spacing w:after="0" w:line="438" w:lineRule="auto"/>
        <w:tabs>
          <w:tab w:leader="none" w:pos="235" w:val="left"/>
        </w:tabs>
        <w:numPr>
          <w:ilvl w:val="0"/>
          <w:numId w:val="794"/>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68</w:t>
      </w:r>
    </w:p>
    <w:p>
      <w:pPr>
        <w:sectPr>
          <w:pgSz w:w="11900" w:h="16838" w:orient="portrait"/>
          <w:cols w:equalWidth="0" w:num="1">
            <w:col w:w="10660"/>
          </w:cols>
          <w:pgMar w:left="220" w:top="244" w:right="1019" w:bottom="1440" w:gutter="0" w:footer="0" w:header="0"/>
        </w:sectPr>
      </w:pPr>
    </w:p>
    <w:bookmarkStart w:id="690" w:name="page691"/>
    <w:bookmarkEnd w:id="690"/>
    <w:tbl>
      <w:tblPr>
        <w:tblLayout w:type="fixed"/>
        <w:tblInd w:w="0" w:type="dxa"/>
        <w:tblCellMar>
          <w:top w:w="0" w:type="dxa"/>
          <w:left w:w="0" w:type="dxa"/>
          <w:bottom w:w="0" w:type="dxa"/>
          <w:right w:w="0" w:type="dxa"/>
        </w:tblCellMar>
      </w:tblPr>
      <w:tr>
        <w:trPr>
          <w:trHeight w:val="126"/>
        </w:trPr>
        <w:tc>
          <w:tcPr>
            <w:tcW w:w="3760" w:type="dxa"/>
            <w:vAlign w:val="bottom"/>
            <w:gridSpan w:val="2"/>
          </w:tcPr>
          <w:p>
            <w:pPr>
              <w:ind w:left="3600"/>
              <w:spacing w:after="0"/>
              <w:rPr>
                <w:sz w:val="20"/>
                <w:szCs w:val="20"/>
                <w:color w:val="auto"/>
              </w:rPr>
            </w:pPr>
            <w:r>
              <w:rPr>
                <w:rFonts w:ascii="Arial" w:cs="Arial" w:eastAsia="Arial" w:hAnsi="Arial"/>
                <w:sz w:val="10"/>
                <w:szCs w:val="10"/>
                <w:b w:val="1"/>
                <w:bCs w:val="1"/>
                <w:color w:val="auto"/>
              </w:rPr>
              <w:t>***</w:t>
            </w:r>
          </w:p>
        </w:tc>
        <w:tc>
          <w:tcPr>
            <w:tcW w:w="4820" w:type="dxa"/>
            <w:vAlign w:val="bottom"/>
            <w:gridSpan w:val="2"/>
          </w:tcPr>
          <w:p>
            <w:pPr>
              <w:jc w:val="center"/>
              <w:ind w:left="4594"/>
              <w:spacing w:after="0"/>
              <w:rPr>
                <w:sz w:val="20"/>
                <w:szCs w:val="20"/>
                <w:color w:val="auto"/>
              </w:rPr>
            </w:pPr>
            <w:r>
              <w:rPr>
                <w:rFonts w:ascii="Arial" w:cs="Arial" w:eastAsia="Arial" w:hAnsi="Arial"/>
                <w:sz w:val="10"/>
                <w:szCs w:val="10"/>
                <w:b w:val="1"/>
                <w:bCs w:val="1"/>
                <w:color w:val="auto"/>
              </w:rPr>
              <w:t>***</w:t>
            </w:r>
          </w:p>
        </w:tc>
        <w:tc>
          <w:tcPr>
            <w:tcW w:w="190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48"/>
        </w:trPr>
        <w:tc>
          <w:tcPr>
            <w:tcW w:w="3600" w:type="dxa"/>
            <w:vAlign w:val="bottom"/>
          </w:tcPr>
          <w:p>
            <w:pPr>
              <w:spacing w:after="0" w:line="148" w:lineRule="exact"/>
              <w:rPr>
                <w:sz w:val="20"/>
                <w:szCs w:val="20"/>
                <w:color w:val="auto"/>
              </w:rPr>
            </w:pPr>
            <w:r>
              <w:rPr>
                <w:rFonts w:ascii="Arial" w:cs="Arial" w:eastAsia="Arial" w:hAnsi="Arial"/>
                <w:sz w:val="14"/>
                <w:szCs w:val="14"/>
                <w:b w:val="1"/>
                <w:bCs w:val="1"/>
                <w:color w:val="auto"/>
              </w:rPr>
              <w:t>1. ***</w:t>
            </w:r>
          </w:p>
        </w:tc>
        <w:tc>
          <w:tcPr>
            <w:tcW w:w="160" w:type="dxa"/>
            <w:vAlign w:val="bottom"/>
            <w:tcBorders>
              <w:top w:val="single" w:sz="8" w:color="auto"/>
            </w:tcBorders>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1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3.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4.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5.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6.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7.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8.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9.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b w:val="1"/>
                <w:bCs w:val="1"/>
                <w:color w:val="auto"/>
              </w:rPr>
              <w:t>10. ***</w:t>
            </w:r>
          </w:p>
        </w:tc>
        <w:tc>
          <w:tcPr>
            <w:tcW w:w="160" w:type="dxa"/>
            <w:vAlign w:val="bottom"/>
          </w:tcPr>
          <w:p>
            <w:pPr>
              <w:spacing w:after="0"/>
              <w:rPr>
                <w:sz w:val="14"/>
                <w:szCs w:val="14"/>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b w:val="1"/>
                <w:bCs w:val="1"/>
                <w:color w:val="auto"/>
              </w:rPr>
              <w:t>11. ***</w:t>
            </w:r>
          </w:p>
        </w:tc>
        <w:tc>
          <w:tcPr>
            <w:tcW w:w="160" w:type="dxa"/>
            <w:vAlign w:val="bottom"/>
          </w:tcPr>
          <w:p>
            <w:pPr>
              <w:spacing w:after="0"/>
              <w:rPr>
                <w:sz w:val="15"/>
                <w:szCs w:val="15"/>
                <w:color w:val="auto"/>
              </w:rPr>
            </w:pPr>
          </w:p>
        </w:tc>
        <w:tc>
          <w:tcPr>
            <w:tcW w:w="672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60" w:right="740" w:hanging="5656"/>
        <w:spacing w:after="0" w:line="438" w:lineRule="auto"/>
        <w:tabs>
          <w:tab w:leader="none" w:pos="235" w:val="left"/>
        </w:tabs>
        <w:numPr>
          <w:ilvl w:val="0"/>
          <w:numId w:val="79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69</w:t>
      </w:r>
    </w:p>
    <w:p>
      <w:pPr>
        <w:sectPr>
          <w:pgSz w:w="11900" w:h="16838" w:orient="portrait"/>
          <w:cols w:equalWidth="0" w:num="1">
            <w:col w:w="10640"/>
          </w:cols>
          <w:pgMar w:left="220" w:top="243" w:right="1039" w:bottom="1440" w:gutter="0" w:footer="0" w:header="0"/>
        </w:sectPr>
      </w:pPr>
    </w:p>
    <w:bookmarkStart w:id="691" w:name="page692"/>
    <w:bookmarkEnd w:id="691"/>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Exhibit 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02"/>
        </w:trPr>
        <w:tc>
          <w:tcPr>
            <w:tcW w:w="2560" w:type="dxa"/>
            <w:vAlign w:val="bottom"/>
          </w:tcPr>
          <w:p>
            <w:pPr>
              <w:spacing w:after="0"/>
              <w:rPr>
                <w:sz w:val="24"/>
                <w:szCs w:val="24"/>
                <w:color w:val="auto"/>
              </w:rPr>
            </w:pPr>
          </w:p>
        </w:tc>
        <w:tc>
          <w:tcPr>
            <w:tcW w:w="4300" w:type="dxa"/>
            <w:vAlign w:val="bottom"/>
            <w:gridSpan w:val="4"/>
          </w:tcPr>
          <w:p>
            <w:pPr>
              <w:jc w:val="center"/>
              <w:ind w:left="1972"/>
              <w:spacing w:after="0"/>
              <w:rPr>
                <w:sz w:val="20"/>
                <w:szCs w:val="20"/>
                <w:color w:val="auto"/>
              </w:rPr>
            </w:pPr>
            <w:r>
              <w:rPr>
                <w:rFonts w:ascii="Arial" w:cs="Arial" w:eastAsia="Arial" w:hAnsi="Arial"/>
                <w:sz w:val="14"/>
                <w:szCs w:val="14"/>
                <w:b w:val="1"/>
                <w:bCs w:val="1"/>
                <w:color w:val="auto"/>
                <w:w w:val="88"/>
              </w:rPr>
              <w:t>Phase II Clinical Development Plan</w:t>
            </w:r>
          </w:p>
        </w:tc>
      </w:tr>
      <w:tr>
        <w:trPr>
          <w:trHeight w:val="293"/>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3"/>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3"/>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60" w:right="339" w:hanging="5656"/>
        <w:spacing w:after="0" w:line="438" w:lineRule="auto"/>
        <w:tabs>
          <w:tab w:leader="none" w:pos="235" w:val="left"/>
        </w:tabs>
        <w:numPr>
          <w:ilvl w:val="0"/>
          <w:numId w:val="796"/>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70</w:t>
      </w:r>
    </w:p>
    <w:p>
      <w:pPr>
        <w:sectPr>
          <w:pgSz w:w="11900" w:h="16838" w:orient="portrait"/>
          <w:cols w:equalWidth="0" w:num="1">
            <w:col w:w="10239"/>
          </w:cols>
          <w:pgMar w:left="220" w:top="230" w:right="1440" w:bottom="1440" w:gutter="0" w:footer="0" w:header="0"/>
        </w:sectPr>
      </w:pPr>
    </w:p>
    <w:bookmarkStart w:id="692" w:name="page693"/>
    <w:bookmarkEnd w:id="692"/>
    <w:p>
      <w:pPr>
        <w:jc w:val="center"/>
        <w:ind w:right="-12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E</w:t>
      </w:r>
    </w:p>
    <w:p>
      <w:pPr>
        <w:spacing w:after="0" w:line="13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Upstream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3" w:lineRule="exact"/>
        <w:rPr>
          <w:sz w:val="20"/>
          <w:szCs w:val="20"/>
          <w:color w:val="auto"/>
        </w:rPr>
      </w:pPr>
    </w:p>
    <w:p>
      <w:pPr>
        <w:ind w:left="5660" w:right="339" w:hanging="5656"/>
        <w:spacing w:after="0" w:line="438" w:lineRule="auto"/>
        <w:tabs>
          <w:tab w:leader="none" w:pos="235" w:val="left"/>
        </w:tabs>
        <w:numPr>
          <w:ilvl w:val="0"/>
          <w:numId w:val="797"/>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71</w:t>
      </w:r>
    </w:p>
    <w:p>
      <w:pPr>
        <w:sectPr>
          <w:pgSz w:w="11900" w:h="16838" w:orient="portrait"/>
          <w:cols w:equalWidth="0" w:num="1">
            <w:col w:w="10239"/>
          </w:cols>
          <w:pgMar w:left="220" w:top="245" w:right="1440" w:bottom="1440" w:gutter="0" w:footer="0" w:header="0"/>
        </w:sectPr>
      </w:pPr>
    </w:p>
    <w:bookmarkStart w:id="693" w:name="page694"/>
    <w:bookmarkEnd w:id="693"/>
    <w:p>
      <w:pPr>
        <w:jc w:val="center"/>
        <w:ind w:right="-12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F</w:t>
      </w:r>
    </w:p>
    <w:p>
      <w:pPr>
        <w:spacing w:after="0" w:line="13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Joint Steering Committee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MacroGenics:</w:t>
      </w:r>
    </w:p>
    <w:p>
      <w:pPr>
        <w:spacing w:after="0" w:line="69" w:lineRule="exact"/>
        <w:rPr>
          <w:sz w:val="20"/>
          <w:szCs w:val="20"/>
          <w:color w:val="auto"/>
        </w:rPr>
      </w:pPr>
    </w:p>
    <w:p>
      <w:pPr>
        <w:ind w:left="900" w:hanging="447"/>
        <w:spacing w:after="0"/>
        <w:tabs>
          <w:tab w:leader="none" w:pos="900" w:val="left"/>
        </w:tabs>
        <w:numPr>
          <w:ilvl w:val="0"/>
          <w:numId w:val="798"/>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798"/>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0"/>
          <w:numId w:val="798"/>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Green Cross:</w:t>
      </w:r>
    </w:p>
    <w:p>
      <w:pPr>
        <w:spacing w:after="0" w:line="69" w:lineRule="exact"/>
        <w:rPr>
          <w:sz w:val="20"/>
          <w:szCs w:val="20"/>
          <w:color w:val="auto"/>
        </w:rPr>
      </w:pPr>
    </w:p>
    <w:p>
      <w:pPr>
        <w:ind w:left="900" w:hanging="447"/>
        <w:spacing w:after="0"/>
        <w:tabs>
          <w:tab w:leader="none" w:pos="900" w:val="left"/>
        </w:tabs>
        <w:numPr>
          <w:ilvl w:val="1"/>
          <w:numId w:val="799"/>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1"/>
          <w:numId w:val="799"/>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68" w:lineRule="exact"/>
        <w:rPr>
          <w:rFonts w:ascii="Arial" w:cs="Arial" w:eastAsia="Arial" w:hAnsi="Arial"/>
          <w:sz w:val="14"/>
          <w:szCs w:val="14"/>
          <w:color w:val="auto"/>
        </w:rPr>
      </w:pPr>
    </w:p>
    <w:p>
      <w:pPr>
        <w:ind w:left="900" w:hanging="447"/>
        <w:spacing w:after="0"/>
        <w:tabs>
          <w:tab w:leader="none" w:pos="900" w:val="left"/>
        </w:tabs>
        <w:numPr>
          <w:ilvl w:val="1"/>
          <w:numId w:val="799"/>
        </w:numPr>
        <w:rPr>
          <w:rFonts w:ascii="Arial" w:cs="Arial" w:eastAsia="Arial" w:hAnsi="Arial"/>
          <w:sz w:val="14"/>
          <w:szCs w:val="14"/>
          <w:color w:val="auto"/>
        </w:rPr>
      </w:pPr>
      <w:r>
        <w:rPr>
          <w:rFonts w:ascii="Arial" w:cs="Arial" w:eastAsia="Arial" w:hAnsi="Arial"/>
          <w:sz w:val="14"/>
          <w:szCs w:val="14"/>
          <w:b w:val="1"/>
          <w:bCs w:val="1"/>
          <w:color w:val="auto"/>
        </w:rPr>
        <w:t>***</w:t>
      </w:r>
    </w:p>
    <w:p>
      <w:pPr>
        <w:spacing w:after="0" w:line="123" w:lineRule="exact"/>
        <w:rPr>
          <w:rFonts w:ascii="Arial" w:cs="Arial" w:eastAsia="Arial" w:hAnsi="Arial"/>
          <w:sz w:val="14"/>
          <w:szCs w:val="14"/>
          <w:color w:val="auto"/>
        </w:rPr>
      </w:pPr>
    </w:p>
    <w:p>
      <w:pPr>
        <w:ind w:left="5660" w:right="339" w:hanging="5656"/>
        <w:spacing w:after="0" w:line="438" w:lineRule="auto"/>
        <w:tabs>
          <w:tab w:leader="none" w:pos="235" w:val="left"/>
        </w:tabs>
        <w:numPr>
          <w:ilvl w:val="0"/>
          <w:numId w:val="799"/>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72</w:t>
      </w:r>
    </w:p>
    <w:p>
      <w:pPr>
        <w:sectPr>
          <w:pgSz w:w="11900" w:h="16838" w:orient="portrait"/>
          <w:cols w:equalWidth="0" w:num="1">
            <w:col w:w="10239"/>
          </w:cols>
          <w:pgMar w:left="220" w:top="246" w:right="1440" w:bottom="1440" w:gutter="0" w:footer="0" w:header="0"/>
        </w:sectPr>
      </w:pPr>
    </w:p>
    <w:bookmarkStart w:id="694" w:name="page695"/>
    <w:bookmarkEnd w:id="694"/>
    <w:p>
      <w:pPr>
        <w:jc w:val="center"/>
        <w:ind w:right="-124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G</w:t>
      </w:r>
    </w:p>
    <w:p>
      <w:pPr>
        <w:spacing w:after="0" w:line="13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SAFETY DATA EXCHANGE AGREEMENT COMPONENTS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3" w:lineRule="exact"/>
        <w:rPr>
          <w:sz w:val="20"/>
          <w:szCs w:val="20"/>
          <w:color w:val="auto"/>
        </w:rPr>
      </w:pPr>
    </w:p>
    <w:p>
      <w:pPr>
        <w:ind w:left="5660" w:right="339" w:hanging="5656"/>
        <w:spacing w:after="0" w:line="438" w:lineRule="auto"/>
        <w:tabs>
          <w:tab w:leader="none" w:pos="235" w:val="left"/>
        </w:tabs>
        <w:numPr>
          <w:ilvl w:val="0"/>
          <w:numId w:val="800"/>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73</w:t>
      </w:r>
    </w:p>
    <w:p>
      <w:pPr>
        <w:sectPr>
          <w:pgSz w:w="11900" w:h="16838" w:orient="portrait"/>
          <w:cols w:equalWidth="0" w:num="1">
            <w:col w:w="10239"/>
          </w:cols>
          <w:pgMar w:left="220" w:top="245" w:right="1440" w:bottom="1440" w:gutter="0" w:footer="0" w:header="0"/>
        </w:sectPr>
      </w:pPr>
    </w:p>
    <w:bookmarkStart w:id="695" w:name="page696"/>
    <w:bookmarkEnd w:id="695"/>
    <w:tbl>
      <w:tblPr>
        <w:tblLayout w:type="fixed"/>
        <w:tblInd w:w="279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H</w:t>
            </w:r>
          </w:p>
        </w:tc>
        <w:tc>
          <w:tcPr>
            <w:tcW w:w="2760" w:type="dxa"/>
            <w:vAlign w:val="bottom"/>
            <w:gridSpan w:val="3"/>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740" w:type="dxa"/>
            <w:vAlign w:val="bottom"/>
            <w:gridSpan w:val="5"/>
          </w:tcPr>
          <w:p>
            <w:pPr>
              <w:jc w:val="center"/>
              <w:ind w:right="1360"/>
              <w:spacing w:after="0"/>
              <w:rPr>
                <w:sz w:val="20"/>
                <w:szCs w:val="20"/>
                <w:color w:val="auto"/>
              </w:rPr>
            </w:pPr>
            <w:r>
              <w:rPr>
                <w:rFonts w:ascii="Arial" w:cs="Arial" w:eastAsia="Arial" w:hAnsi="Arial"/>
                <w:sz w:val="14"/>
                <w:szCs w:val="14"/>
                <w:b w:val="1"/>
                <w:bCs w:val="1"/>
                <w:color w:val="auto"/>
                <w:w w:val="87"/>
              </w:rPr>
              <w:t>Product Royalty Rates</w:t>
            </w:r>
          </w:p>
        </w:tc>
      </w:tr>
      <w:tr>
        <w:trPr>
          <w:trHeight w:val="273"/>
        </w:trPr>
        <w:tc>
          <w:tcPr>
            <w:tcW w:w="180" w:type="dxa"/>
            <w:vAlign w:val="bottom"/>
            <w:gridSpan w:val="2"/>
          </w:tcPr>
          <w:p>
            <w:pPr>
              <w:jc w:val="center"/>
              <w:spacing w:after="0"/>
              <w:rPr>
                <w:sz w:val="20"/>
                <w:szCs w:val="20"/>
                <w:color w:val="auto"/>
              </w:rPr>
            </w:pPr>
            <w:r>
              <w:rPr>
                <w:rFonts w:ascii="Arial" w:cs="Arial" w:eastAsia="Arial" w:hAnsi="Arial"/>
                <w:sz w:val="10"/>
                <w:szCs w:val="10"/>
                <w:b w:val="1"/>
                <w:bCs w:val="1"/>
                <w:color w:val="auto"/>
              </w:rPr>
              <w:t>***</w:t>
            </w:r>
          </w:p>
        </w:tc>
        <w:tc>
          <w:tcPr>
            <w:tcW w:w="1060" w:type="dxa"/>
            <w:vAlign w:val="bottom"/>
          </w:tcPr>
          <w:p>
            <w:pPr>
              <w:spacing w:after="0"/>
              <w:rPr>
                <w:sz w:val="23"/>
                <w:szCs w:val="23"/>
                <w:color w:val="auto"/>
              </w:rPr>
            </w:pPr>
          </w:p>
        </w:tc>
        <w:tc>
          <w:tcPr>
            <w:tcW w:w="4720" w:type="dxa"/>
            <w:vAlign w:val="bottom"/>
            <w:gridSpan w:val="4"/>
          </w:tcPr>
          <w:p>
            <w:pPr>
              <w:jc w:val="center"/>
              <w:ind w:left="449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23"/>
                <w:szCs w:val="23"/>
                <w:color w:val="auto"/>
              </w:rPr>
            </w:pPr>
          </w:p>
        </w:tc>
      </w:tr>
      <w:tr>
        <w:trPr>
          <w:trHeight w:val="148"/>
        </w:trPr>
        <w:tc>
          <w:tcPr>
            <w:tcW w:w="2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1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7"/>
              </w:rPr>
              <w:t>***</w:t>
            </w:r>
          </w:p>
        </w:tc>
        <w:tc>
          <w:tcPr>
            <w:tcW w:w="20" w:type="dxa"/>
            <w:vAlign w:val="bottom"/>
          </w:tcPr>
          <w:p>
            <w:pPr>
              <w:spacing w:after="0"/>
              <w:rPr>
                <w:sz w:val="12"/>
                <w:szCs w:val="12"/>
                <w:color w:val="auto"/>
              </w:rPr>
            </w:pP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67"/>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r>
        <w:trPr>
          <w:trHeight w:val="175"/>
        </w:trPr>
        <w:tc>
          <w:tcPr>
            <w:tcW w:w="12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w:t>
            </w:r>
          </w:p>
        </w:tc>
        <w:tc>
          <w:tcPr>
            <w:tcW w:w="4740" w:type="dxa"/>
            <w:vAlign w:val="bottom"/>
            <w:gridSpan w:val="5"/>
          </w:tcPr>
          <w:p>
            <w:pPr>
              <w:jc w:val="center"/>
              <w:ind w:left="4472"/>
              <w:spacing w:after="0"/>
              <w:rPr>
                <w:sz w:val="20"/>
                <w:szCs w:val="20"/>
                <w:color w:val="auto"/>
              </w:rPr>
            </w:pPr>
            <w:r>
              <w:rPr>
                <w:rFonts w:ascii="Arial" w:cs="Arial" w:eastAsia="Arial" w:hAnsi="Arial"/>
                <w:sz w:val="14"/>
                <w:szCs w:val="14"/>
                <w:b w:val="1"/>
                <w:bCs w:val="1"/>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5656" w:right="339" w:hanging="5656"/>
        <w:spacing w:after="0" w:line="438" w:lineRule="auto"/>
        <w:tabs>
          <w:tab w:leader="none" w:pos="232" w:val="left"/>
        </w:tabs>
        <w:numPr>
          <w:ilvl w:val="0"/>
          <w:numId w:val="801"/>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74</w:t>
      </w:r>
    </w:p>
    <w:p>
      <w:pPr>
        <w:sectPr>
          <w:pgSz w:w="11900" w:h="16838" w:orient="portrait"/>
          <w:cols w:equalWidth="0" w:num="1">
            <w:col w:w="10236"/>
          </w:cols>
          <w:pgMar w:left="224" w:top="231" w:right="1440" w:bottom="1440" w:gutter="0" w:footer="0" w:header="0"/>
        </w:sectPr>
      </w:pPr>
    </w:p>
    <w:bookmarkStart w:id="696" w:name="page697"/>
    <w:bookmarkEnd w:id="696"/>
    <w:p>
      <w:pPr>
        <w:ind w:left="28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t>
      </w:r>
    </w:p>
    <w:p>
      <w:pPr>
        <w:spacing w:after="0" w:line="14"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4" w:lineRule="exact"/>
        <w:rPr>
          <w:sz w:val="20"/>
          <w:szCs w:val="20"/>
          <w:color w:val="auto"/>
        </w:rPr>
      </w:pPr>
    </w:p>
    <w:p>
      <w:pPr>
        <w:sectPr>
          <w:pgSz w:w="11900" w:h="16838" w:orient="portrait"/>
          <w:cols w:equalWidth="0" w:num="2">
            <w:col w:w="7860" w:space="720"/>
            <w:col w:w="1659"/>
          </w:cols>
          <w:pgMar w:left="220" w:top="245" w:right="1440" w:bottom="1440" w:gutter="0" w:footer="0" w:header="0"/>
        </w:sectPr>
      </w:pPr>
    </w:p>
    <w:p>
      <w:pPr>
        <w:spacing w:after="0"/>
        <w:rPr>
          <w:sz w:val="20"/>
          <w:szCs w:val="20"/>
          <w:color w:val="auto"/>
        </w:rPr>
      </w:pPr>
      <w:r>
        <w:rPr>
          <w:rFonts w:ascii="Arial" w:cs="Arial" w:eastAsia="Arial" w:hAnsi="Arial"/>
          <w:sz w:val="14"/>
          <w:szCs w:val="14"/>
          <w:b w:val="1"/>
          <w:bCs w:val="1"/>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3" w:lineRule="exact"/>
        <w:rPr>
          <w:sz w:val="20"/>
          <w:szCs w:val="20"/>
          <w:color w:val="auto"/>
        </w:rPr>
      </w:pPr>
    </w:p>
    <w:p>
      <w:pPr>
        <w:ind w:left="5660" w:right="339" w:hanging="5656"/>
        <w:spacing w:after="0" w:line="438" w:lineRule="auto"/>
        <w:tabs>
          <w:tab w:leader="none" w:pos="235" w:val="left"/>
        </w:tabs>
        <w:numPr>
          <w:ilvl w:val="0"/>
          <w:numId w:val="802"/>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 75</w:t>
      </w:r>
    </w:p>
    <w:p>
      <w:pPr>
        <w:sectPr>
          <w:pgSz w:w="11900" w:h="16838" w:orient="portrait"/>
          <w:cols w:equalWidth="0" w:num="1">
            <w:col w:w="10239"/>
          </w:cols>
          <w:pgMar w:left="220" w:top="245" w:right="1440" w:bottom="1440" w:gutter="0" w:footer="0" w:header="0"/>
          <w:type w:val="continuous"/>
        </w:sectPr>
      </w:pPr>
    </w:p>
    <w:bookmarkStart w:id="697" w:name="page698"/>
    <w:bookmarkEnd w:id="697"/>
    <w:p>
      <w:pPr>
        <w:jc w:val="right"/>
        <w:spacing w:after="0"/>
        <w:rPr>
          <w:sz w:val="20"/>
          <w:szCs w:val="20"/>
          <w:color w:val="auto"/>
        </w:rPr>
      </w:pPr>
      <w:r>
        <w:rPr>
          <w:rFonts w:ascii="Arial" w:cs="Arial" w:eastAsia="Arial" w:hAnsi="Arial"/>
          <w:sz w:val="14"/>
          <w:szCs w:val="14"/>
          <w:b w:val="1"/>
          <w:bCs w:val="1"/>
          <w:color w:val="auto"/>
        </w:rPr>
        <w:t>Exhibit 10.18</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Materials omitted and filed separately with the Securities and Exchange Commission.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AMENDMENT TO COLLABORATION AGREEMENT</w:t>
      </w:r>
    </w:p>
    <w:p>
      <w:pPr>
        <w:spacing w:after="0" w:line="134" w:lineRule="exact"/>
        <w:rPr>
          <w:sz w:val="20"/>
          <w:szCs w:val="20"/>
          <w:color w:val="auto"/>
        </w:rPr>
      </w:pPr>
    </w:p>
    <w:p>
      <w:pPr>
        <w:ind w:right="60" w:firstLine="458"/>
        <w:spacing w:after="0" w:line="258" w:lineRule="auto"/>
        <w:rPr>
          <w:sz w:val="20"/>
          <w:szCs w:val="20"/>
          <w:color w:val="auto"/>
        </w:rPr>
      </w:pPr>
      <w:r>
        <w:rPr>
          <w:rFonts w:ascii="Arial" w:cs="Arial" w:eastAsia="Arial" w:hAnsi="Arial"/>
          <w:sz w:val="14"/>
          <w:szCs w:val="14"/>
          <w:color w:val="auto"/>
        </w:rPr>
        <w:t>THIS FIRST AMENDMENT TO THE COLLABORATION AGREEMENT (this “</w:t>
      </w:r>
      <w:r>
        <w:rPr>
          <w:rFonts w:ascii="Arial" w:cs="Arial" w:eastAsia="Arial" w:hAnsi="Arial"/>
          <w:sz w:val="14"/>
          <w:szCs w:val="14"/>
          <w:u w:val="single" w:color="auto"/>
          <w:color w:val="auto"/>
        </w:rPr>
        <w:t>Amendment</w:t>
      </w:r>
      <w:r>
        <w:rPr>
          <w:rFonts w:ascii="Arial" w:cs="Arial" w:eastAsia="Arial" w:hAnsi="Arial"/>
          <w:sz w:val="14"/>
          <w:szCs w:val="14"/>
          <w:color w:val="auto"/>
        </w:rPr>
        <w:t>”) is made to be effective as of January 19, 2011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MacroGenics,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Green Cross Corporation, a corporation organized under the laws of Korea (“</w:t>
      </w:r>
      <w:r>
        <w:rPr>
          <w:rFonts w:ascii="Arial" w:cs="Arial" w:eastAsia="Arial" w:hAnsi="Arial"/>
          <w:sz w:val="14"/>
          <w:szCs w:val="14"/>
          <w:u w:val="single" w:color="auto"/>
          <w:color w:val="auto"/>
        </w:rPr>
        <w:t>Green Cross</w:t>
      </w:r>
      <w:r>
        <w:rPr>
          <w:rFonts w:ascii="Arial" w:cs="Arial" w:eastAsia="Arial" w:hAnsi="Arial"/>
          <w:sz w:val="14"/>
          <w:szCs w:val="14"/>
          <w:color w:val="auto"/>
        </w:rPr>
        <w:t>”). Capitalized terms used in this Amendment and not defined herein shall have the meanings given to such terms in the Agreement (as defined below).</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14"/>
          <w:szCs w:val="14"/>
          <w:u w:val="single" w:color="auto"/>
          <w:color w:val="auto"/>
        </w:rPr>
        <w:t>W I T N E S S E T 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the Company and Green Cross are parties to that certain Collaboration Agreement, effective as of June 30, 2010 (the “</w:t>
      </w:r>
      <w:r>
        <w:rPr>
          <w:rFonts w:ascii="Arial" w:cs="Arial" w:eastAsia="Arial" w:hAnsi="Arial"/>
          <w:sz w:val="14"/>
          <w:szCs w:val="14"/>
          <w:u w:val="single" w:color="auto"/>
          <w:color w:val="auto"/>
        </w:rPr>
        <w:t>Agreement</w:t>
      </w:r>
      <w:r>
        <w:rPr>
          <w:rFonts w:ascii="Arial" w:cs="Arial" w:eastAsia="Arial" w:hAnsi="Arial"/>
          <w:sz w:val="14"/>
          <w:szCs w:val="14"/>
          <w:color w:val="auto"/>
        </w:rPr>
        <w:t>”);</w:t>
      </w:r>
    </w:p>
    <w:p>
      <w:pPr>
        <w:spacing w:after="0" w:line="132" w:lineRule="exact"/>
        <w:rPr>
          <w:sz w:val="20"/>
          <w:szCs w:val="20"/>
          <w:color w:val="auto"/>
        </w:rPr>
      </w:pPr>
    </w:p>
    <w:p>
      <w:pPr>
        <w:ind w:right="60" w:firstLine="458"/>
        <w:spacing w:after="0" w:line="258" w:lineRule="auto"/>
        <w:rPr>
          <w:sz w:val="20"/>
          <w:szCs w:val="20"/>
          <w:color w:val="auto"/>
        </w:rPr>
      </w:pPr>
      <w:r>
        <w:rPr>
          <w:rFonts w:ascii="Arial" w:cs="Arial" w:eastAsia="Arial" w:hAnsi="Arial"/>
          <w:sz w:val="14"/>
          <w:szCs w:val="14"/>
          <w:color w:val="auto"/>
        </w:rPr>
        <w:t>WHEREAS, the Company wishes to issue and sell to Green Cross, and Green Cross wishes to purchase from the Company, an aggregate of up to $2,000,000 of the Company’s preferred stock, upon the terms and subject to the conditions of that certain Stock Purchase Agreement by and among the Company, Green Cross and the other parties thereto, dated as of January 14, 2011 (such purchase, the “</w:t>
      </w:r>
      <w:r>
        <w:rPr>
          <w:rFonts w:ascii="Arial" w:cs="Arial" w:eastAsia="Arial" w:hAnsi="Arial"/>
          <w:sz w:val="14"/>
          <w:szCs w:val="14"/>
          <w:u w:val="single" w:color="auto"/>
          <w:color w:val="auto"/>
        </w:rPr>
        <w:t>Green</w:t>
      </w:r>
      <w:r>
        <w:rPr>
          <w:rFonts w:ascii="Arial" w:cs="Arial" w:eastAsia="Arial" w:hAnsi="Arial"/>
          <w:sz w:val="14"/>
          <w:szCs w:val="14"/>
          <w:color w:val="auto"/>
        </w:rPr>
        <w:t xml:space="preserve"> </w:t>
      </w:r>
      <w:r>
        <w:rPr>
          <w:rFonts w:ascii="Arial" w:cs="Arial" w:eastAsia="Arial" w:hAnsi="Arial"/>
          <w:sz w:val="14"/>
          <w:szCs w:val="14"/>
          <w:u w:val="single" w:color="auto"/>
          <w:color w:val="auto"/>
        </w:rPr>
        <w:t>Cross Equity Purchase</w:t>
      </w:r>
      <w:r>
        <w:rPr>
          <w:rFonts w:ascii="Arial" w:cs="Arial" w:eastAsia="Arial" w:hAnsi="Arial"/>
          <w:sz w:val="14"/>
          <w:szCs w:val="14"/>
          <w:color w:val="auto"/>
        </w:rPr>
        <w:t>”); and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WHEREAS, in connection with the Green Cross Equity Purchase, the Parties wish to amend </w:t>
      </w:r>
      <w:r>
        <w:rPr>
          <w:rFonts w:ascii="Arial" w:cs="Arial" w:eastAsia="Arial" w:hAnsi="Arial"/>
          <w:sz w:val="14"/>
          <w:szCs w:val="14"/>
          <w:u w:val="single" w:color="auto"/>
          <w:color w:val="auto"/>
        </w:rPr>
        <w:t>Section 8.2(a)</w:t>
      </w:r>
      <w:r>
        <w:rPr>
          <w:rFonts w:ascii="Arial" w:cs="Arial" w:eastAsia="Arial" w:hAnsi="Arial"/>
          <w:sz w:val="14"/>
          <w:szCs w:val="14"/>
          <w:color w:val="auto"/>
        </w:rPr>
        <w:t xml:space="preserve"> of the Agreement as provided herein.</w:t>
      </w:r>
    </w:p>
    <w:p>
      <w:pPr>
        <w:spacing w:after="0" w:line="132" w:lineRule="exact"/>
        <w:rPr>
          <w:sz w:val="20"/>
          <w:szCs w:val="20"/>
          <w:color w:val="auto"/>
        </w:rPr>
      </w:pPr>
    </w:p>
    <w:p>
      <w:pPr>
        <w:ind w:right="280" w:firstLine="458"/>
        <w:spacing w:after="0" w:line="267" w:lineRule="auto"/>
        <w:rPr>
          <w:sz w:val="20"/>
          <w:szCs w:val="20"/>
          <w:color w:val="auto"/>
        </w:rPr>
      </w:pPr>
      <w:r>
        <w:rPr>
          <w:rFonts w:ascii="Arial" w:cs="Arial" w:eastAsia="Arial" w:hAnsi="Arial"/>
          <w:sz w:val="14"/>
          <w:szCs w:val="14"/>
          <w:color w:val="auto"/>
        </w:rPr>
        <w:t>NOW, THEREFORE, in consideration of the premises and the respective agreements contained in this Amendment, the receipt and sufficiency of which are hereby acknowledged, the parties hereto agree as follows: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u w:val="single" w:color="auto"/>
          <w:color w:val="auto"/>
        </w:rPr>
        <w:t>Section 8.2(0)</w:t>
      </w:r>
      <w:r>
        <w:rPr>
          <w:rFonts w:ascii="Arial" w:cs="Arial" w:eastAsia="Arial" w:hAnsi="Arial"/>
          <w:sz w:val="14"/>
          <w:szCs w:val="14"/>
          <w:color w:val="auto"/>
        </w:rPr>
        <w:t xml:space="preserve"> of the Agreement is hereby amended and restated in its entirety as follows:</w:t>
      </w:r>
    </w:p>
    <w:p>
      <w:pPr>
        <w:spacing w:after="0" w:line="69" w:lineRule="exact"/>
        <w:rPr>
          <w:sz w:val="20"/>
          <w:szCs w:val="20"/>
          <w:color w:val="auto"/>
        </w:rPr>
      </w:pPr>
    </w:p>
    <w:p>
      <w:pPr>
        <w:ind w:left="920" w:right="40"/>
        <w:spacing w:after="0" w:line="258" w:lineRule="auto"/>
        <w:rPr>
          <w:sz w:val="20"/>
          <w:szCs w:val="20"/>
          <w:color w:val="auto"/>
        </w:rPr>
      </w:pPr>
      <w:r>
        <w:rPr>
          <w:rFonts w:ascii="Arial" w:cs="Arial" w:eastAsia="Arial" w:hAnsi="Arial"/>
          <w:sz w:val="14"/>
          <w:szCs w:val="14"/>
          <w:color w:val="auto"/>
        </w:rPr>
        <w:t>“(a) If during the *** of the Term there is an Initial Public Offering which raises a minimum of *** and if the underwriter(s) in such Initial Public Offering permit it, Green Cross may, at its sole discretion, elect to purchase a number of shares of the same class of capital stock, simultaneously with the closing(s) of, and at the same purchase price as the shares sold in, the Initial Public Offering that is equal to the number of shares that could be purchased for ***</w:t>
      </w:r>
    </w:p>
    <w:p>
      <w:pPr>
        <w:spacing w:after="0" w:line="108" w:lineRule="exact"/>
        <w:rPr>
          <w:sz w:val="20"/>
          <w:szCs w:val="20"/>
          <w:color w:val="auto"/>
        </w:rPr>
      </w:pPr>
    </w:p>
    <w:p>
      <w:pPr>
        <w:ind w:left="600" w:hanging="138"/>
        <w:spacing w:after="0"/>
        <w:tabs>
          <w:tab w:leader="none" w:pos="600" w:val="left"/>
        </w:tabs>
        <w:numPr>
          <w:ilvl w:val="1"/>
          <w:numId w:val="803"/>
        </w:numPr>
        <w:rPr>
          <w:rFonts w:ascii="Arial" w:cs="Arial" w:eastAsia="Arial" w:hAnsi="Arial"/>
          <w:sz w:val="14"/>
          <w:szCs w:val="14"/>
          <w:color w:val="auto"/>
        </w:rPr>
      </w:pPr>
      <w:r>
        <w:rPr>
          <w:rFonts w:ascii="Arial" w:cs="Arial" w:eastAsia="Arial" w:hAnsi="Arial"/>
          <w:sz w:val="14"/>
          <w:szCs w:val="14"/>
          <w:u w:val="single" w:color="auto"/>
          <w:color w:val="auto"/>
        </w:rPr>
        <w:t>Savings Clause</w:t>
      </w:r>
      <w:r>
        <w:rPr>
          <w:rFonts w:ascii="Arial" w:cs="Arial" w:eastAsia="Arial" w:hAnsi="Arial"/>
          <w:sz w:val="14"/>
          <w:szCs w:val="14"/>
          <w:color w:val="auto"/>
        </w:rPr>
        <w:t>. Except as expressly modified by this Amendment, in all other respects the Agreement shall be unaffected hereby and shall remain in full force and effect.</w:t>
      </w:r>
    </w:p>
    <w:p>
      <w:pPr>
        <w:spacing w:after="0" w:line="131" w:lineRule="exact"/>
        <w:rPr>
          <w:rFonts w:ascii="Arial" w:cs="Arial" w:eastAsia="Arial" w:hAnsi="Arial"/>
          <w:sz w:val="14"/>
          <w:szCs w:val="14"/>
          <w:color w:val="auto"/>
        </w:rPr>
      </w:pPr>
    </w:p>
    <w:p>
      <w:pPr>
        <w:ind w:right="200" w:firstLine="462"/>
        <w:spacing w:after="0" w:line="267" w:lineRule="auto"/>
        <w:tabs>
          <w:tab w:leader="none" w:pos="594" w:val="left"/>
        </w:tabs>
        <w:numPr>
          <w:ilvl w:val="1"/>
          <w:numId w:val="80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Amendment together with the Agreement (including the documents and instruments referred to herein and therein) constitutes the entire agreement between the parties with respect to the subject matter hereof and thereof.</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803"/>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130" w:right="219" w:bottom="1440" w:gutter="0" w:footer="0" w:header="0"/>
        </w:sectPr>
      </w:pPr>
    </w:p>
    <w:bookmarkStart w:id="698" w:name="page699"/>
    <w:bookmarkEnd w:id="698"/>
    <w:p>
      <w:pPr>
        <w:ind w:left="-220" w:firstLine="462"/>
        <w:spacing w:after="0" w:line="267" w:lineRule="auto"/>
        <w:tabs>
          <w:tab w:leader="none" w:pos="374" w:val="left"/>
        </w:tabs>
        <w:numPr>
          <w:ilvl w:val="0"/>
          <w:numId w:val="804"/>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Counterparts</w:t>
      </w:r>
      <w:r>
        <w:rPr>
          <w:rFonts w:ascii="Arial" w:cs="Arial" w:eastAsia="Arial" w:hAnsi="Arial"/>
          <w:sz w:val="14"/>
          <w:szCs w:val="14"/>
          <w:color w:val="auto"/>
        </w:rPr>
        <w:t>. This Amendment may be executed in counterparts, which taken together shall constitute one and the same document. Signatures to this Amendment may be delivered by facsimile or other electronic method transmission, which shall be binding for all purposes upon so delivering and each of the other parties 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[Remainder of Page Intentionally Left Blank; Signature Page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20"/>
          </w:cols>
          <w:pgMar w:left="440" w:top="247" w:right="439" w:bottom="1440" w:gutter="0" w:footer="0" w:header="0"/>
        </w:sectPr>
      </w:pPr>
    </w:p>
    <w:bookmarkStart w:id="699" w:name="page700"/>
    <w:bookmarkEnd w:id="69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w:t>
      </w:r>
      <w:r>
        <w:rPr>
          <w:rFonts w:ascii="Arial" w:cs="Arial" w:eastAsia="Arial" w:hAnsi="Arial"/>
          <w:sz w:val="14"/>
          <w:szCs w:val="14"/>
          <w:color w:val="auto"/>
        </w:rPr>
        <w:t>, each of the parties hereto has executed this Amendment to be effective for all purposes as of the Effective Date.</w:t>
      </w:r>
    </w:p>
    <w:p>
      <w:pPr>
        <w:spacing w:after="0" w:line="16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p>
      <w:pPr>
        <w:ind w:left="6420"/>
        <w:spacing w:after="0"/>
        <w:tabs>
          <w:tab w:leader="none" w:pos="6740" w:val="left"/>
        </w:tabs>
        <w:rPr>
          <w:sz w:val="20"/>
          <w:szCs w:val="20"/>
          <w:color w:val="auto"/>
        </w:rPr>
      </w:pPr>
      <w:r>
        <w:rPr>
          <w:rFonts w:ascii="Arial" w:cs="Arial" w:eastAsia="Arial" w:hAnsi="Arial"/>
          <w:sz w:val="14"/>
          <w:szCs w:val="14"/>
          <w:color w:val="auto"/>
        </w:rPr>
        <w:t>By:</w:t>
        <w:tab/>
        <w:t>/s/ Scott Koenig</w:t>
      </w:r>
    </w:p>
    <w:p>
      <w:pPr>
        <w:spacing w:after="0" w:line="12" w:lineRule="exact"/>
        <w:rPr>
          <w:sz w:val="20"/>
          <w:szCs w:val="20"/>
          <w:color w:val="auto"/>
        </w:rPr>
      </w:pPr>
    </w:p>
    <w:tbl>
      <w:tblPr>
        <w:tblLayout w:type="fixed"/>
        <w:tblInd w:w="6760" w:type="dxa"/>
        <w:tblCellMar>
          <w:top w:w="0" w:type="dxa"/>
          <w:left w:w="0" w:type="dxa"/>
          <w:bottom w:w="0" w:type="dxa"/>
          <w:right w:w="0" w:type="dxa"/>
        </w:tblCellMar>
      </w:tblPr>
      <w:tr>
        <w:trPr>
          <w:trHeight w:val="162"/>
        </w:trPr>
        <w:tc>
          <w:tcPr>
            <w:tcW w:w="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Name:</w:t>
            </w:r>
          </w:p>
        </w:tc>
        <w:tc>
          <w:tcPr>
            <w:tcW w:w="37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Scott Koenig, M.D., PhD</w:t>
            </w:r>
          </w:p>
        </w:tc>
      </w:tr>
      <w:tr>
        <w:trPr>
          <w:trHeight w:val="173"/>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760" w:type="dxa"/>
            <w:vAlign w:val="bottom"/>
          </w:tcPr>
          <w:p>
            <w:pPr>
              <w:ind w:left="100"/>
              <w:spacing w:after="0"/>
              <w:rPr>
                <w:sz w:val="20"/>
                <w:szCs w:val="20"/>
                <w:color w:val="auto"/>
              </w:rPr>
            </w:pPr>
            <w:r>
              <w:rPr>
                <w:rFonts w:ascii="Arial" w:cs="Arial" w:eastAsia="Arial" w:hAnsi="Arial"/>
                <w:sz w:val="14"/>
                <w:szCs w:val="14"/>
                <w:color w:val="auto"/>
              </w:rPr>
              <w:t>President and Chief Executive Officer</w:t>
            </w:r>
          </w:p>
        </w:tc>
      </w:tr>
    </w:tbl>
    <w:p>
      <w:pPr>
        <w:spacing w:after="0" w:line="15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GREEN CROSS CORPORATION</w:t>
      </w:r>
    </w:p>
    <w:p>
      <w:pPr>
        <w:spacing w:after="0" w:line="17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8890</wp:posOffset>
            </wp:positionV>
            <wp:extent cx="2693670"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693670" cy="635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Title:</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00"/>
          </w:cols>
          <w:pgMar w:left="680" w:top="245" w:right="219" w:bottom="1440" w:gutter="0" w:footer="0" w:header="0"/>
        </w:sectPr>
      </w:pPr>
    </w:p>
    <w:bookmarkStart w:id="700" w:name="page701"/>
    <w:bookmarkEnd w:id="70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w:t>
      </w:r>
      <w:r>
        <w:rPr>
          <w:rFonts w:ascii="Arial" w:cs="Arial" w:eastAsia="Arial" w:hAnsi="Arial"/>
          <w:sz w:val="14"/>
          <w:szCs w:val="14"/>
          <w:color w:val="auto"/>
        </w:rPr>
        <w:t>, each of the parties hereto has executed this Amendment to be effective for all purposes as of the Effective Date.</w:t>
      </w:r>
    </w:p>
    <w:p>
      <w:pPr>
        <w:spacing w:after="0" w:line="16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tbl>
      <w:tblPr>
        <w:tblLayout w:type="fixed"/>
        <w:tblInd w:w="6420" w:type="dxa"/>
        <w:tblCellMar>
          <w:top w:w="0" w:type="dxa"/>
          <w:left w:w="0" w:type="dxa"/>
          <w:bottom w:w="0" w:type="dxa"/>
          <w:right w:w="0" w:type="dxa"/>
        </w:tblCellMar>
      </w:tblPr>
      <w:tr>
        <w:trPr>
          <w:trHeight w:val="174"/>
        </w:trPr>
        <w:tc>
          <w:tcPr>
            <w:tcW w:w="340" w:type="dxa"/>
            <w:vAlign w:val="bottom"/>
          </w:tcPr>
          <w:p>
            <w:pPr>
              <w:spacing w:after="0"/>
              <w:rPr>
                <w:sz w:val="20"/>
                <w:szCs w:val="20"/>
                <w:color w:val="auto"/>
              </w:rPr>
            </w:pPr>
            <w:r>
              <w:rPr>
                <w:rFonts w:ascii="Arial" w:cs="Arial" w:eastAsia="Arial" w:hAnsi="Arial"/>
                <w:sz w:val="14"/>
                <w:szCs w:val="14"/>
                <w:color w:val="auto"/>
              </w:rPr>
              <w:t>By:</w:t>
            </w: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Scott Koenig</w:t>
            </w:r>
          </w:p>
        </w:tc>
      </w:tr>
      <w:tr>
        <w:trPr>
          <w:trHeight w:val="161"/>
        </w:trPr>
        <w:tc>
          <w:tcPr>
            <w:tcW w:w="3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3760" w:type="dxa"/>
            <w:vAlign w:val="bottom"/>
          </w:tcPr>
          <w:p>
            <w:pPr>
              <w:ind w:left="100"/>
              <w:spacing w:after="0"/>
              <w:rPr>
                <w:sz w:val="20"/>
                <w:szCs w:val="20"/>
                <w:color w:val="auto"/>
              </w:rPr>
            </w:pPr>
            <w:r>
              <w:rPr>
                <w:rFonts w:ascii="Arial" w:cs="Arial" w:eastAsia="Arial" w:hAnsi="Arial"/>
                <w:sz w:val="14"/>
                <w:szCs w:val="14"/>
                <w:color w:val="auto"/>
              </w:rPr>
              <w:t>Scott Koenig, M.D., PhD</w:t>
            </w:r>
          </w:p>
        </w:tc>
      </w:tr>
      <w:tr>
        <w:trPr>
          <w:trHeight w:val="173"/>
        </w:trPr>
        <w:tc>
          <w:tcPr>
            <w:tcW w:w="3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760" w:type="dxa"/>
            <w:vAlign w:val="bottom"/>
          </w:tcPr>
          <w:p>
            <w:pPr>
              <w:ind w:left="100"/>
              <w:spacing w:after="0"/>
              <w:rPr>
                <w:sz w:val="20"/>
                <w:szCs w:val="20"/>
                <w:color w:val="auto"/>
              </w:rPr>
            </w:pPr>
            <w:r>
              <w:rPr>
                <w:rFonts w:ascii="Arial" w:cs="Arial" w:eastAsia="Arial" w:hAnsi="Arial"/>
                <w:sz w:val="14"/>
                <w:szCs w:val="14"/>
                <w:color w:val="auto"/>
              </w:rPr>
              <w:t>President and Chief Executive Officer</w:t>
            </w:r>
          </w:p>
        </w:tc>
      </w:tr>
      <w:tr>
        <w:trPr>
          <w:trHeight w:val="33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GREEN CROSS CORPORATION</w:t>
            </w:r>
          </w:p>
        </w:tc>
      </w:tr>
      <w:tr>
        <w:trPr>
          <w:trHeight w:val="335"/>
        </w:trPr>
        <w:tc>
          <w:tcPr>
            <w:tcW w:w="340" w:type="dxa"/>
            <w:vAlign w:val="bottom"/>
          </w:tcPr>
          <w:p>
            <w:pPr>
              <w:spacing w:after="0"/>
              <w:rPr>
                <w:sz w:val="20"/>
                <w:szCs w:val="20"/>
                <w:color w:val="auto"/>
              </w:rPr>
            </w:pPr>
            <w:r>
              <w:rPr>
                <w:rFonts w:ascii="Arial" w:cs="Arial" w:eastAsia="Arial" w:hAnsi="Arial"/>
                <w:sz w:val="14"/>
                <w:szCs w:val="14"/>
                <w:color w:val="auto"/>
              </w:rPr>
              <w:t>By:</w:t>
            </w: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BG Rhee</w:t>
            </w:r>
          </w:p>
        </w:tc>
      </w:tr>
      <w:tr>
        <w:trPr>
          <w:trHeight w:val="161"/>
        </w:trPr>
        <w:tc>
          <w:tcPr>
            <w:tcW w:w="3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3760" w:type="dxa"/>
            <w:vAlign w:val="bottom"/>
          </w:tcPr>
          <w:p>
            <w:pPr>
              <w:ind w:left="100"/>
              <w:spacing w:after="0"/>
              <w:rPr>
                <w:sz w:val="20"/>
                <w:szCs w:val="20"/>
                <w:color w:val="auto"/>
              </w:rPr>
            </w:pPr>
            <w:r>
              <w:rPr>
                <w:rFonts w:ascii="Arial" w:cs="Arial" w:eastAsia="Arial" w:hAnsi="Arial"/>
                <w:sz w:val="14"/>
                <w:szCs w:val="14"/>
                <w:color w:val="auto"/>
              </w:rPr>
              <w:t>BG Rhee</w:t>
            </w:r>
          </w:p>
        </w:tc>
      </w:tr>
      <w:tr>
        <w:trPr>
          <w:trHeight w:val="173"/>
        </w:trPr>
        <w:tc>
          <w:tcPr>
            <w:tcW w:w="3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760" w:type="dxa"/>
            <w:vAlign w:val="bottom"/>
          </w:tcPr>
          <w:p>
            <w:pPr>
              <w:ind w:left="100"/>
              <w:spacing w:after="0"/>
              <w:rPr>
                <w:sz w:val="20"/>
                <w:szCs w:val="20"/>
                <w:color w:val="auto"/>
              </w:rPr>
            </w:pPr>
            <w:r>
              <w:rPr>
                <w:rFonts w:ascii="Arial" w:cs="Arial" w:eastAsia="Arial" w:hAnsi="Arial"/>
                <w:sz w:val="14"/>
                <w:szCs w:val="14"/>
                <w:color w:val="auto"/>
              </w:rPr>
              <w:t>President</w:t>
            </w:r>
          </w:p>
        </w:tc>
      </w:tr>
    </w:tbl>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00"/>
          </w:cols>
          <w:pgMar w:left="680" w:top="245" w:right="219" w:bottom="1440" w:gutter="0" w:footer="0" w:header="0"/>
        </w:sectPr>
      </w:pPr>
    </w:p>
    <w:bookmarkStart w:id="701" w:name="page702"/>
    <w:bookmarkEnd w:id="701"/>
    <w:p>
      <w:pPr>
        <w:jc w:val="right"/>
        <w:spacing w:after="0"/>
        <w:rPr>
          <w:sz w:val="20"/>
          <w:szCs w:val="20"/>
          <w:color w:val="auto"/>
        </w:rPr>
      </w:pPr>
      <w:r>
        <w:rPr>
          <w:rFonts w:ascii="Arial" w:cs="Arial" w:eastAsia="Arial" w:hAnsi="Arial"/>
          <w:sz w:val="14"/>
          <w:szCs w:val="14"/>
          <w:b w:val="1"/>
          <w:bCs w:val="1"/>
          <w:color w:val="auto"/>
        </w:rPr>
        <w:t>Exhibit 10.19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Materials omitted and filed separately with the Securities and Exchange Commission.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AMENDMENT</w:t>
      </w:r>
    </w:p>
    <w:p>
      <w:pPr>
        <w:spacing w:after="0" w:line="132" w:lineRule="exact"/>
        <w:rPr>
          <w:sz w:val="20"/>
          <w:szCs w:val="20"/>
          <w:color w:val="auto"/>
        </w:rPr>
      </w:pPr>
    </w:p>
    <w:p>
      <w:pPr>
        <w:spacing w:after="0" w:line="351" w:lineRule="auto"/>
        <w:rPr>
          <w:sz w:val="20"/>
          <w:szCs w:val="20"/>
          <w:color w:val="auto"/>
        </w:rPr>
      </w:pPr>
      <w:r>
        <w:rPr>
          <w:rFonts w:ascii="Arial" w:cs="Arial" w:eastAsia="Arial" w:hAnsi="Arial"/>
          <w:sz w:val="12"/>
          <w:szCs w:val="12"/>
          <w:color w:val="auto"/>
        </w:rPr>
        <w:t>THIS SECOND AMENDMENT (the “Second Amendment”) entered into on the date of last signature to this Amendment by and between MacroGenics, Inc. a Delaware corporation having a place of business at 9640 Medical Center Drive, Rockville, MD 20850 (“MacroGenics”) and Green Cross Corp., having a business office at 303 Bojeong-Dong, Giheung-Gu, Yongin, 446-770, Korea (hereinafter “Green Cross”).</w:t>
      </w:r>
    </w:p>
    <w:p>
      <w:pPr>
        <w:spacing w:after="0" w:line="56"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WHEREAS, Green Cross and MacroGenics executed a Collaboration Agreement on June 30, 2010 (the “Agreement”) and which the parties subsequently amended effective September 13, 2010 (the amendment hereinafter referred to as the “First Amendment”);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WHEREAS, the parties wish to amend the Agreement for the purpose of reallocating certain costs for which Green Cross is responsible to MacroGenics;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WHEREAS, the cumulative Development Costs estimated to be incurred by Green Cross as of October 31, 2012 are </w:t>
      </w:r>
      <w:r>
        <w:rPr>
          <w:rFonts w:ascii="Arial" w:cs="Arial" w:eastAsia="Arial" w:hAnsi="Arial"/>
          <w:sz w:val="14"/>
          <w:szCs w:val="14"/>
          <w:b w:val="1"/>
          <w:bCs w:val="1"/>
          <w:u w:val="single" w:color="auto"/>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NOW, THEREFORE, for good and valuable consideration, the receipt and sufficiency of which is hereby acknowledged, the parties agree to the following terms and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 Section 3.4(a) is hereby deleted and replaced with the following text:</w:t>
      </w:r>
    </w:p>
    <w:p>
      <w:pPr>
        <w:spacing w:after="0" w:line="67" w:lineRule="exact"/>
        <w:rPr>
          <w:sz w:val="20"/>
          <w:szCs w:val="20"/>
          <w:color w:val="auto"/>
        </w:rPr>
      </w:pPr>
    </w:p>
    <w:p>
      <w:pPr>
        <w:ind w:left="460" w:right="140"/>
        <w:spacing w:after="0" w:line="256" w:lineRule="auto"/>
        <w:rPr>
          <w:sz w:val="20"/>
          <w:szCs w:val="20"/>
          <w:color w:val="auto"/>
        </w:rPr>
      </w:pPr>
      <w:r>
        <w:rPr>
          <w:rFonts w:ascii="Arial" w:cs="Arial" w:eastAsia="Arial" w:hAnsi="Arial"/>
          <w:sz w:val="14"/>
          <w:szCs w:val="14"/>
          <w:b w:val="1"/>
          <w:bCs w:val="1"/>
          <w:color w:val="auto"/>
        </w:rPr>
        <w:t xml:space="preserve">Phase I Clinical Development Plan. </w:t>
      </w:r>
      <w:r>
        <w:rPr>
          <w:rFonts w:ascii="Arial" w:cs="Arial" w:eastAsia="Arial" w:hAnsi="Arial"/>
          <w:sz w:val="14"/>
          <w:szCs w:val="14"/>
          <w:color w:val="auto"/>
        </w:rPr>
        <w:t>Green Cross shall be responsible for all Development Costs incurred by Green Cross in connection with the conduct of the Phase I Clinical Development Plan,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including, without limitation, </w:t>
      </w:r>
      <w:r>
        <w:rPr>
          <w:rFonts w:ascii="Arial" w:cs="Arial" w:eastAsia="Arial" w:hAnsi="Arial"/>
          <w:sz w:val="14"/>
          <w:szCs w:val="14"/>
          <w:b w:val="1"/>
          <w:bCs w:val="1"/>
          <w:color w:val="auto"/>
        </w:rPr>
        <w:t>***</w:t>
      </w:r>
      <w:r>
        <w:rPr>
          <w:rFonts w:ascii="Arial" w:cs="Arial" w:eastAsia="Arial" w:hAnsi="Arial"/>
          <w:sz w:val="14"/>
          <w:szCs w:val="14"/>
          <w:color w:val="auto"/>
        </w:rPr>
        <w:t xml:space="preserve"> (iii); provided however that such Development Cost incurred by Green Cross shall not exceed </w:t>
      </w:r>
      <w:r>
        <w:rPr>
          <w:rFonts w:ascii="Arial" w:cs="Arial" w:eastAsia="Arial" w:hAnsi="Arial"/>
          <w:sz w:val="14"/>
          <w:szCs w:val="14"/>
          <w:b w:val="1"/>
          <w:bCs w:val="1"/>
          <w:color w:val="auto"/>
        </w:rPr>
        <w:t>***</w:t>
      </w:r>
      <w:r>
        <w:rPr>
          <w:rFonts w:ascii="Arial" w:cs="Arial" w:eastAsia="Arial" w:hAnsi="Arial"/>
          <w:sz w:val="14"/>
          <w:szCs w:val="14"/>
          <w:color w:val="auto"/>
        </w:rPr>
        <w:t xml:space="preserve"> (hereinafter referred to as the “CAP Amount”). MacroGenics shall be responsible for all Development Costs incurred by MacroGenics in connection with the conduct of the Phase I Clinical Development Plan, including without limitation, Third Party costs for CRO-related activities for the Phase I Clinical Trial outside of the Territory, except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2. Section 3.4(a)(iii) is hereby deleted and replaced with the following text:</w:t>
      </w:r>
    </w:p>
    <w:p>
      <w:pPr>
        <w:spacing w:after="0" w:line="67" w:lineRule="exact"/>
        <w:rPr>
          <w:sz w:val="20"/>
          <w:szCs w:val="20"/>
          <w:color w:val="auto"/>
        </w:rPr>
      </w:pPr>
    </w:p>
    <w:p>
      <w:pPr>
        <w:ind w:left="460" w:right="80"/>
        <w:spacing w:after="0" w:line="253" w:lineRule="auto"/>
        <w:rPr>
          <w:sz w:val="20"/>
          <w:szCs w:val="20"/>
          <w:color w:val="auto"/>
        </w:rPr>
      </w:pPr>
      <w:r>
        <w:rPr>
          <w:rFonts w:ascii="Arial" w:cs="Arial" w:eastAsia="Arial" w:hAnsi="Arial"/>
          <w:sz w:val="14"/>
          <w:szCs w:val="14"/>
          <w:b w:val="1"/>
          <w:bCs w:val="1"/>
          <w:color w:val="auto"/>
        </w:rPr>
        <w:t>Laboratory Testing</w:t>
      </w:r>
      <w:r>
        <w:rPr>
          <w:rFonts w:ascii="Arial" w:cs="Arial" w:eastAsia="Arial" w:hAnsi="Arial"/>
          <w:sz w:val="14"/>
          <w:szCs w:val="14"/>
          <w:color w:val="auto"/>
        </w:rPr>
        <w:t>. Unless the Development Cost incurred by Green Cross shall exceed the CAP Amount, each Calendar Quarter, Green Cross shall reimburse MacroGenics for that percentage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total laboratory testing costs incurred by the MacroGenics during such Calendar Quarter that is equal to the percentage of all patients participating in the Phase I Clinical Trial during such Calendar Quarter that were derived from sites located in the Territory. MacroGenics will invoice Green Cross at the end of the applicable Calendar Quarter for the amounts due hereunder, and all such amounts shall be paid to MacroGenics by Green Cross in US Dollars not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receipt of the applicable invoice. In the event that the Development Costs incurred by Green Cross shall exceed the CAP Amount, MacroGenics will discontinue invoicing Green Cross for the cost of conducting laboratory testing in the Phase I Clinical Trial that are derived from sites located in the Territory.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3. The following text is incorporated into the Agreement as new Section 3.4(a)(vii):</w:t>
      </w:r>
    </w:p>
    <w:p>
      <w:pPr>
        <w:spacing w:after="0" w:line="69" w:lineRule="exact"/>
        <w:rPr>
          <w:sz w:val="20"/>
          <w:szCs w:val="20"/>
          <w:color w:val="auto"/>
        </w:rPr>
      </w:pPr>
    </w:p>
    <w:p>
      <w:pPr>
        <w:ind w:left="460" w:right="300"/>
        <w:spacing w:after="0" w:line="351" w:lineRule="auto"/>
        <w:rPr>
          <w:sz w:val="20"/>
          <w:szCs w:val="20"/>
          <w:color w:val="auto"/>
        </w:rPr>
      </w:pPr>
      <w:r>
        <w:rPr>
          <w:rFonts w:ascii="Arial" w:cs="Arial" w:eastAsia="Arial" w:hAnsi="Arial"/>
          <w:sz w:val="12"/>
          <w:szCs w:val="12"/>
          <w:color w:val="auto"/>
        </w:rPr>
        <w:t xml:space="preserve">In the event that the Development Cost incurred by Green Cross shall exceed the CAP Amount, MacroGenics shall reimburse Green Cross for all eligible Development Costs spent beyond the CAP Amount by Green Cross to conduct the Phase I Clinical Development Plan in the Territory including, without limitation, the per patient subject fee and associated overhead actually paid to </w:t>
      </w:r>
      <w:r>
        <w:rPr>
          <w:rFonts w:ascii="Arial" w:cs="Arial" w:eastAsia="Arial" w:hAnsi="Arial"/>
          <w:sz w:val="12"/>
          <w:szCs w:val="12"/>
          <w:b w:val="1"/>
          <w:bCs w:val="1"/>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4. The following text is incorporated into the Agreement as new Section 3.4(c):</w:t>
      </w:r>
    </w:p>
    <w:p>
      <w:pPr>
        <w:spacing w:after="0" w:line="67" w:lineRule="exact"/>
        <w:rPr>
          <w:sz w:val="20"/>
          <w:szCs w:val="20"/>
          <w:color w:val="auto"/>
        </w:rPr>
      </w:pPr>
    </w:p>
    <w:p>
      <w:pPr>
        <w:ind w:left="460" w:right="100"/>
        <w:spacing w:after="0" w:line="259" w:lineRule="auto"/>
        <w:rPr>
          <w:sz w:val="20"/>
          <w:szCs w:val="20"/>
          <w:color w:val="auto"/>
        </w:rPr>
      </w:pPr>
      <w:r>
        <w:rPr>
          <w:rFonts w:ascii="Arial" w:cs="Arial" w:eastAsia="Arial" w:hAnsi="Arial"/>
          <w:sz w:val="14"/>
          <w:szCs w:val="14"/>
          <w:b w:val="1"/>
          <w:bCs w:val="1"/>
          <w:color w:val="auto"/>
        </w:rPr>
        <w:t xml:space="preserve">Payments by MacroGenics. </w:t>
      </w:r>
      <w:r>
        <w:rPr>
          <w:rFonts w:ascii="Arial" w:cs="Arial" w:eastAsia="Arial" w:hAnsi="Arial"/>
          <w:sz w:val="14"/>
          <w:szCs w:val="14"/>
          <w:color w:val="auto"/>
        </w:rPr>
        <w:t>Green Cross will invoice MacroGenics at the end of each applicable Calendar Quarter for all amounts due under this Section 3.4. Each invoice will be accompanied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invoices for the actual out-of-pocket amounts paid to Third Parties for which Green Cross is seeking reimbursement. MacroGenics shall pay each invoice submitted for payment under this Section 3.4 which is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130" w:right="219" w:bottom="1440" w:gutter="0" w:footer="0" w:header="0"/>
        </w:sectPr>
      </w:pPr>
    </w:p>
    <w:bookmarkStart w:id="702" w:name="page703"/>
    <w:bookmarkEnd w:id="702"/>
    <w:p>
      <w:pPr>
        <w:jc w:val="both"/>
        <w:ind w:left="460" w:right="100"/>
        <w:spacing w:after="0" w:line="32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properly submitted and accompanied by the required documentation in US Dollars not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receipt of such invoice and documentation. Green Cross will notify MacroGenics (i) the approximate amount of any Phase 1 Clinical Development Plan costs beyond the CAP Amount before incurring such costs; (ii) the approximate amount of any additional Phase 1 Clinical Development Plan costs which represent significant deviations from the historical costs up to the CAP Amount as described in Section 3.4(a) immediately after recognition of incurring such costs; or (iii) </w:t>
      </w:r>
      <w:r>
        <w:rPr>
          <w:rFonts w:ascii="Arial" w:cs="Arial" w:eastAsia="Arial" w:hAnsi="Arial"/>
          <w:sz w:val="12"/>
          <w:szCs w:val="12"/>
          <w:b w:val="1"/>
          <w:bCs w:val="1"/>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5. The address “1500 East Gude Drive, Rockville, MD 20850” in Section 17.5 is hereby deleted and replaced with the address “9640 Medical Center Drive, Rockville, MD 20850”.</w:t>
      </w:r>
    </w:p>
    <w:p>
      <w:pPr>
        <w:spacing w:after="0" w:line="132" w:lineRule="exact"/>
        <w:rPr>
          <w:sz w:val="20"/>
          <w:szCs w:val="20"/>
          <w:color w:val="auto"/>
        </w:rPr>
      </w:pPr>
    </w:p>
    <w:p>
      <w:pPr>
        <w:ind w:right="660"/>
        <w:spacing w:after="0" w:line="351" w:lineRule="auto"/>
        <w:rPr>
          <w:sz w:val="20"/>
          <w:szCs w:val="20"/>
          <w:color w:val="auto"/>
        </w:rPr>
      </w:pPr>
      <w:r>
        <w:rPr>
          <w:rFonts w:ascii="Arial" w:cs="Arial" w:eastAsia="Arial" w:hAnsi="Arial"/>
          <w:sz w:val="12"/>
          <w:szCs w:val="12"/>
          <w:color w:val="auto"/>
        </w:rPr>
        <w:t>This Second Amendment, the Agreement and the First Amendment constitute the entire agreement of the parties and supersede any and all prior agreements, written or oral, between Green Cross and MacroGenics relating to the subject matter of this Amendment and the Agreement and neither may be amended unless agreed to in writing by both parties.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intending to be legally bound, have caused this Second Amendment to be executed by their respective duly authorized representative.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4"/>
                <w:szCs w:val="14"/>
                <w:b w:val="1"/>
                <w:bCs w:val="1"/>
                <w:color w:val="auto"/>
              </w:rPr>
              <w:t>MacroGenics, Inc.</w:t>
            </w:r>
          </w:p>
        </w:tc>
        <w:tc>
          <w:tcPr>
            <w:tcW w:w="1300" w:type="dxa"/>
            <w:vAlign w:val="bottom"/>
          </w:tcPr>
          <w:p>
            <w:pPr>
              <w:spacing w:after="0"/>
              <w:rPr>
                <w:sz w:val="15"/>
                <w:szCs w:val="15"/>
                <w:color w:val="auto"/>
              </w:rPr>
            </w:pPr>
          </w:p>
        </w:tc>
        <w:tc>
          <w:tcPr>
            <w:tcW w:w="4800" w:type="dxa"/>
            <w:vAlign w:val="bottom"/>
          </w:tcPr>
          <w:p>
            <w:pPr>
              <w:ind w:left="3320"/>
              <w:spacing w:after="0"/>
              <w:rPr>
                <w:sz w:val="20"/>
                <w:szCs w:val="20"/>
                <w:color w:val="auto"/>
              </w:rPr>
            </w:pPr>
            <w:r>
              <w:rPr>
                <w:rFonts w:ascii="Arial" w:cs="Arial" w:eastAsia="Arial" w:hAnsi="Arial"/>
                <w:sz w:val="14"/>
                <w:szCs w:val="14"/>
                <w:b w:val="1"/>
                <w:bCs w:val="1"/>
                <w:color w:val="auto"/>
                <w:w w:val="86"/>
              </w:rPr>
              <w:t>Green Cross Corporation</w:t>
            </w:r>
          </w:p>
        </w:tc>
      </w:tr>
      <w:tr>
        <w:trPr>
          <w:trHeight w:val="328"/>
        </w:trPr>
        <w:tc>
          <w:tcPr>
            <w:tcW w:w="56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/s/ Scott Koenig</w:t>
            </w:r>
          </w:p>
        </w:tc>
        <w:tc>
          <w:tcPr>
            <w:tcW w:w="130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/s/ B. G Rhee</w:t>
            </w:r>
          </w:p>
        </w:tc>
      </w:tr>
      <w:tr>
        <w:trPr>
          <w:trHeight w:val="174"/>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Scott Koenig</w:t>
            </w:r>
          </w:p>
        </w:tc>
        <w:tc>
          <w:tcPr>
            <w:tcW w:w="1300" w:type="dxa"/>
            <w:vAlign w:val="bottom"/>
          </w:tcPr>
          <w:p>
            <w:pPr>
              <w:ind w:left="740"/>
              <w:spacing w:after="0"/>
              <w:rPr>
                <w:sz w:val="20"/>
                <w:szCs w:val="20"/>
                <w:color w:val="auto"/>
              </w:rPr>
            </w:pPr>
            <w:r>
              <w:rPr>
                <w:rFonts w:ascii="Arial" w:cs="Arial" w:eastAsia="Arial" w:hAnsi="Arial"/>
                <w:sz w:val="14"/>
                <w:szCs w:val="14"/>
                <w:color w:val="auto"/>
              </w:rPr>
              <w:t>Name: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 G Rhee</w:t>
            </w:r>
          </w:p>
        </w:tc>
      </w:tr>
      <w:tr>
        <w:trPr>
          <w:trHeight w:val="25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CEO</w:t>
            </w:r>
          </w:p>
        </w:tc>
        <w:tc>
          <w:tcPr>
            <w:tcW w:w="1300" w:type="dxa"/>
            <w:vAlign w:val="bottom"/>
          </w:tcPr>
          <w:p>
            <w:pPr>
              <w:ind w:left="740"/>
              <w:spacing w:after="0"/>
              <w:rPr>
                <w:sz w:val="20"/>
                <w:szCs w:val="20"/>
                <w:color w:val="auto"/>
              </w:rPr>
            </w:pPr>
            <w:r>
              <w:rPr>
                <w:rFonts w:ascii="Arial" w:cs="Arial" w:eastAsia="Arial" w:hAnsi="Arial"/>
                <w:sz w:val="14"/>
                <w:szCs w:val="14"/>
                <w:color w:val="auto"/>
              </w:rPr>
              <w:t>Title: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w:t>
            </w:r>
          </w:p>
        </w:tc>
      </w:tr>
      <w:tr>
        <w:trPr>
          <w:trHeight w:val="25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13, 2013</w:t>
            </w:r>
          </w:p>
        </w:tc>
        <w:tc>
          <w:tcPr>
            <w:tcW w:w="1300" w:type="dxa"/>
            <w:vAlign w:val="bottom"/>
          </w:tcPr>
          <w:p>
            <w:pPr>
              <w:ind w:left="740"/>
              <w:spacing w:after="0"/>
              <w:rPr>
                <w:sz w:val="20"/>
                <w:szCs w:val="20"/>
                <w:color w:val="auto"/>
              </w:rPr>
            </w:pPr>
            <w:r>
              <w:rPr>
                <w:rFonts w:ascii="Arial" w:cs="Arial" w:eastAsia="Arial" w:hAnsi="Arial"/>
                <w:sz w:val="14"/>
                <w:szCs w:val="14"/>
                <w:color w:val="auto"/>
              </w:rPr>
              <w:t>Date: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 2013</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703" w:name="page704"/>
    <w:bookmarkEnd w:id="703"/>
    <w:p>
      <w:pPr>
        <w:jc w:val="right"/>
        <w:spacing w:after="0"/>
        <w:rPr>
          <w:sz w:val="20"/>
          <w:szCs w:val="20"/>
          <w:color w:val="auto"/>
        </w:rPr>
      </w:pPr>
      <w:r>
        <w:rPr>
          <w:rFonts w:ascii="Arial" w:cs="Arial" w:eastAsia="Arial" w:hAnsi="Arial"/>
          <w:sz w:val="14"/>
          <w:szCs w:val="14"/>
          <w:b w:val="1"/>
          <w:bCs w:val="1"/>
          <w:color w:val="auto"/>
        </w:rPr>
        <w:t>Exhibit 10.20</w:t>
      </w:r>
    </w:p>
    <w:p>
      <w:pPr>
        <w:spacing w:after="0" w:line="134" w:lineRule="exact"/>
        <w:rPr>
          <w:sz w:val="20"/>
          <w:szCs w:val="20"/>
          <w:color w:val="auto"/>
        </w:rPr>
      </w:pPr>
    </w:p>
    <w:p>
      <w:pPr>
        <w:jc w:val="center"/>
        <w:ind w:right="1200"/>
        <w:spacing w:after="0"/>
        <w:rPr>
          <w:sz w:val="20"/>
          <w:szCs w:val="20"/>
          <w:color w:val="auto"/>
        </w:rPr>
      </w:pPr>
      <w:r>
        <w:rPr>
          <w:rFonts w:ascii="Arial" w:cs="Arial" w:eastAsia="Arial" w:hAnsi="Arial"/>
          <w:sz w:val="11"/>
          <w:szCs w:val="11"/>
          <w:b w:val="1"/>
          <w:bCs w:val="1"/>
          <w:i w:val="1"/>
          <w:iCs w:val="1"/>
          <w:color w:val="auto"/>
        </w:rPr>
        <w:t>Confidential Materials omitted and filed separately with the Securities and Exchange Commission.</w:t>
      </w:r>
    </w:p>
    <w:p>
      <w:pPr>
        <w:spacing w:after="0" w:line="4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EXECUTION COPY</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121752/BR/BCN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OPTION FOR A LICENSE AGREEMENT</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BY AND BETWEEN</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LES LABORATOIRES SERVIER</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INSTITUT DE RECHERCHES SERVIER</w:t>
      </w:r>
    </w:p>
    <w:p>
      <w:pPr>
        <w:sectPr>
          <w:pgSz w:w="11900" w:h="16838" w:orient="portrait"/>
          <w:cols w:equalWidth="0" w:num="1">
            <w:col w:w="10240"/>
          </w:cols>
          <w:pgMar w:left="1440" w:top="130" w:right="219" w:bottom="1440" w:gutter="0" w:footer="0" w:header="0"/>
        </w:sectPr>
      </w:pPr>
    </w:p>
    <w:bookmarkStart w:id="704" w:name="page705"/>
    <w:bookmarkEnd w:id="704"/>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680" w:type="dxa"/>
            <w:vAlign w:val="bottom"/>
          </w:tcPr>
          <w:p>
            <w:pPr>
              <w:jc w:val="right"/>
              <w:ind w:right="4872"/>
              <w:spacing w:after="0"/>
              <w:rPr>
                <w:sz w:val="20"/>
                <w:szCs w:val="20"/>
                <w:color w:val="auto"/>
              </w:rPr>
            </w:pPr>
            <w:r>
              <w:rPr>
                <w:rFonts w:ascii="Arial" w:cs="Arial" w:eastAsia="Arial" w:hAnsi="Arial"/>
                <w:sz w:val="14"/>
                <w:szCs w:val="14"/>
                <w:b w:val="1"/>
                <w:bCs w:val="1"/>
                <w:color w:val="auto"/>
              </w:rPr>
              <w:t>TABLE OF CONTENTS</w:t>
            </w:r>
          </w:p>
        </w:tc>
      </w:tr>
      <w:tr>
        <w:trPr>
          <w:trHeight w:val="32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ARTICLE 1 DEFINITIONS</w:t>
            </w:r>
          </w:p>
        </w:tc>
        <w:tc>
          <w:tcPr>
            <w:tcW w:w="66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5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ARTICLE 2 GOVERNANCE</w:t>
            </w:r>
          </w:p>
        </w:tc>
        <w:tc>
          <w:tcPr>
            <w:tcW w:w="668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2.1</w:t>
            </w:r>
          </w:p>
        </w:tc>
        <w:tc>
          <w:tcPr>
            <w:tcW w:w="4000" w:type="dxa"/>
            <w:vAlign w:val="bottom"/>
          </w:tcPr>
          <w:p>
            <w:pPr>
              <w:ind w:left="160"/>
              <w:spacing w:after="0"/>
              <w:rPr>
                <w:sz w:val="20"/>
                <w:szCs w:val="20"/>
                <w:color w:val="auto"/>
              </w:rPr>
            </w:pPr>
            <w:r>
              <w:rPr>
                <w:rFonts w:ascii="Arial" w:cs="Arial" w:eastAsia="Arial" w:hAnsi="Arial"/>
                <w:sz w:val="14"/>
                <w:szCs w:val="14"/>
                <w:color w:val="auto"/>
              </w:rPr>
              <w:t>Alliance Business-Development Managers.</w:t>
            </w:r>
          </w:p>
        </w:tc>
        <w:tc>
          <w:tcPr>
            <w:tcW w:w="66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2.2</w:t>
            </w:r>
          </w:p>
        </w:tc>
        <w:tc>
          <w:tcPr>
            <w:tcW w:w="4000" w:type="dxa"/>
            <w:vAlign w:val="bottom"/>
          </w:tcPr>
          <w:p>
            <w:pPr>
              <w:ind w:left="160"/>
              <w:spacing w:after="0"/>
              <w:rPr>
                <w:sz w:val="20"/>
                <w:szCs w:val="20"/>
                <w:color w:val="auto"/>
              </w:rPr>
            </w:pPr>
            <w:r>
              <w:rPr>
                <w:rFonts w:ascii="Arial" w:cs="Arial" w:eastAsia="Arial" w:hAnsi="Arial"/>
                <w:sz w:val="14"/>
                <w:szCs w:val="14"/>
                <w:color w:val="auto"/>
              </w:rPr>
              <w:t>Alliance R&amp;D Managers.</w:t>
            </w:r>
          </w:p>
        </w:tc>
        <w:tc>
          <w:tcPr>
            <w:tcW w:w="66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2.3</w:t>
            </w:r>
          </w:p>
        </w:tc>
        <w:tc>
          <w:tcPr>
            <w:tcW w:w="4000" w:type="dxa"/>
            <w:vAlign w:val="bottom"/>
          </w:tcPr>
          <w:p>
            <w:pPr>
              <w:ind w:left="160"/>
              <w:spacing w:after="0"/>
              <w:rPr>
                <w:sz w:val="20"/>
                <w:szCs w:val="20"/>
                <w:color w:val="auto"/>
              </w:rPr>
            </w:pPr>
            <w:r>
              <w:rPr>
                <w:rFonts w:ascii="Arial" w:cs="Arial" w:eastAsia="Arial" w:hAnsi="Arial"/>
                <w:sz w:val="14"/>
                <w:szCs w:val="14"/>
                <w:color w:val="auto"/>
              </w:rPr>
              <w:t>Project Directors.</w:t>
            </w:r>
          </w:p>
        </w:tc>
        <w:tc>
          <w:tcPr>
            <w:tcW w:w="66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2.4</w:t>
            </w:r>
          </w:p>
        </w:tc>
        <w:tc>
          <w:tcPr>
            <w:tcW w:w="4000" w:type="dxa"/>
            <w:vAlign w:val="bottom"/>
          </w:tcPr>
          <w:p>
            <w:pPr>
              <w:ind w:left="160"/>
              <w:spacing w:after="0"/>
              <w:rPr>
                <w:sz w:val="20"/>
                <w:szCs w:val="20"/>
                <w:color w:val="auto"/>
              </w:rPr>
            </w:pPr>
            <w:r>
              <w:rPr>
                <w:rFonts w:ascii="Arial" w:cs="Arial" w:eastAsia="Arial" w:hAnsi="Arial"/>
                <w:sz w:val="14"/>
                <w:szCs w:val="14"/>
                <w:color w:val="auto"/>
              </w:rPr>
              <w:t>Joint Executive Committee.</w:t>
            </w:r>
          </w:p>
        </w:tc>
        <w:tc>
          <w:tcPr>
            <w:tcW w:w="66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2.5</w:t>
            </w:r>
          </w:p>
        </w:tc>
        <w:tc>
          <w:tcPr>
            <w:tcW w:w="4000" w:type="dxa"/>
            <w:vAlign w:val="bottom"/>
          </w:tcPr>
          <w:p>
            <w:pPr>
              <w:ind w:left="160"/>
              <w:spacing w:after="0"/>
              <w:rPr>
                <w:sz w:val="20"/>
                <w:szCs w:val="20"/>
                <w:color w:val="auto"/>
              </w:rPr>
            </w:pPr>
            <w:r>
              <w:rPr>
                <w:rFonts w:ascii="Arial" w:cs="Arial" w:eastAsia="Arial" w:hAnsi="Arial"/>
                <w:sz w:val="14"/>
                <w:szCs w:val="14"/>
                <w:color w:val="auto"/>
              </w:rPr>
              <w:t>Joint Steering Committee.</w:t>
            </w:r>
          </w:p>
        </w:tc>
        <w:tc>
          <w:tcPr>
            <w:tcW w:w="66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2.6</w:t>
            </w:r>
          </w:p>
        </w:tc>
        <w:tc>
          <w:tcPr>
            <w:tcW w:w="4000" w:type="dxa"/>
            <w:vAlign w:val="bottom"/>
          </w:tcPr>
          <w:p>
            <w:pPr>
              <w:ind w:left="160"/>
              <w:spacing w:after="0"/>
              <w:rPr>
                <w:sz w:val="20"/>
                <w:szCs w:val="20"/>
                <w:color w:val="auto"/>
              </w:rPr>
            </w:pPr>
            <w:r>
              <w:rPr>
                <w:rFonts w:ascii="Arial" w:cs="Arial" w:eastAsia="Arial" w:hAnsi="Arial"/>
                <w:sz w:val="14"/>
                <w:szCs w:val="14"/>
                <w:color w:val="auto"/>
                <w:w w:val="93"/>
              </w:rPr>
              <w:t>Joint Research and Development Committee and Subcommittees.</w:t>
            </w:r>
          </w:p>
        </w:tc>
        <w:tc>
          <w:tcPr>
            <w:tcW w:w="66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2.7</w:t>
            </w:r>
          </w:p>
        </w:tc>
        <w:tc>
          <w:tcPr>
            <w:tcW w:w="4000" w:type="dxa"/>
            <w:vAlign w:val="bottom"/>
          </w:tcPr>
          <w:p>
            <w:pPr>
              <w:ind w:left="160"/>
              <w:spacing w:after="0"/>
              <w:rPr>
                <w:sz w:val="20"/>
                <w:szCs w:val="20"/>
                <w:color w:val="auto"/>
              </w:rPr>
            </w:pPr>
            <w:r>
              <w:rPr>
                <w:rFonts w:ascii="Arial" w:cs="Arial" w:eastAsia="Arial" w:hAnsi="Arial"/>
                <w:sz w:val="14"/>
                <w:szCs w:val="14"/>
                <w:color w:val="auto"/>
              </w:rPr>
              <w:t>Co-Chairpersons.</w:t>
            </w:r>
          </w:p>
        </w:tc>
        <w:tc>
          <w:tcPr>
            <w:tcW w:w="66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2.8</w:t>
            </w:r>
          </w:p>
        </w:tc>
        <w:tc>
          <w:tcPr>
            <w:tcW w:w="4000" w:type="dxa"/>
            <w:vAlign w:val="bottom"/>
          </w:tcPr>
          <w:p>
            <w:pPr>
              <w:ind w:left="160"/>
              <w:spacing w:after="0"/>
              <w:rPr>
                <w:sz w:val="20"/>
                <w:szCs w:val="20"/>
                <w:color w:val="auto"/>
              </w:rPr>
            </w:pPr>
            <w:r>
              <w:rPr>
                <w:rFonts w:ascii="Arial" w:cs="Arial" w:eastAsia="Arial" w:hAnsi="Arial"/>
                <w:sz w:val="14"/>
                <w:szCs w:val="14"/>
                <w:color w:val="auto"/>
              </w:rPr>
              <w:t>Committee Meetings. Frequency.</w:t>
            </w:r>
          </w:p>
        </w:tc>
        <w:tc>
          <w:tcPr>
            <w:tcW w:w="66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2.9</w:t>
            </w:r>
          </w:p>
        </w:tc>
        <w:tc>
          <w:tcPr>
            <w:tcW w:w="4000" w:type="dxa"/>
            <w:vAlign w:val="bottom"/>
          </w:tcPr>
          <w:p>
            <w:pPr>
              <w:ind w:left="160"/>
              <w:spacing w:after="0"/>
              <w:rPr>
                <w:sz w:val="20"/>
                <w:szCs w:val="20"/>
                <w:color w:val="auto"/>
              </w:rPr>
            </w:pPr>
            <w:r>
              <w:rPr>
                <w:rFonts w:ascii="Arial" w:cs="Arial" w:eastAsia="Arial" w:hAnsi="Arial"/>
                <w:sz w:val="14"/>
                <w:szCs w:val="14"/>
                <w:color w:val="auto"/>
              </w:rPr>
              <w:t>Decisions.</w:t>
            </w:r>
          </w:p>
        </w:tc>
        <w:tc>
          <w:tcPr>
            <w:tcW w:w="66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2.10</w:t>
            </w:r>
          </w:p>
        </w:tc>
        <w:tc>
          <w:tcPr>
            <w:tcW w:w="4000" w:type="dxa"/>
            <w:vAlign w:val="bottom"/>
          </w:tcPr>
          <w:p>
            <w:pPr>
              <w:ind w:left="160"/>
              <w:spacing w:after="0"/>
              <w:rPr>
                <w:sz w:val="20"/>
                <w:szCs w:val="20"/>
                <w:color w:val="auto"/>
              </w:rPr>
            </w:pPr>
            <w:r>
              <w:rPr>
                <w:rFonts w:ascii="Arial" w:cs="Arial" w:eastAsia="Arial" w:hAnsi="Arial"/>
                <w:sz w:val="14"/>
                <w:szCs w:val="14"/>
                <w:color w:val="auto"/>
              </w:rPr>
              <w:t>Authority.</w:t>
            </w:r>
          </w:p>
        </w:tc>
        <w:tc>
          <w:tcPr>
            <w:tcW w:w="6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2.11</w:t>
            </w:r>
          </w:p>
        </w:tc>
        <w:tc>
          <w:tcPr>
            <w:tcW w:w="4000" w:type="dxa"/>
            <w:vAlign w:val="bottom"/>
          </w:tcPr>
          <w:p>
            <w:pPr>
              <w:ind w:left="160"/>
              <w:spacing w:after="0"/>
              <w:rPr>
                <w:sz w:val="20"/>
                <w:szCs w:val="20"/>
                <w:color w:val="auto"/>
              </w:rPr>
            </w:pPr>
            <w:r>
              <w:rPr>
                <w:rFonts w:ascii="Arial" w:cs="Arial" w:eastAsia="Arial" w:hAnsi="Arial"/>
                <w:sz w:val="14"/>
                <w:szCs w:val="14"/>
                <w:color w:val="auto"/>
              </w:rPr>
              <w:t>Representatives.</w:t>
            </w:r>
          </w:p>
        </w:tc>
        <w:tc>
          <w:tcPr>
            <w:tcW w:w="6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ARTICLE 3 RESEARCH AND DEVELOPMENT; EXCLUSIVE OPTION</w:t>
            </w:r>
          </w:p>
        </w:tc>
        <w:tc>
          <w:tcPr>
            <w:tcW w:w="6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3.1</w:t>
            </w:r>
          </w:p>
        </w:tc>
        <w:tc>
          <w:tcPr>
            <w:tcW w:w="4000" w:type="dxa"/>
            <w:vAlign w:val="bottom"/>
          </w:tcPr>
          <w:p>
            <w:pPr>
              <w:ind w:left="160"/>
              <w:spacing w:after="0"/>
              <w:rPr>
                <w:sz w:val="20"/>
                <w:szCs w:val="20"/>
                <w:color w:val="auto"/>
              </w:rPr>
            </w:pPr>
            <w:r>
              <w:rPr>
                <w:rFonts w:ascii="Arial" w:cs="Arial" w:eastAsia="Arial" w:hAnsi="Arial"/>
                <w:sz w:val="14"/>
                <w:szCs w:val="14"/>
                <w:color w:val="auto"/>
              </w:rPr>
              <w:t>Research Overview.</w:t>
            </w:r>
          </w:p>
        </w:tc>
        <w:tc>
          <w:tcPr>
            <w:tcW w:w="6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3.2</w:t>
            </w:r>
          </w:p>
        </w:tc>
        <w:tc>
          <w:tcPr>
            <w:tcW w:w="4000" w:type="dxa"/>
            <w:vAlign w:val="bottom"/>
          </w:tcPr>
          <w:p>
            <w:pPr>
              <w:ind w:left="160"/>
              <w:spacing w:after="0"/>
              <w:rPr>
                <w:sz w:val="20"/>
                <w:szCs w:val="20"/>
                <w:color w:val="auto"/>
              </w:rPr>
            </w:pPr>
            <w:r>
              <w:rPr>
                <w:rFonts w:ascii="Arial" w:cs="Arial" w:eastAsia="Arial" w:hAnsi="Arial"/>
                <w:sz w:val="14"/>
                <w:szCs w:val="14"/>
                <w:color w:val="auto"/>
              </w:rPr>
              <w:t>Conduct of the Research Programs.</w:t>
            </w:r>
          </w:p>
        </w:tc>
        <w:tc>
          <w:tcPr>
            <w:tcW w:w="6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3.3</w:t>
            </w:r>
          </w:p>
        </w:tc>
        <w:tc>
          <w:tcPr>
            <w:tcW w:w="4000" w:type="dxa"/>
            <w:vAlign w:val="bottom"/>
          </w:tcPr>
          <w:p>
            <w:pPr>
              <w:ind w:left="160"/>
              <w:spacing w:after="0"/>
              <w:rPr>
                <w:sz w:val="20"/>
                <w:szCs w:val="20"/>
                <w:color w:val="auto"/>
              </w:rPr>
            </w:pPr>
            <w:r>
              <w:rPr>
                <w:rFonts w:ascii="Arial" w:cs="Arial" w:eastAsia="Arial" w:hAnsi="Arial"/>
                <w:sz w:val="14"/>
                <w:szCs w:val="14"/>
                <w:color w:val="auto"/>
              </w:rPr>
              <w:t>Evaluation of Option Trigger Data Package; Option Exercise.</w:t>
            </w:r>
          </w:p>
        </w:tc>
        <w:tc>
          <w:tcPr>
            <w:tcW w:w="66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5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ARTICLE 4 GRANT OF RIGHTS; EXCLUSIVITY</w:t>
            </w:r>
          </w:p>
        </w:tc>
        <w:tc>
          <w:tcPr>
            <w:tcW w:w="6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4.1</w:t>
            </w:r>
          </w:p>
        </w:tc>
        <w:tc>
          <w:tcPr>
            <w:tcW w:w="4000" w:type="dxa"/>
            <w:vAlign w:val="bottom"/>
          </w:tcPr>
          <w:p>
            <w:pPr>
              <w:ind w:left="160"/>
              <w:spacing w:after="0"/>
              <w:rPr>
                <w:sz w:val="20"/>
                <w:szCs w:val="20"/>
                <w:color w:val="auto"/>
              </w:rPr>
            </w:pPr>
            <w:r>
              <w:rPr>
                <w:rFonts w:ascii="Arial" w:cs="Arial" w:eastAsia="Arial" w:hAnsi="Arial"/>
                <w:sz w:val="14"/>
                <w:szCs w:val="14"/>
                <w:color w:val="auto"/>
              </w:rPr>
              <w:t>License Grant to Servier.</w:t>
            </w:r>
          </w:p>
        </w:tc>
        <w:tc>
          <w:tcPr>
            <w:tcW w:w="6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4.2</w:t>
            </w:r>
          </w:p>
        </w:tc>
        <w:tc>
          <w:tcPr>
            <w:tcW w:w="4000" w:type="dxa"/>
            <w:vAlign w:val="bottom"/>
          </w:tcPr>
          <w:p>
            <w:pPr>
              <w:ind w:left="160"/>
              <w:spacing w:after="0"/>
              <w:rPr>
                <w:sz w:val="20"/>
                <w:szCs w:val="20"/>
                <w:color w:val="auto"/>
              </w:rPr>
            </w:pPr>
            <w:r>
              <w:rPr>
                <w:rFonts w:ascii="Arial" w:cs="Arial" w:eastAsia="Arial" w:hAnsi="Arial"/>
                <w:sz w:val="14"/>
                <w:szCs w:val="14"/>
                <w:color w:val="auto"/>
              </w:rPr>
              <w:t>License Grant to MacroGenics.</w:t>
            </w:r>
          </w:p>
        </w:tc>
        <w:tc>
          <w:tcPr>
            <w:tcW w:w="6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4.3</w:t>
            </w:r>
          </w:p>
        </w:tc>
        <w:tc>
          <w:tcPr>
            <w:tcW w:w="4000" w:type="dxa"/>
            <w:vAlign w:val="bottom"/>
          </w:tcPr>
          <w:p>
            <w:pPr>
              <w:ind w:left="160"/>
              <w:spacing w:after="0"/>
              <w:rPr>
                <w:sz w:val="20"/>
                <w:szCs w:val="20"/>
                <w:color w:val="auto"/>
              </w:rPr>
            </w:pPr>
            <w:r>
              <w:rPr>
                <w:rFonts w:ascii="Arial" w:cs="Arial" w:eastAsia="Arial" w:hAnsi="Arial"/>
                <w:sz w:val="14"/>
                <w:szCs w:val="14"/>
                <w:color w:val="auto"/>
              </w:rPr>
              <w:t>Sublicenses.</w:t>
            </w:r>
          </w:p>
        </w:tc>
        <w:tc>
          <w:tcPr>
            <w:tcW w:w="6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4.4</w:t>
            </w:r>
          </w:p>
        </w:tc>
        <w:tc>
          <w:tcPr>
            <w:tcW w:w="4000" w:type="dxa"/>
            <w:vAlign w:val="bottom"/>
          </w:tcPr>
          <w:p>
            <w:pPr>
              <w:ind w:left="160"/>
              <w:spacing w:after="0"/>
              <w:rPr>
                <w:sz w:val="20"/>
                <w:szCs w:val="20"/>
                <w:color w:val="auto"/>
              </w:rPr>
            </w:pPr>
            <w:r>
              <w:rPr>
                <w:rFonts w:ascii="Arial" w:cs="Arial" w:eastAsia="Arial" w:hAnsi="Arial"/>
                <w:sz w:val="14"/>
                <w:szCs w:val="14"/>
                <w:color w:val="auto"/>
              </w:rPr>
              <w:t>Subcontracting.</w:t>
            </w:r>
          </w:p>
        </w:tc>
        <w:tc>
          <w:tcPr>
            <w:tcW w:w="66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4.5</w:t>
            </w:r>
          </w:p>
        </w:tc>
        <w:tc>
          <w:tcPr>
            <w:tcW w:w="4000" w:type="dxa"/>
            <w:vAlign w:val="bottom"/>
          </w:tcPr>
          <w:p>
            <w:pPr>
              <w:ind w:left="160"/>
              <w:spacing w:after="0"/>
              <w:rPr>
                <w:sz w:val="20"/>
                <w:szCs w:val="20"/>
                <w:color w:val="auto"/>
              </w:rPr>
            </w:pPr>
            <w:r>
              <w:rPr>
                <w:rFonts w:ascii="Arial" w:cs="Arial" w:eastAsia="Arial" w:hAnsi="Arial"/>
                <w:sz w:val="14"/>
                <w:szCs w:val="14"/>
                <w:color w:val="auto"/>
              </w:rPr>
              <w:t>MacroGenics Third Party Agreements.</w:t>
            </w:r>
          </w:p>
        </w:tc>
        <w:tc>
          <w:tcPr>
            <w:tcW w:w="6680" w:type="dxa"/>
            <w:vAlign w:val="bottom"/>
          </w:tcPr>
          <w:p>
            <w:pPr>
              <w:jc w:val="right"/>
              <w:spacing w:after="0"/>
              <w:rPr>
                <w:sz w:val="20"/>
                <w:szCs w:val="20"/>
                <w:color w:val="auto"/>
              </w:rPr>
            </w:pPr>
            <w:r>
              <w:rPr>
                <w:rFonts w:ascii="Arial" w:cs="Arial" w:eastAsia="Arial" w:hAnsi="Arial"/>
                <w:sz w:val="14"/>
                <w:szCs w:val="14"/>
                <w:color w:val="auto"/>
              </w:rPr>
              <w:t>24</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3840" w:right="2640" w:hanging="1135"/>
        <w:spacing w:after="0" w:line="351" w:lineRule="auto"/>
        <w:tabs>
          <w:tab w:leader="none" w:pos="2944" w:val="left"/>
        </w:tabs>
        <w:numPr>
          <w:ilvl w:val="0"/>
          <w:numId w:val="80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705" w:name="page706"/>
    <w:bookmarkEnd w:id="705"/>
    <w:tbl>
      <w:tblPr>
        <w:tblLayout w:type="fixed"/>
        <w:tblInd w:w="0" w:type="dxa"/>
        <w:tblCellMar>
          <w:top w:w="0" w:type="dxa"/>
          <w:left w:w="0" w:type="dxa"/>
          <w:bottom w:w="0" w:type="dxa"/>
          <w:right w:w="0" w:type="dxa"/>
        </w:tblCellMar>
      </w:tblPr>
      <w:tr>
        <w:trPr>
          <w:trHeight w:val="173"/>
        </w:trPr>
        <w:tc>
          <w:tcPr>
            <w:tcW w:w="720" w:type="dxa"/>
            <w:vAlign w:val="bottom"/>
          </w:tcPr>
          <w:p>
            <w:pPr>
              <w:ind w:left="340"/>
              <w:spacing w:after="0"/>
              <w:rPr>
                <w:sz w:val="20"/>
                <w:szCs w:val="20"/>
                <w:color w:val="auto"/>
              </w:rPr>
            </w:pPr>
            <w:r>
              <w:rPr>
                <w:rFonts w:ascii="Arial" w:cs="Arial" w:eastAsia="Arial" w:hAnsi="Arial"/>
                <w:sz w:val="14"/>
                <w:szCs w:val="14"/>
                <w:color w:val="auto"/>
              </w:rPr>
              <w:t>4.6</w:t>
            </w:r>
          </w:p>
        </w:tc>
        <w:tc>
          <w:tcPr>
            <w:tcW w:w="8260" w:type="dxa"/>
            <w:vAlign w:val="bottom"/>
          </w:tcPr>
          <w:p>
            <w:pPr>
              <w:ind w:left="160"/>
              <w:spacing w:after="0"/>
              <w:rPr>
                <w:sz w:val="20"/>
                <w:szCs w:val="20"/>
                <w:color w:val="auto"/>
              </w:rPr>
            </w:pPr>
            <w:r>
              <w:rPr>
                <w:rFonts w:ascii="Arial" w:cs="Arial" w:eastAsia="Arial" w:hAnsi="Arial"/>
                <w:sz w:val="14"/>
                <w:szCs w:val="14"/>
                <w:color w:val="auto"/>
              </w:rPr>
              <w:t>Rights Retained by the Parties.</w:t>
            </w:r>
          </w:p>
        </w:tc>
        <w:tc>
          <w:tcPr>
            <w:tcW w:w="24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4.7</w:t>
            </w:r>
          </w:p>
        </w:tc>
        <w:tc>
          <w:tcPr>
            <w:tcW w:w="8260" w:type="dxa"/>
            <w:vAlign w:val="bottom"/>
          </w:tcPr>
          <w:p>
            <w:pPr>
              <w:ind w:left="160"/>
              <w:spacing w:after="0"/>
              <w:rPr>
                <w:sz w:val="20"/>
                <w:szCs w:val="20"/>
                <w:color w:val="auto"/>
              </w:rPr>
            </w:pPr>
            <w:r>
              <w:rPr>
                <w:rFonts w:ascii="Arial" w:cs="Arial" w:eastAsia="Arial" w:hAnsi="Arial"/>
                <w:sz w:val="14"/>
                <w:szCs w:val="14"/>
                <w:color w:val="auto"/>
              </w:rPr>
              <w:t>Section 365(n) of the Bankruptcy Code.</w:t>
            </w:r>
          </w:p>
        </w:tc>
        <w:tc>
          <w:tcPr>
            <w:tcW w:w="24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4.8</w:t>
            </w:r>
          </w:p>
        </w:tc>
        <w:tc>
          <w:tcPr>
            <w:tcW w:w="8260" w:type="dxa"/>
            <w:vAlign w:val="bottom"/>
          </w:tcPr>
          <w:p>
            <w:pPr>
              <w:ind w:left="160"/>
              <w:spacing w:after="0"/>
              <w:rPr>
                <w:sz w:val="20"/>
                <w:szCs w:val="20"/>
                <w:color w:val="auto"/>
              </w:rPr>
            </w:pPr>
            <w:r>
              <w:rPr>
                <w:rFonts w:ascii="Arial" w:cs="Arial" w:eastAsia="Arial" w:hAnsi="Arial"/>
                <w:sz w:val="14"/>
                <w:szCs w:val="14"/>
                <w:color w:val="auto"/>
              </w:rPr>
              <w:t>Exclusivity.</w:t>
            </w:r>
          </w:p>
        </w:tc>
        <w:tc>
          <w:tcPr>
            <w:tcW w:w="24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4.9</w:t>
            </w:r>
          </w:p>
        </w:tc>
        <w:tc>
          <w:tcPr>
            <w:tcW w:w="8260" w:type="dxa"/>
            <w:vAlign w:val="bottom"/>
          </w:tcPr>
          <w:p>
            <w:pPr>
              <w:ind w:left="160"/>
              <w:spacing w:after="0"/>
              <w:rPr>
                <w:sz w:val="20"/>
                <w:szCs w:val="20"/>
                <w:color w:val="auto"/>
              </w:rPr>
            </w:pPr>
            <w:r>
              <w:rPr>
                <w:rFonts w:ascii="Arial" w:cs="Arial" w:eastAsia="Arial" w:hAnsi="Arial"/>
                <w:sz w:val="14"/>
                <w:szCs w:val="14"/>
                <w:color w:val="auto"/>
              </w:rPr>
              <w:t>Consequences of Development and Commercialization of Competing Products.</w:t>
            </w:r>
          </w:p>
        </w:tc>
        <w:tc>
          <w:tcPr>
            <w:tcW w:w="24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4.10</w:t>
            </w:r>
          </w:p>
        </w:tc>
        <w:tc>
          <w:tcPr>
            <w:tcW w:w="8260" w:type="dxa"/>
            <w:vAlign w:val="bottom"/>
          </w:tcPr>
          <w:p>
            <w:pPr>
              <w:ind w:left="160"/>
              <w:spacing w:after="0"/>
              <w:rPr>
                <w:sz w:val="20"/>
                <w:szCs w:val="20"/>
                <w:color w:val="auto"/>
              </w:rPr>
            </w:pPr>
            <w:r>
              <w:rPr>
                <w:rFonts w:ascii="Arial" w:cs="Arial" w:eastAsia="Arial" w:hAnsi="Arial"/>
                <w:sz w:val="14"/>
                <w:szCs w:val="14"/>
                <w:color w:val="auto"/>
              </w:rPr>
              <w:t>Right of First Negotiation for Independent Product.</w:t>
            </w:r>
          </w:p>
        </w:tc>
        <w:tc>
          <w:tcPr>
            <w:tcW w:w="24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4.11</w:t>
            </w:r>
          </w:p>
        </w:tc>
        <w:tc>
          <w:tcPr>
            <w:tcW w:w="8260" w:type="dxa"/>
            <w:vAlign w:val="bottom"/>
          </w:tcPr>
          <w:p>
            <w:pPr>
              <w:ind w:left="160"/>
              <w:spacing w:after="0"/>
              <w:rPr>
                <w:sz w:val="20"/>
                <w:szCs w:val="20"/>
                <w:color w:val="auto"/>
              </w:rPr>
            </w:pPr>
            <w:r>
              <w:rPr>
                <w:rFonts w:ascii="Arial" w:cs="Arial" w:eastAsia="Arial" w:hAnsi="Arial"/>
                <w:sz w:val="14"/>
                <w:szCs w:val="14"/>
                <w:color w:val="auto"/>
              </w:rPr>
              <w:t>Diagnostics.</w:t>
            </w:r>
          </w:p>
        </w:tc>
        <w:tc>
          <w:tcPr>
            <w:tcW w:w="24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ARTICLE 5 DEVELOPMENT DURING THE LICENSE TERM</w:t>
            </w: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5.1</w:t>
            </w:r>
          </w:p>
        </w:tc>
        <w:tc>
          <w:tcPr>
            <w:tcW w:w="8260" w:type="dxa"/>
            <w:vAlign w:val="bottom"/>
          </w:tcPr>
          <w:p>
            <w:pPr>
              <w:ind w:left="160"/>
              <w:spacing w:after="0"/>
              <w:rPr>
                <w:sz w:val="20"/>
                <w:szCs w:val="20"/>
                <w:color w:val="auto"/>
              </w:rPr>
            </w:pPr>
            <w:r>
              <w:rPr>
                <w:rFonts w:ascii="Arial" w:cs="Arial" w:eastAsia="Arial" w:hAnsi="Arial"/>
                <w:sz w:val="14"/>
                <w:szCs w:val="14"/>
                <w:color w:val="auto"/>
              </w:rPr>
              <w:t>Overview.</w:t>
            </w:r>
          </w:p>
        </w:tc>
        <w:tc>
          <w:tcPr>
            <w:tcW w:w="24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5.2</w:t>
            </w:r>
          </w:p>
        </w:tc>
        <w:tc>
          <w:tcPr>
            <w:tcW w:w="8260" w:type="dxa"/>
            <w:vAlign w:val="bottom"/>
          </w:tcPr>
          <w:p>
            <w:pPr>
              <w:ind w:left="160"/>
              <w:spacing w:after="0"/>
              <w:rPr>
                <w:sz w:val="20"/>
                <w:szCs w:val="20"/>
                <w:color w:val="auto"/>
              </w:rPr>
            </w:pPr>
            <w:r>
              <w:rPr>
                <w:rFonts w:ascii="Arial" w:cs="Arial" w:eastAsia="Arial" w:hAnsi="Arial"/>
                <w:sz w:val="14"/>
                <w:szCs w:val="14"/>
                <w:color w:val="auto"/>
              </w:rPr>
              <w:t>Servier Obligations.</w:t>
            </w:r>
          </w:p>
        </w:tc>
        <w:tc>
          <w:tcPr>
            <w:tcW w:w="24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5.3</w:t>
            </w:r>
          </w:p>
        </w:tc>
        <w:tc>
          <w:tcPr>
            <w:tcW w:w="8260" w:type="dxa"/>
            <w:vAlign w:val="bottom"/>
          </w:tcPr>
          <w:p>
            <w:pPr>
              <w:ind w:left="160"/>
              <w:spacing w:after="0"/>
              <w:rPr>
                <w:sz w:val="20"/>
                <w:szCs w:val="20"/>
                <w:color w:val="auto"/>
              </w:rPr>
            </w:pPr>
            <w:r>
              <w:rPr>
                <w:rFonts w:ascii="Arial" w:cs="Arial" w:eastAsia="Arial" w:hAnsi="Arial"/>
                <w:sz w:val="14"/>
                <w:szCs w:val="14"/>
                <w:color w:val="auto"/>
              </w:rPr>
              <w:t>Development Activities.</w:t>
            </w:r>
          </w:p>
        </w:tc>
        <w:tc>
          <w:tcPr>
            <w:tcW w:w="24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5.4</w:t>
            </w:r>
          </w:p>
        </w:tc>
        <w:tc>
          <w:tcPr>
            <w:tcW w:w="8260" w:type="dxa"/>
            <w:vAlign w:val="bottom"/>
          </w:tcPr>
          <w:p>
            <w:pPr>
              <w:ind w:left="160"/>
              <w:spacing w:after="0"/>
              <w:rPr>
                <w:sz w:val="20"/>
                <w:szCs w:val="20"/>
                <w:color w:val="auto"/>
              </w:rPr>
            </w:pPr>
            <w:r>
              <w:rPr>
                <w:rFonts w:ascii="Arial" w:cs="Arial" w:eastAsia="Arial" w:hAnsi="Arial"/>
                <w:sz w:val="14"/>
                <w:szCs w:val="14"/>
                <w:color w:val="auto"/>
              </w:rPr>
              <w:t>Updating and Amending Development Plan and Development Budget; Additional Development Activities.</w:t>
            </w:r>
          </w:p>
        </w:tc>
        <w:tc>
          <w:tcPr>
            <w:tcW w:w="2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5.5</w:t>
            </w:r>
          </w:p>
        </w:tc>
        <w:tc>
          <w:tcPr>
            <w:tcW w:w="8260" w:type="dxa"/>
            <w:vAlign w:val="bottom"/>
          </w:tcPr>
          <w:p>
            <w:pPr>
              <w:ind w:left="160"/>
              <w:spacing w:after="0"/>
              <w:rPr>
                <w:sz w:val="20"/>
                <w:szCs w:val="20"/>
                <w:color w:val="auto"/>
              </w:rPr>
            </w:pPr>
            <w:r>
              <w:rPr>
                <w:rFonts w:ascii="Arial" w:cs="Arial" w:eastAsia="Arial" w:hAnsi="Arial"/>
                <w:sz w:val="14"/>
                <w:szCs w:val="14"/>
                <w:color w:val="auto"/>
              </w:rPr>
              <w:t>Development Activities.</w:t>
            </w:r>
          </w:p>
        </w:tc>
        <w:tc>
          <w:tcPr>
            <w:tcW w:w="24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5.6</w:t>
            </w:r>
          </w:p>
        </w:tc>
        <w:tc>
          <w:tcPr>
            <w:tcW w:w="8260" w:type="dxa"/>
            <w:vAlign w:val="bottom"/>
          </w:tcPr>
          <w:p>
            <w:pPr>
              <w:ind w:left="160"/>
              <w:spacing w:after="0"/>
              <w:rPr>
                <w:sz w:val="20"/>
                <w:szCs w:val="20"/>
                <w:color w:val="auto"/>
              </w:rPr>
            </w:pPr>
            <w:r>
              <w:rPr>
                <w:rFonts w:ascii="Arial" w:cs="Arial" w:eastAsia="Arial" w:hAnsi="Arial"/>
                <w:sz w:val="14"/>
                <w:szCs w:val="14"/>
                <w:color w:val="auto"/>
              </w:rPr>
              <w:t>Exchange of Data.</w:t>
            </w:r>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ARTICLE 6 REGULATORY MATTERS</w:t>
            </w: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6.1</w:t>
            </w:r>
          </w:p>
        </w:tc>
        <w:tc>
          <w:tcPr>
            <w:tcW w:w="8260" w:type="dxa"/>
            <w:vAlign w:val="bottom"/>
          </w:tcPr>
          <w:p>
            <w:pPr>
              <w:ind w:left="160"/>
              <w:spacing w:after="0"/>
              <w:rPr>
                <w:sz w:val="20"/>
                <w:szCs w:val="20"/>
                <w:color w:val="auto"/>
              </w:rPr>
            </w:pPr>
            <w:r>
              <w:rPr>
                <w:rFonts w:ascii="Arial" w:cs="Arial" w:eastAsia="Arial" w:hAnsi="Arial"/>
                <w:sz w:val="14"/>
                <w:szCs w:val="14"/>
                <w:color w:val="auto"/>
              </w:rPr>
              <w:t>Servier Regulatory Responsibility.</w:t>
            </w:r>
          </w:p>
        </w:tc>
        <w:tc>
          <w:tcPr>
            <w:tcW w:w="24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6.2</w:t>
            </w:r>
          </w:p>
        </w:tc>
        <w:tc>
          <w:tcPr>
            <w:tcW w:w="8260" w:type="dxa"/>
            <w:vAlign w:val="bottom"/>
          </w:tcPr>
          <w:p>
            <w:pPr>
              <w:ind w:left="160"/>
              <w:spacing w:after="0"/>
              <w:rPr>
                <w:sz w:val="20"/>
                <w:szCs w:val="20"/>
                <w:color w:val="auto"/>
              </w:rPr>
            </w:pPr>
            <w:r>
              <w:rPr>
                <w:rFonts w:ascii="Arial" w:cs="Arial" w:eastAsia="Arial" w:hAnsi="Arial"/>
                <w:sz w:val="14"/>
                <w:szCs w:val="14"/>
                <w:color w:val="auto"/>
              </w:rPr>
              <w:t>MacroGenics Regulatory Responsibility.</w:t>
            </w:r>
          </w:p>
        </w:tc>
        <w:tc>
          <w:tcPr>
            <w:tcW w:w="24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6.3</w:t>
            </w:r>
          </w:p>
        </w:tc>
        <w:tc>
          <w:tcPr>
            <w:tcW w:w="8260" w:type="dxa"/>
            <w:vAlign w:val="bottom"/>
          </w:tcPr>
          <w:p>
            <w:pPr>
              <w:ind w:left="160"/>
              <w:spacing w:after="0"/>
              <w:rPr>
                <w:sz w:val="20"/>
                <w:szCs w:val="20"/>
                <w:color w:val="auto"/>
              </w:rPr>
            </w:pPr>
            <w:r>
              <w:rPr>
                <w:rFonts w:ascii="Arial" w:cs="Arial" w:eastAsia="Arial" w:hAnsi="Arial"/>
                <w:sz w:val="14"/>
                <w:szCs w:val="14"/>
                <w:color w:val="auto"/>
              </w:rPr>
              <w:t>Communications with Regulatory Authorities.</w:t>
            </w:r>
          </w:p>
        </w:tc>
        <w:tc>
          <w:tcPr>
            <w:tcW w:w="24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6.4</w:t>
            </w:r>
          </w:p>
        </w:tc>
        <w:tc>
          <w:tcPr>
            <w:tcW w:w="8260" w:type="dxa"/>
            <w:vAlign w:val="bottom"/>
          </w:tcPr>
          <w:p>
            <w:pPr>
              <w:ind w:left="160"/>
              <w:spacing w:after="0"/>
              <w:rPr>
                <w:sz w:val="20"/>
                <w:szCs w:val="20"/>
                <w:color w:val="auto"/>
              </w:rPr>
            </w:pPr>
            <w:r>
              <w:rPr>
                <w:rFonts w:ascii="Arial" w:cs="Arial" w:eastAsia="Arial" w:hAnsi="Arial"/>
                <w:sz w:val="14"/>
                <w:szCs w:val="14"/>
                <w:color w:val="auto"/>
              </w:rPr>
              <w:t>Product Withdrawals and Recalls.</w:t>
            </w:r>
          </w:p>
        </w:tc>
        <w:tc>
          <w:tcPr>
            <w:tcW w:w="24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6.5</w:t>
            </w:r>
          </w:p>
        </w:tc>
        <w:tc>
          <w:tcPr>
            <w:tcW w:w="8260" w:type="dxa"/>
            <w:vAlign w:val="bottom"/>
          </w:tcPr>
          <w:p>
            <w:pPr>
              <w:ind w:left="160"/>
              <w:spacing w:after="0"/>
              <w:rPr>
                <w:sz w:val="20"/>
                <w:szCs w:val="20"/>
                <w:color w:val="auto"/>
              </w:rPr>
            </w:pPr>
            <w:r>
              <w:rPr>
                <w:rFonts w:ascii="Arial" w:cs="Arial" w:eastAsia="Arial" w:hAnsi="Arial"/>
                <w:sz w:val="14"/>
                <w:szCs w:val="14"/>
                <w:color w:val="auto"/>
              </w:rPr>
              <w:t>Pharmacovigilance; Safety Data Reporting.</w:t>
            </w:r>
          </w:p>
        </w:tc>
        <w:tc>
          <w:tcPr>
            <w:tcW w:w="24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6.6</w:t>
            </w:r>
          </w:p>
        </w:tc>
        <w:tc>
          <w:tcPr>
            <w:tcW w:w="8260" w:type="dxa"/>
            <w:vAlign w:val="bottom"/>
          </w:tcPr>
          <w:p>
            <w:pPr>
              <w:ind w:left="160"/>
              <w:spacing w:after="0"/>
              <w:rPr>
                <w:sz w:val="20"/>
                <w:szCs w:val="20"/>
                <w:color w:val="auto"/>
              </w:rPr>
            </w:pPr>
            <w:r>
              <w:rPr>
                <w:rFonts w:ascii="Arial" w:cs="Arial" w:eastAsia="Arial" w:hAnsi="Arial"/>
                <w:sz w:val="14"/>
                <w:szCs w:val="14"/>
                <w:color w:val="auto"/>
              </w:rPr>
              <w:t>Safety Data Reporting.</w:t>
            </w:r>
          </w:p>
        </w:tc>
        <w:tc>
          <w:tcPr>
            <w:tcW w:w="24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5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ARTICLE 7 MANUFACTURING</w:t>
            </w: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7.1</w:t>
            </w:r>
          </w:p>
        </w:tc>
        <w:tc>
          <w:tcPr>
            <w:tcW w:w="8260" w:type="dxa"/>
            <w:vAlign w:val="bottom"/>
          </w:tcPr>
          <w:p>
            <w:pPr>
              <w:ind w:left="160"/>
              <w:spacing w:after="0"/>
              <w:rPr>
                <w:sz w:val="20"/>
                <w:szCs w:val="20"/>
                <w:color w:val="auto"/>
              </w:rPr>
            </w:pPr>
            <w:r>
              <w:rPr>
                <w:rFonts w:ascii="Arial" w:cs="Arial" w:eastAsia="Arial" w:hAnsi="Arial"/>
                <w:sz w:val="14"/>
                <w:szCs w:val="14"/>
                <w:color w:val="auto"/>
              </w:rPr>
              <w:t>Transfer of MacroGenics Manufacturing Know-How.</w:t>
            </w:r>
          </w:p>
        </w:tc>
        <w:tc>
          <w:tcPr>
            <w:tcW w:w="24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7.2</w:t>
            </w:r>
          </w:p>
        </w:tc>
        <w:tc>
          <w:tcPr>
            <w:tcW w:w="8260" w:type="dxa"/>
            <w:vAlign w:val="bottom"/>
          </w:tcPr>
          <w:p>
            <w:pPr>
              <w:ind w:left="160"/>
              <w:spacing w:after="0"/>
              <w:rPr>
                <w:sz w:val="20"/>
                <w:szCs w:val="20"/>
                <w:color w:val="auto"/>
              </w:rPr>
            </w:pPr>
            <w:r>
              <w:rPr>
                <w:rFonts w:ascii="Arial" w:cs="Arial" w:eastAsia="Arial" w:hAnsi="Arial"/>
                <w:sz w:val="14"/>
                <w:szCs w:val="14"/>
                <w:color w:val="auto"/>
              </w:rPr>
              <w:t>Supply Agreements.</w:t>
            </w:r>
          </w:p>
        </w:tc>
        <w:tc>
          <w:tcPr>
            <w:tcW w:w="242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ii -</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0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706" w:name="page707"/>
    <w:bookmarkEnd w:id="706"/>
    <w:tbl>
      <w:tblPr>
        <w:tblLayout w:type="fixed"/>
        <w:tblInd w:w="0" w:type="dxa"/>
        <w:tblCellMar>
          <w:top w:w="0" w:type="dxa"/>
          <w:left w:w="0" w:type="dxa"/>
          <w:bottom w:w="0" w:type="dxa"/>
          <w:right w:w="0" w:type="dxa"/>
        </w:tblCellMar>
      </w:tblPr>
      <w:tr>
        <w:trPr>
          <w:trHeight w:val="175"/>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ARTICLE 8 COMMERCIALIZATION</w:t>
            </w:r>
          </w:p>
        </w:tc>
        <w:tc>
          <w:tcPr>
            <w:tcW w:w="360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8.1</w:t>
            </w:r>
          </w:p>
        </w:tc>
        <w:tc>
          <w:tcPr>
            <w:tcW w:w="7080" w:type="dxa"/>
            <w:vAlign w:val="bottom"/>
          </w:tcPr>
          <w:p>
            <w:pPr>
              <w:ind w:left="160"/>
              <w:spacing w:after="0"/>
              <w:rPr>
                <w:sz w:val="20"/>
                <w:szCs w:val="20"/>
                <w:color w:val="auto"/>
              </w:rPr>
            </w:pPr>
            <w:r>
              <w:rPr>
                <w:rFonts w:ascii="Arial" w:cs="Arial" w:eastAsia="Arial" w:hAnsi="Arial"/>
                <w:sz w:val="14"/>
                <w:szCs w:val="14"/>
                <w:color w:val="auto"/>
              </w:rPr>
              <w:t>Overview.</w:t>
            </w:r>
          </w:p>
        </w:tc>
        <w:tc>
          <w:tcPr>
            <w:tcW w:w="36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8.2</w:t>
            </w:r>
          </w:p>
        </w:tc>
        <w:tc>
          <w:tcPr>
            <w:tcW w:w="7080" w:type="dxa"/>
            <w:vAlign w:val="bottom"/>
          </w:tcPr>
          <w:p>
            <w:pPr>
              <w:ind w:left="160"/>
              <w:spacing w:after="0"/>
              <w:rPr>
                <w:sz w:val="20"/>
                <w:szCs w:val="20"/>
                <w:color w:val="auto"/>
              </w:rPr>
            </w:pPr>
            <w:r>
              <w:rPr>
                <w:rFonts w:ascii="Arial" w:cs="Arial" w:eastAsia="Arial" w:hAnsi="Arial"/>
                <w:sz w:val="14"/>
                <w:szCs w:val="14"/>
                <w:color w:val="auto"/>
              </w:rPr>
              <w:t>Sales and Distribution.</w:t>
            </w:r>
          </w:p>
        </w:tc>
        <w:tc>
          <w:tcPr>
            <w:tcW w:w="36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8.3</w:t>
            </w:r>
          </w:p>
        </w:tc>
        <w:tc>
          <w:tcPr>
            <w:tcW w:w="7080" w:type="dxa"/>
            <w:vAlign w:val="bottom"/>
          </w:tcPr>
          <w:p>
            <w:pPr>
              <w:ind w:left="160"/>
              <w:spacing w:after="0"/>
              <w:rPr>
                <w:sz w:val="20"/>
                <w:szCs w:val="20"/>
                <w:color w:val="auto"/>
              </w:rPr>
            </w:pPr>
            <w:r>
              <w:rPr>
                <w:rFonts w:ascii="Arial" w:cs="Arial" w:eastAsia="Arial" w:hAnsi="Arial"/>
                <w:sz w:val="14"/>
                <w:szCs w:val="14"/>
                <w:color w:val="auto"/>
              </w:rPr>
              <w:t>Ex-Territory Sales.</w:t>
            </w:r>
          </w:p>
        </w:tc>
        <w:tc>
          <w:tcPr>
            <w:tcW w:w="36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8.4</w:t>
            </w:r>
          </w:p>
        </w:tc>
        <w:tc>
          <w:tcPr>
            <w:tcW w:w="7080" w:type="dxa"/>
            <w:vAlign w:val="bottom"/>
          </w:tcPr>
          <w:p>
            <w:pPr>
              <w:ind w:left="160"/>
              <w:spacing w:after="0"/>
              <w:rPr>
                <w:sz w:val="20"/>
                <w:szCs w:val="20"/>
                <w:color w:val="auto"/>
              </w:rPr>
            </w:pPr>
            <w:r>
              <w:rPr>
                <w:rFonts w:ascii="Arial" w:cs="Arial" w:eastAsia="Arial" w:hAnsi="Arial"/>
                <w:sz w:val="14"/>
                <w:szCs w:val="14"/>
                <w:color w:val="auto"/>
              </w:rPr>
              <w:t>Commercialization Plan for Licensed Territory.</w:t>
            </w:r>
          </w:p>
        </w:tc>
        <w:tc>
          <w:tcPr>
            <w:tcW w:w="36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8.5</w:t>
            </w:r>
          </w:p>
        </w:tc>
        <w:tc>
          <w:tcPr>
            <w:tcW w:w="7080" w:type="dxa"/>
            <w:vAlign w:val="bottom"/>
          </w:tcPr>
          <w:p>
            <w:pPr>
              <w:ind w:left="160"/>
              <w:spacing w:after="0"/>
              <w:rPr>
                <w:sz w:val="20"/>
                <w:szCs w:val="20"/>
                <w:color w:val="auto"/>
              </w:rPr>
            </w:pPr>
            <w:r>
              <w:rPr>
                <w:rFonts w:ascii="Arial" w:cs="Arial" w:eastAsia="Arial" w:hAnsi="Arial"/>
                <w:sz w:val="14"/>
                <w:szCs w:val="14"/>
                <w:color w:val="auto"/>
              </w:rPr>
              <w:t>Trademarks.</w:t>
            </w:r>
          </w:p>
        </w:tc>
        <w:tc>
          <w:tcPr>
            <w:tcW w:w="36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8.6</w:t>
            </w:r>
          </w:p>
        </w:tc>
        <w:tc>
          <w:tcPr>
            <w:tcW w:w="7080" w:type="dxa"/>
            <w:vAlign w:val="bottom"/>
          </w:tcPr>
          <w:p>
            <w:pPr>
              <w:ind w:left="160"/>
              <w:spacing w:after="0"/>
              <w:rPr>
                <w:sz w:val="20"/>
                <w:szCs w:val="20"/>
                <w:color w:val="auto"/>
              </w:rPr>
            </w:pPr>
            <w:r>
              <w:rPr>
                <w:rFonts w:ascii="Arial" w:cs="Arial" w:eastAsia="Arial" w:hAnsi="Arial"/>
                <w:sz w:val="14"/>
                <w:szCs w:val="14"/>
                <w:color w:val="auto"/>
              </w:rPr>
              <w:t>Commercial Diligence.</w:t>
            </w:r>
          </w:p>
        </w:tc>
        <w:tc>
          <w:tcPr>
            <w:tcW w:w="36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8.7</w:t>
            </w:r>
          </w:p>
        </w:tc>
        <w:tc>
          <w:tcPr>
            <w:tcW w:w="7080" w:type="dxa"/>
            <w:vAlign w:val="bottom"/>
          </w:tcPr>
          <w:p>
            <w:pPr>
              <w:ind w:left="160"/>
              <w:spacing w:after="0"/>
              <w:rPr>
                <w:sz w:val="20"/>
                <w:szCs w:val="20"/>
                <w:color w:val="auto"/>
              </w:rPr>
            </w:pPr>
            <w:r>
              <w:rPr>
                <w:rFonts w:ascii="Arial" w:cs="Arial" w:eastAsia="Arial" w:hAnsi="Arial"/>
                <w:sz w:val="14"/>
                <w:szCs w:val="14"/>
                <w:color w:val="auto"/>
              </w:rPr>
              <w:t>Standards of Conduct.</w:t>
            </w:r>
          </w:p>
        </w:tc>
        <w:tc>
          <w:tcPr>
            <w:tcW w:w="36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ARTICLE 9 PAYMENTS</w:t>
            </w:r>
          </w:p>
        </w:tc>
        <w:tc>
          <w:tcPr>
            <w:tcW w:w="360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9.1</w:t>
            </w:r>
          </w:p>
        </w:tc>
        <w:tc>
          <w:tcPr>
            <w:tcW w:w="7080" w:type="dxa"/>
            <w:vAlign w:val="bottom"/>
          </w:tcPr>
          <w:p>
            <w:pPr>
              <w:ind w:left="160"/>
              <w:spacing w:after="0"/>
              <w:rPr>
                <w:sz w:val="20"/>
                <w:szCs w:val="20"/>
                <w:color w:val="auto"/>
              </w:rPr>
            </w:pPr>
            <w:r>
              <w:rPr>
                <w:rFonts w:ascii="Arial" w:cs="Arial" w:eastAsia="Arial" w:hAnsi="Arial"/>
                <w:sz w:val="14"/>
                <w:szCs w:val="14"/>
                <w:color w:val="auto"/>
              </w:rPr>
              <w:t>Option Grant Fee.</w:t>
            </w:r>
          </w:p>
        </w:tc>
        <w:tc>
          <w:tcPr>
            <w:tcW w:w="36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9.2</w:t>
            </w:r>
          </w:p>
        </w:tc>
        <w:tc>
          <w:tcPr>
            <w:tcW w:w="7080" w:type="dxa"/>
            <w:vAlign w:val="bottom"/>
          </w:tcPr>
          <w:p>
            <w:pPr>
              <w:ind w:left="160"/>
              <w:spacing w:after="0"/>
              <w:rPr>
                <w:sz w:val="20"/>
                <w:szCs w:val="20"/>
                <w:color w:val="auto"/>
              </w:rPr>
            </w:pPr>
            <w:r>
              <w:rPr>
                <w:rFonts w:ascii="Arial" w:cs="Arial" w:eastAsia="Arial" w:hAnsi="Arial"/>
                <w:sz w:val="14"/>
                <w:szCs w:val="14"/>
                <w:color w:val="auto"/>
              </w:rPr>
              <w:t>License Grant Fees.</w:t>
            </w:r>
          </w:p>
        </w:tc>
        <w:tc>
          <w:tcPr>
            <w:tcW w:w="36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9.3</w:t>
            </w:r>
          </w:p>
        </w:tc>
        <w:tc>
          <w:tcPr>
            <w:tcW w:w="7080" w:type="dxa"/>
            <w:vAlign w:val="bottom"/>
          </w:tcPr>
          <w:p>
            <w:pPr>
              <w:ind w:left="160"/>
              <w:spacing w:after="0"/>
              <w:rPr>
                <w:sz w:val="20"/>
                <w:szCs w:val="20"/>
                <w:color w:val="auto"/>
              </w:rPr>
            </w:pPr>
            <w:r>
              <w:rPr>
                <w:rFonts w:ascii="Arial" w:cs="Arial" w:eastAsia="Arial" w:hAnsi="Arial"/>
                <w:sz w:val="14"/>
                <w:szCs w:val="14"/>
                <w:color w:val="auto"/>
              </w:rPr>
              <w:t>Development and Regulatory Milestones.</w:t>
            </w:r>
          </w:p>
        </w:tc>
        <w:tc>
          <w:tcPr>
            <w:tcW w:w="36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9.4</w:t>
            </w:r>
          </w:p>
        </w:tc>
        <w:tc>
          <w:tcPr>
            <w:tcW w:w="7080" w:type="dxa"/>
            <w:vAlign w:val="bottom"/>
          </w:tcPr>
          <w:p>
            <w:pPr>
              <w:ind w:left="160"/>
              <w:spacing w:after="0"/>
              <w:rPr>
                <w:sz w:val="20"/>
                <w:szCs w:val="20"/>
                <w:color w:val="auto"/>
              </w:rPr>
            </w:pPr>
            <w:r>
              <w:rPr>
                <w:rFonts w:ascii="Arial" w:cs="Arial" w:eastAsia="Arial" w:hAnsi="Arial"/>
                <w:sz w:val="14"/>
                <w:szCs w:val="14"/>
                <w:color w:val="auto"/>
              </w:rPr>
              <w:t>Sales Milestones.</w:t>
            </w:r>
          </w:p>
        </w:tc>
        <w:tc>
          <w:tcPr>
            <w:tcW w:w="36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9.5</w:t>
            </w:r>
          </w:p>
        </w:tc>
        <w:tc>
          <w:tcPr>
            <w:tcW w:w="7080" w:type="dxa"/>
            <w:vAlign w:val="bottom"/>
          </w:tcPr>
          <w:p>
            <w:pPr>
              <w:ind w:left="160"/>
              <w:spacing w:after="0"/>
              <w:rPr>
                <w:sz w:val="20"/>
                <w:szCs w:val="20"/>
                <w:color w:val="auto"/>
              </w:rPr>
            </w:pPr>
            <w:r>
              <w:rPr>
                <w:rFonts w:ascii="Arial" w:cs="Arial" w:eastAsia="Arial" w:hAnsi="Arial"/>
                <w:sz w:val="14"/>
                <w:szCs w:val="14"/>
                <w:color w:val="auto"/>
              </w:rPr>
              <w:t>Royalties.</w:t>
            </w:r>
          </w:p>
        </w:tc>
        <w:tc>
          <w:tcPr>
            <w:tcW w:w="36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9.6</w:t>
            </w:r>
          </w:p>
        </w:tc>
        <w:tc>
          <w:tcPr>
            <w:tcW w:w="7080" w:type="dxa"/>
            <w:vAlign w:val="bottom"/>
          </w:tcPr>
          <w:p>
            <w:pPr>
              <w:ind w:left="160"/>
              <w:spacing w:after="0"/>
              <w:rPr>
                <w:sz w:val="20"/>
                <w:szCs w:val="20"/>
                <w:color w:val="auto"/>
              </w:rPr>
            </w:pPr>
            <w:r>
              <w:rPr>
                <w:rFonts w:ascii="Arial" w:cs="Arial" w:eastAsia="Arial" w:hAnsi="Arial"/>
                <w:sz w:val="14"/>
                <w:szCs w:val="14"/>
                <w:color w:val="auto"/>
              </w:rPr>
              <w:t>Reports; Payments.</w:t>
            </w:r>
          </w:p>
        </w:tc>
        <w:tc>
          <w:tcPr>
            <w:tcW w:w="36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9.7</w:t>
            </w:r>
          </w:p>
        </w:tc>
        <w:tc>
          <w:tcPr>
            <w:tcW w:w="7080" w:type="dxa"/>
            <w:vAlign w:val="bottom"/>
          </w:tcPr>
          <w:p>
            <w:pPr>
              <w:ind w:left="160"/>
              <w:spacing w:after="0"/>
              <w:rPr>
                <w:sz w:val="20"/>
                <w:szCs w:val="20"/>
                <w:color w:val="auto"/>
              </w:rPr>
            </w:pPr>
            <w:r>
              <w:rPr>
                <w:rFonts w:ascii="Arial" w:cs="Arial" w:eastAsia="Arial" w:hAnsi="Arial"/>
                <w:sz w:val="14"/>
                <w:szCs w:val="14"/>
                <w:color w:val="auto"/>
              </w:rPr>
              <w:t>Methods of Payments.</w:t>
            </w:r>
          </w:p>
        </w:tc>
        <w:tc>
          <w:tcPr>
            <w:tcW w:w="36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9.8</w:t>
            </w:r>
          </w:p>
        </w:tc>
        <w:tc>
          <w:tcPr>
            <w:tcW w:w="7080" w:type="dxa"/>
            <w:vAlign w:val="bottom"/>
          </w:tcPr>
          <w:p>
            <w:pPr>
              <w:ind w:left="160"/>
              <w:spacing w:after="0"/>
              <w:rPr>
                <w:sz w:val="20"/>
                <w:szCs w:val="20"/>
                <w:color w:val="auto"/>
              </w:rPr>
            </w:pPr>
            <w:r>
              <w:rPr>
                <w:rFonts w:ascii="Arial" w:cs="Arial" w:eastAsia="Arial" w:hAnsi="Arial"/>
                <w:sz w:val="14"/>
                <w:szCs w:val="14"/>
                <w:color w:val="auto"/>
              </w:rPr>
              <w:t>Late Payments.</w:t>
            </w:r>
          </w:p>
        </w:tc>
        <w:tc>
          <w:tcPr>
            <w:tcW w:w="36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9.9</w:t>
            </w:r>
          </w:p>
        </w:tc>
        <w:tc>
          <w:tcPr>
            <w:tcW w:w="7080" w:type="dxa"/>
            <w:vAlign w:val="bottom"/>
          </w:tcPr>
          <w:p>
            <w:pPr>
              <w:ind w:left="160"/>
              <w:spacing w:after="0"/>
              <w:rPr>
                <w:sz w:val="20"/>
                <w:szCs w:val="20"/>
                <w:color w:val="auto"/>
              </w:rPr>
            </w:pPr>
            <w:r>
              <w:rPr>
                <w:rFonts w:ascii="Arial" w:cs="Arial" w:eastAsia="Arial" w:hAnsi="Arial"/>
                <w:sz w:val="14"/>
                <w:szCs w:val="14"/>
                <w:color w:val="auto"/>
              </w:rPr>
              <w:t>Taxes.</w:t>
            </w:r>
          </w:p>
        </w:tc>
        <w:tc>
          <w:tcPr>
            <w:tcW w:w="36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9.10</w:t>
            </w:r>
          </w:p>
        </w:tc>
        <w:tc>
          <w:tcPr>
            <w:tcW w:w="7080" w:type="dxa"/>
            <w:vAlign w:val="bottom"/>
          </w:tcPr>
          <w:p>
            <w:pPr>
              <w:ind w:left="160"/>
              <w:spacing w:after="0"/>
              <w:rPr>
                <w:sz w:val="20"/>
                <w:szCs w:val="20"/>
                <w:color w:val="auto"/>
              </w:rPr>
            </w:pPr>
            <w:r>
              <w:rPr>
                <w:rFonts w:ascii="Arial" w:cs="Arial" w:eastAsia="Arial" w:hAnsi="Arial"/>
                <w:sz w:val="14"/>
                <w:szCs w:val="14"/>
                <w:color w:val="auto"/>
              </w:rPr>
              <w:t>Books and Records; Audit Rights.</w:t>
            </w:r>
          </w:p>
        </w:tc>
        <w:tc>
          <w:tcPr>
            <w:tcW w:w="36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5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ARTICLE 10 OWNERSHIP OF INTELLECTUAL PROPERTY RIGHTS</w:t>
            </w:r>
          </w:p>
        </w:tc>
        <w:tc>
          <w:tcPr>
            <w:tcW w:w="360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10.1</w:t>
            </w:r>
          </w:p>
        </w:tc>
        <w:tc>
          <w:tcPr>
            <w:tcW w:w="7080" w:type="dxa"/>
            <w:vAlign w:val="bottom"/>
          </w:tcPr>
          <w:p>
            <w:pPr>
              <w:ind w:left="160"/>
              <w:spacing w:after="0"/>
              <w:rPr>
                <w:sz w:val="20"/>
                <w:szCs w:val="20"/>
                <w:color w:val="auto"/>
              </w:rPr>
            </w:pPr>
            <w:r>
              <w:rPr>
                <w:rFonts w:ascii="Arial" w:cs="Arial" w:eastAsia="Arial" w:hAnsi="Arial"/>
                <w:sz w:val="14"/>
                <w:szCs w:val="14"/>
                <w:color w:val="auto"/>
              </w:rPr>
              <w:t>Inventorship.</w:t>
            </w:r>
          </w:p>
        </w:tc>
        <w:tc>
          <w:tcPr>
            <w:tcW w:w="36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10.2</w:t>
            </w:r>
          </w:p>
        </w:tc>
        <w:tc>
          <w:tcPr>
            <w:tcW w:w="7080" w:type="dxa"/>
            <w:vAlign w:val="bottom"/>
          </w:tcPr>
          <w:p>
            <w:pPr>
              <w:ind w:left="160"/>
              <w:spacing w:after="0"/>
              <w:rPr>
                <w:sz w:val="20"/>
                <w:szCs w:val="20"/>
                <w:color w:val="auto"/>
              </w:rPr>
            </w:pPr>
            <w:r>
              <w:rPr>
                <w:rFonts w:ascii="Arial" w:cs="Arial" w:eastAsia="Arial" w:hAnsi="Arial"/>
                <w:sz w:val="14"/>
                <w:szCs w:val="14"/>
                <w:color w:val="auto"/>
              </w:rPr>
              <w:t>Ownership.</w:t>
            </w:r>
          </w:p>
        </w:tc>
        <w:tc>
          <w:tcPr>
            <w:tcW w:w="36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10.3</w:t>
            </w:r>
          </w:p>
        </w:tc>
        <w:tc>
          <w:tcPr>
            <w:tcW w:w="7080" w:type="dxa"/>
            <w:vAlign w:val="bottom"/>
          </w:tcPr>
          <w:p>
            <w:pPr>
              <w:ind w:left="160"/>
              <w:spacing w:after="0"/>
              <w:rPr>
                <w:sz w:val="20"/>
                <w:szCs w:val="20"/>
                <w:color w:val="auto"/>
              </w:rPr>
            </w:pPr>
            <w:r>
              <w:rPr>
                <w:rFonts w:ascii="Arial" w:cs="Arial" w:eastAsia="Arial" w:hAnsi="Arial"/>
                <w:sz w:val="14"/>
                <w:szCs w:val="14"/>
                <w:color w:val="auto"/>
              </w:rPr>
              <w:t>Prosecution and Maintenance of Patents.</w:t>
            </w:r>
          </w:p>
        </w:tc>
        <w:tc>
          <w:tcPr>
            <w:tcW w:w="36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51"/>
        </w:trPr>
        <w:tc>
          <w:tcPr>
            <w:tcW w:w="720" w:type="dxa"/>
            <w:vAlign w:val="bottom"/>
          </w:tcPr>
          <w:p>
            <w:pPr>
              <w:ind w:left="340"/>
              <w:spacing w:after="0"/>
              <w:rPr>
                <w:sz w:val="20"/>
                <w:szCs w:val="20"/>
                <w:color w:val="auto"/>
              </w:rPr>
            </w:pPr>
            <w:r>
              <w:rPr>
                <w:rFonts w:ascii="Arial" w:cs="Arial" w:eastAsia="Arial" w:hAnsi="Arial"/>
                <w:sz w:val="14"/>
                <w:szCs w:val="14"/>
                <w:color w:val="auto"/>
              </w:rPr>
              <w:t>10.4</w:t>
            </w:r>
          </w:p>
        </w:tc>
        <w:tc>
          <w:tcPr>
            <w:tcW w:w="7080" w:type="dxa"/>
            <w:vAlign w:val="bottom"/>
          </w:tcPr>
          <w:p>
            <w:pPr>
              <w:ind w:left="160"/>
              <w:spacing w:after="0"/>
              <w:rPr>
                <w:sz w:val="20"/>
                <w:szCs w:val="20"/>
                <w:color w:val="auto"/>
              </w:rPr>
            </w:pPr>
            <w:r>
              <w:rPr>
                <w:rFonts w:ascii="Arial" w:cs="Arial" w:eastAsia="Arial" w:hAnsi="Arial"/>
                <w:sz w:val="14"/>
                <w:szCs w:val="14"/>
                <w:color w:val="auto"/>
              </w:rPr>
              <w:t>Third Party Infringement.</w:t>
            </w:r>
          </w:p>
        </w:tc>
        <w:tc>
          <w:tcPr>
            <w:tcW w:w="3600" w:type="dxa"/>
            <w:vAlign w:val="bottom"/>
          </w:tcPr>
          <w:p>
            <w:pPr>
              <w:jc w:val="right"/>
              <w:spacing w:after="0"/>
              <w:rPr>
                <w:sz w:val="20"/>
                <w:szCs w:val="20"/>
                <w:color w:val="auto"/>
              </w:rPr>
            </w:pPr>
            <w:r>
              <w:rPr>
                <w:rFonts w:ascii="Arial" w:cs="Arial" w:eastAsia="Arial" w:hAnsi="Arial"/>
                <w:sz w:val="14"/>
                <w:szCs w:val="14"/>
                <w:color w:val="auto"/>
              </w:rPr>
              <w:t>49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iii -</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0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707" w:name="page708"/>
    <w:bookmarkEnd w:id="707"/>
    <w:tbl>
      <w:tblPr>
        <w:tblLayout w:type="fixed"/>
        <w:tblInd w:w="0" w:type="dxa"/>
        <w:tblCellMar>
          <w:top w:w="0" w:type="dxa"/>
          <w:left w:w="0" w:type="dxa"/>
          <w:bottom w:w="0" w:type="dxa"/>
          <w:right w:w="0" w:type="dxa"/>
        </w:tblCellMar>
      </w:tblPr>
      <w:tr>
        <w:trPr>
          <w:trHeight w:val="173"/>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10.5</w:t>
            </w:r>
          </w:p>
        </w:tc>
        <w:tc>
          <w:tcPr>
            <w:tcW w:w="7140" w:type="dxa"/>
            <w:vAlign w:val="bottom"/>
          </w:tcPr>
          <w:p>
            <w:pPr>
              <w:ind w:left="180"/>
              <w:spacing w:after="0"/>
              <w:rPr>
                <w:sz w:val="20"/>
                <w:szCs w:val="20"/>
                <w:color w:val="auto"/>
              </w:rPr>
            </w:pPr>
            <w:r>
              <w:rPr>
                <w:rFonts w:ascii="Arial" w:cs="Arial" w:eastAsia="Arial" w:hAnsi="Arial"/>
                <w:sz w:val="14"/>
                <w:szCs w:val="14"/>
                <w:color w:val="auto"/>
              </w:rPr>
              <w:t>Patent Invalidity Claim.</w:t>
            </w:r>
          </w:p>
        </w:tc>
        <w:tc>
          <w:tcPr>
            <w:tcW w:w="35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10.6</w:t>
            </w:r>
          </w:p>
        </w:tc>
        <w:tc>
          <w:tcPr>
            <w:tcW w:w="7140" w:type="dxa"/>
            <w:vAlign w:val="bottom"/>
          </w:tcPr>
          <w:p>
            <w:pPr>
              <w:ind w:left="180"/>
              <w:spacing w:after="0"/>
              <w:rPr>
                <w:sz w:val="20"/>
                <w:szCs w:val="20"/>
                <w:color w:val="auto"/>
              </w:rPr>
            </w:pPr>
            <w:r>
              <w:rPr>
                <w:rFonts w:ascii="Arial" w:cs="Arial" w:eastAsia="Arial" w:hAnsi="Arial"/>
                <w:sz w:val="14"/>
                <w:szCs w:val="14"/>
                <w:color w:val="auto"/>
              </w:rPr>
              <w:t>Patent Term Extensions.</w:t>
            </w:r>
          </w:p>
        </w:tc>
        <w:tc>
          <w:tcPr>
            <w:tcW w:w="35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10.7</w:t>
            </w:r>
          </w:p>
        </w:tc>
        <w:tc>
          <w:tcPr>
            <w:tcW w:w="7140" w:type="dxa"/>
            <w:vAlign w:val="bottom"/>
          </w:tcPr>
          <w:p>
            <w:pPr>
              <w:ind w:left="180"/>
              <w:spacing w:after="0"/>
              <w:rPr>
                <w:sz w:val="20"/>
                <w:szCs w:val="20"/>
                <w:color w:val="auto"/>
              </w:rPr>
            </w:pPr>
            <w:r>
              <w:rPr>
                <w:rFonts w:ascii="Arial" w:cs="Arial" w:eastAsia="Arial" w:hAnsi="Arial"/>
                <w:sz w:val="14"/>
                <w:szCs w:val="14"/>
                <w:color w:val="auto"/>
              </w:rPr>
              <w:t>Patent Marking.</w:t>
            </w:r>
          </w:p>
        </w:tc>
        <w:tc>
          <w:tcPr>
            <w:tcW w:w="35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5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ARTICLE 11 CONFIDENTIALITY</w:t>
            </w: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11.1</w:t>
            </w:r>
          </w:p>
        </w:tc>
        <w:tc>
          <w:tcPr>
            <w:tcW w:w="7140" w:type="dxa"/>
            <w:vAlign w:val="bottom"/>
          </w:tcPr>
          <w:p>
            <w:pPr>
              <w:ind w:left="180"/>
              <w:spacing w:after="0"/>
              <w:rPr>
                <w:sz w:val="20"/>
                <w:szCs w:val="20"/>
                <w:color w:val="auto"/>
              </w:rPr>
            </w:pPr>
            <w:r>
              <w:rPr>
                <w:rFonts w:ascii="Arial" w:cs="Arial" w:eastAsia="Arial" w:hAnsi="Arial"/>
                <w:sz w:val="14"/>
                <w:szCs w:val="14"/>
                <w:color w:val="auto"/>
              </w:rPr>
              <w:t>Confidentiality; Exceptions.</w:t>
            </w:r>
          </w:p>
        </w:tc>
        <w:tc>
          <w:tcPr>
            <w:tcW w:w="35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11.2</w:t>
            </w:r>
          </w:p>
        </w:tc>
        <w:tc>
          <w:tcPr>
            <w:tcW w:w="7140" w:type="dxa"/>
            <w:vAlign w:val="bottom"/>
          </w:tcPr>
          <w:p>
            <w:pPr>
              <w:ind w:left="180"/>
              <w:spacing w:after="0"/>
              <w:rPr>
                <w:sz w:val="20"/>
                <w:szCs w:val="20"/>
                <w:color w:val="auto"/>
              </w:rPr>
            </w:pPr>
            <w:r>
              <w:rPr>
                <w:rFonts w:ascii="Arial" w:cs="Arial" w:eastAsia="Arial" w:hAnsi="Arial"/>
                <w:sz w:val="14"/>
                <w:szCs w:val="14"/>
                <w:color w:val="auto"/>
              </w:rPr>
              <w:t>Authorized Disclosure.</w:t>
            </w:r>
          </w:p>
        </w:tc>
        <w:tc>
          <w:tcPr>
            <w:tcW w:w="35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11.3</w:t>
            </w:r>
          </w:p>
        </w:tc>
        <w:tc>
          <w:tcPr>
            <w:tcW w:w="7140" w:type="dxa"/>
            <w:vAlign w:val="bottom"/>
          </w:tcPr>
          <w:p>
            <w:pPr>
              <w:ind w:left="180"/>
              <w:spacing w:after="0"/>
              <w:rPr>
                <w:sz w:val="20"/>
                <w:szCs w:val="20"/>
                <w:color w:val="auto"/>
              </w:rPr>
            </w:pPr>
            <w:r>
              <w:rPr>
                <w:rFonts w:ascii="Arial" w:cs="Arial" w:eastAsia="Arial" w:hAnsi="Arial"/>
                <w:sz w:val="14"/>
                <w:szCs w:val="14"/>
                <w:color w:val="auto"/>
              </w:rPr>
              <w:t>Press Release; Disclosure of Agreement.</w:t>
            </w:r>
          </w:p>
        </w:tc>
        <w:tc>
          <w:tcPr>
            <w:tcW w:w="35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11.4</w:t>
            </w:r>
          </w:p>
        </w:tc>
        <w:tc>
          <w:tcPr>
            <w:tcW w:w="7140" w:type="dxa"/>
            <w:vAlign w:val="bottom"/>
          </w:tcPr>
          <w:p>
            <w:pPr>
              <w:ind w:left="180"/>
              <w:spacing w:after="0"/>
              <w:rPr>
                <w:sz w:val="20"/>
                <w:szCs w:val="20"/>
                <w:color w:val="auto"/>
              </w:rPr>
            </w:pPr>
            <w:r>
              <w:rPr>
                <w:rFonts w:ascii="Arial" w:cs="Arial" w:eastAsia="Arial" w:hAnsi="Arial"/>
                <w:sz w:val="14"/>
                <w:szCs w:val="14"/>
                <w:color w:val="auto"/>
              </w:rPr>
              <w:t>Existing Confidentiality Agreement.</w:t>
            </w:r>
          </w:p>
        </w:tc>
        <w:tc>
          <w:tcPr>
            <w:tcW w:w="35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11.5</w:t>
            </w:r>
          </w:p>
        </w:tc>
        <w:tc>
          <w:tcPr>
            <w:tcW w:w="7140" w:type="dxa"/>
            <w:vAlign w:val="bottom"/>
          </w:tcPr>
          <w:p>
            <w:pPr>
              <w:ind w:left="180"/>
              <w:spacing w:after="0"/>
              <w:rPr>
                <w:sz w:val="20"/>
                <w:szCs w:val="20"/>
                <w:color w:val="auto"/>
              </w:rPr>
            </w:pPr>
            <w:r>
              <w:rPr>
                <w:rFonts w:ascii="Arial" w:cs="Arial" w:eastAsia="Arial" w:hAnsi="Arial"/>
                <w:sz w:val="14"/>
                <w:szCs w:val="14"/>
                <w:color w:val="auto"/>
              </w:rPr>
              <w:t>Remedies.</w:t>
            </w:r>
          </w:p>
        </w:tc>
        <w:tc>
          <w:tcPr>
            <w:tcW w:w="35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11.6</w:t>
            </w:r>
          </w:p>
        </w:tc>
        <w:tc>
          <w:tcPr>
            <w:tcW w:w="7140" w:type="dxa"/>
            <w:vAlign w:val="bottom"/>
          </w:tcPr>
          <w:p>
            <w:pPr>
              <w:ind w:left="180"/>
              <w:spacing w:after="0"/>
              <w:rPr>
                <w:sz w:val="20"/>
                <w:szCs w:val="20"/>
                <w:color w:val="auto"/>
              </w:rPr>
            </w:pPr>
            <w:r>
              <w:rPr>
                <w:rFonts w:ascii="Arial" w:cs="Arial" w:eastAsia="Arial" w:hAnsi="Arial"/>
                <w:sz w:val="14"/>
                <w:szCs w:val="14"/>
                <w:color w:val="auto"/>
              </w:rPr>
              <w:t>Publications.</w:t>
            </w:r>
          </w:p>
        </w:tc>
        <w:tc>
          <w:tcPr>
            <w:tcW w:w="35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11.7</w:t>
            </w:r>
          </w:p>
        </w:tc>
        <w:tc>
          <w:tcPr>
            <w:tcW w:w="7140" w:type="dxa"/>
            <w:vAlign w:val="bottom"/>
          </w:tcPr>
          <w:p>
            <w:pPr>
              <w:ind w:left="180"/>
              <w:spacing w:after="0"/>
              <w:rPr>
                <w:sz w:val="20"/>
                <w:szCs w:val="20"/>
                <w:color w:val="auto"/>
              </w:rPr>
            </w:pPr>
            <w:r>
              <w:rPr>
                <w:rFonts w:ascii="Arial" w:cs="Arial" w:eastAsia="Arial" w:hAnsi="Arial"/>
                <w:sz w:val="14"/>
                <w:szCs w:val="14"/>
                <w:color w:val="auto"/>
              </w:rPr>
              <w:t>Return of Confidential Information.</w:t>
            </w:r>
          </w:p>
        </w:tc>
        <w:tc>
          <w:tcPr>
            <w:tcW w:w="35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5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ARTICLE 12 REPRESENTATIONS AND WARRANTIES</w:t>
            </w: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12.1</w:t>
            </w:r>
          </w:p>
        </w:tc>
        <w:tc>
          <w:tcPr>
            <w:tcW w:w="7140" w:type="dxa"/>
            <w:vAlign w:val="bottom"/>
          </w:tcPr>
          <w:p>
            <w:pPr>
              <w:ind w:left="180"/>
              <w:spacing w:after="0"/>
              <w:rPr>
                <w:sz w:val="20"/>
                <w:szCs w:val="20"/>
                <w:color w:val="auto"/>
              </w:rPr>
            </w:pPr>
            <w:r>
              <w:rPr>
                <w:rFonts w:ascii="Arial" w:cs="Arial" w:eastAsia="Arial" w:hAnsi="Arial"/>
                <w:sz w:val="14"/>
                <w:szCs w:val="14"/>
                <w:color w:val="auto"/>
              </w:rPr>
              <w:t>Representations and Warranties of Both Parties.</w:t>
            </w:r>
          </w:p>
        </w:tc>
        <w:tc>
          <w:tcPr>
            <w:tcW w:w="35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12.2</w:t>
            </w:r>
          </w:p>
        </w:tc>
        <w:tc>
          <w:tcPr>
            <w:tcW w:w="7140" w:type="dxa"/>
            <w:vAlign w:val="bottom"/>
          </w:tcPr>
          <w:p>
            <w:pPr>
              <w:ind w:left="180"/>
              <w:spacing w:after="0"/>
              <w:rPr>
                <w:sz w:val="20"/>
                <w:szCs w:val="20"/>
                <w:color w:val="auto"/>
              </w:rPr>
            </w:pPr>
            <w:r>
              <w:rPr>
                <w:rFonts w:ascii="Arial" w:cs="Arial" w:eastAsia="Arial" w:hAnsi="Arial"/>
                <w:sz w:val="14"/>
                <w:szCs w:val="14"/>
                <w:color w:val="auto"/>
              </w:rPr>
              <w:t>Representations and Warranties of MacroGenics and its Affiliates.</w:t>
            </w:r>
          </w:p>
        </w:tc>
        <w:tc>
          <w:tcPr>
            <w:tcW w:w="35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12.3</w:t>
            </w:r>
          </w:p>
        </w:tc>
        <w:tc>
          <w:tcPr>
            <w:tcW w:w="7140" w:type="dxa"/>
            <w:vAlign w:val="bottom"/>
          </w:tcPr>
          <w:p>
            <w:pPr>
              <w:ind w:left="180"/>
              <w:spacing w:after="0"/>
              <w:rPr>
                <w:sz w:val="20"/>
                <w:szCs w:val="20"/>
                <w:color w:val="auto"/>
              </w:rPr>
            </w:pPr>
            <w:r>
              <w:rPr>
                <w:rFonts w:ascii="Arial" w:cs="Arial" w:eastAsia="Arial" w:hAnsi="Arial"/>
                <w:sz w:val="14"/>
                <w:szCs w:val="14"/>
                <w:color w:val="auto"/>
              </w:rPr>
              <w:t>Representation and Warranty of LLS.</w:t>
            </w:r>
          </w:p>
        </w:tc>
        <w:tc>
          <w:tcPr>
            <w:tcW w:w="35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12.4</w:t>
            </w:r>
          </w:p>
        </w:tc>
        <w:tc>
          <w:tcPr>
            <w:tcW w:w="7140" w:type="dxa"/>
            <w:vAlign w:val="bottom"/>
          </w:tcPr>
          <w:p>
            <w:pPr>
              <w:ind w:left="180"/>
              <w:spacing w:after="0"/>
              <w:rPr>
                <w:sz w:val="20"/>
                <w:szCs w:val="20"/>
                <w:color w:val="auto"/>
              </w:rPr>
            </w:pPr>
            <w:r>
              <w:rPr>
                <w:rFonts w:ascii="Arial" w:cs="Arial" w:eastAsia="Arial" w:hAnsi="Arial"/>
                <w:sz w:val="14"/>
                <w:szCs w:val="14"/>
                <w:color w:val="auto"/>
              </w:rPr>
              <w:t>Mutual Covenants.</w:t>
            </w:r>
          </w:p>
        </w:tc>
        <w:tc>
          <w:tcPr>
            <w:tcW w:w="35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12.5</w:t>
            </w:r>
          </w:p>
        </w:tc>
        <w:tc>
          <w:tcPr>
            <w:tcW w:w="7140" w:type="dxa"/>
            <w:vAlign w:val="bottom"/>
          </w:tcPr>
          <w:p>
            <w:pPr>
              <w:ind w:left="180"/>
              <w:spacing w:after="0"/>
              <w:rPr>
                <w:sz w:val="20"/>
                <w:szCs w:val="20"/>
                <w:color w:val="auto"/>
              </w:rPr>
            </w:pPr>
            <w:r>
              <w:rPr>
                <w:rFonts w:ascii="Arial" w:cs="Arial" w:eastAsia="Arial" w:hAnsi="Arial"/>
                <w:sz w:val="14"/>
                <w:szCs w:val="14"/>
                <w:color w:val="auto"/>
              </w:rPr>
              <w:t>Disclaimer.</w:t>
            </w:r>
          </w:p>
        </w:tc>
        <w:tc>
          <w:tcPr>
            <w:tcW w:w="35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5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ARTICLE 13 INDEMNIFICATION</w:t>
            </w: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13.1</w:t>
            </w:r>
          </w:p>
        </w:tc>
        <w:tc>
          <w:tcPr>
            <w:tcW w:w="7140" w:type="dxa"/>
            <w:vAlign w:val="bottom"/>
          </w:tcPr>
          <w:p>
            <w:pPr>
              <w:ind w:left="180"/>
              <w:spacing w:after="0"/>
              <w:rPr>
                <w:sz w:val="20"/>
                <w:szCs w:val="20"/>
                <w:color w:val="auto"/>
              </w:rPr>
            </w:pPr>
            <w:r>
              <w:rPr>
                <w:rFonts w:ascii="Arial" w:cs="Arial" w:eastAsia="Arial" w:hAnsi="Arial"/>
                <w:sz w:val="14"/>
                <w:szCs w:val="14"/>
                <w:color w:val="auto"/>
              </w:rPr>
              <w:t>Indemnification by Servier.</w:t>
            </w:r>
          </w:p>
        </w:tc>
        <w:tc>
          <w:tcPr>
            <w:tcW w:w="35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13.2</w:t>
            </w:r>
          </w:p>
        </w:tc>
        <w:tc>
          <w:tcPr>
            <w:tcW w:w="7140" w:type="dxa"/>
            <w:vAlign w:val="bottom"/>
          </w:tcPr>
          <w:p>
            <w:pPr>
              <w:ind w:left="180"/>
              <w:spacing w:after="0"/>
              <w:rPr>
                <w:sz w:val="20"/>
                <w:szCs w:val="20"/>
                <w:color w:val="auto"/>
              </w:rPr>
            </w:pPr>
            <w:r>
              <w:rPr>
                <w:rFonts w:ascii="Arial" w:cs="Arial" w:eastAsia="Arial" w:hAnsi="Arial"/>
                <w:sz w:val="14"/>
                <w:szCs w:val="14"/>
                <w:color w:val="auto"/>
              </w:rPr>
              <w:t>Indemnification by MacroGenics.</w:t>
            </w:r>
          </w:p>
        </w:tc>
        <w:tc>
          <w:tcPr>
            <w:tcW w:w="35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13.3</w:t>
            </w:r>
          </w:p>
        </w:tc>
        <w:tc>
          <w:tcPr>
            <w:tcW w:w="7140" w:type="dxa"/>
            <w:vAlign w:val="bottom"/>
          </w:tcPr>
          <w:p>
            <w:pPr>
              <w:ind w:left="180"/>
              <w:spacing w:after="0"/>
              <w:rPr>
                <w:sz w:val="20"/>
                <w:szCs w:val="20"/>
                <w:color w:val="auto"/>
              </w:rPr>
            </w:pPr>
            <w:r>
              <w:rPr>
                <w:rFonts w:ascii="Arial" w:cs="Arial" w:eastAsia="Arial" w:hAnsi="Arial"/>
                <w:sz w:val="14"/>
                <w:szCs w:val="14"/>
                <w:color w:val="auto"/>
              </w:rPr>
              <w:t>Procedure.</w:t>
            </w:r>
          </w:p>
        </w:tc>
        <w:tc>
          <w:tcPr>
            <w:tcW w:w="35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13.4</w:t>
            </w:r>
          </w:p>
        </w:tc>
        <w:tc>
          <w:tcPr>
            <w:tcW w:w="7140" w:type="dxa"/>
            <w:vAlign w:val="bottom"/>
          </w:tcPr>
          <w:p>
            <w:pPr>
              <w:ind w:left="180"/>
              <w:spacing w:after="0"/>
              <w:rPr>
                <w:sz w:val="20"/>
                <w:szCs w:val="20"/>
                <w:color w:val="auto"/>
              </w:rPr>
            </w:pPr>
            <w:r>
              <w:rPr>
                <w:rFonts w:ascii="Arial" w:cs="Arial" w:eastAsia="Arial" w:hAnsi="Arial"/>
                <w:sz w:val="14"/>
                <w:szCs w:val="14"/>
                <w:color w:val="auto"/>
              </w:rPr>
              <w:t>Allocation.</w:t>
            </w:r>
          </w:p>
        </w:tc>
        <w:tc>
          <w:tcPr>
            <w:tcW w:w="35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51"/>
        </w:trPr>
        <w:tc>
          <w:tcPr>
            <w:tcW w:w="760" w:type="dxa"/>
            <w:vAlign w:val="bottom"/>
          </w:tcPr>
          <w:p>
            <w:pPr>
              <w:jc w:val="right"/>
              <w:ind w:right="112"/>
              <w:spacing w:after="0"/>
              <w:rPr>
                <w:sz w:val="20"/>
                <w:szCs w:val="20"/>
                <w:color w:val="auto"/>
              </w:rPr>
            </w:pPr>
            <w:r>
              <w:rPr>
                <w:rFonts w:ascii="Arial" w:cs="Arial" w:eastAsia="Arial" w:hAnsi="Arial"/>
                <w:sz w:val="14"/>
                <w:szCs w:val="14"/>
                <w:color w:val="auto"/>
              </w:rPr>
              <w:t>13.5</w:t>
            </w:r>
          </w:p>
        </w:tc>
        <w:tc>
          <w:tcPr>
            <w:tcW w:w="7140" w:type="dxa"/>
            <w:vAlign w:val="bottom"/>
          </w:tcPr>
          <w:p>
            <w:pPr>
              <w:ind w:left="180"/>
              <w:spacing w:after="0"/>
              <w:rPr>
                <w:sz w:val="20"/>
                <w:szCs w:val="20"/>
                <w:color w:val="auto"/>
              </w:rPr>
            </w:pPr>
            <w:r>
              <w:rPr>
                <w:rFonts w:ascii="Arial" w:cs="Arial" w:eastAsia="Arial" w:hAnsi="Arial"/>
                <w:sz w:val="14"/>
                <w:szCs w:val="14"/>
                <w:color w:val="auto"/>
              </w:rPr>
              <w:t>EXCLUSION OF CONSEQUENTIAL DAMAGES.</w:t>
            </w:r>
          </w:p>
        </w:tc>
        <w:tc>
          <w:tcPr>
            <w:tcW w:w="3500" w:type="dxa"/>
            <w:vAlign w:val="bottom"/>
          </w:tcPr>
          <w:p>
            <w:pPr>
              <w:jc w:val="right"/>
              <w:spacing w:after="0"/>
              <w:rPr>
                <w:sz w:val="20"/>
                <w:szCs w:val="20"/>
                <w:color w:val="auto"/>
              </w:rPr>
            </w:pPr>
            <w:r>
              <w:rPr>
                <w:rFonts w:ascii="Arial" w:cs="Arial" w:eastAsia="Arial" w:hAnsi="Arial"/>
                <w:sz w:val="14"/>
                <w:szCs w:val="14"/>
                <w:color w:val="auto"/>
              </w:rPr>
              <w:t>59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iv -</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0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708" w:name="page709"/>
    <w:bookmarkEnd w:id="708"/>
    <w:tbl>
      <w:tblPr>
        <w:tblLayout w:type="fixed"/>
        <w:tblInd w:w="0" w:type="dxa"/>
        <w:tblCellMar>
          <w:top w:w="0" w:type="dxa"/>
          <w:left w:w="0" w:type="dxa"/>
          <w:bottom w:w="0" w:type="dxa"/>
          <w:right w:w="0" w:type="dxa"/>
        </w:tblCellMar>
      </w:tblPr>
      <w:tr>
        <w:trPr>
          <w:trHeight w:val="175"/>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ARTICLE 14 TERM AND TERMINATION</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14.1</w:t>
            </w:r>
          </w:p>
        </w:tc>
        <w:tc>
          <w:tcPr>
            <w:tcW w:w="6940" w:type="dxa"/>
            <w:vAlign w:val="bottom"/>
          </w:tcPr>
          <w:p>
            <w:pPr>
              <w:ind w:left="140"/>
              <w:spacing w:after="0"/>
              <w:rPr>
                <w:sz w:val="20"/>
                <w:szCs w:val="20"/>
                <w:color w:val="auto"/>
              </w:rPr>
            </w:pPr>
            <w:r>
              <w:rPr>
                <w:rFonts w:ascii="Arial" w:cs="Arial" w:eastAsia="Arial" w:hAnsi="Arial"/>
                <w:sz w:val="14"/>
                <w:szCs w:val="14"/>
                <w:color w:val="auto"/>
              </w:rPr>
              <w:t>Agreement Term; Expiration.</w:t>
            </w:r>
          </w:p>
        </w:tc>
        <w:tc>
          <w:tcPr>
            <w:tcW w:w="36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14.2</w:t>
            </w:r>
          </w:p>
        </w:tc>
        <w:tc>
          <w:tcPr>
            <w:tcW w:w="6940" w:type="dxa"/>
            <w:vAlign w:val="bottom"/>
          </w:tcPr>
          <w:p>
            <w:pPr>
              <w:ind w:left="140"/>
              <w:spacing w:after="0"/>
              <w:rPr>
                <w:sz w:val="20"/>
                <w:szCs w:val="20"/>
                <w:color w:val="auto"/>
              </w:rPr>
            </w:pPr>
            <w:r>
              <w:rPr>
                <w:rFonts w:ascii="Arial" w:cs="Arial" w:eastAsia="Arial" w:hAnsi="Arial"/>
                <w:sz w:val="14"/>
                <w:szCs w:val="14"/>
                <w:color w:val="auto"/>
              </w:rPr>
              <w:t>Termination for Cause.</w:t>
            </w:r>
          </w:p>
        </w:tc>
        <w:tc>
          <w:tcPr>
            <w:tcW w:w="36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14.3</w:t>
            </w:r>
          </w:p>
        </w:tc>
        <w:tc>
          <w:tcPr>
            <w:tcW w:w="6940" w:type="dxa"/>
            <w:vAlign w:val="bottom"/>
          </w:tcPr>
          <w:p>
            <w:pPr>
              <w:ind w:left="140"/>
              <w:spacing w:after="0"/>
              <w:rPr>
                <w:sz w:val="20"/>
                <w:szCs w:val="20"/>
                <w:color w:val="auto"/>
              </w:rPr>
            </w:pPr>
            <w:r>
              <w:rPr>
                <w:rFonts w:ascii="Arial" w:cs="Arial" w:eastAsia="Arial" w:hAnsi="Arial"/>
                <w:sz w:val="14"/>
                <w:szCs w:val="14"/>
                <w:color w:val="auto"/>
              </w:rPr>
              <w:t>Termination for Patent Challenge.</w:t>
            </w:r>
          </w:p>
        </w:tc>
        <w:tc>
          <w:tcPr>
            <w:tcW w:w="36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14.4</w:t>
            </w:r>
          </w:p>
        </w:tc>
        <w:tc>
          <w:tcPr>
            <w:tcW w:w="6940" w:type="dxa"/>
            <w:vAlign w:val="bottom"/>
          </w:tcPr>
          <w:p>
            <w:pPr>
              <w:ind w:left="140"/>
              <w:spacing w:after="0"/>
              <w:rPr>
                <w:sz w:val="20"/>
                <w:szCs w:val="20"/>
                <w:color w:val="auto"/>
              </w:rPr>
            </w:pPr>
            <w:r>
              <w:rPr>
                <w:rFonts w:ascii="Arial" w:cs="Arial" w:eastAsia="Arial" w:hAnsi="Arial"/>
                <w:sz w:val="14"/>
                <w:szCs w:val="14"/>
                <w:color w:val="auto"/>
              </w:rPr>
              <w:t>Termination for Convenience.</w:t>
            </w:r>
          </w:p>
        </w:tc>
        <w:tc>
          <w:tcPr>
            <w:tcW w:w="36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14.5</w:t>
            </w:r>
          </w:p>
        </w:tc>
        <w:tc>
          <w:tcPr>
            <w:tcW w:w="6940" w:type="dxa"/>
            <w:vAlign w:val="bottom"/>
          </w:tcPr>
          <w:p>
            <w:pPr>
              <w:ind w:left="140"/>
              <w:spacing w:after="0"/>
              <w:rPr>
                <w:sz w:val="20"/>
                <w:szCs w:val="20"/>
                <w:color w:val="auto"/>
              </w:rPr>
            </w:pPr>
            <w:r>
              <w:rPr>
                <w:rFonts w:ascii="Arial" w:cs="Arial" w:eastAsia="Arial" w:hAnsi="Arial"/>
                <w:sz w:val="14"/>
                <w:szCs w:val="14"/>
                <w:color w:val="auto"/>
              </w:rPr>
              <w:t>Termination for Insolvency Event.</w:t>
            </w:r>
          </w:p>
        </w:tc>
        <w:tc>
          <w:tcPr>
            <w:tcW w:w="36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14.6</w:t>
            </w:r>
          </w:p>
        </w:tc>
        <w:tc>
          <w:tcPr>
            <w:tcW w:w="6940" w:type="dxa"/>
            <w:vAlign w:val="bottom"/>
          </w:tcPr>
          <w:p>
            <w:pPr>
              <w:ind w:left="140"/>
              <w:spacing w:after="0"/>
              <w:rPr>
                <w:sz w:val="20"/>
                <w:szCs w:val="20"/>
                <w:color w:val="auto"/>
              </w:rPr>
            </w:pPr>
            <w:r>
              <w:rPr>
                <w:rFonts w:ascii="Arial" w:cs="Arial" w:eastAsia="Arial" w:hAnsi="Arial"/>
                <w:sz w:val="14"/>
                <w:szCs w:val="14"/>
                <w:color w:val="auto"/>
              </w:rPr>
              <w:t>Termination by Servier for Safety or Public Health Reasons.</w:t>
            </w:r>
          </w:p>
        </w:tc>
        <w:tc>
          <w:tcPr>
            <w:tcW w:w="36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14.7</w:t>
            </w:r>
          </w:p>
        </w:tc>
        <w:tc>
          <w:tcPr>
            <w:tcW w:w="6940" w:type="dxa"/>
            <w:vAlign w:val="bottom"/>
          </w:tcPr>
          <w:p>
            <w:pPr>
              <w:ind w:left="140"/>
              <w:spacing w:after="0"/>
              <w:rPr>
                <w:sz w:val="20"/>
                <w:szCs w:val="20"/>
                <w:color w:val="auto"/>
              </w:rPr>
            </w:pPr>
            <w:r>
              <w:rPr>
                <w:rFonts w:ascii="Arial" w:cs="Arial" w:eastAsia="Arial" w:hAnsi="Arial"/>
                <w:sz w:val="14"/>
                <w:szCs w:val="14"/>
                <w:color w:val="auto"/>
              </w:rPr>
              <w:t>Effect of Expiration or Termination.</w:t>
            </w:r>
          </w:p>
        </w:tc>
        <w:tc>
          <w:tcPr>
            <w:tcW w:w="36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14.8</w:t>
            </w:r>
          </w:p>
        </w:tc>
        <w:tc>
          <w:tcPr>
            <w:tcW w:w="6940" w:type="dxa"/>
            <w:vAlign w:val="bottom"/>
          </w:tcPr>
          <w:p>
            <w:pPr>
              <w:ind w:left="140"/>
              <w:spacing w:after="0"/>
              <w:rPr>
                <w:sz w:val="20"/>
                <w:szCs w:val="20"/>
                <w:color w:val="auto"/>
              </w:rPr>
            </w:pPr>
            <w:r>
              <w:rPr>
                <w:rFonts w:ascii="Arial" w:cs="Arial" w:eastAsia="Arial" w:hAnsi="Arial"/>
                <w:sz w:val="14"/>
                <w:szCs w:val="14"/>
                <w:color w:val="auto"/>
              </w:rPr>
              <w:t>Accrued Rights; Surviving Provisions of the Agreement.</w:t>
            </w:r>
          </w:p>
        </w:tc>
        <w:tc>
          <w:tcPr>
            <w:tcW w:w="36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5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ARTICLE 15 STANDSTILL</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15.1</w:t>
            </w:r>
          </w:p>
        </w:tc>
        <w:tc>
          <w:tcPr>
            <w:tcW w:w="6940" w:type="dxa"/>
            <w:vAlign w:val="bottom"/>
          </w:tcPr>
          <w:p>
            <w:pPr>
              <w:ind w:left="140"/>
              <w:spacing w:after="0"/>
              <w:rPr>
                <w:sz w:val="20"/>
                <w:szCs w:val="20"/>
                <w:color w:val="auto"/>
              </w:rPr>
            </w:pPr>
            <w:r>
              <w:rPr>
                <w:rFonts w:ascii="Arial" w:cs="Arial" w:eastAsia="Arial" w:hAnsi="Arial"/>
                <w:sz w:val="14"/>
                <w:szCs w:val="14"/>
                <w:color w:val="auto"/>
              </w:rPr>
              <w:t>Standstill.</w:t>
            </w:r>
          </w:p>
        </w:tc>
        <w:tc>
          <w:tcPr>
            <w:tcW w:w="36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5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ARTICLE 16 MISCELLANEOUS</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16.1</w:t>
            </w:r>
          </w:p>
        </w:tc>
        <w:tc>
          <w:tcPr>
            <w:tcW w:w="6940" w:type="dxa"/>
            <w:vAlign w:val="bottom"/>
          </w:tcPr>
          <w:p>
            <w:pPr>
              <w:ind w:left="140"/>
              <w:spacing w:after="0"/>
              <w:rPr>
                <w:sz w:val="20"/>
                <w:szCs w:val="20"/>
                <w:color w:val="auto"/>
              </w:rPr>
            </w:pPr>
            <w:r>
              <w:rPr>
                <w:rFonts w:ascii="Arial" w:cs="Arial" w:eastAsia="Arial" w:hAnsi="Arial"/>
                <w:sz w:val="14"/>
                <w:szCs w:val="14"/>
                <w:color w:val="auto"/>
              </w:rPr>
              <w:t>Disputes.</w:t>
            </w:r>
          </w:p>
        </w:tc>
        <w:tc>
          <w:tcPr>
            <w:tcW w:w="36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16.2</w:t>
            </w:r>
          </w:p>
        </w:tc>
        <w:tc>
          <w:tcPr>
            <w:tcW w:w="6940" w:type="dxa"/>
            <w:vAlign w:val="bottom"/>
          </w:tcPr>
          <w:p>
            <w:pPr>
              <w:ind w:left="140"/>
              <w:spacing w:after="0"/>
              <w:rPr>
                <w:sz w:val="20"/>
                <w:szCs w:val="20"/>
                <w:color w:val="auto"/>
              </w:rPr>
            </w:pPr>
            <w:r>
              <w:rPr>
                <w:rFonts w:ascii="Arial" w:cs="Arial" w:eastAsia="Arial" w:hAnsi="Arial"/>
                <w:sz w:val="14"/>
                <w:szCs w:val="14"/>
                <w:color w:val="auto"/>
              </w:rPr>
              <w:t>Arbitration.</w:t>
            </w:r>
          </w:p>
        </w:tc>
        <w:tc>
          <w:tcPr>
            <w:tcW w:w="36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16.3</w:t>
            </w:r>
          </w:p>
        </w:tc>
        <w:tc>
          <w:tcPr>
            <w:tcW w:w="6940" w:type="dxa"/>
            <w:vAlign w:val="bottom"/>
          </w:tcPr>
          <w:p>
            <w:pPr>
              <w:ind w:left="140"/>
              <w:spacing w:after="0"/>
              <w:rPr>
                <w:sz w:val="20"/>
                <w:szCs w:val="20"/>
                <w:color w:val="auto"/>
              </w:rPr>
            </w:pPr>
            <w:r>
              <w:rPr>
                <w:rFonts w:ascii="Arial" w:cs="Arial" w:eastAsia="Arial" w:hAnsi="Arial"/>
                <w:sz w:val="14"/>
                <w:szCs w:val="14"/>
                <w:color w:val="auto"/>
              </w:rPr>
              <w:t>Governing Law.</w:t>
            </w:r>
          </w:p>
        </w:tc>
        <w:tc>
          <w:tcPr>
            <w:tcW w:w="36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16.4</w:t>
            </w:r>
          </w:p>
        </w:tc>
        <w:tc>
          <w:tcPr>
            <w:tcW w:w="6940" w:type="dxa"/>
            <w:vAlign w:val="bottom"/>
          </w:tcPr>
          <w:p>
            <w:pPr>
              <w:ind w:left="140"/>
              <w:spacing w:after="0"/>
              <w:rPr>
                <w:sz w:val="20"/>
                <w:szCs w:val="20"/>
                <w:color w:val="auto"/>
              </w:rPr>
            </w:pPr>
            <w:r>
              <w:rPr>
                <w:rFonts w:ascii="Arial" w:cs="Arial" w:eastAsia="Arial" w:hAnsi="Arial"/>
                <w:sz w:val="14"/>
                <w:szCs w:val="14"/>
                <w:color w:val="auto"/>
              </w:rPr>
              <w:t>Assignment.</w:t>
            </w:r>
          </w:p>
        </w:tc>
        <w:tc>
          <w:tcPr>
            <w:tcW w:w="36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16.5</w:t>
            </w:r>
          </w:p>
        </w:tc>
        <w:tc>
          <w:tcPr>
            <w:tcW w:w="6940" w:type="dxa"/>
            <w:vAlign w:val="bottom"/>
          </w:tcPr>
          <w:p>
            <w:pPr>
              <w:ind w:left="140"/>
              <w:spacing w:after="0"/>
              <w:rPr>
                <w:sz w:val="20"/>
                <w:szCs w:val="20"/>
                <w:color w:val="auto"/>
              </w:rPr>
            </w:pPr>
            <w:r>
              <w:rPr>
                <w:rFonts w:ascii="Arial" w:cs="Arial" w:eastAsia="Arial" w:hAnsi="Arial"/>
                <w:sz w:val="14"/>
                <w:szCs w:val="14"/>
                <w:color w:val="auto"/>
              </w:rPr>
              <w:t>Force Majeure.</w:t>
            </w:r>
          </w:p>
        </w:tc>
        <w:tc>
          <w:tcPr>
            <w:tcW w:w="3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16.6</w:t>
            </w:r>
          </w:p>
        </w:tc>
        <w:tc>
          <w:tcPr>
            <w:tcW w:w="6940" w:type="dxa"/>
            <w:vAlign w:val="bottom"/>
          </w:tcPr>
          <w:p>
            <w:pPr>
              <w:ind w:left="140"/>
              <w:spacing w:after="0"/>
              <w:rPr>
                <w:sz w:val="20"/>
                <w:szCs w:val="20"/>
                <w:color w:val="auto"/>
              </w:rPr>
            </w:pPr>
            <w:r>
              <w:rPr>
                <w:rFonts w:ascii="Arial" w:cs="Arial" w:eastAsia="Arial" w:hAnsi="Arial"/>
                <w:sz w:val="14"/>
                <w:szCs w:val="14"/>
                <w:color w:val="auto"/>
              </w:rPr>
              <w:t>Notices.</w:t>
            </w:r>
          </w:p>
        </w:tc>
        <w:tc>
          <w:tcPr>
            <w:tcW w:w="3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16.7</w:t>
            </w:r>
          </w:p>
        </w:tc>
        <w:tc>
          <w:tcPr>
            <w:tcW w:w="6940" w:type="dxa"/>
            <w:vAlign w:val="bottom"/>
          </w:tcPr>
          <w:p>
            <w:pPr>
              <w:ind w:left="140"/>
              <w:spacing w:after="0"/>
              <w:rPr>
                <w:sz w:val="20"/>
                <w:szCs w:val="20"/>
                <w:color w:val="auto"/>
              </w:rPr>
            </w:pPr>
            <w:r>
              <w:rPr>
                <w:rFonts w:ascii="Arial" w:cs="Arial" w:eastAsia="Arial" w:hAnsi="Arial"/>
                <w:sz w:val="14"/>
                <w:szCs w:val="14"/>
                <w:color w:val="auto"/>
              </w:rPr>
              <w:t>Export Clause.</w:t>
            </w:r>
          </w:p>
        </w:tc>
        <w:tc>
          <w:tcPr>
            <w:tcW w:w="3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16.8</w:t>
            </w:r>
          </w:p>
        </w:tc>
        <w:tc>
          <w:tcPr>
            <w:tcW w:w="6940" w:type="dxa"/>
            <w:vAlign w:val="bottom"/>
          </w:tcPr>
          <w:p>
            <w:pPr>
              <w:ind w:left="140"/>
              <w:spacing w:after="0"/>
              <w:rPr>
                <w:sz w:val="20"/>
                <w:szCs w:val="20"/>
                <w:color w:val="auto"/>
              </w:rPr>
            </w:pPr>
            <w:r>
              <w:rPr>
                <w:rFonts w:ascii="Arial" w:cs="Arial" w:eastAsia="Arial" w:hAnsi="Arial"/>
                <w:sz w:val="14"/>
                <w:szCs w:val="14"/>
                <w:color w:val="auto"/>
              </w:rPr>
              <w:t>Waiver.</w:t>
            </w:r>
          </w:p>
        </w:tc>
        <w:tc>
          <w:tcPr>
            <w:tcW w:w="3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16.9</w:t>
            </w:r>
          </w:p>
        </w:tc>
        <w:tc>
          <w:tcPr>
            <w:tcW w:w="6940" w:type="dxa"/>
            <w:vAlign w:val="bottom"/>
          </w:tcPr>
          <w:p>
            <w:pPr>
              <w:ind w:left="140"/>
              <w:spacing w:after="0"/>
              <w:rPr>
                <w:sz w:val="20"/>
                <w:szCs w:val="20"/>
                <w:color w:val="auto"/>
              </w:rPr>
            </w:pPr>
            <w:r>
              <w:rPr>
                <w:rFonts w:ascii="Arial" w:cs="Arial" w:eastAsia="Arial" w:hAnsi="Arial"/>
                <w:sz w:val="14"/>
                <w:szCs w:val="14"/>
                <w:color w:val="auto"/>
              </w:rPr>
              <w:t>Severability.</w:t>
            </w:r>
          </w:p>
        </w:tc>
        <w:tc>
          <w:tcPr>
            <w:tcW w:w="3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16.10</w:t>
            </w:r>
          </w:p>
        </w:tc>
        <w:tc>
          <w:tcPr>
            <w:tcW w:w="6940" w:type="dxa"/>
            <w:vAlign w:val="bottom"/>
          </w:tcPr>
          <w:p>
            <w:pPr>
              <w:ind w:left="140"/>
              <w:spacing w:after="0"/>
              <w:rPr>
                <w:sz w:val="20"/>
                <w:szCs w:val="20"/>
                <w:color w:val="auto"/>
              </w:rPr>
            </w:pPr>
            <w:r>
              <w:rPr>
                <w:rFonts w:ascii="Arial" w:cs="Arial" w:eastAsia="Arial" w:hAnsi="Arial"/>
                <w:sz w:val="14"/>
                <w:szCs w:val="14"/>
                <w:color w:val="auto"/>
              </w:rPr>
              <w:t>Entire Agreement.</w:t>
            </w:r>
          </w:p>
        </w:tc>
        <w:tc>
          <w:tcPr>
            <w:tcW w:w="36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16.11</w:t>
            </w:r>
          </w:p>
        </w:tc>
        <w:tc>
          <w:tcPr>
            <w:tcW w:w="6940" w:type="dxa"/>
            <w:vAlign w:val="bottom"/>
          </w:tcPr>
          <w:p>
            <w:pPr>
              <w:ind w:left="140"/>
              <w:spacing w:after="0"/>
              <w:rPr>
                <w:sz w:val="20"/>
                <w:szCs w:val="20"/>
                <w:color w:val="auto"/>
              </w:rPr>
            </w:pPr>
            <w:r>
              <w:rPr>
                <w:rFonts w:ascii="Arial" w:cs="Arial" w:eastAsia="Arial" w:hAnsi="Arial"/>
                <w:sz w:val="14"/>
                <w:szCs w:val="14"/>
                <w:color w:val="auto"/>
              </w:rPr>
              <w:t>Independent Contractors.</w:t>
            </w:r>
          </w:p>
        </w:tc>
        <w:tc>
          <w:tcPr>
            <w:tcW w:w="36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1"/>
        </w:trPr>
        <w:tc>
          <w:tcPr>
            <w:tcW w:w="800" w:type="dxa"/>
            <w:vAlign w:val="bottom"/>
          </w:tcPr>
          <w:p>
            <w:pPr>
              <w:ind w:left="340"/>
              <w:spacing w:after="0"/>
              <w:rPr>
                <w:sz w:val="20"/>
                <w:szCs w:val="20"/>
                <w:color w:val="auto"/>
              </w:rPr>
            </w:pPr>
            <w:r>
              <w:rPr>
                <w:rFonts w:ascii="Arial" w:cs="Arial" w:eastAsia="Arial" w:hAnsi="Arial"/>
                <w:sz w:val="14"/>
                <w:szCs w:val="14"/>
                <w:color w:val="auto"/>
              </w:rPr>
              <w:t>16.12</w:t>
            </w:r>
          </w:p>
        </w:tc>
        <w:tc>
          <w:tcPr>
            <w:tcW w:w="6940" w:type="dxa"/>
            <w:vAlign w:val="bottom"/>
          </w:tcPr>
          <w:p>
            <w:pPr>
              <w:ind w:left="140"/>
              <w:spacing w:after="0"/>
              <w:rPr>
                <w:sz w:val="20"/>
                <w:szCs w:val="20"/>
                <w:color w:val="auto"/>
              </w:rPr>
            </w:pPr>
            <w:r>
              <w:rPr>
                <w:rFonts w:ascii="Arial" w:cs="Arial" w:eastAsia="Arial" w:hAnsi="Arial"/>
                <w:sz w:val="14"/>
                <w:szCs w:val="14"/>
                <w:color w:val="auto"/>
              </w:rPr>
              <w:t>Headings; Construction; Interpretation.</w:t>
            </w:r>
          </w:p>
        </w:tc>
        <w:tc>
          <w:tcPr>
            <w:tcW w:w="3660" w:type="dxa"/>
            <w:vAlign w:val="bottom"/>
          </w:tcPr>
          <w:p>
            <w:pPr>
              <w:jc w:val="right"/>
              <w:spacing w:after="0"/>
              <w:rPr>
                <w:sz w:val="20"/>
                <w:szCs w:val="20"/>
                <w:color w:val="auto"/>
              </w:rPr>
            </w:pPr>
            <w:r>
              <w:rPr>
                <w:rFonts w:ascii="Arial" w:cs="Arial" w:eastAsia="Arial" w:hAnsi="Arial"/>
                <w:sz w:val="14"/>
                <w:szCs w:val="14"/>
                <w:color w:val="auto"/>
              </w:rPr>
              <w:t>69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v -</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0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709" w:name="page710"/>
    <w:bookmarkEnd w:id="709"/>
    <w:tbl>
      <w:tblPr>
        <w:tblLayout w:type="fixed"/>
        <w:tblInd w:w="0" w:type="dxa"/>
        <w:tblCellMar>
          <w:top w:w="0" w:type="dxa"/>
          <w:left w:w="0" w:type="dxa"/>
          <w:bottom w:w="0" w:type="dxa"/>
          <w:right w:w="0" w:type="dxa"/>
        </w:tblCellMar>
      </w:tblPr>
      <w:tr>
        <w:trPr>
          <w:trHeight w:val="173"/>
        </w:trPr>
        <w:tc>
          <w:tcPr>
            <w:tcW w:w="500" w:type="dxa"/>
            <w:vAlign w:val="bottom"/>
          </w:tcPr>
          <w:p>
            <w:pPr>
              <w:jc w:val="right"/>
              <w:ind w:right="132"/>
              <w:spacing w:after="0"/>
              <w:rPr>
                <w:sz w:val="20"/>
                <w:szCs w:val="20"/>
                <w:color w:val="auto"/>
              </w:rPr>
            </w:pPr>
            <w:r>
              <w:rPr>
                <w:rFonts w:ascii="Arial" w:cs="Arial" w:eastAsia="Arial" w:hAnsi="Arial"/>
                <w:sz w:val="14"/>
                <w:szCs w:val="14"/>
                <w:color w:val="auto"/>
                <w:w w:val="79"/>
              </w:rPr>
              <w:t>16.13</w:t>
            </w:r>
          </w:p>
        </w:tc>
        <w:tc>
          <w:tcPr>
            <w:tcW w:w="6020" w:type="dxa"/>
            <w:vAlign w:val="bottom"/>
          </w:tcPr>
          <w:p>
            <w:pPr>
              <w:ind w:left="180"/>
              <w:spacing w:after="0"/>
              <w:rPr>
                <w:sz w:val="20"/>
                <w:szCs w:val="20"/>
                <w:color w:val="auto"/>
              </w:rPr>
            </w:pPr>
            <w:r>
              <w:rPr>
                <w:rFonts w:ascii="Arial" w:cs="Arial" w:eastAsia="Arial" w:hAnsi="Arial"/>
                <w:sz w:val="14"/>
                <w:szCs w:val="14"/>
                <w:color w:val="auto"/>
              </w:rPr>
              <w:t>Further Actions.</w:t>
            </w:r>
          </w:p>
        </w:tc>
        <w:tc>
          <w:tcPr>
            <w:tcW w:w="45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1"/>
        </w:trPr>
        <w:tc>
          <w:tcPr>
            <w:tcW w:w="500" w:type="dxa"/>
            <w:vAlign w:val="bottom"/>
          </w:tcPr>
          <w:p>
            <w:pPr>
              <w:jc w:val="right"/>
              <w:ind w:right="132"/>
              <w:spacing w:after="0"/>
              <w:rPr>
                <w:sz w:val="20"/>
                <w:szCs w:val="20"/>
                <w:color w:val="auto"/>
              </w:rPr>
            </w:pPr>
            <w:r>
              <w:rPr>
                <w:rFonts w:ascii="Arial" w:cs="Arial" w:eastAsia="Arial" w:hAnsi="Arial"/>
                <w:sz w:val="14"/>
                <w:szCs w:val="14"/>
                <w:color w:val="auto"/>
                <w:w w:val="79"/>
              </w:rPr>
              <w:t>16.14</w:t>
            </w:r>
          </w:p>
        </w:tc>
        <w:tc>
          <w:tcPr>
            <w:tcW w:w="6020" w:type="dxa"/>
            <w:vAlign w:val="bottom"/>
          </w:tcPr>
          <w:p>
            <w:pPr>
              <w:ind w:left="180"/>
              <w:spacing w:after="0"/>
              <w:rPr>
                <w:sz w:val="20"/>
                <w:szCs w:val="20"/>
                <w:color w:val="auto"/>
              </w:rPr>
            </w:pPr>
            <w:r>
              <w:rPr>
                <w:rFonts w:ascii="Arial" w:cs="Arial" w:eastAsia="Arial" w:hAnsi="Arial"/>
                <w:sz w:val="14"/>
                <w:szCs w:val="14"/>
                <w:color w:val="auto"/>
              </w:rPr>
              <w:t>Parties in Interest.</w:t>
            </w:r>
          </w:p>
        </w:tc>
        <w:tc>
          <w:tcPr>
            <w:tcW w:w="45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1"/>
        </w:trPr>
        <w:tc>
          <w:tcPr>
            <w:tcW w:w="500" w:type="dxa"/>
            <w:vAlign w:val="bottom"/>
          </w:tcPr>
          <w:p>
            <w:pPr>
              <w:jc w:val="right"/>
              <w:ind w:right="132"/>
              <w:spacing w:after="0"/>
              <w:rPr>
                <w:sz w:val="20"/>
                <w:szCs w:val="20"/>
                <w:color w:val="auto"/>
              </w:rPr>
            </w:pPr>
            <w:r>
              <w:rPr>
                <w:rFonts w:ascii="Arial" w:cs="Arial" w:eastAsia="Arial" w:hAnsi="Arial"/>
                <w:sz w:val="14"/>
                <w:szCs w:val="14"/>
                <w:color w:val="auto"/>
                <w:w w:val="79"/>
              </w:rPr>
              <w:t>16.15</w:t>
            </w:r>
          </w:p>
        </w:tc>
        <w:tc>
          <w:tcPr>
            <w:tcW w:w="6020" w:type="dxa"/>
            <w:vAlign w:val="bottom"/>
          </w:tcPr>
          <w:p>
            <w:pPr>
              <w:ind w:left="180"/>
              <w:spacing w:after="0"/>
              <w:rPr>
                <w:sz w:val="20"/>
                <w:szCs w:val="20"/>
                <w:color w:val="auto"/>
              </w:rPr>
            </w:pPr>
            <w:r>
              <w:rPr>
                <w:rFonts w:ascii="Arial" w:cs="Arial" w:eastAsia="Arial" w:hAnsi="Arial"/>
                <w:sz w:val="14"/>
                <w:szCs w:val="14"/>
                <w:color w:val="auto"/>
              </w:rPr>
              <w:t>Performance by Affiliates.</w:t>
            </w:r>
          </w:p>
        </w:tc>
        <w:tc>
          <w:tcPr>
            <w:tcW w:w="45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1"/>
        </w:trPr>
        <w:tc>
          <w:tcPr>
            <w:tcW w:w="500" w:type="dxa"/>
            <w:vAlign w:val="bottom"/>
          </w:tcPr>
          <w:p>
            <w:pPr>
              <w:jc w:val="right"/>
              <w:ind w:right="132"/>
              <w:spacing w:after="0"/>
              <w:rPr>
                <w:sz w:val="20"/>
                <w:szCs w:val="20"/>
                <w:color w:val="auto"/>
              </w:rPr>
            </w:pPr>
            <w:r>
              <w:rPr>
                <w:rFonts w:ascii="Arial" w:cs="Arial" w:eastAsia="Arial" w:hAnsi="Arial"/>
                <w:sz w:val="14"/>
                <w:szCs w:val="14"/>
                <w:color w:val="auto"/>
                <w:w w:val="79"/>
              </w:rPr>
              <w:t>16.16</w:t>
            </w:r>
          </w:p>
        </w:tc>
        <w:tc>
          <w:tcPr>
            <w:tcW w:w="6020" w:type="dxa"/>
            <w:vAlign w:val="bottom"/>
          </w:tcPr>
          <w:p>
            <w:pPr>
              <w:ind w:left="180"/>
              <w:spacing w:after="0"/>
              <w:rPr>
                <w:sz w:val="20"/>
                <w:szCs w:val="20"/>
                <w:color w:val="auto"/>
              </w:rPr>
            </w:pPr>
            <w:r>
              <w:rPr>
                <w:rFonts w:ascii="Arial" w:cs="Arial" w:eastAsia="Arial" w:hAnsi="Arial"/>
                <w:sz w:val="14"/>
                <w:szCs w:val="14"/>
                <w:color w:val="auto"/>
              </w:rPr>
              <w:t>Counterparts.</w:t>
            </w:r>
          </w:p>
        </w:tc>
        <w:tc>
          <w:tcPr>
            <w:tcW w:w="4540" w:type="dxa"/>
            <w:vAlign w:val="bottom"/>
          </w:tcPr>
          <w:p>
            <w:pPr>
              <w:jc w:val="right"/>
              <w:spacing w:after="0"/>
              <w:rPr>
                <w:sz w:val="20"/>
                <w:szCs w:val="20"/>
                <w:color w:val="auto"/>
              </w:rPr>
            </w:pPr>
            <w:r>
              <w:rPr>
                <w:rFonts w:ascii="Arial" w:cs="Arial" w:eastAsia="Arial" w:hAnsi="Arial"/>
                <w:sz w:val="14"/>
                <w:szCs w:val="14"/>
                <w:color w:val="auto"/>
              </w:rPr>
              <w:t>69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280"/>
        <w:spacing w:after="0"/>
        <w:rPr>
          <w:sz w:val="20"/>
          <w:szCs w:val="20"/>
          <w:color w:val="auto"/>
        </w:rPr>
      </w:pPr>
      <w:r>
        <w:rPr>
          <w:rFonts w:ascii="Arial" w:cs="Arial" w:eastAsia="Arial" w:hAnsi="Arial"/>
          <w:sz w:val="14"/>
          <w:szCs w:val="14"/>
          <w:color w:val="auto"/>
        </w:rPr>
        <w:t>- vi -</w:t>
      </w:r>
    </w:p>
    <w:p>
      <w:pPr>
        <w:spacing w:after="0" w:line="12" w:lineRule="exact"/>
        <w:rPr>
          <w:sz w:val="20"/>
          <w:szCs w:val="20"/>
          <w:color w:val="auto"/>
        </w:rPr>
      </w:pPr>
    </w:p>
    <w:p>
      <w:pPr>
        <w:ind w:left="3500" w:right="2640" w:hanging="1135"/>
        <w:spacing w:after="0" w:line="341" w:lineRule="auto"/>
        <w:tabs>
          <w:tab w:leader="none" w:pos="2604" w:val="left"/>
        </w:tabs>
        <w:numPr>
          <w:ilvl w:val="0"/>
          <w:numId w:val="81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60"/>
          </w:cols>
          <w:pgMar w:left="560" w:top="247" w:right="279" w:bottom="1440" w:gutter="0" w:footer="0" w:header="0"/>
        </w:sectPr>
      </w:pPr>
    </w:p>
    <w:bookmarkStart w:id="710" w:name="page711"/>
    <w:bookmarkEnd w:id="71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OPTION FOR A LICENSE AGREEMENT</w:t>
      </w:r>
    </w:p>
    <w:p>
      <w:pPr>
        <w:spacing w:after="0" w:line="134" w:lineRule="exact"/>
        <w:rPr>
          <w:sz w:val="20"/>
          <w:szCs w:val="20"/>
          <w:color w:val="auto"/>
        </w:rPr>
      </w:pPr>
    </w:p>
    <w:p>
      <w:pPr>
        <w:ind w:firstLine="458"/>
        <w:spacing w:after="0" w:line="305" w:lineRule="auto"/>
        <w:rPr>
          <w:sz w:val="20"/>
          <w:szCs w:val="20"/>
          <w:color w:val="auto"/>
        </w:rPr>
      </w:pPr>
      <w:r>
        <w:rPr>
          <w:rFonts w:ascii="Arial" w:cs="Arial" w:eastAsia="Arial" w:hAnsi="Arial"/>
          <w:sz w:val="12"/>
          <w:szCs w:val="12"/>
          <w:color w:val="auto"/>
        </w:rPr>
        <w:t>This Option for a License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and made effective as of the 19</w:t>
      </w:r>
      <w:r>
        <w:rPr>
          <w:rFonts w:ascii="Arial" w:cs="Arial" w:eastAsia="Arial" w:hAnsi="Arial"/>
          <w:sz w:val="7"/>
          <w:szCs w:val="7"/>
          <w:color w:val="auto"/>
        </w:rPr>
        <w:t>th</w:t>
      </w:r>
      <w:r>
        <w:rPr>
          <w:rFonts w:ascii="Arial" w:cs="Arial" w:eastAsia="Arial" w:hAnsi="Arial"/>
          <w:sz w:val="12"/>
          <w:szCs w:val="12"/>
          <w:color w:val="auto"/>
        </w:rPr>
        <w:t xml:space="preserve"> day of September, 2012 (the “</w:t>
      </w:r>
      <w:r>
        <w:rPr>
          <w:rFonts w:ascii="Arial" w:cs="Arial" w:eastAsia="Arial" w:hAnsi="Arial"/>
          <w:sz w:val="12"/>
          <w:szCs w:val="12"/>
          <w:u w:val="single" w:color="auto"/>
          <w:color w:val="auto"/>
        </w:rPr>
        <w:t>Effective Date</w:t>
      </w:r>
      <w:r>
        <w:rPr>
          <w:rFonts w:ascii="Arial" w:cs="Arial" w:eastAsia="Arial" w:hAnsi="Arial"/>
          <w:sz w:val="12"/>
          <w:szCs w:val="12"/>
          <w:color w:val="auto"/>
        </w:rPr>
        <w:t>”), by and between MacroGenics, Inc. a corporation organized and existing under the laws of the State of Delaware and having a principal office located at 9640 Medical Center Drive Rockville, MD 20850, USA (“</w:t>
      </w:r>
      <w:r>
        <w:rPr>
          <w:rFonts w:ascii="Arial" w:cs="Arial" w:eastAsia="Arial" w:hAnsi="Arial"/>
          <w:sz w:val="12"/>
          <w:szCs w:val="12"/>
          <w:u w:val="single" w:color="auto"/>
          <w:color w:val="auto"/>
        </w:rPr>
        <w:t>MacroGenics</w:t>
      </w:r>
      <w:r>
        <w:rPr>
          <w:rFonts w:ascii="Arial" w:cs="Arial" w:eastAsia="Arial" w:hAnsi="Arial"/>
          <w:sz w:val="12"/>
          <w:szCs w:val="12"/>
          <w:color w:val="auto"/>
        </w:rPr>
        <w:t>”), and Les Laboratoires Servier, a company organized and existing under the laws of France, having a principal office located at 50 rue Carnot 92284 Suresnes (“</w:t>
      </w:r>
      <w:r>
        <w:rPr>
          <w:rFonts w:ascii="Arial" w:cs="Arial" w:eastAsia="Arial" w:hAnsi="Arial"/>
          <w:sz w:val="12"/>
          <w:szCs w:val="12"/>
          <w:u w:val="single" w:color="auto"/>
          <w:color w:val="auto"/>
        </w:rPr>
        <w:t>LLS</w:t>
      </w:r>
      <w:r>
        <w:rPr>
          <w:rFonts w:ascii="Arial" w:cs="Arial" w:eastAsia="Arial" w:hAnsi="Arial"/>
          <w:sz w:val="12"/>
          <w:szCs w:val="12"/>
          <w:color w:val="auto"/>
        </w:rPr>
        <w:t>”) and Institut de Recherches Servier, a company organized and existing under the laws of France, having a principal office located at 3 rue de la République - 92150 Suresnes - France (“</w:t>
      </w:r>
      <w:r>
        <w:rPr>
          <w:rFonts w:ascii="Arial" w:cs="Arial" w:eastAsia="Arial" w:hAnsi="Arial"/>
          <w:sz w:val="12"/>
          <w:szCs w:val="12"/>
          <w:u w:val="single" w:color="auto"/>
          <w:color w:val="auto"/>
        </w:rPr>
        <w:t>IdRS</w:t>
      </w:r>
      <w:r>
        <w:rPr>
          <w:rFonts w:ascii="Arial" w:cs="Arial" w:eastAsia="Arial" w:hAnsi="Arial"/>
          <w:sz w:val="12"/>
          <w:szCs w:val="12"/>
          <w:color w:val="auto"/>
        </w:rPr>
        <w:t>”) and LLS and IdRS hereinafter collectively referred to as “</w:t>
      </w:r>
      <w:r>
        <w:rPr>
          <w:rFonts w:ascii="Arial" w:cs="Arial" w:eastAsia="Arial" w:hAnsi="Arial"/>
          <w:sz w:val="12"/>
          <w:szCs w:val="12"/>
          <w:u w:val="single" w:color="auto"/>
          <w:color w:val="auto"/>
        </w:rPr>
        <w:t>Servier</w:t>
      </w:r>
      <w:r>
        <w:rPr>
          <w:rFonts w:ascii="Arial" w:cs="Arial" w:eastAsia="Arial" w:hAnsi="Arial"/>
          <w:sz w:val="12"/>
          <w:szCs w:val="12"/>
          <w:color w:val="auto"/>
        </w:rPr>
        <w:t>”). MacroGenics and Servier are each referred to herein by name or as a “</w:t>
      </w:r>
      <w:r>
        <w:rPr>
          <w:rFonts w:ascii="Arial" w:cs="Arial" w:eastAsia="Arial" w:hAnsi="Arial"/>
          <w:sz w:val="12"/>
          <w:szCs w:val="12"/>
          <w:u w:val="single" w:color="auto"/>
          <w:color w:val="auto"/>
        </w:rPr>
        <w:t>Party</w:t>
      </w:r>
      <w:r>
        <w:rPr>
          <w:rFonts w:ascii="Arial" w:cs="Arial" w:eastAsia="Arial" w:hAnsi="Arial"/>
          <w:sz w:val="12"/>
          <w:szCs w:val="12"/>
          <w:color w:val="auto"/>
        </w:rPr>
        <w:t>” or, collectively, as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208"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RECITALS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Servier possesses expertise in the Research, Development, Manufacturing and Commercialization (each as defined below) of pharmaceutical products;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WHEREAS, MacroGenics controls certain intellectual property related to DARTs generally, certain DARTS targeting CD123, certain DARTS targeting </w:t>
      </w:r>
      <w:r>
        <w:rPr>
          <w:rFonts w:ascii="Arial" w:cs="Arial" w:eastAsia="Arial" w:hAnsi="Arial"/>
          <w:sz w:val="12"/>
          <w:szCs w:val="12"/>
          <w:b w:val="1"/>
          <w:bCs w:val="1"/>
          <w:color w:val="auto"/>
        </w:rPr>
        <w:t>***</w:t>
      </w:r>
      <w:r>
        <w:rPr>
          <w:rFonts w:ascii="Arial" w:cs="Arial" w:eastAsia="Arial" w:hAnsi="Arial"/>
          <w:sz w:val="12"/>
          <w:szCs w:val="12"/>
          <w:color w:val="auto"/>
        </w:rPr>
        <w:t>, and certain DARTS targeting gpA33;</w:t>
      </w:r>
    </w:p>
    <w:p>
      <w:pPr>
        <w:spacing w:after="0" w:line="157" w:lineRule="exact"/>
        <w:rPr>
          <w:sz w:val="20"/>
          <w:szCs w:val="20"/>
          <w:color w:val="auto"/>
        </w:rPr>
      </w:pPr>
    </w:p>
    <w:p>
      <w:pPr>
        <w:ind w:right="300" w:firstLine="458"/>
        <w:spacing w:after="0" w:line="351" w:lineRule="auto"/>
        <w:rPr>
          <w:sz w:val="20"/>
          <w:szCs w:val="20"/>
          <w:color w:val="auto"/>
        </w:rPr>
      </w:pPr>
      <w:r>
        <w:rPr>
          <w:rFonts w:ascii="Arial" w:cs="Arial" w:eastAsia="Arial" w:hAnsi="Arial"/>
          <w:sz w:val="12"/>
          <w:szCs w:val="12"/>
          <w:color w:val="auto"/>
        </w:rPr>
        <w:t>WHEREAS, Servier is interested in receiving an exclusive option to obtain a future license under which it may further research, develop and commercialize such DARTs in the Servier Territory (as defined below), and MacroGenics is willing to grant Servier such an option to obtain a future license on the terms and conditions set forth in this Agreement; and</w:t>
      </w:r>
    </w:p>
    <w:p>
      <w:pPr>
        <w:spacing w:after="0" w:line="56"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WHEREAS the Parties are willing to set forth the terms and conditions of an option grant and an exclusive license to enable Servier to research, develop and commercialize the above mentioned DARTs as further defined hereafter, upon exercise of the exclusive option by Servier.</w:t>
      </w:r>
    </w:p>
    <w:p>
      <w:pPr>
        <w:spacing w:after="0" w:line="101" w:lineRule="exact"/>
        <w:rPr>
          <w:sz w:val="20"/>
          <w:szCs w:val="20"/>
          <w:color w:val="auto"/>
        </w:rPr>
      </w:pPr>
    </w:p>
    <w:p>
      <w:pPr>
        <w:ind w:right="680" w:firstLine="458"/>
        <w:spacing w:after="0" w:line="267" w:lineRule="auto"/>
        <w:rPr>
          <w:sz w:val="20"/>
          <w:szCs w:val="20"/>
          <w:color w:val="auto"/>
        </w:rPr>
      </w:pPr>
      <w:r>
        <w:rPr>
          <w:rFonts w:ascii="Arial" w:cs="Arial" w:eastAsia="Arial" w:hAnsi="Arial"/>
          <w:sz w:val="14"/>
          <w:szCs w:val="14"/>
          <w:color w:val="auto"/>
        </w:rPr>
        <w:t>NOW, THEREFORE, in consideration of the premises and mutual covenants herein contained, and for other good and valuable consideration, the receipt and sufficiency of which are hereby acknowledged, 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DEFINITIONS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used in this Agreement, the following terms will have the meanings set forth in this ARTICLE 1 unless context dictates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 ***</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1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5" w:right="239" w:bottom="1440" w:gutter="0" w:footer="0" w:header="0"/>
        </w:sectPr>
      </w:pPr>
    </w:p>
    <w:bookmarkStart w:id="711" w:name="page712"/>
    <w:bookmarkEnd w:id="711"/>
    <w:p>
      <w:pPr>
        <w:ind w:right="42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1.2 “</w:t>
      </w:r>
      <w:r>
        <w:rPr>
          <w:rFonts w:ascii="Arial" w:cs="Arial" w:eastAsia="Arial" w:hAnsi="Arial"/>
          <w:sz w:val="14"/>
          <w:szCs w:val="14"/>
          <w:u w:val="single" w:color="auto"/>
          <w:color w:val="auto"/>
        </w:rPr>
        <w:t>Accounting Standards</w:t>
      </w:r>
      <w:r>
        <w:rPr>
          <w:rFonts w:ascii="Arial" w:cs="Arial" w:eastAsia="Arial" w:hAnsi="Arial"/>
          <w:sz w:val="14"/>
          <w:szCs w:val="14"/>
          <w:color w:val="auto"/>
        </w:rPr>
        <w:t>” means, with respect to a Person, generally accepted accounting principles as practiced in the United States or, to the extent applicable, IFRS (International Financial Reporting Standards).</w:t>
      </w:r>
    </w:p>
    <w:p>
      <w:pPr>
        <w:spacing w:after="0" w:line="101" w:lineRule="exact"/>
        <w:rPr>
          <w:sz w:val="20"/>
          <w:szCs w:val="20"/>
          <w:color w:val="auto"/>
        </w:rPr>
      </w:pPr>
    </w:p>
    <w:p>
      <w:pPr>
        <w:ind w:right="220" w:firstLine="458"/>
        <w:spacing w:after="0" w:line="253" w:lineRule="auto"/>
        <w:rPr>
          <w:sz w:val="20"/>
          <w:szCs w:val="20"/>
          <w:color w:val="auto"/>
        </w:rPr>
      </w:pPr>
      <w:r>
        <w:rPr>
          <w:rFonts w:ascii="Arial" w:cs="Arial" w:eastAsia="Arial" w:hAnsi="Arial"/>
          <w:sz w:val="14"/>
          <w:szCs w:val="14"/>
          <w:color w:val="auto"/>
        </w:rPr>
        <w:t>1.3 “</w:t>
      </w:r>
      <w:r>
        <w:rPr>
          <w:rFonts w:ascii="Arial" w:cs="Arial" w:eastAsia="Arial" w:hAnsi="Arial"/>
          <w:sz w:val="14"/>
          <w:szCs w:val="14"/>
          <w:u w:val="single" w:color="auto"/>
          <w:color w:val="auto"/>
        </w:rPr>
        <w:t>Affiliate</w:t>
      </w:r>
      <w:r>
        <w:rPr>
          <w:rFonts w:ascii="Arial" w:cs="Arial" w:eastAsia="Arial" w:hAnsi="Arial"/>
          <w:sz w:val="14"/>
          <w:szCs w:val="14"/>
          <w:color w:val="auto"/>
        </w:rPr>
        <w:t>” means, as to a Person, any other Person that, directly or indirectly through one or more intermediaries, controls, is controlled by or is under common control with said first Person, regardless of whether such Affiliate is an Affiliate on the Effective Date or becomes an Affiliate after the Effective Date. A Person shall be deemed to “control” another Person if it (a) owns, directly or indirectly, beneficially or legally, more than fifty percent (50%) of the outstanding voting securities or capital stock (or such lesser percentage which is the maximum allowed to be owned by a Person in a particular jurisdiction) of such other Person, or has other comparable ownership interest with respect to any Person other than a corporation; or (b) has the power, whether pursuant to contract, ownership of securities or otherwise, to direct the management and policies of the Person.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 “</w:t>
      </w:r>
      <w:r>
        <w:rPr>
          <w:rFonts w:ascii="Arial" w:cs="Arial" w:eastAsia="Arial" w:hAnsi="Arial"/>
          <w:sz w:val="14"/>
          <w:szCs w:val="14"/>
          <w:u w:val="single" w:color="auto"/>
          <w:color w:val="auto"/>
        </w:rPr>
        <w:t>Agreement Term</w:t>
      </w:r>
      <w:r>
        <w:rPr>
          <w:rFonts w:ascii="Arial" w:cs="Arial" w:eastAsia="Arial" w:hAnsi="Arial"/>
          <w:sz w:val="14"/>
          <w:szCs w:val="14"/>
          <w:color w:val="auto"/>
        </w:rPr>
        <w:t>” means the period commencing on the Effective Date and ending on the expiration of this Agreement in accordance with the provisions of Section 14.1.</w:t>
      </w:r>
    </w:p>
    <w:p>
      <w:pPr>
        <w:spacing w:after="0" w:line="132" w:lineRule="exact"/>
        <w:rPr>
          <w:sz w:val="20"/>
          <w:szCs w:val="20"/>
          <w:color w:val="auto"/>
        </w:rPr>
      </w:pPr>
    </w:p>
    <w:p>
      <w:pPr>
        <w:ind w:right="320" w:firstLine="458"/>
        <w:spacing w:after="0" w:line="267" w:lineRule="auto"/>
        <w:rPr>
          <w:sz w:val="20"/>
          <w:szCs w:val="20"/>
          <w:color w:val="auto"/>
        </w:rPr>
      </w:pPr>
      <w:r>
        <w:rPr>
          <w:rFonts w:ascii="Arial" w:cs="Arial" w:eastAsia="Arial" w:hAnsi="Arial"/>
          <w:sz w:val="14"/>
          <w:szCs w:val="14"/>
          <w:color w:val="auto"/>
        </w:rPr>
        <w:t>1.5 “</w:t>
      </w:r>
      <w:r>
        <w:rPr>
          <w:rFonts w:ascii="Arial" w:cs="Arial" w:eastAsia="Arial" w:hAnsi="Arial"/>
          <w:sz w:val="14"/>
          <w:szCs w:val="14"/>
          <w:u w:val="single" w:color="auto"/>
          <w:color w:val="auto"/>
        </w:rPr>
        <w:t>Annual Net Sales</w:t>
      </w:r>
      <w:r>
        <w:rPr>
          <w:rFonts w:ascii="Arial" w:cs="Arial" w:eastAsia="Arial" w:hAnsi="Arial"/>
          <w:sz w:val="14"/>
          <w:szCs w:val="14"/>
          <w:color w:val="auto"/>
        </w:rPr>
        <w:t>” means aggregate Net Sales of Licensed Products by Servier or its Affiliates or Sublicensees in any Calendar Year, or in the first year and last year of the Royalty Term, the portion of such Calendar Year during which the Royalty Term is in effect.</w:t>
      </w:r>
    </w:p>
    <w:p>
      <w:pPr>
        <w:spacing w:after="0" w:line="101" w:lineRule="exact"/>
        <w:rPr>
          <w:sz w:val="20"/>
          <w:szCs w:val="20"/>
          <w:color w:val="auto"/>
        </w:rPr>
      </w:pPr>
    </w:p>
    <w:p>
      <w:pPr>
        <w:ind w:right="120" w:firstLine="458"/>
        <w:spacing w:after="0" w:line="258" w:lineRule="auto"/>
        <w:rPr>
          <w:sz w:val="20"/>
          <w:szCs w:val="20"/>
          <w:color w:val="auto"/>
        </w:rPr>
      </w:pPr>
      <w:r>
        <w:rPr>
          <w:rFonts w:ascii="Arial" w:cs="Arial" w:eastAsia="Arial" w:hAnsi="Arial"/>
          <w:sz w:val="14"/>
          <w:szCs w:val="14"/>
          <w:color w:val="auto"/>
        </w:rPr>
        <w:t>1.6 “</w:t>
      </w:r>
      <w:r>
        <w:rPr>
          <w:rFonts w:ascii="Arial" w:cs="Arial" w:eastAsia="Arial" w:hAnsi="Arial"/>
          <w:sz w:val="14"/>
          <w:szCs w:val="14"/>
          <w:u w:val="single" w:color="auto"/>
          <w:color w:val="auto"/>
        </w:rPr>
        <w:t>BLA</w:t>
      </w:r>
      <w:r>
        <w:rPr>
          <w:rFonts w:ascii="Arial" w:cs="Arial" w:eastAsia="Arial" w:hAnsi="Arial"/>
          <w:sz w:val="14"/>
          <w:szCs w:val="14"/>
          <w:color w:val="auto"/>
        </w:rPr>
        <w:t>” means a Biologics License Application and any amendments or supplements thereto filed with the FDA pursuant to 21 C.F.R. Part 601 or any other application required for the purpose of marketing and selling a biological product filed with a Regulatory Authority outside the United States, including with respect to the EU a Product License Application, Marketing Authorization Application and/or manufacturing and importation license.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 “</w:t>
      </w:r>
      <w:r>
        <w:rPr>
          <w:rFonts w:ascii="Arial" w:cs="Arial" w:eastAsia="Arial" w:hAnsi="Arial"/>
          <w:sz w:val="14"/>
          <w:szCs w:val="14"/>
          <w:u w:val="single" w:color="auto"/>
          <w:color w:val="auto"/>
        </w:rPr>
        <w:t>Business Day</w:t>
      </w:r>
      <w:r>
        <w:rPr>
          <w:rFonts w:ascii="Arial" w:cs="Arial" w:eastAsia="Arial" w:hAnsi="Arial"/>
          <w:sz w:val="14"/>
          <w:szCs w:val="14"/>
          <w:color w:val="auto"/>
        </w:rPr>
        <w:t>” means a day on which banking institutions in Washington, DC, USA and Paris, France are open for business, excluding any Saturday or Sunday.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 “</w:t>
      </w:r>
      <w:r>
        <w:rPr>
          <w:rFonts w:ascii="Arial" w:cs="Arial" w:eastAsia="Arial" w:hAnsi="Arial"/>
          <w:sz w:val="14"/>
          <w:szCs w:val="14"/>
          <w:u w:val="single" w:color="auto"/>
          <w:color w:val="auto"/>
        </w:rPr>
        <w:t>Calendar Quarter</w:t>
      </w:r>
      <w:r>
        <w:rPr>
          <w:rFonts w:ascii="Arial" w:cs="Arial" w:eastAsia="Arial" w:hAnsi="Arial"/>
          <w:sz w:val="14"/>
          <w:szCs w:val="14"/>
          <w:color w:val="auto"/>
        </w:rPr>
        <w:t>” means a period of three (3) consecutive months ending on the last day of March, June, September, or December,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Calendar Year</w:t>
      </w:r>
      <w:r>
        <w:rPr>
          <w:rFonts w:ascii="Arial" w:cs="Arial" w:eastAsia="Arial" w:hAnsi="Arial"/>
          <w:sz w:val="14"/>
          <w:szCs w:val="14"/>
          <w:color w:val="auto"/>
        </w:rPr>
        <w:t>” means a period of time commencing on January 1 and ending on the following December 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1.11 “</w:t>
      </w:r>
      <w:r>
        <w:rPr>
          <w:rFonts w:ascii="Arial" w:cs="Arial" w:eastAsia="Arial" w:hAnsi="Arial"/>
          <w:sz w:val="14"/>
          <w:szCs w:val="14"/>
          <w:u w:val="single" w:color="auto"/>
          <w:color w:val="auto"/>
        </w:rPr>
        <w:t>CD123</w:t>
      </w:r>
      <w:r>
        <w:rPr>
          <w:rFonts w:ascii="Arial" w:cs="Arial" w:eastAsia="Arial" w:hAnsi="Arial"/>
          <w:sz w:val="14"/>
          <w:szCs w:val="14"/>
          <w:color w:val="auto"/>
        </w:rPr>
        <w:t>” means the Target referred to as CD123, IL3RA or interleukin 3 receptor, alpha (low affinity) that is defined by Entrez Gene ID 3563.</w:t>
      </w:r>
    </w:p>
    <w:p>
      <w:pPr>
        <w:spacing w:after="0" w:line="13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u w:val="single" w:color="auto"/>
          <w:color w:val="auto"/>
        </w:rPr>
        <w:t>Commercialization</w:t>
      </w:r>
      <w:r>
        <w:rPr>
          <w:rFonts w:ascii="Arial" w:cs="Arial" w:eastAsia="Arial" w:hAnsi="Arial"/>
          <w:sz w:val="14"/>
          <w:szCs w:val="14"/>
          <w:color w:val="auto"/>
        </w:rPr>
        <w:t>” or “</w:t>
      </w:r>
      <w:r>
        <w:rPr>
          <w:rFonts w:ascii="Arial" w:cs="Arial" w:eastAsia="Arial" w:hAnsi="Arial"/>
          <w:sz w:val="14"/>
          <w:szCs w:val="14"/>
          <w:u w:val="single" w:color="auto"/>
          <w:color w:val="auto"/>
        </w:rPr>
        <w:t>Commercialize</w:t>
      </w:r>
      <w:r>
        <w:rPr>
          <w:rFonts w:ascii="Arial" w:cs="Arial" w:eastAsia="Arial" w:hAnsi="Arial"/>
          <w:sz w:val="14"/>
          <w:szCs w:val="14"/>
          <w:color w:val="auto"/>
        </w:rPr>
        <w:t>” means any activities directed to obtaining pricing and/or reimbursement approvals, marketing, promoting, distributing, importing, offering to sell, and/or selling a product (including establishing the price for such product).</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600" w:hanging="1135"/>
        <w:spacing w:after="0" w:line="341" w:lineRule="auto"/>
        <w:tabs>
          <w:tab w:leader="none" w:pos="2944" w:val="left"/>
        </w:tabs>
        <w:numPr>
          <w:ilvl w:val="0"/>
          <w:numId w:val="81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60"/>
          </w:cols>
          <w:pgMar w:left="220" w:top="247" w:right="319" w:bottom="1440" w:gutter="0" w:footer="0" w:header="0"/>
        </w:sectPr>
      </w:pPr>
    </w:p>
    <w:bookmarkStart w:id="712" w:name="page713"/>
    <w:bookmarkEnd w:id="712"/>
    <w:p>
      <w:pPr>
        <w:ind w:firstLine="458"/>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1.13 “</w:t>
      </w:r>
      <w:r>
        <w:rPr>
          <w:rFonts w:ascii="Arial" w:cs="Arial" w:eastAsia="Arial" w:hAnsi="Arial"/>
          <w:sz w:val="12"/>
          <w:szCs w:val="12"/>
          <w:u w:val="single" w:color="auto"/>
          <w:color w:val="auto"/>
        </w:rPr>
        <w:t>Commercially Reasonable Efforts</w:t>
      </w:r>
      <w:r>
        <w:rPr>
          <w:rFonts w:ascii="Arial" w:cs="Arial" w:eastAsia="Arial" w:hAnsi="Arial"/>
          <w:sz w:val="12"/>
          <w:szCs w:val="12"/>
          <w:color w:val="auto"/>
        </w:rPr>
        <w:t xml:space="preserve">” means with respect to a Party, such efforts that are consistent with the efforts and resources normally used by </w:t>
      </w:r>
      <w:r>
        <w:rPr>
          <w:rFonts w:ascii="Arial" w:cs="Arial" w:eastAsia="Arial" w:hAnsi="Arial"/>
          <w:sz w:val="12"/>
          <w:szCs w:val="12"/>
          <w:b w:val="1"/>
          <w:bCs w:val="1"/>
          <w:color w:val="auto"/>
        </w:rPr>
        <w:t>***</w:t>
      </w:r>
      <w:r>
        <w:rPr>
          <w:rFonts w:ascii="Arial" w:cs="Arial" w:eastAsia="Arial" w:hAnsi="Arial"/>
          <w:sz w:val="12"/>
          <w:szCs w:val="12"/>
          <w:color w:val="auto"/>
        </w:rPr>
        <w:t xml:space="preserve"> relating to the Research, Development and Commercialization of products (a) that have scientific attributes similar to those of the relevant Program DART or Licensed Product in oncology, (b) that are at a similar stage in their Research, Development, Commercialization or product life as the relevant Program DART or Licensed Product, and (c) that have commercial and market potential similar to the relevant Program DART or Licensed Product, taking into account issues of intellectual property scope, subject matter and coverage, safety and efficacy, product profile, competitiveness with respect to Third Party products in the marketplace, proprietary position and profitability (including pricing and reimbursement status achieved or likely to be achieved), and (d) solely owned by them or to which they have exclusive rights. If either Party grants a sublicense to an Affiliate or Third Party as permitted under this Agreement, then, with respect to such sublicensee Commercially Reasonable Efforts shall mean the efforts and resources (as defined above in this Section 1.13) normally used by the Party granting the sublicense, qualified by the items in clauses (a) – (d) inclusive.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1.14 “</w:t>
      </w:r>
      <w:r>
        <w:rPr>
          <w:rFonts w:ascii="Arial" w:cs="Arial" w:eastAsia="Arial" w:hAnsi="Arial"/>
          <w:sz w:val="14"/>
          <w:szCs w:val="14"/>
          <w:u w:val="single" w:color="auto"/>
          <w:color w:val="auto"/>
        </w:rPr>
        <w:t>Competing Product</w:t>
      </w:r>
      <w:r>
        <w:rPr>
          <w:rFonts w:ascii="Arial" w:cs="Arial" w:eastAsia="Arial" w:hAnsi="Arial"/>
          <w:sz w:val="14"/>
          <w:szCs w:val="14"/>
          <w:color w:val="auto"/>
        </w:rPr>
        <w:t>” means any product that *** binds a Program Target, is specifically ***, and achieves its intended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1.15 “</w:t>
      </w:r>
      <w:r>
        <w:rPr>
          <w:rFonts w:ascii="Arial" w:cs="Arial" w:eastAsia="Arial" w:hAnsi="Arial"/>
          <w:sz w:val="12"/>
          <w:szCs w:val="12"/>
          <w:u w:val="single" w:color="auto"/>
          <w:color w:val="auto"/>
        </w:rPr>
        <w:t>Complete</w:t>
      </w:r>
      <w:r>
        <w:rPr>
          <w:rFonts w:ascii="Arial" w:cs="Arial" w:eastAsia="Arial" w:hAnsi="Arial"/>
          <w:sz w:val="12"/>
          <w:szCs w:val="12"/>
          <w:color w:val="auto"/>
        </w:rPr>
        <w:t>” or “</w:t>
      </w:r>
      <w:r>
        <w:rPr>
          <w:rFonts w:ascii="Arial" w:cs="Arial" w:eastAsia="Arial" w:hAnsi="Arial"/>
          <w:sz w:val="12"/>
          <w:szCs w:val="12"/>
          <w:u w:val="single" w:color="auto"/>
          <w:color w:val="auto"/>
        </w:rPr>
        <w:t>Completing</w:t>
      </w:r>
      <w:r>
        <w:rPr>
          <w:rFonts w:ascii="Arial" w:cs="Arial" w:eastAsia="Arial" w:hAnsi="Arial"/>
          <w:sz w:val="12"/>
          <w:szCs w:val="12"/>
          <w:color w:val="auto"/>
        </w:rPr>
        <w:t>” means, for a clinical trial, the date upon which all patients have completed protocol-defined drug administration and study database lock has occurred.</w:t>
      </w:r>
    </w:p>
    <w:p>
      <w:pPr>
        <w:spacing w:after="0" w:line="155" w:lineRule="exact"/>
        <w:rPr>
          <w:sz w:val="20"/>
          <w:szCs w:val="20"/>
          <w:color w:val="auto"/>
        </w:rPr>
      </w:pPr>
    </w:p>
    <w:p>
      <w:pPr>
        <w:ind w:right="40" w:firstLine="458"/>
        <w:spacing w:after="0" w:line="302" w:lineRule="auto"/>
        <w:rPr>
          <w:sz w:val="20"/>
          <w:szCs w:val="20"/>
          <w:color w:val="auto"/>
        </w:rPr>
      </w:pPr>
      <w:r>
        <w:rPr>
          <w:rFonts w:ascii="Arial" w:cs="Arial" w:eastAsia="Arial" w:hAnsi="Arial"/>
          <w:sz w:val="12"/>
          <w:szCs w:val="12"/>
          <w:color w:val="auto"/>
        </w:rPr>
        <w:t>1.16 “</w:t>
      </w:r>
      <w:r>
        <w:rPr>
          <w:rFonts w:ascii="Arial" w:cs="Arial" w:eastAsia="Arial" w:hAnsi="Arial"/>
          <w:sz w:val="12"/>
          <w:szCs w:val="12"/>
          <w:u w:val="single" w:color="auto"/>
          <w:color w:val="auto"/>
        </w:rPr>
        <w:t>Control</w:t>
      </w:r>
      <w:r>
        <w:rPr>
          <w:rFonts w:ascii="Arial" w:cs="Arial" w:eastAsia="Arial" w:hAnsi="Arial"/>
          <w:sz w:val="12"/>
          <w:szCs w:val="12"/>
          <w:color w:val="auto"/>
        </w:rPr>
        <w:t>,” “</w:t>
      </w:r>
      <w:r>
        <w:rPr>
          <w:rFonts w:ascii="Arial" w:cs="Arial" w:eastAsia="Arial" w:hAnsi="Arial"/>
          <w:sz w:val="12"/>
          <w:szCs w:val="12"/>
          <w:u w:val="single" w:color="auto"/>
          <w:color w:val="auto"/>
        </w:rPr>
        <w:t>Controls</w:t>
      </w:r>
      <w:r>
        <w:rPr>
          <w:rFonts w:ascii="Arial" w:cs="Arial" w:eastAsia="Arial" w:hAnsi="Arial"/>
          <w:sz w:val="12"/>
          <w:szCs w:val="12"/>
          <w:color w:val="auto"/>
        </w:rPr>
        <w:t>,” “</w:t>
      </w:r>
      <w:r>
        <w:rPr>
          <w:rFonts w:ascii="Arial" w:cs="Arial" w:eastAsia="Arial" w:hAnsi="Arial"/>
          <w:sz w:val="12"/>
          <w:szCs w:val="12"/>
          <w:u w:val="single" w:color="auto"/>
          <w:color w:val="auto"/>
        </w:rPr>
        <w:t>Controlled</w:t>
      </w:r>
      <w:r>
        <w:rPr>
          <w:rFonts w:ascii="Arial" w:cs="Arial" w:eastAsia="Arial" w:hAnsi="Arial"/>
          <w:sz w:val="12"/>
          <w:szCs w:val="12"/>
          <w:color w:val="auto"/>
        </w:rPr>
        <w:t>” or “</w:t>
      </w:r>
      <w:r>
        <w:rPr>
          <w:rFonts w:ascii="Arial" w:cs="Arial" w:eastAsia="Arial" w:hAnsi="Arial"/>
          <w:sz w:val="12"/>
          <w:szCs w:val="12"/>
          <w:u w:val="single" w:color="auto"/>
          <w:color w:val="auto"/>
        </w:rPr>
        <w:t>Controlling</w:t>
      </w:r>
      <w:r>
        <w:rPr>
          <w:rFonts w:ascii="Arial" w:cs="Arial" w:eastAsia="Arial" w:hAnsi="Arial"/>
          <w:sz w:val="12"/>
          <w:szCs w:val="12"/>
          <w:color w:val="auto"/>
        </w:rPr>
        <w:t xml:space="preserve">” means, with respect to any item of or right under an intellectual property right, the possession (whether by ownership or license, other than pursuant to this Agreement) of the ability of a Party to grant access to, or a license or sublicense of, such items or right as provided for herein without violating the terms of any agreement or other arrangement with any Third Party existing at the time such Party would be required hereunder to grant the other Party such access or license or sublicense;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intellectual property right that is licensed or acquired by a Party after the Effective Date </w:t>
      </w:r>
      <w:r>
        <w:rPr>
          <w:rFonts w:ascii="Arial" w:cs="Arial" w:eastAsia="Arial" w:hAnsi="Arial"/>
          <w:sz w:val="12"/>
          <w:szCs w:val="12"/>
          <w:b w:val="1"/>
          <w:bCs w:val="1"/>
          <w:color w:val="auto"/>
        </w:rPr>
        <w:t>***</w:t>
      </w:r>
      <w:r>
        <w:rPr>
          <w:rFonts w:ascii="Arial" w:cs="Arial" w:eastAsia="Arial" w:hAnsi="Arial"/>
          <w:sz w:val="12"/>
          <w:szCs w:val="12"/>
          <w:color w:val="auto"/>
        </w:rPr>
        <w:t xml:space="preserve"> and that would otherwise be considered to be under the Control of such Party shall not be deemed to be under the Control of such Party if the application of such definition in the context of any licenses or sublicenses granted to the other Party under this Agreement would require the granting Party to make any additional payments or royalties to a Third Party in connection with such license or sublicense grants, unless the other Party agrees to pay the additional payments or royalties to the Third Party.</w:t>
      </w:r>
    </w:p>
    <w:p>
      <w:pPr>
        <w:spacing w:after="0" w:line="86" w:lineRule="exact"/>
        <w:rPr>
          <w:sz w:val="20"/>
          <w:szCs w:val="20"/>
          <w:color w:val="auto"/>
        </w:rPr>
      </w:pPr>
    </w:p>
    <w:p>
      <w:pPr>
        <w:ind w:right="100" w:firstLine="458"/>
        <w:spacing w:after="0" w:line="258"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u w:val="single" w:color="auto"/>
          <w:color w:val="auto"/>
        </w:rPr>
        <w:t>Cover</w:t>
      </w:r>
      <w:r>
        <w:rPr>
          <w:rFonts w:ascii="Arial" w:cs="Arial" w:eastAsia="Arial" w:hAnsi="Arial"/>
          <w:sz w:val="14"/>
          <w:szCs w:val="14"/>
          <w:color w:val="auto"/>
        </w:rPr>
        <w:t>”, “</w:t>
      </w:r>
      <w:r>
        <w:rPr>
          <w:rFonts w:ascii="Arial" w:cs="Arial" w:eastAsia="Arial" w:hAnsi="Arial"/>
          <w:sz w:val="14"/>
          <w:szCs w:val="14"/>
          <w:u w:val="single" w:color="auto"/>
          <w:color w:val="auto"/>
        </w:rPr>
        <w:t>Covering</w:t>
      </w:r>
      <w:r>
        <w:rPr>
          <w:rFonts w:ascii="Arial" w:cs="Arial" w:eastAsia="Arial" w:hAnsi="Arial"/>
          <w:sz w:val="14"/>
          <w:szCs w:val="14"/>
          <w:color w:val="auto"/>
        </w:rPr>
        <w:t>” or “</w:t>
      </w:r>
      <w:r>
        <w:rPr>
          <w:rFonts w:ascii="Arial" w:cs="Arial" w:eastAsia="Arial" w:hAnsi="Arial"/>
          <w:sz w:val="14"/>
          <w:szCs w:val="14"/>
          <w:u w:val="single" w:color="auto"/>
          <w:color w:val="auto"/>
        </w:rPr>
        <w:t>Covered</w:t>
      </w:r>
      <w:r>
        <w:rPr>
          <w:rFonts w:ascii="Arial" w:cs="Arial" w:eastAsia="Arial" w:hAnsi="Arial"/>
          <w:sz w:val="14"/>
          <w:szCs w:val="14"/>
          <w:color w:val="auto"/>
        </w:rPr>
        <w:t>” means, with respect to a product, technology, process or method that, in the absence of ownership of or a license granted under a Valid Claim, the manufacture, use, offer for sale, sale or importation of such product or the practice of such technology, process or method would infringe such Valid Claim (or, in the case of a Valid Claim that has not yet issued, would infringe such Valid Claim if it were to issue).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1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5" w:right="259" w:bottom="1440" w:gutter="0" w:footer="0" w:header="0"/>
        </w:sectPr>
      </w:pPr>
    </w:p>
    <w:bookmarkStart w:id="713" w:name="page714"/>
    <w:bookmarkEnd w:id="713"/>
    <w:p>
      <w:pPr>
        <w:ind w:right="6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1.18 “</w:t>
      </w:r>
      <w:r>
        <w:rPr>
          <w:rFonts w:ascii="Arial" w:cs="Arial" w:eastAsia="Arial" w:hAnsi="Arial"/>
          <w:sz w:val="14"/>
          <w:szCs w:val="14"/>
          <w:u w:val="single" w:color="auto"/>
          <w:color w:val="auto"/>
        </w:rPr>
        <w:t>DART</w:t>
      </w:r>
      <w:r>
        <w:rPr>
          <w:rFonts w:ascii="Arial" w:cs="Arial" w:eastAsia="Arial" w:hAnsi="Arial"/>
          <w:sz w:val="14"/>
          <w:szCs w:val="14"/>
          <w:color w:val="auto"/>
        </w:rPr>
        <w:t>” means a dual affinity re-targeting molecule , including but not limited to those described in Exhibit A, with one arm that binds principally to a Target expressed on an immune effector cell (e.g., a T-cell) and with the second arm that binds principally to a different Target expressed on a cancer cell.</w:t>
      </w:r>
    </w:p>
    <w:p>
      <w:pPr>
        <w:spacing w:after="0" w:line="101" w:lineRule="exact"/>
        <w:rPr>
          <w:sz w:val="20"/>
          <w:szCs w:val="20"/>
          <w:color w:val="auto"/>
        </w:rPr>
      </w:pPr>
    </w:p>
    <w:p>
      <w:pPr>
        <w:ind w:right="20" w:firstLine="458"/>
        <w:spacing w:after="0" w:line="253" w:lineRule="auto"/>
        <w:rPr>
          <w:sz w:val="20"/>
          <w:szCs w:val="20"/>
          <w:color w:val="auto"/>
        </w:rPr>
      </w:pPr>
      <w:r>
        <w:rPr>
          <w:rFonts w:ascii="Arial" w:cs="Arial" w:eastAsia="Arial" w:hAnsi="Arial"/>
          <w:sz w:val="14"/>
          <w:szCs w:val="14"/>
          <w:color w:val="auto"/>
        </w:rPr>
        <w:t>1.19 “</w:t>
      </w:r>
      <w:r>
        <w:rPr>
          <w:rFonts w:ascii="Arial" w:cs="Arial" w:eastAsia="Arial" w:hAnsi="Arial"/>
          <w:sz w:val="14"/>
          <w:szCs w:val="14"/>
          <w:u w:val="single" w:color="auto"/>
          <w:color w:val="auto"/>
        </w:rPr>
        <w:t>Develop</w:t>
      </w:r>
      <w:r>
        <w:rPr>
          <w:rFonts w:ascii="Arial" w:cs="Arial" w:eastAsia="Arial" w:hAnsi="Arial"/>
          <w:sz w:val="14"/>
          <w:szCs w:val="14"/>
          <w:color w:val="auto"/>
        </w:rPr>
        <w:t>” or “</w:t>
      </w:r>
      <w:r>
        <w:rPr>
          <w:rFonts w:ascii="Arial" w:cs="Arial" w:eastAsia="Arial" w:hAnsi="Arial"/>
          <w:sz w:val="14"/>
          <w:szCs w:val="14"/>
          <w:u w:val="single" w:color="auto"/>
          <w:color w:val="auto"/>
        </w:rPr>
        <w:t>Development</w:t>
      </w:r>
      <w:r>
        <w:rPr>
          <w:rFonts w:ascii="Arial" w:cs="Arial" w:eastAsia="Arial" w:hAnsi="Arial"/>
          <w:sz w:val="14"/>
          <w:szCs w:val="14"/>
          <w:color w:val="auto"/>
        </w:rPr>
        <w:t>” means drug development activities relating to the development of compounds, products, or processes, and submission of information to a Regulatory Authority for the purpose of obtaining Regulatory Approval of a product. Development includes non-clinical activities, pharmacology studies, toxicology studies, formulation, chemical analysis, bioanalytical analysis, material performance studies (such as measurements of stability, physical form, dissolution, or visual or spectroscopic analysis, and the like), pharmacokinetic studies, clinical studies, biomarker and companion diagnostic discovery and development, regulatory affairs activities, and all other activities relating to seeking, obtaining or maintaining any Regulatory Approvals from the FDA or any other applicable Regulatory Authority.</w:t>
      </w:r>
    </w:p>
    <w:p>
      <w:pPr>
        <w:spacing w:after="0" w:line="113"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Development Costs</w:t>
      </w:r>
      <w:r>
        <w:rPr>
          <w:rFonts w:ascii="Arial" w:cs="Arial" w:eastAsia="Arial" w:hAnsi="Arial"/>
          <w:sz w:val="12"/>
          <w:szCs w:val="12"/>
          <w:color w:val="auto"/>
        </w:rPr>
        <w:t xml:space="preserve">” means the costs and expenses incurred by a Party or its Affiliates, attributable to, or reasonably allocable to, the Development of a Program DART or Licensed Product and that are consistent, if applicable, with the applicable Development Budget and do not exceed the relevant amount set forth in such Development Budget by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unless approved in writing by the JRDC and such other costs as are expressly approved in writing by the JRDC as “Development costs”. “Development Costs” shall include (a) Out-of-Pocket Costs and (b) FTE Costs of internal personnel that are attributable or reasonably allocable to the Development of such Program DART or Licensed Product determined in accordance with applicable Accounting Standards of such Party.</w:t>
      </w:r>
    </w:p>
    <w:p>
      <w:pPr>
        <w:spacing w:after="0" w:line="79" w:lineRule="exact"/>
        <w:rPr>
          <w:sz w:val="20"/>
          <w:szCs w:val="20"/>
          <w:color w:val="auto"/>
        </w:rPr>
      </w:pPr>
    </w:p>
    <w:p>
      <w:pPr>
        <w:ind w:right="420" w:firstLine="458"/>
        <w:spacing w:after="0" w:line="267"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u w:val="single" w:color="auto"/>
          <w:color w:val="auto"/>
        </w:rPr>
        <w:t>Diagnostic</w:t>
      </w:r>
      <w:r>
        <w:rPr>
          <w:rFonts w:ascii="Arial" w:cs="Arial" w:eastAsia="Arial" w:hAnsi="Arial"/>
          <w:sz w:val="14"/>
          <w:szCs w:val="14"/>
          <w:color w:val="auto"/>
        </w:rPr>
        <w:t>” means any companion diagnostic for a tumor expressing a Program Target that is (a) Developed in combination with a Program DART and/or Licensed Product; and (b) used in combination with a Licensed Product.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1.22 “</w:t>
      </w:r>
      <w:r>
        <w:rPr>
          <w:rFonts w:ascii="Arial" w:cs="Arial" w:eastAsia="Arial" w:hAnsi="Arial"/>
          <w:sz w:val="14"/>
          <w:szCs w:val="14"/>
          <w:u w:val="single" w:color="auto"/>
          <w:color w:val="auto"/>
        </w:rPr>
        <w:t>Dollars</w:t>
      </w:r>
      <w:r>
        <w:rPr>
          <w:rFonts w:ascii="Arial" w:cs="Arial" w:eastAsia="Arial" w:hAnsi="Arial"/>
          <w:sz w:val="14"/>
          <w:szCs w:val="14"/>
          <w:color w:val="auto"/>
        </w:rPr>
        <w:t>” or “</w:t>
      </w:r>
      <w:r>
        <w:rPr>
          <w:rFonts w:ascii="Arial" w:cs="Arial" w:eastAsia="Arial" w:hAnsi="Arial"/>
          <w:sz w:val="14"/>
          <w:szCs w:val="14"/>
          <w:u w:val="single" w:color="auto"/>
          <w:color w:val="auto"/>
        </w:rPr>
        <w:t>$</w:t>
      </w:r>
      <w:r>
        <w:rPr>
          <w:rFonts w:ascii="Arial" w:cs="Arial" w:eastAsia="Arial" w:hAnsi="Arial"/>
          <w:sz w:val="14"/>
          <w:szCs w:val="14"/>
          <w:color w:val="auto"/>
        </w:rPr>
        <w:t>” means the legal tender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1.23 “</w:t>
      </w:r>
      <w:r>
        <w:rPr>
          <w:rFonts w:ascii="Arial" w:cs="Arial" w:eastAsia="Arial" w:hAnsi="Arial"/>
          <w:sz w:val="14"/>
          <w:szCs w:val="14"/>
          <w:u w:val="single" w:color="auto"/>
          <w:color w:val="auto"/>
        </w:rPr>
        <w:t>EMA</w:t>
      </w:r>
      <w:r>
        <w:rPr>
          <w:rFonts w:ascii="Arial" w:cs="Arial" w:eastAsia="Arial" w:hAnsi="Arial"/>
          <w:sz w:val="14"/>
          <w:szCs w:val="14"/>
          <w:color w:val="auto"/>
        </w:rPr>
        <w:t>” means the European Medicines Agency, or any successor entity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1.24 “</w:t>
      </w:r>
      <w:r>
        <w:rPr>
          <w:rFonts w:ascii="Arial" w:cs="Arial" w:eastAsia="Arial" w:hAnsi="Arial"/>
          <w:sz w:val="14"/>
          <w:szCs w:val="14"/>
          <w:u w:val="single" w:color="auto"/>
          <w:color w:val="auto"/>
        </w:rPr>
        <w:t>EU</w:t>
      </w:r>
      <w:r>
        <w:rPr>
          <w:rFonts w:ascii="Arial" w:cs="Arial" w:eastAsia="Arial" w:hAnsi="Arial"/>
          <w:sz w:val="14"/>
          <w:szCs w:val="14"/>
          <w:color w:val="auto"/>
        </w:rPr>
        <w:t>” means the European Union, as its membership may be altered from time to time, and any successor thereto.</w:t>
      </w:r>
    </w:p>
    <w:p>
      <w:pPr>
        <w:spacing w:after="0" w:line="132" w:lineRule="exact"/>
        <w:rPr>
          <w:sz w:val="20"/>
          <w:szCs w:val="20"/>
          <w:color w:val="auto"/>
        </w:rPr>
      </w:pPr>
    </w:p>
    <w:p>
      <w:pPr>
        <w:ind w:right="40" w:firstLine="458"/>
        <w:spacing w:after="0" w:line="351" w:lineRule="auto"/>
        <w:rPr>
          <w:sz w:val="20"/>
          <w:szCs w:val="20"/>
          <w:color w:val="auto"/>
        </w:rPr>
      </w:pPr>
      <w:r>
        <w:rPr>
          <w:rFonts w:ascii="Arial" w:cs="Arial" w:eastAsia="Arial" w:hAnsi="Arial"/>
          <w:sz w:val="12"/>
          <w:szCs w:val="12"/>
          <w:color w:val="auto"/>
        </w:rPr>
        <w:t>1.25 “</w:t>
      </w:r>
      <w:r>
        <w:rPr>
          <w:rFonts w:ascii="Arial" w:cs="Arial" w:eastAsia="Arial" w:hAnsi="Arial"/>
          <w:sz w:val="12"/>
          <w:szCs w:val="12"/>
          <w:u w:val="single" w:color="auto"/>
          <w:color w:val="auto"/>
        </w:rPr>
        <w:t>Excluded Data</w:t>
      </w:r>
      <w:r>
        <w:rPr>
          <w:rFonts w:ascii="Arial" w:cs="Arial" w:eastAsia="Arial" w:hAnsi="Arial"/>
          <w:sz w:val="12"/>
          <w:szCs w:val="12"/>
          <w:color w:val="auto"/>
        </w:rPr>
        <w:t>” means any Know-How, other than Safety Data, generated by a Party in the conduct of Development activities in accordance with a Development Collaboration Proposal where the other Party has declined to participate in such Development Collaboration Proposal and has not paid the Buy-In Amount in accordance with Section 5.4.2(b)(iv).</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1.26 “</w:t>
      </w:r>
      <w:r>
        <w:rPr>
          <w:rFonts w:ascii="Arial" w:cs="Arial" w:eastAsia="Arial" w:hAnsi="Arial"/>
          <w:sz w:val="14"/>
          <w:szCs w:val="14"/>
          <w:u w:val="single" w:color="auto"/>
          <w:color w:val="auto"/>
        </w:rPr>
        <w:t>FDA</w:t>
      </w:r>
      <w:r>
        <w:rPr>
          <w:rFonts w:ascii="Arial" w:cs="Arial" w:eastAsia="Arial" w:hAnsi="Arial"/>
          <w:sz w:val="14"/>
          <w:szCs w:val="14"/>
          <w:color w:val="auto"/>
        </w:rPr>
        <w:t>” means the U.S. Food and Drug Administration, or any successor entity thereto.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1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714" w:name="page715"/>
    <w:bookmarkEnd w:id="71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1.27 “</w:t>
      </w:r>
      <w:r>
        <w:rPr>
          <w:rFonts w:ascii="Arial" w:cs="Arial" w:eastAsia="Arial" w:hAnsi="Arial"/>
          <w:sz w:val="14"/>
          <w:szCs w:val="14"/>
          <w:u w:val="single" w:color="auto"/>
          <w:color w:val="auto"/>
        </w:rPr>
        <w:t>FD&amp;C Act</w:t>
      </w:r>
      <w:r>
        <w:rPr>
          <w:rFonts w:ascii="Arial" w:cs="Arial" w:eastAsia="Arial" w:hAnsi="Arial"/>
          <w:sz w:val="14"/>
          <w:szCs w:val="14"/>
          <w:color w:val="auto"/>
        </w:rPr>
        <w:t>” means the United States Federal Food, Drug, and Cosmetic Act, as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u w:val="single" w:color="auto"/>
          <w:color w:val="auto"/>
        </w:rPr>
        <w:t>Field</w:t>
      </w:r>
      <w:r>
        <w:rPr>
          <w:rFonts w:ascii="Arial" w:cs="Arial" w:eastAsia="Arial" w:hAnsi="Arial"/>
          <w:sz w:val="14"/>
          <w:szCs w:val="14"/>
          <w:color w:val="auto"/>
        </w:rPr>
        <w:t>” means all human fields of use (including treatment and diagnosis).</w:t>
      </w:r>
    </w:p>
    <w:p>
      <w:pPr>
        <w:spacing w:after="0" w:line="132"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u w:val="single" w:color="auto"/>
          <w:color w:val="auto"/>
        </w:rPr>
        <w:t>First Commercial Sale</w:t>
      </w:r>
      <w:r>
        <w:rPr>
          <w:rFonts w:ascii="Arial" w:cs="Arial" w:eastAsia="Arial" w:hAnsi="Arial"/>
          <w:sz w:val="14"/>
          <w:szCs w:val="14"/>
          <w:color w:val="auto"/>
        </w:rPr>
        <w:t>” means the first sale of a Licensed Product by Servier, its Affiliates or its Sublicensees for use or consumption of such Licensed Product in a country in the Servier Territory where Regulatory Approval of such Licensed Product has been obtained or otherwise permitted for sale by the Governmental Authority of such country. Sale of a Licensed Product by Servier to an Affiliate of Servier or a Sublicensee of Servier shall not constitute a First Commercial Sale unless such Affiliate or such Sublicensee is the end user of a Licensed Product. In no event shall any sales for premarketing, testing or sampling be deemed a First Commercial Sale.</w:t>
      </w:r>
    </w:p>
    <w:p>
      <w:pPr>
        <w:spacing w:after="0" w:line="108" w:lineRule="exact"/>
        <w:rPr>
          <w:sz w:val="20"/>
          <w:szCs w:val="20"/>
          <w:color w:val="auto"/>
        </w:rPr>
      </w:pPr>
    </w:p>
    <w:p>
      <w:pPr>
        <w:ind w:right="60" w:firstLine="458"/>
        <w:spacing w:after="0" w:line="259"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u w:val="single" w:color="auto"/>
          <w:color w:val="auto"/>
        </w:rPr>
        <w:t>FTE</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 xml:space="preserve"> of work devoted to or in support of the Development or Manufacture of Program DARTs and Licensed Product in accordance with a Global Development Plan or as required under Section 7.2, that is carried out by one or more qualified scientific or technical employees or contract personnel of MacroGenics or its Affiliates, or Servier or its Affiliates, as measured in accordance with the relevant Party’s normal time allocation practices.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1.31 “</w:t>
      </w:r>
      <w:r>
        <w:rPr>
          <w:rFonts w:ascii="Arial" w:cs="Arial" w:eastAsia="Arial" w:hAnsi="Arial"/>
          <w:sz w:val="14"/>
          <w:szCs w:val="14"/>
          <w:u w:val="single" w:color="auto"/>
          <w:color w:val="auto"/>
        </w:rPr>
        <w:t>FTE Cost</w:t>
      </w:r>
      <w:r>
        <w:rPr>
          <w:rFonts w:ascii="Arial" w:cs="Arial" w:eastAsia="Arial" w:hAnsi="Arial"/>
          <w:sz w:val="14"/>
          <w:szCs w:val="14"/>
          <w:color w:val="auto"/>
        </w:rPr>
        <w:t>” means, for any period, the FTE Rate multiplied by the number of FTEs in such period.</w:t>
      </w:r>
    </w:p>
    <w:p>
      <w:pPr>
        <w:spacing w:after="0" w:line="130" w:lineRule="exact"/>
        <w:rPr>
          <w:sz w:val="20"/>
          <w:szCs w:val="20"/>
          <w:color w:val="auto"/>
        </w:rPr>
      </w:pPr>
    </w:p>
    <w:p>
      <w:pPr>
        <w:ind w:right="300" w:firstLine="458"/>
        <w:spacing w:after="0" w:line="270"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u w:val="single" w:color="auto"/>
          <w:color w:val="auto"/>
        </w:rPr>
        <w:t>FTE Rate</w:t>
      </w:r>
      <w:r>
        <w:rPr>
          <w:rFonts w:ascii="Arial" w:cs="Arial" w:eastAsia="Arial" w:hAnsi="Arial"/>
          <w:sz w:val="14"/>
          <w:szCs w:val="14"/>
          <w:color w:val="auto"/>
        </w:rPr>
        <w:t xml:space="preserve">” means a rate of </w:t>
      </w:r>
      <w:r>
        <w:rPr>
          <w:rFonts w:ascii="Arial" w:cs="Arial" w:eastAsia="Arial" w:hAnsi="Arial"/>
          <w:sz w:val="14"/>
          <w:szCs w:val="14"/>
          <w:b w:val="1"/>
          <w:bCs w:val="1"/>
          <w:color w:val="auto"/>
        </w:rPr>
        <w:t>***</w:t>
      </w:r>
      <w:r>
        <w:rPr>
          <w:rFonts w:ascii="Arial" w:cs="Arial" w:eastAsia="Arial" w:hAnsi="Arial"/>
          <w:sz w:val="14"/>
          <w:szCs w:val="14"/>
          <w:color w:val="auto"/>
        </w:rPr>
        <w:t xml:space="preserve"> per FTE per Calendar Year (pro-rated for the period beginning on the Effective Date and ending at the end of the first Calendar Year) for personnel engaged in Development and Manufacturing activities. The FTE Rate is “fully burdened” and will cover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9" w:lineRule="exact"/>
        <w:rPr>
          <w:sz w:val="20"/>
          <w:szCs w:val="20"/>
          <w:color w:val="auto"/>
        </w:rPr>
      </w:pPr>
    </w:p>
    <w:p>
      <w:pPr>
        <w:ind w:right="20" w:firstLine="458"/>
        <w:spacing w:after="0" w:line="302" w:lineRule="auto"/>
        <w:rPr>
          <w:sz w:val="20"/>
          <w:szCs w:val="20"/>
          <w:color w:val="auto"/>
        </w:rPr>
      </w:pPr>
      <w:r>
        <w:rPr>
          <w:rFonts w:ascii="Arial" w:cs="Arial" w:eastAsia="Arial" w:hAnsi="Arial"/>
          <w:sz w:val="12"/>
          <w:szCs w:val="12"/>
          <w:color w:val="auto"/>
        </w:rPr>
        <w:t>1.33 “</w:t>
      </w:r>
      <w:r>
        <w:rPr>
          <w:rFonts w:ascii="Arial" w:cs="Arial" w:eastAsia="Arial" w:hAnsi="Arial"/>
          <w:sz w:val="12"/>
          <w:szCs w:val="12"/>
          <w:u w:val="single" w:color="auto"/>
          <w:color w:val="auto"/>
        </w:rPr>
        <w:t>Fully Burdened Manufacturing Cost</w:t>
      </w:r>
      <w:r>
        <w:rPr>
          <w:rFonts w:ascii="Arial" w:cs="Arial" w:eastAsia="Arial" w:hAnsi="Arial"/>
          <w:sz w:val="12"/>
          <w:szCs w:val="12"/>
          <w:color w:val="auto"/>
        </w:rPr>
        <w:t xml:space="preserve">” means with respect to a Program DART or Licensed Product, the aggregate of internal and external costs of MacroGenics and its Affiliates to Manufacture such Program DART or Licensed Product, calculated as follows: (a) to the extent that MacroGenics or its Affiliates perform all or any part of the Manufacturing of such Program DART or Licensed Product, the direct material costs </w:t>
      </w:r>
      <w:r>
        <w:rPr>
          <w:rFonts w:ascii="Arial" w:cs="Arial" w:eastAsia="Arial" w:hAnsi="Arial"/>
          <w:sz w:val="12"/>
          <w:szCs w:val="12"/>
          <w:b w:val="1"/>
          <w:bCs w:val="1"/>
          <w:color w:val="auto"/>
        </w:rPr>
        <w:t>***</w:t>
      </w:r>
      <w:r>
        <w:rPr>
          <w:rFonts w:ascii="Arial" w:cs="Arial" w:eastAsia="Arial" w:hAnsi="Arial"/>
          <w:sz w:val="12"/>
          <w:szCs w:val="12"/>
          <w:color w:val="auto"/>
        </w:rPr>
        <w:t xml:space="preserve"> and FTE Costs for such Manufacturing of such Program DART or Licensed Product </w:t>
      </w:r>
      <w:r>
        <w:rPr>
          <w:rFonts w:ascii="Arial" w:cs="Arial" w:eastAsia="Arial" w:hAnsi="Arial"/>
          <w:sz w:val="12"/>
          <w:szCs w:val="12"/>
          <w:b w:val="1"/>
          <w:bCs w:val="1"/>
          <w:color w:val="auto"/>
        </w:rPr>
        <w:t>***</w:t>
      </w:r>
      <w:r>
        <w:rPr>
          <w:rFonts w:ascii="Arial" w:cs="Arial" w:eastAsia="Arial" w:hAnsi="Arial"/>
          <w:sz w:val="12"/>
          <w:szCs w:val="12"/>
          <w:color w:val="auto"/>
        </w:rPr>
        <w:t xml:space="preserve">, all calculated in accordance with applicable Accounting Standards as consistently applied by MacroGenics or its Affiliates; and (b) to the extent that Manufacturing of such Program DART or Licensed Product is performed by a Third Party, the costs paid to such Third Party for such activities *** and the reasonable direct FTE Costs incurred by MacroGenics or any of its Affiliates in managing and overseeing the Third Party relationship, determined in accordance with applicable Accounting Standards as consistently applied by MacroGenics or its Affiliates. Fully Burdened Manufacturing Cost shall also include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86"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u w:val="single" w:color="auto"/>
          <w:color w:val="auto"/>
        </w:rPr>
        <w:t>Generic Competition</w:t>
      </w:r>
      <w:r>
        <w:rPr>
          <w:rFonts w:ascii="Arial" w:cs="Arial" w:eastAsia="Arial" w:hAnsi="Arial"/>
          <w:sz w:val="14"/>
          <w:szCs w:val="14"/>
          <w:color w:val="auto"/>
        </w:rPr>
        <w:t>” means, with respect to a given Calendar Quarter with respect to a Licensed Product in any country, that during such Calendar Quarter, one (1) or more Third Parties sell in such country a Generic Product, such Generic Product shall be commercially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1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715" w:name="page716"/>
    <w:bookmarkEnd w:id="715"/>
    <w:p>
      <w:pPr>
        <w:jc w:val="both"/>
        <w:ind w:right="1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available in such country and such Generic Product shall have, in the aggregate, a *** or more market share of the aggregate of Licensed Products and Generic Products (based on data provided by IMS Health Incorporated, Fairfield, Connecticut) as measured on a ***, or if such data is not available, the Parties shall agree upon a methodology for estimating the percentage of unit sales based market share of Generic Products in such country.</w:t>
      </w:r>
    </w:p>
    <w:p>
      <w:pPr>
        <w:spacing w:after="0" w:line="108" w:lineRule="exact"/>
        <w:rPr>
          <w:sz w:val="20"/>
          <w:szCs w:val="20"/>
          <w:color w:val="auto"/>
        </w:rPr>
      </w:pPr>
    </w:p>
    <w:p>
      <w:pPr>
        <w:ind w:right="20" w:firstLine="458"/>
        <w:spacing w:after="0" w:line="305" w:lineRule="auto"/>
        <w:rPr>
          <w:sz w:val="20"/>
          <w:szCs w:val="20"/>
          <w:color w:val="auto"/>
        </w:rPr>
      </w:pPr>
      <w:r>
        <w:rPr>
          <w:rFonts w:ascii="Arial" w:cs="Arial" w:eastAsia="Arial" w:hAnsi="Arial"/>
          <w:sz w:val="12"/>
          <w:szCs w:val="12"/>
          <w:color w:val="auto"/>
        </w:rPr>
        <w:t>1.35 “</w:t>
      </w:r>
      <w:r>
        <w:rPr>
          <w:rFonts w:ascii="Arial" w:cs="Arial" w:eastAsia="Arial" w:hAnsi="Arial"/>
          <w:sz w:val="12"/>
          <w:szCs w:val="12"/>
          <w:u w:val="single" w:color="auto"/>
          <w:color w:val="auto"/>
        </w:rPr>
        <w:t>Generic Product</w:t>
      </w:r>
      <w:r>
        <w:rPr>
          <w:rFonts w:ascii="Arial" w:cs="Arial" w:eastAsia="Arial" w:hAnsi="Arial"/>
          <w:sz w:val="12"/>
          <w:szCs w:val="12"/>
          <w:color w:val="auto"/>
        </w:rPr>
        <w:t>” means, with respect to a particular Licensed Product commercialized by Servier in a particular country, any product (other than Licensed Products commercialized, directly or indirectly, by Servier, its Affiliates or Sublicensees, or by any authorized distributors of Servier, its Affiliates or Sublicensees) that either (a) is a “follow-on biologic” (FOB) or biosimilar or equivalent version to a Licensed Product, as defined by the competent Regulatory Authority, and administered in a similar dosage form as such Licensed Product or (b) for which a Third Party has received Regulatory Approval (based upon then-current applicable Laws governing approval of biological products) whose application for approval relies to a large extent (but not exclusively) on data generated for a Licensed Product, such as Regulatory Approval under section 505(b)(2) of the Federal Food Drug, and Cosmetic Act.</w:t>
      </w:r>
    </w:p>
    <w:p>
      <w:pPr>
        <w:spacing w:after="0" w:line="84"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u w:val="single" w:color="auto"/>
          <w:color w:val="auto"/>
        </w:rPr>
        <w:t>Global Clinical Trial</w:t>
      </w:r>
      <w:r>
        <w:rPr>
          <w:rFonts w:ascii="Arial" w:cs="Arial" w:eastAsia="Arial" w:hAnsi="Arial"/>
          <w:sz w:val="14"/>
          <w:szCs w:val="14"/>
          <w:color w:val="auto"/>
        </w:rPr>
        <w:t>” means a Phase 1 Clinical Trial, a Phase 2 Clinical Trial or a Phase 3 Clinical Trial that may be applicable to obtaining Regulatory Approval of Licensed Products in both the Servier Territory and the MacroGenics Territory or relies on patient recruitment from both the Servier Territory and the MacroGenics Territory.</w:t>
      </w:r>
    </w:p>
    <w:p>
      <w:pPr>
        <w:spacing w:after="0" w:line="101"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1.37 “</w:t>
      </w:r>
      <w:r>
        <w:rPr>
          <w:rFonts w:ascii="Arial" w:cs="Arial" w:eastAsia="Arial" w:hAnsi="Arial"/>
          <w:sz w:val="12"/>
          <w:szCs w:val="12"/>
          <w:u w:val="single" w:color="auto"/>
          <w:color w:val="auto"/>
        </w:rPr>
        <w:t>Good Clinical Practices</w:t>
      </w:r>
      <w:r>
        <w:rPr>
          <w:rFonts w:ascii="Arial" w:cs="Arial" w:eastAsia="Arial" w:hAnsi="Arial"/>
          <w:sz w:val="12"/>
          <w:szCs w:val="12"/>
          <w:color w:val="auto"/>
        </w:rPr>
        <w:t>” or “</w:t>
      </w:r>
      <w:r>
        <w:rPr>
          <w:rFonts w:ascii="Arial" w:cs="Arial" w:eastAsia="Arial" w:hAnsi="Arial"/>
          <w:sz w:val="12"/>
          <w:szCs w:val="12"/>
          <w:u w:val="single" w:color="auto"/>
          <w:color w:val="auto"/>
        </w:rPr>
        <w:t>GCP</w:t>
      </w:r>
      <w:r>
        <w:rPr>
          <w:rFonts w:ascii="Arial" w:cs="Arial" w:eastAsia="Arial" w:hAnsi="Arial"/>
          <w:sz w:val="12"/>
          <w:szCs w:val="12"/>
          <w:color w:val="auto"/>
        </w:rPr>
        <w:t>” means the then-current standards, practices and procedures (a) promulgated or endorsed by the FDA as set forth in the guidelines entitled “Guidance for Industry E6 Good Clinical Practice: Consolidated Guidance,” including related regulatory requirements imposed by the FDA; (b) set forth in Directive 2001/20/EC of the European Parliament and of the Council of 4 April 2001 and Commission Directive 2005//28/EC of 8 April 2005; (c) ICH Guideline for Good Clinical Practice E6; (d) equivalent Laws of an applicable Regulatory Authority; and (e) all additional Regulatory Authority documents or regulations that replace, amend, modify, supplant or complement any of the foregoing.</w:t>
      </w:r>
    </w:p>
    <w:p>
      <w:pPr>
        <w:spacing w:after="0" w:line="79" w:lineRule="exact"/>
        <w:rPr>
          <w:sz w:val="20"/>
          <w:szCs w:val="20"/>
          <w:color w:val="auto"/>
        </w:rPr>
      </w:pPr>
    </w:p>
    <w:p>
      <w:pPr>
        <w:ind w:right="100" w:firstLine="458"/>
        <w:spacing w:after="0" w:line="351" w:lineRule="auto"/>
        <w:rPr>
          <w:sz w:val="20"/>
          <w:szCs w:val="20"/>
          <w:color w:val="auto"/>
        </w:rPr>
      </w:pPr>
      <w:r>
        <w:rPr>
          <w:rFonts w:ascii="Arial" w:cs="Arial" w:eastAsia="Arial" w:hAnsi="Arial"/>
          <w:sz w:val="12"/>
          <w:szCs w:val="12"/>
          <w:color w:val="auto"/>
        </w:rPr>
        <w:t>1.38 “</w:t>
      </w:r>
      <w:r>
        <w:rPr>
          <w:rFonts w:ascii="Arial" w:cs="Arial" w:eastAsia="Arial" w:hAnsi="Arial"/>
          <w:sz w:val="12"/>
          <w:szCs w:val="12"/>
          <w:u w:val="single" w:color="auto"/>
          <w:color w:val="auto"/>
        </w:rPr>
        <w:t>Good Laboratory Practices</w:t>
      </w:r>
      <w:r>
        <w:rPr>
          <w:rFonts w:ascii="Arial" w:cs="Arial" w:eastAsia="Arial" w:hAnsi="Arial"/>
          <w:sz w:val="12"/>
          <w:szCs w:val="12"/>
          <w:color w:val="auto"/>
        </w:rPr>
        <w:t>” or “</w:t>
      </w:r>
      <w:r>
        <w:rPr>
          <w:rFonts w:ascii="Arial" w:cs="Arial" w:eastAsia="Arial" w:hAnsi="Arial"/>
          <w:sz w:val="12"/>
          <w:szCs w:val="12"/>
          <w:u w:val="single" w:color="auto"/>
          <w:color w:val="auto"/>
        </w:rPr>
        <w:t>GLP</w:t>
      </w:r>
      <w:r>
        <w:rPr>
          <w:rFonts w:ascii="Arial" w:cs="Arial" w:eastAsia="Arial" w:hAnsi="Arial"/>
          <w:sz w:val="12"/>
          <w:szCs w:val="12"/>
          <w:color w:val="auto"/>
        </w:rPr>
        <w:t>” means the then-current good laboratory practice standards promulgated or endorsed by the FDA as defined in 21 C.F.R. Part 58, as such regulations may be amended from time to time, and the equivalent regulations promulgated by the equivalent Regulatory Authority in the jurisdiction where Development activities are performed.</w:t>
      </w:r>
    </w:p>
    <w:p>
      <w:pPr>
        <w:spacing w:after="0" w:line="56" w:lineRule="exact"/>
        <w:rPr>
          <w:sz w:val="20"/>
          <w:szCs w:val="20"/>
          <w:color w:val="auto"/>
        </w:rPr>
      </w:pPr>
    </w:p>
    <w:p>
      <w:pPr>
        <w:ind w:right="20" w:firstLine="458"/>
        <w:spacing w:after="0" w:line="311" w:lineRule="auto"/>
        <w:rPr>
          <w:sz w:val="20"/>
          <w:szCs w:val="20"/>
          <w:color w:val="auto"/>
        </w:rPr>
      </w:pPr>
      <w:r>
        <w:rPr>
          <w:rFonts w:ascii="Arial" w:cs="Arial" w:eastAsia="Arial" w:hAnsi="Arial"/>
          <w:sz w:val="12"/>
          <w:szCs w:val="12"/>
          <w:color w:val="auto"/>
        </w:rPr>
        <w:t>1.39 “</w:t>
      </w:r>
      <w:r>
        <w:rPr>
          <w:rFonts w:ascii="Arial" w:cs="Arial" w:eastAsia="Arial" w:hAnsi="Arial"/>
          <w:sz w:val="12"/>
          <w:szCs w:val="12"/>
          <w:u w:val="single" w:color="auto"/>
          <w:color w:val="auto"/>
        </w:rPr>
        <w:t>Good Manufacturing Practices</w:t>
      </w:r>
      <w:r>
        <w:rPr>
          <w:rFonts w:ascii="Arial" w:cs="Arial" w:eastAsia="Arial" w:hAnsi="Arial"/>
          <w:sz w:val="12"/>
          <w:szCs w:val="12"/>
          <w:color w:val="auto"/>
        </w:rPr>
        <w:t>” or “</w:t>
      </w:r>
      <w:r>
        <w:rPr>
          <w:rFonts w:ascii="Arial" w:cs="Arial" w:eastAsia="Arial" w:hAnsi="Arial"/>
          <w:sz w:val="12"/>
          <w:szCs w:val="12"/>
          <w:u w:val="single" w:color="auto"/>
          <w:color w:val="auto"/>
        </w:rPr>
        <w:t>GMP</w:t>
      </w:r>
      <w:r>
        <w:rPr>
          <w:rFonts w:ascii="Arial" w:cs="Arial" w:eastAsia="Arial" w:hAnsi="Arial"/>
          <w:sz w:val="12"/>
          <w:szCs w:val="12"/>
          <w:color w:val="auto"/>
        </w:rPr>
        <w:t>” means then-current standards for the manufacture of pharmaceutical products, pursuant to (a) the FD&amp;C Act (21 U.S.C. 321 et seq.); (b) relevant United States regulations in Title 21 of the United States Code of Federal Regulations (including Parts 11, 210, and 211); (c) European Community Directives 2003/94 and 91/356/EC; (d) the European Community Guide to Good Manufacturing Practice for Medicinal Intermediate Products; (e) ICH Q7A Good Manufacturing Practice Guidance for Active Pharmaceutical Ingredients; (f) equivalent Laws of an applicable Regulatory Authority at the time of Manufacture; and (g) all additional Regulatory Authority documents or regulations that replace, amend, modify, supplant or complement any of the foregoing.</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1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16" w:name="page717"/>
    <w:bookmarkEnd w:id="716"/>
    <w:p>
      <w:pPr>
        <w:jc w:val="both"/>
        <w:ind w:right="120"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1.40 “</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United States federal, state or local or any non-United States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1.41 “</w:t>
      </w:r>
      <w:r>
        <w:rPr>
          <w:rFonts w:ascii="Arial" w:cs="Arial" w:eastAsia="Arial" w:hAnsi="Arial"/>
          <w:sz w:val="14"/>
          <w:szCs w:val="14"/>
          <w:u w:val="single" w:color="auto"/>
          <w:color w:val="auto"/>
        </w:rPr>
        <w:t>gpA33</w:t>
      </w:r>
      <w:r>
        <w:rPr>
          <w:rFonts w:ascii="Arial" w:cs="Arial" w:eastAsia="Arial" w:hAnsi="Arial"/>
          <w:sz w:val="14"/>
          <w:szCs w:val="14"/>
          <w:color w:val="auto"/>
        </w:rPr>
        <w:t>” means the Target referred to as GPA33, cell surface A33 antigen, glycoprotein A33 (transmembrane), or A33 that is identified by Entrez Gene ID 10223.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1.42 “</w:t>
      </w:r>
      <w:r>
        <w:rPr>
          <w:rFonts w:ascii="Arial" w:cs="Arial" w:eastAsia="Arial" w:hAnsi="Arial"/>
          <w:sz w:val="14"/>
          <w:szCs w:val="14"/>
          <w:u w:val="single" w:color="auto"/>
          <w:color w:val="auto"/>
        </w:rPr>
        <w:t>ICH</w:t>
      </w:r>
      <w:r>
        <w:rPr>
          <w:rFonts w:ascii="Arial" w:cs="Arial" w:eastAsia="Arial" w:hAnsi="Arial"/>
          <w:sz w:val="14"/>
          <w:szCs w:val="14"/>
          <w:color w:val="auto"/>
        </w:rPr>
        <w:t>” means the International Conference on Harmonization of Technical Requirements for Registration of Pharmaceuticals for Human Use.</w:t>
      </w:r>
    </w:p>
    <w:p>
      <w:pPr>
        <w:spacing w:after="0" w:line="132" w:lineRule="exact"/>
        <w:rPr>
          <w:sz w:val="20"/>
          <w:szCs w:val="20"/>
          <w:color w:val="auto"/>
        </w:rPr>
      </w:pPr>
    </w:p>
    <w:p>
      <w:pPr>
        <w:ind w:right="180" w:firstLine="458"/>
        <w:spacing w:after="0" w:line="267"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u w:val="single" w:color="auto"/>
          <w:color w:val="auto"/>
        </w:rPr>
        <w:t>IND</w:t>
      </w:r>
      <w:r>
        <w:rPr>
          <w:rFonts w:ascii="Arial" w:cs="Arial" w:eastAsia="Arial" w:hAnsi="Arial"/>
          <w:sz w:val="14"/>
          <w:szCs w:val="14"/>
          <w:color w:val="auto"/>
        </w:rPr>
        <w:t>” means an Investigational New Drug Application filed with FDA or a similar application filed with an applicable Regulatory Authority outside of the United States such as a clinical trial application (CTA).</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1.44 “</w:t>
      </w:r>
      <w:r>
        <w:rPr>
          <w:rFonts w:ascii="Arial" w:cs="Arial" w:eastAsia="Arial" w:hAnsi="Arial"/>
          <w:sz w:val="14"/>
          <w:szCs w:val="14"/>
          <w:u w:val="single" w:color="auto"/>
          <w:color w:val="auto"/>
        </w:rPr>
        <w:t>Independent Product</w:t>
      </w:r>
      <w:r>
        <w:rPr>
          <w:rFonts w:ascii="Arial" w:cs="Arial" w:eastAsia="Arial" w:hAnsi="Arial"/>
          <w:sz w:val="14"/>
          <w:szCs w:val="14"/>
          <w:color w:val="auto"/>
        </w:rPr>
        <w:t>” means one or more products, other than a Competing Product, that *** binds one of the Program Targets and ***.</w:t>
      </w:r>
    </w:p>
    <w:p>
      <w:pPr>
        <w:spacing w:after="0" w:line="132" w:lineRule="exact"/>
        <w:rPr>
          <w:sz w:val="20"/>
          <w:szCs w:val="20"/>
          <w:color w:val="auto"/>
        </w:rPr>
      </w:pPr>
    </w:p>
    <w:p>
      <w:pPr>
        <w:ind w:right="440" w:firstLine="458"/>
        <w:spacing w:after="0" w:line="267" w:lineRule="auto"/>
        <w:rPr>
          <w:sz w:val="20"/>
          <w:szCs w:val="20"/>
          <w:color w:val="auto"/>
        </w:rPr>
      </w:pPr>
      <w:r>
        <w:rPr>
          <w:rFonts w:ascii="Arial" w:cs="Arial" w:eastAsia="Arial" w:hAnsi="Arial"/>
          <w:sz w:val="14"/>
          <w:szCs w:val="14"/>
          <w:color w:val="auto"/>
        </w:rPr>
        <w:t>1.45 “</w:t>
      </w:r>
      <w:r>
        <w:rPr>
          <w:rFonts w:ascii="Arial" w:cs="Arial" w:eastAsia="Arial" w:hAnsi="Arial"/>
          <w:sz w:val="14"/>
          <w:szCs w:val="14"/>
          <w:u w:val="single" w:color="auto"/>
          <w:color w:val="auto"/>
        </w:rPr>
        <w:t>Indication</w:t>
      </w:r>
      <w:r>
        <w:rPr>
          <w:rFonts w:ascii="Arial" w:cs="Arial" w:eastAsia="Arial" w:hAnsi="Arial"/>
          <w:sz w:val="14"/>
          <w:szCs w:val="14"/>
          <w:color w:val="auto"/>
        </w:rPr>
        <w:t>” means a discrete clinically recognized form of a disease or *** any. For the avoidance of doubt, a cancerous disease, such as any of the Cancer Types, shall each be deemed to constitute a separate clinically recognized form of a disease, provided that ***.</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1.46 “</w:t>
      </w:r>
      <w:r>
        <w:rPr>
          <w:rFonts w:ascii="Arial" w:cs="Arial" w:eastAsia="Arial" w:hAnsi="Arial"/>
          <w:sz w:val="14"/>
          <w:szCs w:val="14"/>
          <w:u w:val="single" w:color="auto"/>
          <w:color w:val="auto"/>
        </w:rPr>
        <w:t>Initial Phase 1 Clinical Trial</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1.47 “</w:t>
      </w:r>
      <w:r>
        <w:rPr>
          <w:rFonts w:ascii="Arial" w:cs="Arial" w:eastAsia="Arial" w:hAnsi="Arial"/>
          <w:sz w:val="12"/>
          <w:szCs w:val="12"/>
          <w:u w:val="single" w:color="auto"/>
          <w:color w:val="auto"/>
        </w:rPr>
        <w:t>Insolvency Event</w:t>
      </w:r>
      <w:r>
        <w:rPr>
          <w:rFonts w:ascii="Arial" w:cs="Arial" w:eastAsia="Arial" w:hAnsi="Arial"/>
          <w:sz w:val="12"/>
          <w:szCs w:val="12"/>
          <w:color w:val="auto"/>
        </w:rPr>
        <w:t>” means, with respect to any Party, the occurrence of any of the following: (a) such Party shall commence a voluntary case concerning itself under any bankruptcy, liquidation or insolvency code; (b) an involuntary case is commenced against such Party and the petition is not dismissed, bonded or stayed within ninety (90) days after commencement of the case; (c) a court-supervised custodian is appointed for, or takes charge of, all or substantially all of the property of such Party to continue undischarged or unstayed for a period of ninety (90) days; (d) any order of relief or other order approving any such case or proceeding is entered; (e) such Party is adjudicated insolvent or bankrupt; and (f) such Party makes a general assignment for the benefit of creditors.</w:t>
      </w:r>
    </w:p>
    <w:p>
      <w:pPr>
        <w:spacing w:after="0" w:line="79" w:lineRule="exact"/>
        <w:rPr>
          <w:sz w:val="20"/>
          <w:szCs w:val="20"/>
          <w:color w:val="auto"/>
        </w:rPr>
      </w:pPr>
    </w:p>
    <w:p>
      <w:pPr>
        <w:ind w:firstLine="458"/>
        <w:spacing w:after="0" w:line="258" w:lineRule="auto"/>
        <w:rPr>
          <w:sz w:val="20"/>
          <w:szCs w:val="20"/>
          <w:color w:val="auto"/>
        </w:rPr>
      </w:pPr>
      <w:r>
        <w:rPr>
          <w:rFonts w:ascii="Arial" w:cs="Arial" w:eastAsia="Arial" w:hAnsi="Arial"/>
          <w:sz w:val="14"/>
          <w:szCs w:val="14"/>
          <w:color w:val="auto"/>
        </w:rPr>
        <w:t>1.48 “</w:t>
      </w:r>
      <w:r>
        <w:rPr>
          <w:rFonts w:ascii="Arial" w:cs="Arial" w:eastAsia="Arial" w:hAnsi="Arial"/>
          <w:sz w:val="14"/>
          <w:szCs w:val="14"/>
          <w:u w:val="single" w:color="auto"/>
          <w:color w:val="auto"/>
        </w:rPr>
        <w:t>Joint IP</w:t>
      </w:r>
      <w:r>
        <w:rPr>
          <w:rFonts w:ascii="Arial" w:cs="Arial" w:eastAsia="Arial" w:hAnsi="Arial"/>
          <w:sz w:val="14"/>
          <w:szCs w:val="14"/>
          <w:color w:val="auto"/>
        </w:rPr>
        <w:t>” means all inventions and discoveries (and Patents claiming patentable inventions therein) first made or discovered jointly by one or more employees, consultants or agents of MacroGenics or its Affiliates, together with one or more employees, consultants or agents of Servier or its Affiliates in the course of the Research, Development, Manufacture or Commercialization of Program DARTs and/or Licensed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pacing w:after="0" w:line="12" w:lineRule="exact"/>
        <w:rPr>
          <w:sz w:val="20"/>
          <w:szCs w:val="20"/>
          <w:color w:val="auto"/>
        </w:rPr>
      </w:pPr>
    </w:p>
    <w:p>
      <w:pPr>
        <w:ind w:left="3840" w:right="2600" w:hanging="1135"/>
        <w:spacing w:after="0" w:line="341" w:lineRule="auto"/>
        <w:tabs>
          <w:tab w:leader="none" w:pos="2944" w:val="left"/>
        </w:tabs>
        <w:numPr>
          <w:ilvl w:val="0"/>
          <w:numId w:val="81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60"/>
          </w:cols>
          <w:pgMar w:left="220" w:top="247" w:right="319" w:bottom="1440" w:gutter="0" w:footer="0" w:header="0"/>
        </w:sectPr>
      </w:pPr>
    </w:p>
    <w:bookmarkStart w:id="717" w:name="page718"/>
    <w:bookmarkEnd w:id="717"/>
    <w:p>
      <w:pPr>
        <w:ind w:right="40" w:firstLine="458"/>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1.49 “</w:t>
      </w:r>
      <w:r>
        <w:rPr>
          <w:rFonts w:ascii="Arial" w:cs="Arial" w:eastAsia="Arial" w:hAnsi="Arial"/>
          <w:sz w:val="12"/>
          <w:szCs w:val="12"/>
          <w:u w:val="single" w:color="auto"/>
          <w:color w:val="auto"/>
        </w:rPr>
        <w:t>Know-How</w:t>
      </w:r>
      <w:r>
        <w:rPr>
          <w:rFonts w:ascii="Arial" w:cs="Arial" w:eastAsia="Arial" w:hAnsi="Arial"/>
          <w:sz w:val="12"/>
          <w:szCs w:val="12"/>
          <w:color w:val="auto"/>
        </w:rPr>
        <w:t>” means all tangible and intangible (a) information, techniques, technology, practices, trade secrets, inventions (whether patentable or not), methods, knowledge, know-how, skill, experience, data, results (including pharmacological, toxicological and non-clinical and clinical test data and results, and Research or Development data, reports and batch records), analytical and quality control data, analytical methods (including applicable reference standards), full batch documentation, packaging records, release, stability, storage and shelf-life data, Manufacturing process information, results and descriptions, and software and algorithms and (b) compositions of matter, cells, cell lines, assays, animal models and physical, biological or chemical material.</w:t>
      </w:r>
    </w:p>
    <w:p>
      <w:pPr>
        <w:spacing w:after="0" w:line="79"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1.50 “</w:t>
      </w:r>
      <w:r>
        <w:rPr>
          <w:rFonts w:ascii="Arial" w:cs="Arial" w:eastAsia="Arial" w:hAnsi="Arial"/>
          <w:sz w:val="14"/>
          <w:szCs w:val="14"/>
          <w:u w:val="single" w:color="auto"/>
          <w:color w:val="auto"/>
        </w:rPr>
        <w:t>Law</w:t>
      </w:r>
      <w:r>
        <w:rPr>
          <w:rFonts w:ascii="Arial" w:cs="Arial" w:eastAsia="Arial" w:hAnsi="Arial"/>
          <w:sz w:val="14"/>
          <w:szCs w:val="14"/>
          <w:color w:val="auto"/>
        </w:rPr>
        <w:t>” or “</w:t>
      </w:r>
      <w:r>
        <w:rPr>
          <w:rFonts w:ascii="Arial" w:cs="Arial" w:eastAsia="Arial" w:hAnsi="Arial"/>
          <w:sz w:val="14"/>
          <w:szCs w:val="14"/>
          <w:u w:val="single" w:color="auto"/>
          <w:color w:val="auto"/>
        </w:rPr>
        <w:t>Laws</w:t>
      </w:r>
      <w:r>
        <w:rPr>
          <w:rFonts w:ascii="Arial" w:cs="Arial" w:eastAsia="Arial" w:hAnsi="Arial"/>
          <w:sz w:val="14"/>
          <w:szCs w:val="14"/>
          <w:color w:val="auto"/>
        </w:rPr>
        <w:t>” means all laws, statutes, rules, regulations, orders, judgments, or ordinances having the effect of law of any federal, national, multinational, state, provincial, county, city or other political subdivision.</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1.51 “</w:t>
      </w:r>
      <w:r>
        <w:rPr>
          <w:rFonts w:ascii="Arial" w:cs="Arial" w:eastAsia="Arial" w:hAnsi="Arial"/>
          <w:sz w:val="14"/>
          <w:szCs w:val="14"/>
          <w:u w:val="single" w:color="auto"/>
          <w:color w:val="auto"/>
        </w:rPr>
        <w:t>Licensed Product</w:t>
      </w:r>
      <w:r>
        <w:rPr>
          <w:rFonts w:ascii="Arial" w:cs="Arial" w:eastAsia="Arial" w:hAnsi="Arial"/>
          <w:sz w:val="14"/>
          <w:szCs w:val="14"/>
          <w:color w:val="auto"/>
        </w:rPr>
        <w:t>” means any therapeutic or prophylactic product that comprises or incorporates a Program DART as an active pharmaceutical ingredient alone or in combination with one or more other active agents.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1.52 “</w:t>
      </w:r>
      <w:r>
        <w:rPr>
          <w:rFonts w:ascii="Arial" w:cs="Arial" w:eastAsia="Arial" w:hAnsi="Arial"/>
          <w:sz w:val="12"/>
          <w:szCs w:val="12"/>
          <w:u w:val="single" w:color="auto"/>
          <w:color w:val="auto"/>
        </w:rPr>
        <w:t>Licensed Program</w:t>
      </w:r>
      <w:r>
        <w:rPr>
          <w:rFonts w:ascii="Arial" w:cs="Arial" w:eastAsia="Arial" w:hAnsi="Arial"/>
          <w:sz w:val="12"/>
          <w:szCs w:val="12"/>
          <w:color w:val="auto"/>
        </w:rPr>
        <w:t>” means a Program for which (a) Servier exercised its Option in accordance with Section 3.3.3 and (b) MacroGenics has received the applicable License Grant Fee.</w:t>
      </w:r>
    </w:p>
    <w:p>
      <w:pPr>
        <w:spacing w:after="0" w:line="155"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1.53 “</w:t>
      </w:r>
      <w:r>
        <w:rPr>
          <w:rFonts w:ascii="Arial" w:cs="Arial" w:eastAsia="Arial" w:hAnsi="Arial"/>
          <w:sz w:val="14"/>
          <w:szCs w:val="14"/>
          <w:u w:val="single" w:color="auto"/>
          <w:color w:val="auto"/>
        </w:rPr>
        <w:t>License Term</w:t>
      </w:r>
      <w:r>
        <w:rPr>
          <w:rFonts w:ascii="Arial" w:cs="Arial" w:eastAsia="Arial" w:hAnsi="Arial"/>
          <w:sz w:val="14"/>
          <w:szCs w:val="14"/>
          <w:color w:val="auto"/>
        </w:rPr>
        <w:t>” means, with respect to a Licensed Program, each period commencing upon the License Grant Date for such Licensed Program and ending on the date of expiration or termination of this Agreement with respect to such Licensed Program in accordance with the provisions of ARTICLE 14.</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1.54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1.55 “</w:t>
      </w:r>
      <w:r>
        <w:rPr>
          <w:rFonts w:ascii="Arial" w:cs="Arial" w:eastAsia="Arial" w:hAnsi="Arial"/>
          <w:sz w:val="14"/>
          <w:szCs w:val="14"/>
          <w:u w:val="single" w:color="auto"/>
          <w:color w:val="auto"/>
        </w:rPr>
        <w:t>MacroGenics Indemnitees</w:t>
      </w:r>
      <w:r>
        <w:rPr>
          <w:rFonts w:ascii="Arial" w:cs="Arial" w:eastAsia="Arial" w:hAnsi="Arial"/>
          <w:sz w:val="14"/>
          <w:szCs w:val="14"/>
          <w:color w:val="auto"/>
        </w:rPr>
        <w:t>” means MacroGenics, its Affiliates and the directors, officers and employees of MacroGenics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1.56 “</w:t>
      </w:r>
      <w:r>
        <w:rPr>
          <w:rFonts w:ascii="Arial" w:cs="Arial" w:eastAsia="Arial" w:hAnsi="Arial"/>
          <w:sz w:val="14"/>
          <w:szCs w:val="14"/>
          <w:u w:val="single" w:color="auto"/>
          <w:color w:val="auto"/>
        </w:rPr>
        <w:t>MacroGenics IP</w:t>
      </w:r>
      <w:r>
        <w:rPr>
          <w:rFonts w:ascii="Arial" w:cs="Arial" w:eastAsia="Arial" w:hAnsi="Arial"/>
          <w:sz w:val="14"/>
          <w:szCs w:val="14"/>
          <w:color w:val="auto"/>
        </w:rPr>
        <w:t>” means the MacroGenics Know-How and the MacroGenics Patents.</w:t>
      </w:r>
    </w:p>
    <w:p>
      <w:pPr>
        <w:spacing w:after="0" w:line="132" w:lineRule="exact"/>
        <w:rPr>
          <w:sz w:val="20"/>
          <w:szCs w:val="20"/>
          <w:color w:val="auto"/>
        </w:rPr>
      </w:pPr>
    </w:p>
    <w:p>
      <w:pPr>
        <w:ind w:right="40" w:firstLine="458"/>
        <w:spacing w:after="0" w:line="253" w:lineRule="auto"/>
        <w:rPr>
          <w:sz w:val="20"/>
          <w:szCs w:val="20"/>
          <w:color w:val="auto"/>
        </w:rPr>
      </w:pPr>
      <w:r>
        <w:rPr>
          <w:rFonts w:ascii="Arial" w:cs="Arial" w:eastAsia="Arial" w:hAnsi="Arial"/>
          <w:sz w:val="14"/>
          <w:szCs w:val="14"/>
          <w:color w:val="auto"/>
        </w:rPr>
        <w:t>1.57 “</w:t>
      </w:r>
      <w:r>
        <w:rPr>
          <w:rFonts w:ascii="Arial" w:cs="Arial" w:eastAsia="Arial" w:hAnsi="Arial"/>
          <w:sz w:val="14"/>
          <w:szCs w:val="14"/>
          <w:u w:val="single" w:color="auto"/>
          <w:color w:val="auto"/>
        </w:rPr>
        <w:t>MacroGenics Know-How</w:t>
      </w:r>
      <w:r>
        <w:rPr>
          <w:rFonts w:ascii="Arial" w:cs="Arial" w:eastAsia="Arial" w:hAnsi="Arial"/>
          <w:sz w:val="14"/>
          <w:szCs w:val="14"/>
          <w:color w:val="auto"/>
        </w:rPr>
        <w:t>” means Know-How that is (a) Controlled by MacroGenics or its Affiliates on the Effective Date or thereafter during the Agreement Term; (b)(i) an improvement, modification, enhancement or novel use of a Program DART or Licensed Product or Diagnostic, or any improvement, modification or enhancement in the Manufacturing process or formulation of a Program DART or Licensed Product or Diagnostic by or on behalf of MacroGenics or its Affiliates; or (ii) disclosed by or on behalf of MacroGenics or its Affiliates to Servier or its Affiliates pursuant to this Agreement; and (c) necessary or useful to Research, Develop, Manufacture or Commercialize any Program DART or Licensed Product or Diagnostic in the Field in the Servier Territory. MacroGenics Know-How excludes MacroGenics’ interest in the Joint IP.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1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18" w:name="page719"/>
    <w:bookmarkEnd w:id="718"/>
    <w:p>
      <w:pPr>
        <w:ind w:right="4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1.58 “</w:t>
      </w:r>
      <w:r>
        <w:rPr>
          <w:rFonts w:ascii="Arial" w:cs="Arial" w:eastAsia="Arial" w:hAnsi="Arial"/>
          <w:sz w:val="14"/>
          <w:szCs w:val="14"/>
          <w:u w:val="single" w:color="auto"/>
          <w:color w:val="auto"/>
        </w:rPr>
        <w:t>MacroGenics Patents</w:t>
      </w:r>
      <w:r>
        <w:rPr>
          <w:rFonts w:ascii="Arial" w:cs="Arial" w:eastAsia="Arial" w:hAnsi="Arial"/>
          <w:sz w:val="14"/>
          <w:szCs w:val="14"/>
          <w:color w:val="auto"/>
        </w:rPr>
        <w:t xml:space="preserve">” means Patents Controlled by MacroGenics or its Affiliates on the Effective Date or thereafter during the Agreement Term that claim or are directed to MacroGenics Know-How. The MacroGenics Patents existing as of the Effective Date are set forth on </w:t>
      </w:r>
      <w:r>
        <w:rPr>
          <w:rFonts w:ascii="Arial" w:cs="Arial" w:eastAsia="Arial" w:hAnsi="Arial"/>
          <w:sz w:val="14"/>
          <w:szCs w:val="14"/>
          <w:u w:val="single" w:color="auto"/>
          <w:color w:val="auto"/>
        </w:rPr>
        <w:t>Exhibit B</w:t>
      </w:r>
      <w:r>
        <w:rPr>
          <w:rFonts w:ascii="Arial" w:cs="Arial" w:eastAsia="Arial" w:hAnsi="Arial"/>
          <w:sz w:val="14"/>
          <w:szCs w:val="14"/>
          <w:color w:val="auto"/>
        </w:rPr>
        <w:t>. MacroGenics Patents excludes MacroGenics’ interest in the Joint IP.</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1.59 “</w:t>
      </w:r>
      <w:r>
        <w:rPr>
          <w:rFonts w:ascii="Arial" w:cs="Arial" w:eastAsia="Arial" w:hAnsi="Arial"/>
          <w:sz w:val="14"/>
          <w:szCs w:val="14"/>
          <w:u w:val="single" w:color="auto"/>
          <w:color w:val="auto"/>
        </w:rPr>
        <w:t>MacroGenics Territory</w:t>
      </w:r>
      <w:r>
        <w:rPr>
          <w:rFonts w:ascii="Arial" w:cs="Arial" w:eastAsia="Arial" w:hAnsi="Arial"/>
          <w:sz w:val="14"/>
          <w:szCs w:val="14"/>
          <w:color w:val="auto"/>
        </w:rPr>
        <w:t>” means the United States, Canada, Mexico, India, Japan, Korea and any Terminated Territory.</w:t>
      </w:r>
    </w:p>
    <w:p>
      <w:pPr>
        <w:spacing w:after="0" w:line="132"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1.60 “</w:t>
      </w:r>
      <w:r>
        <w:rPr>
          <w:rFonts w:ascii="Arial" w:cs="Arial" w:eastAsia="Arial" w:hAnsi="Arial"/>
          <w:sz w:val="12"/>
          <w:szCs w:val="12"/>
          <w:u w:val="single" w:color="auto"/>
          <w:color w:val="auto"/>
        </w:rPr>
        <w:t>MacroGenics Third Party Agreements”</w:t>
      </w:r>
      <w:r>
        <w:rPr>
          <w:rFonts w:ascii="Arial" w:cs="Arial" w:eastAsia="Arial" w:hAnsi="Arial"/>
          <w:sz w:val="12"/>
          <w:szCs w:val="12"/>
          <w:color w:val="auto"/>
        </w:rPr>
        <w:t xml:space="preserve"> means (a) the agreement set forth on Exhibit C(1), and (b) any other agreement ( including those listed in Exhibit C( 2) and C(3)) pursuant to which MacroGenics licenses or acquires Patents or Know-How that relates to the Program DARTs or Licensed Products in the Field in the Servier Territory after the Effective Date pursuant to an agreement with a Third Party, the terms and conditions of which have been approved (not to be unreasonably withheld) by Servier before its execution by MacroGenics and which Servier and MacroGenics agree shall be deemed a MacroGenics Third Party Agreement, in which case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shall be amended accordingly. For purposes of clarity, in the event that Servier does not approve the terms and conditions of any such proposed agreement with a Third Party, nothing herein shall be deemed to preclude MacroGenics from entering into such agreement with a Third Party; provided that such agreement with a Third Party shall not be deemed a MacroGenics Third Party Agreement hereunder.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1.61 “</w:t>
      </w:r>
      <w:r>
        <w:rPr>
          <w:rFonts w:ascii="Arial" w:cs="Arial" w:eastAsia="Arial" w:hAnsi="Arial"/>
          <w:sz w:val="14"/>
          <w:szCs w:val="14"/>
          <w:u w:val="single" w:color="auto"/>
          <w:color w:val="auto"/>
        </w:rPr>
        <w:t>Manufacture</w:t>
      </w:r>
      <w:r>
        <w:rPr>
          <w:rFonts w:ascii="Arial" w:cs="Arial" w:eastAsia="Arial" w:hAnsi="Arial"/>
          <w:sz w:val="14"/>
          <w:szCs w:val="14"/>
          <w:color w:val="auto"/>
        </w:rPr>
        <w:t>” or “</w:t>
      </w:r>
      <w:r>
        <w:rPr>
          <w:rFonts w:ascii="Arial" w:cs="Arial" w:eastAsia="Arial" w:hAnsi="Arial"/>
          <w:sz w:val="14"/>
          <w:szCs w:val="14"/>
          <w:u w:val="single" w:color="auto"/>
          <w:color w:val="auto"/>
        </w:rPr>
        <w:t>Manufacturing</w:t>
      </w:r>
      <w:r>
        <w:rPr>
          <w:rFonts w:ascii="Arial" w:cs="Arial" w:eastAsia="Arial" w:hAnsi="Arial"/>
          <w:sz w:val="14"/>
          <w:szCs w:val="14"/>
          <w:color w:val="auto"/>
        </w:rPr>
        <w:t xml:space="preserve">” means all activities related to the manufacturing of a DART or product, including </w:t>
      </w:r>
      <w:r>
        <w:rPr>
          <w:rFonts w:ascii="Arial" w:cs="Arial" w:eastAsia="Arial" w:hAnsi="Arial"/>
          <w:sz w:val="14"/>
          <w:szCs w:val="14"/>
          <w:b w:val="1"/>
          <w:bCs w:val="1"/>
          <w:color w:val="auto"/>
        </w:rPr>
        <w:t>***</w:t>
      </w:r>
      <w:r>
        <w:rPr>
          <w:rFonts w:ascii="Arial" w:cs="Arial" w:eastAsia="Arial" w:hAnsi="Arial"/>
          <w:sz w:val="14"/>
          <w:szCs w:val="14"/>
          <w:color w:val="auto"/>
        </w:rPr>
        <w:t xml:space="preserve"> related to all of the foregoing.</w:t>
      </w:r>
    </w:p>
    <w:p>
      <w:pPr>
        <w:spacing w:after="0" w:line="134" w:lineRule="exact"/>
        <w:rPr>
          <w:sz w:val="20"/>
          <w:szCs w:val="20"/>
          <w:color w:val="auto"/>
        </w:rPr>
      </w:pPr>
    </w:p>
    <w:p>
      <w:pPr>
        <w:ind w:right="260" w:firstLine="458"/>
        <w:spacing w:after="0" w:line="321" w:lineRule="auto"/>
        <w:rPr>
          <w:sz w:val="20"/>
          <w:szCs w:val="20"/>
          <w:color w:val="auto"/>
        </w:rPr>
      </w:pPr>
      <w:r>
        <w:rPr>
          <w:rFonts w:ascii="Arial" w:cs="Arial" w:eastAsia="Arial" w:hAnsi="Arial"/>
          <w:sz w:val="12"/>
          <w:szCs w:val="12"/>
          <w:color w:val="auto"/>
        </w:rPr>
        <w:t>1.62 “</w:t>
      </w:r>
      <w:r>
        <w:rPr>
          <w:rFonts w:ascii="Arial" w:cs="Arial" w:eastAsia="Arial" w:hAnsi="Arial"/>
          <w:sz w:val="12"/>
          <w:szCs w:val="12"/>
          <w:u w:val="single" w:color="auto"/>
          <w:color w:val="auto"/>
        </w:rPr>
        <w:t>Manufacturing Process Development Costs</w:t>
      </w:r>
      <w:r>
        <w:rPr>
          <w:rFonts w:ascii="Arial" w:cs="Arial" w:eastAsia="Arial" w:hAnsi="Arial"/>
          <w:sz w:val="12"/>
          <w:szCs w:val="12"/>
          <w:color w:val="auto"/>
        </w:rPr>
        <w:t xml:space="preserve">” means the costs and expenses incurred by a Party or its Affiliates attributable to, or reasonably allocable to, the development of a Manufacturing process for Program DARTs or Licensed Products (including </w:t>
      </w:r>
      <w:r>
        <w:rPr>
          <w:rFonts w:ascii="Arial" w:cs="Arial" w:eastAsia="Arial" w:hAnsi="Arial"/>
          <w:sz w:val="12"/>
          <w:szCs w:val="12"/>
          <w:b w:val="1"/>
          <w:bCs w:val="1"/>
          <w:color w:val="auto"/>
        </w:rPr>
        <w:t>***</w:t>
      </w:r>
      <w:r>
        <w:rPr>
          <w:rFonts w:ascii="Arial" w:cs="Arial" w:eastAsia="Arial" w:hAnsi="Arial"/>
          <w:sz w:val="12"/>
          <w:szCs w:val="12"/>
          <w:color w:val="auto"/>
        </w:rPr>
        <w:t>). “Manufacturing Process Development Costs” shall include (a) Out-of-Pocket Costs and (b) FTE Costs of internal personnel that are attributable or reasonably allocable to the development of a Manufacturing process for Program DARTs or Licensed Products determined in accordance with applicable Accounting Standards of such Party.</w:t>
      </w:r>
    </w:p>
    <w:p>
      <w:pPr>
        <w:spacing w:after="0" w:line="73" w:lineRule="exact"/>
        <w:rPr>
          <w:sz w:val="20"/>
          <w:szCs w:val="20"/>
          <w:color w:val="auto"/>
        </w:rPr>
      </w:pPr>
    </w:p>
    <w:p>
      <w:pPr>
        <w:ind w:right="220" w:firstLine="458"/>
        <w:spacing w:after="0" w:line="321" w:lineRule="auto"/>
        <w:rPr>
          <w:sz w:val="20"/>
          <w:szCs w:val="20"/>
          <w:color w:val="auto"/>
        </w:rPr>
      </w:pPr>
      <w:r>
        <w:rPr>
          <w:rFonts w:ascii="Arial" w:cs="Arial" w:eastAsia="Arial" w:hAnsi="Arial"/>
          <w:sz w:val="12"/>
          <w:szCs w:val="12"/>
          <w:color w:val="auto"/>
        </w:rPr>
        <w:t>1.63 “</w:t>
      </w:r>
      <w:r>
        <w:rPr>
          <w:rFonts w:ascii="Arial" w:cs="Arial" w:eastAsia="Arial" w:hAnsi="Arial"/>
          <w:sz w:val="12"/>
          <w:szCs w:val="12"/>
          <w:u w:val="single" w:color="auto"/>
          <w:color w:val="auto"/>
        </w:rPr>
        <w:t>Net Sales</w:t>
      </w:r>
      <w:r>
        <w:rPr>
          <w:rFonts w:ascii="Arial" w:cs="Arial" w:eastAsia="Arial" w:hAnsi="Arial"/>
          <w:sz w:val="12"/>
          <w:szCs w:val="12"/>
          <w:color w:val="auto"/>
        </w:rPr>
        <w:t>” means, in the case of sales by or for the benefit of Servier, its Affiliates, and its Sublicensees (the “</w:t>
      </w:r>
      <w:r>
        <w:rPr>
          <w:rFonts w:ascii="Arial" w:cs="Arial" w:eastAsia="Arial" w:hAnsi="Arial"/>
          <w:sz w:val="12"/>
          <w:szCs w:val="12"/>
          <w:u w:val="single" w:color="auto"/>
          <w:color w:val="auto"/>
        </w:rPr>
        <w:t>Seller</w:t>
      </w:r>
      <w:r>
        <w:rPr>
          <w:rFonts w:ascii="Arial" w:cs="Arial" w:eastAsia="Arial" w:hAnsi="Arial"/>
          <w:sz w:val="12"/>
          <w:szCs w:val="12"/>
          <w:color w:val="auto"/>
        </w:rPr>
        <w:t>”) to independent, unrelated persons (“</w:t>
      </w:r>
      <w:r>
        <w:rPr>
          <w:rFonts w:ascii="Arial" w:cs="Arial" w:eastAsia="Arial" w:hAnsi="Arial"/>
          <w:sz w:val="12"/>
          <w:szCs w:val="12"/>
          <w:u w:val="single" w:color="auto"/>
          <w:color w:val="auto"/>
        </w:rPr>
        <w:t>Buyers</w:t>
      </w:r>
      <w:r>
        <w:rPr>
          <w:rFonts w:ascii="Arial" w:cs="Arial" w:eastAsia="Arial" w:hAnsi="Arial"/>
          <w:sz w:val="12"/>
          <w:szCs w:val="12"/>
          <w:color w:val="auto"/>
        </w:rPr>
        <w:t>”) in bona fide arm’s length transactions (except as provided below with respect to clinical trial samples), the gross amount billed or invoiced by Seller with respect to the Licensed Product during the Royalty Term, less the following deductions, in each case to the extent actually allowed and taken by such Buyers and not otherwise recovered by or reimbursed to Seller in connection with such Licensed Product (“</w:t>
      </w:r>
      <w:r>
        <w:rPr>
          <w:rFonts w:ascii="Arial" w:cs="Arial" w:eastAsia="Arial" w:hAnsi="Arial"/>
          <w:sz w:val="12"/>
          <w:szCs w:val="12"/>
          <w:u w:val="single" w:color="auto"/>
          <w:color w:val="auto"/>
        </w:rPr>
        <w:t>Permitted Deductions</w:t>
      </w:r>
      <w:r>
        <w:rPr>
          <w:rFonts w:ascii="Arial" w:cs="Arial" w:eastAsia="Arial" w:hAnsi="Arial"/>
          <w:sz w:val="12"/>
          <w:szCs w:val="12"/>
          <w:color w:val="auto"/>
        </w:rPr>
        <w:t>”):</w:t>
      </w:r>
    </w:p>
    <w:p>
      <w:pPr>
        <w:spacing w:after="0" w:line="73" w:lineRule="exact"/>
        <w:rPr>
          <w:sz w:val="20"/>
          <w:szCs w:val="20"/>
          <w:color w:val="auto"/>
        </w:rPr>
      </w:pPr>
    </w:p>
    <w:p>
      <w:pPr>
        <w:ind w:left="1100" w:hanging="180"/>
        <w:spacing w:after="0"/>
        <w:tabs>
          <w:tab w:leader="none" w:pos="1100" w:val="left"/>
        </w:tabs>
        <w:numPr>
          <w:ilvl w:val="0"/>
          <w:numId w:val="819"/>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819"/>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819"/>
        </w:numPr>
        <w:rPr>
          <w:rFonts w:ascii="Arial" w:cs="Arial" w:eastAsia="Arial" w:hAnsi="Arial"/>
          <w:sz w:val="14"/>
          <w:szCs w:val="14"/>
          <w:color w:val="auto"/>
        </w:rPr>
      </w:pPr>
      <w:r>
        <w:rPr>
          <w:rFonts w:ascii="Arial" w:cs="Arial" w:eastAsia="Arial" w:hAnsi="Arial"/>
          <w:sz w:val="14"/>
          <w:szCs w:val="14"/>
          <w:color w:val="auto"/>
        </w:rPr>
        <w: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2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719" w:name="page720"/>
    <w:bookmarkEnd w:id="719"/>
    <w:p>
      <w:pPr>
        <w:ind w:left="1120" w:hanging="200"/>
        <w:spacing w:after="0"/>
        <w:tabs>
          <w:tab w:leader="none" w:pos="1120" w:val="left"/>
        </w:tabs>
        <w:numPr>
          <w:ilvl w:val="0"/>
          <w:numId w:val="82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821"/>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821"/>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821"/>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821"/>
        </w:numPr>
        <w:rPr>
          <w:rFonts w:ascii="Arial" w:cs="Arial" w:eastAsia="Arial" w:hAnsi="Arial"/>
          <w:sz w:val="14"/>
          <w:szCs w:val="14"/>
          <w:color w:val="auto"/>
        </w:rPr>
      </w:pPr>
      <w:r>
        <w:rPr>
          <w:rFonts w:ascii="Arial" w:cs="Arial" w:eastAsia="Arial" w:hAnsi="Arial"/>
          <w:sz w:val="14"/>
          <w:szCs w:val="14"/>
          <w:color w:val="auto"/>
        </w:rPr>
        <w:t>***</w:t>
      </w:r>
    </w:p>
    <w:p>
      <w:pPr>
        <w:spacing w:after="0" w:line="132" w:lineRule="exact"/>
        <w:rPr>
          <w:sz w:val="20"/>
          <w:szCs w:val="20"/>
          <w:color w:val="auto"/>
        </w:rPr>
      </w:pPr>
    </w:p>
    <w:p>
      <w:pPr>
        <w:ind w:right="120"/>
        <w:spacing w:after="0" w:line="311" w:lineRule="auto"/>
        <w:rPr>
          <w:sz w:val="20"/>
          <w:szCs w:val="20"/>
          <w:color w:val="auto"/>
        </w:rPr>
      </w:pPr>
      <w:r>
        <w:rPr>
          <w:rFonts w:ascii="Arial" w:cs="Arial" w:eastAsia="Arial" w:hAnsi="Arial"/>
          <w:sz w:val="12"/>
          <w:szCs w:val="12"/>
          <w:color w:val="auto"/>
        </w:rPr>
        <w:t>“Net Sales” shall not include any consideration received with respect to a sale, use or other disposition of any Licensed Product in a country as part of a clinical trial necessary to obtain Regulatory Approval in such country. All of the foregoing elements of Net Sales calculations shall be determined in accordance with IFRS or successor standards and guidelines thereto. In the case of transfers of Licensed Product between any of Servier, its Sublicensees, and Affiliates of any of the foregoing, for subsequent sale, rental, lease or other transfer of such Licensed Products to Third Parties, Net Sales shall be the gross invoice or contract price charged to the Third Party customer for that Licensed Product, less the deductions set forth in clauses *** above.</w:t>
      </w:r>
    </w:p>
    <w:p>
      <w:pPr>
        <w:spacing w:after="0" w:line="79"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1.64 “</w:t>
      </w:r>
      <w:r>
        <w:rPr>
          <w:rFonts w:ascii="Arial" w:cs="Arial" w:eastAsia="Arial" w:hAnsi="Arial"/>
          <w:sz w:val="14"/>
          <w:szCs w:val="14"/>
          <w:u w:val="single" w:color="auto"/>
          <w:color w:val="auto"/>
        </w:rPr>
        <w:t>Option Trigger Data Package</w:t>
      </w:r>
      <w:r>
        <w:rPr>
          <w:rFonts w:ascii="Arial" w:cs="Arial" w:eastAsia="Arial" w:hAnsi="Arial"/>
          <w:sz w:val="14"/>
          <w:szCs w:val="14"/>
          <w:color w:val="auto"/>
        </w:rPr>
        <w:t>” means a written report (including an electronic report) containing specified information and data for the indicated Research Program as follows, such list may be modified by the Parties subject to the Parties mutual written agreement:</w:t>
      </w:r>
    </w:p>
    <w:p>
      <w:pPr>
        <w:spacing w:after="0" w:line="99" w:lineRule="exact"/>
        <w:rPr>
          <w:sz w:val="20"/>
          <w:szCs w:val="20"/>
          <w:color w:val="auto"/>
        </w:rPr>
      </w:pPr>
    </w:p>
    <w:p>
      <w:pPr>
        <w:ind w:left="1100" w:hanging="180"/>
        <w:spacing w:after="0"/>
        <w:tabs>
          <w:tab w:leader="none" w:pos="1100" w:val="left"/>
        </w:tabs>
        <w:numPr>
          <w:ilvl w:val="0"/>
          <w:numId w:val="822"/>
        </w:numPr>
        <w:rPr>
          <w:rFonts w:ascii="Arial" w:cs="Arial" w:eastAsia="Arial" w:hAnsi="Arial"/>
          <w:sz w:val="14"/>
          <w:szCs w:val="14"/>
          <w:color w:val="auto"/>
        </w:rPr>
      </w:pPr>
      <w:r>
        <w:rPr>
          <w:rFonts w:ascii="Arial" w:cs="Arial" w:eastAsia="Arial" w:hAnsi="Arial"/>
          <w:sz w:val="14"/>
          <w:szCs w:val="14"/>
          <w:color w:val="auto"/>
        </w:rPr>
        <w:t xml:space="preserve">with respect to the CD123 Program: each of the following </w:t>
      </w:r>
      <w:r>
        <w:rPr>
          <w:rFonts w:ascii="Arial" w:cs="Arial" w:eastAsia="Arial" w:hAnsi="Arial"/>
          <w:sz w:val="14"/>
          <w:szCs w:val="14"/>
          <w:b w:val="1"/>
          <w:bCs w:val="1"/>
          <w:color w:val="auto"/>
        </w:rPr>
        <w:t>***</w:t>
      </w:r>
      <w:r>
        <w:rPr>
          <w:rFonts w:ascii="Arial" w:cs="Arial" w:eastAsia="Arial" w:hAnsi="Arial"/>
          <w:sz w:val="14"/>
          <w:szCs w:val="14"/>
          <w:color w:val="auto"/>
        </w:rPr>
        <w:t>; and</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822"/>
        </w:numPr>
        <w:rPr>
          <w:rFonts w:ascii="Arial" w:cs="Arial" w:eastAsia="Arial" w:hAnsi="Arial"/>
          <w:sz w:val="14"/>
          <w:szCs w:val="14"/>
          <w:color w:val="auto"/>
        </w:rPr>
      </w:pPr>
      <w:r>
        <w:rPr>
          <w:rFonts w:ascii="Arial" w:cs="Arial" w:eastAsia="Arial" w:hAnsi="Arial"/>
          <w:sz w:val="14"/>
          <w:szCs w:val="14"/>
          <w:color w:val="auto"/>
        </w:rPr>
        <w:t xml:space="preserve">with respect to each of the A33 Program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1.65 “</w:t>
      </w:r>
      <w:r>
        <w:rPr>
          <w:rFonts w:ascii="Arial" w:cs="Arial" w:eastAsia="Arial" w:hAnsi="Arial"/>
          <w:sz w:val="14"/>
          <w:szCs w:val="14"/>
          <w:u w:val="single" w:color="auto"/>
          <w:color w:val="auto"/>
        </w:rPr>
        <w:t>Out-of-Pocket Costs</w:t>
      </w:r>
      <w:r>
        <w:rPr>
          <w:rFonts w:ascii="Arial" w:cs="Arial" w:eastAsia="Arial" w:hAnsi="Arial"/>
          <w:sz w:val="14"/>
          <w:szCs w:val="14"/>
          <w:color w:val="auto"/>
        </w:rPr>
        <w:t>” means, with respect to certain activities hereunder, direct expenses paid or payable by either Party or its Affiliates to Third Parties and specifically identifiable and incurred to conduct such activities for a Licensed Product.</w:t>
      </w:r>
    </w:p>
    <w:p>
      <w:pPr>
        <w:spacing w:after="0" w:line="101" w:lineRule="exact"/>
        <w:rPr>
          <w:sz w:val="20"/>
          <w:szCs w:val="20"/>
          <w:color w:val="auto"/>
        </w:rPr>
      </w:pPr>
    </w:p>
    <w:p>
      <w:pPr>
        <w:ind w:right="700" w:firstLine="458"/>
        <w:spacing w:after="0" w:line="351" w:lineRule="auto"/>
        <w:rPr>
          <w:sz w:val="20"/>
          <w:szCs w:val="20"/>
          <w:color w:val="auto"/>
        </w:rPr>
      </w:pPr>
      <w:r>
        <w:rPr>
          <w:rFonts w:ascii="Arial" w:cs="Arial" w:eastAsia="Arial" w:hAnsi="Arial"/>
          <w:sz w:val="12"/>
          <w:szCs w:val="12"/>
          <w:color w:val="auto"/>
        </w:rPr>
        <w:t>1.66 “</w:t>
      </w:r>
      <w:r>
        <w:rPr>
          <w:rFonts w:ascii="Arial" w:cs="Arial" w:eastAsia="Arial" w:hAnsi="Arial"/>
          <w:sz w:val="12"/>
          <w:szCs w:val="12"/>
          <w:u w:val="single" w:color="auto"/>
          <w:color w:val="auto"/>
        </w:rPr>
        <w:t>Patent</w:t>
      </w:r>
      <w:r>
        <w:rPr>
          <w:rFonts w:ascii="Arial" w:cs="Arial" w:eastAsia="Arial" w:hAnsi="Arial"/>
          <w:sz w:val="12"/>
          <w:szCs w:val="12"/>
          <w:color w:val="auto"/>
        </w:rPr>
        <w:t>” means (a) all patents and patent applications in any country or supranational jurisdiction, and (b) any substitutions, divisionals, continuations, continuations-in-part, provisional applications, reissues, renewals, registrations, confirmations, re-examinations, extensions, supplementary protection certificates and the like of any such patents or patent applications.</w:t>
      </w:r>
    </w:p>
    <w:p>
      <w:pPr>
        <w:spacing w:after="0" w:line="56" w:lineRule="exact"/>
        <w:rPr>
          <w:sz w:val="20"/>
          <w:szCs w:val="20"/>
          <w:color w:val="auto"/>
        </w:rPr>
      </w:pPr>
    </w:p>
    <w:p>
      <w:pPr>
        <w:ind w:right="280" w:firstLine="458"/>
        <w:spacing w:after="0" w:line="267" w:lineRule="auto"/>
        <w:rPr>
          <w:sz w:val="20"/>
          <w:szCs w:val="20"/>
          <w:color w:val="auto"/>
        </w:rPr>
      </w:pPr>
      <w:r>
        <w:rPr>
          <w:rFonts w:ascii="Arial" w:cs="Arial" w:eastAsia="Arial" w:hAnsi="Arial"/>
          <w:sz w:val="14"/>
          <w:szCs w:val="14"/>
          <w:color w:val="auto"/>
        </w:rPr>
        <w:t>1.67 “</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01"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1.68 “</w:t>
      </w:r>
      <w:r>
        <w:rPr>
          <w:rFonts w:ascii="Arial" w:cs="Arial" w:eastAsia="Arial" w:hAnsi="Arial"/>
          <w:sz w:val="14"/>
          <w:szCs w:val="14"/>
          <w:u w:val="single" w:color="auto"/>
          <w:color w:val="auto"/>
        </w:rPr>
        <w:t>Phase 1 Clinical Trial</w:t>
      </w:r>
      <w:r>
        <w:rPr>
          <w:rFonts w:ascii="Arial" w:cs="Arial" w:eastAsia="Arial" w:hAnsi="Arial"/>
          <w:sz w:val="14"/>
          <w:szCs w:val="14"/>
          <w:color w:val="auto"/>
        </w:rPr>
        <w:t>” means a human clinical trial that is intended to initially evaluate the safety and/or pharmacological effect of a product or that would otherwise satisfy the requirements of 21 C.F.R. 312.21(a) or an equivalent clinical trial in a country other than the United States.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2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20" w:name="page721"/>
    <w:bookmarkEnd w:id="720"/>
    <w:p>
      <w:pPr>
        <w:ind w:right="20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1.69 “</w:t>
      </w:r>
      <w:r>
        <w:rPr>
          <w:rFonts w:ascii="Arial" w:cs="Arial" w:eastAsia="Arial" w:hAnsi="Arial"/>
          <w:sz w:val="14"/>
          <w:szCs w:val="14"/>
          <w:u w:val="single" w:color="auto"/>
          <w:color w:val="auto"/>
        </w:rPr>
        <w:t>Phase 2 Clinical Trial</w:t>
      </w:r>
      <w:r>
        <w:rPr>
          <w:rFonts w:ascii="Arial" w:cs="Arial" w:eastAsia="Arial" w:hAnsi="Arial"/>
          <w:sz w:val="14"/>
          <w:szCs w:val="14"/>
          <w:color w:val="auto"/>
        </w:rPr>
        <w:t>” means a human clinical trial for which the primary endpoints include a determination of dose ranges or an indication of efficacy of a product in patients being studied as described in 21 C.F.R. §312.21(b), or an equivalent clinical trial in a country other than the United States.</w:t>
      </w:r>
    </w:p>
    <w:p>
      <w:pPr>
        <w:spacing w:after="0" w:line="101" w:lineRule="exact"/>
        <w:rPr>
          <w:sz w:val="20"/>
          <w:szCs w:val="20"/>
          <w:color w:val="auto"/>
        </w:rPr>
      </w:pPr>
    </w:p>
    <w:p>
      <w:pPr>
        <w:ind w:right="80" w:firstLine="458"/>
        <w:spacing w:after="0" w:line="258" w:lineRule="auto"/>
        <w:rPr>
          <w:sz w:val="20"/>
          <w:szCs w:val="20"/>
          <w:color w:val="auto"/>
        </w:rPr>
      </w:pPr>
      <w:r>
        <w:rPr>
          <w:rFonts w:ascii="Arial" w:cs="Arial" w:eastAsia="Arial" w:hAnsi="Arial"/>
          <w:sz w:val="14"/>
          <w:szCs w:val="14"/>
          <w:color w:val="auto"/>
        </w:rPr>
        <w:t>1.70 “</w:t>
      </w:r>
      <w:r>
        <w:rPr>
          <w:rFonts w:ascii="Arial" w:cs="Arial" w:eastAsia="Arial" w:hAnsi="Arial"/>
          <w:sz w:val="14"/>
          <w:szCs w:val="14"/>
          <w:u w:val="single" w:color="auto"/>
          <w:color w:val="auto"/>
        </w:rPr>
        <w:t>Phase 3 Clinical Trial</w:t>
      </w:r>
      <w:r>
        <w:rPr>
          <w:rFonts w:ascii="Arial" w:cs="Arial" w:eastAsia="Arial" w:hAnsi="Arial"/>
          <w:sz w:val="14"/>
          <w:szCs w:val="14"/>
          <w:color w:val="auto"/>
        </w:rPr>
        <w:t>” means a human clinical trial that is prospectively designed to demonstrate statistically whether a product is safe and effective for use in humans in the indication being investigated in a manner sufficient to obtain Regulatory Approval to market such product in patients having the disease or condition being studied as described in 21 C.F.R. §312.21(c), or an equivalent clinical trial in a country other than the United States.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1.71 “</w:t>
      </w:r>
      <w:r>
        <w:rPr>
          <w:rFonts w:ascii="Arial" w:cs="Arial" w:eastAsia="Arial" w:hAnsi="Arial"/>
          <w:sz w:val="14"/>
          <w:szCs w:val="14"/>
          <w:u w:val="single" w:color="auto"/>
          <w:color w:val="auto"/>
        </w:rPr>
        <w:t>PMDA</w:t>
      </w:r>
      <w:r>
        <w:rPr>
          <w:rFonts w:ascii="Arial" w:cs="Arial" w:eastAsia="Arial" w:hAnsi="Arial"/>
          <w:sz w:val="14"/>
          <w:szCs w:val="14"/>
          <w:color w:val="auto"/>
        </w:rPr>
        <w:t>” means the Japanese Pharmaceuticals and Medical Devices Agency or any successor agency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1.72 “</w:t>
      </w:r>
      <w:r>
        <w:rPr>
          <w:rFonts w:ascii="Arial" w:cs="Arial" w:eastAsia="Arial" w:hAnsi="Arial"/>
          <w:sz w:val="14"/>
          <w:szCs w:val="14"/>
          <w:u w:val="single" w:color="auto"/>
          <w:color w:val="auto"/>
        </w:rPr>
        <w:t>Program</w:t>
      </w:r>
      <w:r>
        <w:rPr>
          <w:rFonts w:ascii="Arial" w:cs="Arial" w:eastAsia="Arial" w:hAnsi="Arial"/>
          <w:sz w:val="14"/>
          <w:szCs w:val="14"/>
          <w:color w:val="auto"/>
        </w:rPr>
        <w:t>” means a scientific and/or Development program undertaken by MacroGenics to generate and Develop DARTs that bind to a Program Target.</w:t>
      </w:r>
    </w:p>
    <w:p>
      <w:pPr>
        <w:spacing w:after="0" w:line="132"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1.73 “</w:t>
      </w:r>
      <w:r>
        <w:rPr>
          <w:rFonts w:ascii="Arial" w:cs="Arial" w:eastAsia="Arial" w:hAnsi="Arial"/>
          <w:sz w:val="14"/>
          <w:szCs w:val="14"/>
          <w:u w:val="single" w:color="auto"/>
          <w:color w:val="auto"/>
        </w:rPr>
        <w:t>Program DART</w:t>
      </w:r>
      <w:r>
        <w:rPr>
          <w:rFonts w:ascii="Arial" w:cs="Arial" w:eastAsia="Arial" w:hAnsi="Arial"/>
          <w:sz w:val="14"/>
          <w:szCs w:val="14"/>
          <w:color w:val="auto"/>
        </w:rPr>
        <w:t>” means any naked DART (i.e. without any drug or radioactive material attached to them) for which one arm principally binds to a Program Target, including the DARTs listed in Exhibit A, ***.</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1.74 “</w:t>
      </w:r>
      <w:r>
        <w:rPr>
          <w:rFonts w:ascii="Arial" w:cs="Arial" w:eastAsia="Arial" w:hAnsi="Arial"/>
          <w:sz w:val="14"/>
          <w:szCs w:val="14"/>
          <w:u w:val="single" w:color="auto"/>
          <w:color w:val="auto"/>
        </w:rPr>
        <w:t>Program Target</w:t>
      </w:r>
      <w:r>
        <w:rPr>
          <w:rFonts w:ascii="Arial" w:cs="Arial" w:eastAsia="Arial" w:hAnsi="Arial"/>
          <w:sz w:val="14"/>
          <w:szCs w:val="14"/>
          <w:color w:val="auto"/>
        </w:rPr>
        <w:t xml:space="preserve">” means one or more of the following Targets: (i) CD123, (ii) </w:t>
      </w:r>
      <w:r>
        <w:rPr>
          <w:rFonts w:ascii="Arial" w:cs="Arial" w:eastAsia="Arial" w:hAnsi="Arial"/>
          <w:sz w:val="14"/>
          <w:szCs w:val="14"/>
          <w:b w:val="1"/>
          <w:bCs w:val="1"/>
          <w:color w:val="auto"/>
        </w:rPr>
        <w:t>***</w:t>
      </w:r>
      <w:r>
        <w:rPr>
          <w:rFonts w:ascii="Arial" w:cs="Arial" w:eastAsia="Arial" w:hAnsi="Arial"/>
          <w:sz w:val="14"/>
          <w:szCs w:val="14"/>
          <w:color w:val="auto"/>
        </w:rPr>
        <w:t xml:space="preserve"> or (iii) gpA33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1.75 “</w:t>
      </w:r>
      <w:r>
        <w:rPr>
          <w:rFonts w:ascii="Arial" w:cs="Arial" w:eastAsia="Arial" w:hAnsi="Arial"/>
          <w:sz w:val="12"/>
          <w:szCs w:val="12"/>
          <w:u w:val="single" w:color="auto"/>
          <w:color w:val="auto"/>
        </w:rPr>
        <w:t>Qualified Transaction</w:t>
      </w:r>
      <w:r>
        <w:rPr>
          <w:rFonts w:ascii="Arial" w:cs="Arial" w:eastAsia="Arial" w:hAnsi="Arial"/>
          <w:sz w:val="12"/>
          <w:szCs w:val="12"/>
          <w:color w:val="auto"/>
        </w:rPr>
        <w:t xml:space="preserve">” means a transaction MacroGenics desires to enter into with one or more Third Party(ies) with respect to one or more Independent Products, which transaction (a) </w:t>
      </w:r>
      <w:r>
        <w:rPr>
          <w:rFonts w:ascii="Arial" w:cs="Arial" w:eastAsia="Arial" w:hAnsi="Arial"/>
          <w:sz w:val="12"/>
          <w:szCs w:val="12"/>
          <w:b w:val="1"/>
          <w:bCs w:val="1"/>
          <w:color w:val="auto"/>
        </w:rPr>
        <w:t>***</w:t>
      </w:r>
      <w:r>
        <w:rPr>
          <w:rFonts w:ascii="Arial" w:cs="Arial" w:eastAsia="Arial" w:hAnsi="Arial"/>
          <w:sz w:val="12"/>
          <w:szCs w:val="12"/>
          <w:color w:val="auto"/>
        </w:rPr>
        <w:t>; and</w:t>
      </w:r>
    </w:p>
    <w:p>
      <w:pPr>
        <w:spacing w:after="0" w:line="37" w:lineRule="exact"/>
        <w:rPr>
          <w:sz w:val="20"/>
          <w:szCs w:val="20"/>
          <w:color w:val="auto"/>
        </w:rPr>
      </w:pPr>
    </w:p>
    <w:p>
      <w:pPr>
        <w:ind w:left="200" w:hanging="196"/>
        <w:spacing w:after="0"/>
        <w:tabs>
          <w:tab w:leader="none" w:pos="200" w:val="left"/>
        </w:tabs>
        <w:numPr>
          <w:ilvl w:val="0"/>
          <w:numId w:val="824"/>
        </w:numPr>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26"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1.76 “</w:t>
      </w:r>
      <w:r>
        <w:rPr>
          <w:rFonts w:ascii="Arial" w:cs="Arial" w:eastAsia="Arial" w:hAnsi="Arial"/>
          <w:sz w:val="14"/>
          <w:szCs w:val="14"/>
          <w:u w:val="single" w:color="auto"/>
          <w:color w:val="auto"/>
        </w:rPr>
        <w:t>Regulatory Approval</w:t>
      </w:r>
      <w:r>
        <w:rPr>
          <w:rFonts w:ascii="Arial" w:cs="Arial" w:eastAsia="Arial" w:hAnsi="Arial"/>
          <w:sz w:val="14"/>
          <w:szCs w:val="14"/>
          <w:color w:val="auto"/>
        </w:rPr>
        <w:t>” means the approval, license or authorization of the applicable Regulatory Authority necessary for Development and/or Commercialization of a Program DART and/or a Licensed Product for a particular Indication.</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1.77 “</w:t>
      </w:r>
      <w:r>
        <w:rPr>
          <w:rFonts w:ascii="Arial" w:cs="Arial" w:eastAsia="Arial" w:hAnsi="Arial"/>
          <w:sz w:val="14"/>
          <w:szCs w:val="14"/>
          <w:u w:val="single" w:color="auto"/>
          <w:color w:val="auto"/>
        </w:rPr>
        <w:t>Regulatory Authority</w:t>
      </w:r>
      <w:r>
        <w:rPr>
          <w:rFonts w:ascii="Arial" w:cs="Arial" w:eastAsia="Arial" w:hAnsi="Arial"/>
          <w:sz w:val="14"/>
          <w:szCs w:val="14"/>
          <w:color w:val="auto"/>
        </w:rPr>
        <w:t>” means the FDA in the United States or any health regulatory authority in another country that is a counterpart to the FDA and holds responsibility for allowing development of Program DARTs and/or granting Regulatory Approval for a Licensed Product in such country, including the EMA, and any successor(s) thereto.</w:t>
      </w:r>
    </w:p>
    <w:p>
      <w:pPr>
        <w:spacing w:after="0" w:line="101" w:lineRule="exact"/>
        <w:rPr>
          <w:sz w:val="20"/>
          <w:szCs w:val="20"/>
          <w:color w:val="auto"/>
        </w:rPr>
      </w:pPr>
    </w:p>
    <w:p>
      <w:pPr>
        <w:ind w:right="160" w:firstLine="458"/>
        <w:spacing w:after="0" w:line="258" w:lineRule="auto"/>
        <w:rPr>
          <w:sz w:val="20"/>
          <w:szCs w:val="20"/>
          <w:color w:val="auto"/>
        </w:rPr>
      </w:pPr>
      <w:r>
        <w:rPr>
          <w:rFonts w:ascii="Arial" w:cs="Arial" w:eastAsia="Arial" w:hAnsi="Arial"/>
          <w:sz w:val="14"/>
          <w:szCs w:val="14"/>
          <w:color w:val="auto"/>
        </w:rPr>
        <w:t>1.78 “</w:t>
      </w:r>
      <w:r>
        <w:rPr>
          <w:rFonts w:ascii="Arial" w:cs="Arial" w:eastAsia="Arial" w:hAnsi="Arial"/>
          <w:sz w:val="14"/>
          <w:szCs w:val="14"/>
          <w:u w:val="single" w:color="auto"/>
          <w:color w:val="auto"/>
        </w:rPr>
        <w:t>Regulatory-Based Exclusivity Period</w:t>
      </w:r>
      <w:r>
        <w:rPr>
          <w:rFonts w:ascii="Arial" w:cs="Arial" w:eastAsia="Arial" w:hAnsi="Arial"/>
          <w:sz w:val="14"/>
          <w:szCs w:val="14"/>
          <w:color w:val="auto"/>
        </w:rPr>
        <w:t>” means, with respect to a Licensed Product, that period of time during which Servier or any of its Affiliates or Sublicensees has been granted the exclusive legal right by a Regulatory Authority either to market and sell a Licensed Product in a country in the Servier Territory or the exclusive right to the use of or reference to clinical data in relation to a Licensed Product.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1.79 “</w:t>
      </w:r>
      <w:r>
        <w:rPr>
          <w:rFonts w:ascii="Arial" w:cs="Arial" w:eastAsia="Arial" w:hAnsi="Arial"/>
          <w:sz w:val="12"/>
          <w:szCs w:val="12"/>
          <w:u w:val="single" w:color="auto"/>
          <w:color w:val="auto"/>
        </w:rPr>
        <w:t>Regulatory Documentation</w:t>
      </w:r>
      <w:r>
        <w:rPr>
          <w:rFonts w:ascii="Arial" w:cs="Arial" w:eastAsia="Arial" w:hAnsi="Arial"/>
          <w:sz w:val="12"/>
          <w:szCs w:val="12"/>
          <w:color w:val="auto"/>
        </w:rPr>
        <w:t>” means, with respect to the Program DARTs or Licensed Products, all INDs, BLAs, and other regulatory applications submitted to any Regulatory</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11</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2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721" w:name="page722"/>
    <w:bookmarkEnd w:id="721"/>
    <w:p>
      <w:pPr>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Authority, copies of Regulatory Approvals, regulatory materials, drug dossiers, master files (including Drug Master Files, as defined in 21 C.F.R. §314.420 and any non-United States equivalents), and any other reports, records, regulatory correspondence, meeting minutes, telephone logs, and other materials relating to Regulatory Approval of the Program DARTs or Licensed Products (including any underlying safety and effectiveness data whether or not submitted to any Regulatory Authority), or required to manufacture, distribute or sell Licensed Products including any information that relates to pharmacology, toxicology, chemistry, manufacturing and controls data, batch records, safety and efficacy, and any safety database required to be maintained for Regulatory Authorities.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1.80 “</w:t>
      </w:r>
      <w:r>
        <w:rPr>
          <w:rFonts w:ascii="Arial" w:cs="Arial" w:eastAsia="Arial" w:hAnsi="Arial"/>
          <w:sz w:val="14"/>
          <w:szCs w:val="14"/>
          <w:u w:val="single" w:color="auto"/>
          <w:color w:val="auto"/>
        </w:rPr>
        <w:t>Research</w:t>
      </w:r>
      <w:r>
        <w:rPr>
          <w:rFonts w:ascii="Arial" w:cs="Arial" w:eastAsia="Arial" w:hAnsi="Arial"/>
          <w:sz w:val="14"/>
          <w:szCs w:val="14"/>
          <w:color w:val="auto"/>
        </w:rPr>
        <w:t>” means the discovery, identification, research, characterization, modification, derivatization and optimization of pharmaceutical compounds.</w:t>
      </w:r>
    </w:p>
    <w:p>
      <w:pPr>
        <w:spacing w:after="0" w:line="132"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1.81 “</w:t>
      </w:r>
      <w:r>
        <w:rPr>
          <w:rFonts w:ascii="Arial" w:cs="Arial" w:eastAsia="Arial" w:hAnsi="Arial"/>
          <w:sz w:val="14"/>
          <w:szCs w:val="14"/>
          <w:u w:val="single" w:color="auto"/>
          <w:color w:val="auto"/>
        </w:rPr>
        <w:t>Research Plan</w:t>
      </w:r>
      <w:r>
        <w:rPr>
          <w:rFonts w:ascii="Arial" w:cs="Arial" w:eastAsia="Arial" w:hAnsi="Arial"/>
          <w:sz w:val="14"/>
          <w:szCs w:val="14"/>
          <w:color w:val="auto"/>
        </w:rPr>
        <w:t>” means a research plan developed by the Parties that sets forth the activities to be undertaken during the Option Period for a specific Program, which research plan may be amended from time to time by the JRDC.</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1.82 “</w:t>
      </w:r>
      <w:r>
        <w:rPr>
          <w:rFonts w:ascii="Arial" w:cs="Arial" w:eastAsia="Arial" w:hAnsi="Arial"/>
          <w:sz w:val="14"/>
          <w:szCs w:val="14"/>
          <w:u w:val="single" w:color="auto"/>
          <w:color w:val="auto"/>
        </w:rPr>
        <w:t>Research Term</w:t>
      </w:r>
      <w:r>
        <w:rPr>
          <w:rFonts w:ascii="Arial" w:cs="Arial" w:eastAsia="Arial" w:hAnsi="Arial"/>
          <w:sz w:val="14"/>
          <w:szCs w:val="14"/>
          <w:color w:val="auto"/>
        </w:rPr>
        <w:t xml:space="preserve">” means for each Program the period commencing with the Effective Date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1.83 “</w:t>
      </w:r>
      <w:r>
        <w:rPr>
          <w:rFonts w:ascii="Arial" w:cs="Arial" w:eastAsia="Arial" w:hAnsi="Arial"/>
          <w:sz w:val="14"/>
          <w:szCs w:val="14"/>
          <w:u w:val="single" w:color="auto"/>
          <w:color w:val="auto"/>
        </w:rPr>
        <w:t>Right of Reference or Use</w:t>
      </w:r>
      <w:r>
        <w:rPr>
          <w:rFonts w:ascii="Arial" w:cs="Arial" w:eastAsia="Arial" w:hAnsi="Arial"/>
          <w:sz w:val="14"/>
          <w:szCs w:val="14"/>
          <w:color w:val="auto"/>
        </w:rPr>
        <w:t>” means a “Right of Reference or Use” as that term is defined in 21 C.F.R. §314.3(b), and any non-United States equivalents.</w:t>
      </w:r>
    </w:p>
    <w:p>
      <w:pPr>
        <w:spacing w:after="0" w:line="13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1.84 “</w:t>
      </w:r>
      <w:r>
        <w:rPr>
          <w:rFonts w:ascii="Arial" w:cs="Arial" w:eastAsia="Arial" w:hAnsi="Arial"/>
          <w:sz w:val="14"/>
          <w:szCs w:val="14"/>
          <w:u w:val="single" w:color="auto"/>
          <w:color w:val="auto"/>
        </w:rPr>
        <w:t>Safety Data</w:t>
      </w:r>
      <w:r>
        <w:rPr>
          <w:rFonts w:ascii="Arial" w:cs="Arial" w:eastAsia="Arial" w:hAnsi="Arial"/>
          <w:sz w:val="14"/>
          <w:szCs w:val="14"/>
          <w:color w:val="auto"/>
        </w:rPr>
        <w:t>” means adverse event information and other information (if any) required by one or more Regulatory Authorities to be collected or to be reported to such Regulatory Authorities under applicable Laws.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1.85 “</w:t>
      </w:r>
      <w:r>
        <w:rPr>
          <w:rFonts w:ascii="Arial" w:cs="Arial" w:eastAsia="Arial" w:hAnsi="Arial"/>
          <w:sz w:val="14"/>
          <w:szCs w:val="14"/>
          <w:u w:val="single" w:color="auto"/>
          <w:color w:val="auto"/>
        </w:rPr>
        <w:t>Servier Collaboration IP</w:t>
      </w:r>
      <w:r>
        <w:rPr>
          <w:rFonts w:ascii="Arial" w:cs="Arial" w:eastAsia="Arial" w:hAnsi="Arial"/>
          <w:sz w:val="14"/>
          <w:szCs w:val="14"/>
          <w:color w:val="auto"/>
        </w:rPr>
        <w:t>” means the Servier Collaboration Know-How and the Servier Collaboration Patents.</w:t>
      </w:r>
    </w:p>
    <w:p>
      <w:pPr>
        <w:spacing w:after="0" w:line="132" w:lineRule="exact"/>
        <w:rPr>
          <w:sz w:val="20"/>
          <w:szCs w:val="20"/>
          <w:color w:val="auto"/>
        </w:rPr>
      </w:pPr>
    </w:p>
    <w:p>
      <w:pPr>
        <w:ind w:right="120" w:firstLine="458"/>
        <w:spacing w:after="0" w:line="294" w:lineRule="auto"/>
        <w:rPr>
          <w:sz w:val="20"/>
          <w:szCs w:val="20"/>
          <w:color w:val="auto"/>
        </w:rPr>
      </w:pPr>
      <w:r>
        <w:rPr>
          <w:rFonts w:ascii="Arial" w:cs="Arial" w:eastAsia="Arial" w:hAnsi="Arial"/>
          <w:sz w:val="12"/>
          <w:szCs w:val="12"/>
          <w:color w:val="auto"/>
        </w:rPr>
        <w:t>1.86 “</w:t>
      </w:r>
      <w:r>
        <w:rPr>
          <w:rFonts w:ascii="Arial" w:cs="Arial" w:eastAsia="Arial" w:hAnsi="Arial"/>
          <w:sz w:val="12"/>
          <w:szCs w:val="12"/>
          <w:u w:val="single" w:color="auto"/>
          <w:color w:val="auto"/>
        </w:rPr>
        <w:t>Servier Collaboration Know-How</w:t>
      </w:r>
      <w:r>
        <w:rPr>
          <w:rFonts w:ascii="Arial" w:cs="Arial" w:eastAsia="Arial" w:hAnsi="Arial"/>
          <w:sz w:val="12"/>
          <w:szCs w:val="12"/>
          <w:color w:val="auto"/>
        </w:rPr>
        <w:t>” means Know-How that is (a) Controlled by Servier or its Affiliates on the Effective Date or thereafter during the Agreement Term; (b) (i) an improvement, modification, enhancement or novel use of a Program DART or Licensed Product or Diagnostic, or any improvement, modification or enhancement in the Manufacturing process or formulation of a Program DART or Licensed Product or Diagnostic by or on behalf of Servier or its Affiliates; or (ii) disclosed by or on behalf of Servier or its Affiliates to MacroGenics or its Affiliates pursuant to this Agreement; and</w:t>
      </w:r>
    </w:p>
    <w:p>
      <w:pPr>
        <w:ind w:right="20" w:firstLine="4"/>
        <w:spacing w:after="0" w:line="258" w:lineRule="auto"/>
        <w:tabs>
          <w:tab w:leader="none" w:pos="185" w:val="left"/>
        </w:tabs>
        <w:numPr>
          <w:ilvl w:val="0"/>
          <w:numId w:val="826"/>
        </w:numPr>
        <w:rPr>
          <w:rFonts w:ascii="Arial" w:cs="Arial" w:eastAsia="Arial" w:hAnsi="Arial"/>
          <w:sz w:val="14"/>
          <w:szCs w:val="14"/>
          <w:color w:val="auto"/>
        </w:rPr>
      </w:pPr>
      <w:r>
        <w:rPr>
          <w:rFonts w:ascii="Arial" w:cs="Arial" w:eastAsia="Arial" w:hAnsi="Arial"/>
          <w:sz w:val="14"/>
          <w:szCs w:val="14"/>
          <w:color w:val="auto"/>
        </w:rPr>
        <w:t>necessary or useful to Research, Develop, Manufacture or Commercialize any Program DART or Licensed Product or Diagnostic in the Field. Servier Collaboration Know-How excludes Servier’s interest in the Joint IP.</w:t>
      </w:r>
    </w:p>
    <w:p>
      <w:pPr>
        <w:spacing w:after="0" w:line="108"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1.87 “</w:t>
      </w:r>
      <w:r>
        <w:rPr>
          <w:rFonts w:ascii="Arial" w:cs="Arial" w:eastAsia="Arial" w:hAnsi="Arial"/>
          <w:sz w:val="14"/>
          <w:szCs w:val="14"/>
          <w:u w:val="single" w:color="auto"/>
          <w:color w:val="auto"/>
        </w:rPr>
        <w:t>Servier Collaboration Patent(s)</w:t>
      </w:r>
      <w:r>
        <w:rPr>
          <w:rFonts w:ascii="Arial" w:cs="Arial" w:eastAsia="Arial" w:hAnsi="Arial"/>
          <w:sz w:val="14"/>
          <w:szCs w:val="14"/>
          <w:color w:val="auto"/>
        </w:rPr>
        <w:t>” means Patents Controlled by Servier and its Affiliates on the Effective Date or thereafter during the Agreement Term claiming or directed to Servier Collaboration Know-How.</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2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722" w:name="page723"/>
    <w:bookmarkEnd w:id="722"/>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1.88 “</w:t>
      </w:r>
      <w:r>
        <w:rPr>
          <w:rFonts w:ascii="Arial" w:cs="Arial" w:eastAsia="Arial" w:hAnsi="Arial"/>
          <w:sz w:val="14"/>
          <w:szCs w:val="14"/>
          <w:u w:val="single" w:color="auto"/>
          <w:color w:val="auto"/>
        </w:rPr>
        <w:t>Servier Indemnitees</w:t>
      </w:r>
      <w:r>
        <w:rPr>
          <w:rFonts w:ascii="Arial" w:cs="Arial" w:eastAsia="Arial" w:hAnsi="Arial"/>
          <w:sz w:val="14"/>
          <w:szCs w:val="14"/>
          <w:color w:val="auto"/>
        </w:rPr>
        <w:t>” means Servier, its Affiliates and the directors, officers and employees of Servier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1.89 “</w:t>
      </w:r>
      <w:r>
        <w:rPr>
          <w:rFonts w:ascii="Arial" w:cs="Arial" w:eastAsia="Arial" w:hAnsi="Arial"/>
          <w:sz w:val="14"/>
          <w:szCs w:val="14"/>
          <w:u w:val="single" w:color="auto"/>
          <w:color w:val="auto"/>
        </w:rPr>
        <w:t>Servier Territory</w:t>
      </w:r>
      <w:r>
        <w:rPr>
          <w:rFonts w:ascii="Arial" w:cs="Arial" w:eastAsia="Arial" w:hAnsi="Arial"/>
          <w:sz w:val="14"/>
          <w:szCs w:val="14"/>
          <w:color w:val="auto"/>
        </w:rPr>
        <w:t>” means the entire world excluding the MacroGenics Territory.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1.90 “</w:t>
      </w:r>
      <w:r>
        <w:rPr>
          <w:rFonts w:ascii="Arial" w:cs="Arial" w:eastAsia="Arial" w:hAnsi="Arial"/>
          <w:sz w:val="14"/>
          <w:szCs w:val="14"/>
          <w:u w:val="single" w:color="auto"/>
          <w:color w:val="auto"/>
        </w:rPr>
        <w:t>SFDA</w:t>
      </w:r>
      <w:r>
        <w:rPr>
          <w:rFonts w:ascii="Arial" w:cs="Arial" w:eastAsia="Arial" w:hAnsi="Arial"/>
          <w:sz w:val="14"/>
          <w:szCs w:val="14"/>
          <w:color w:val="auto"/>
        </w:rPr>
        <w:t>” means the Chinese State Food and Drug Administration or any successor agency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1.91 “</w:t>
      </w:r>
      <w:r>
        <w:rPr>
          <w:rFonts w:ascii="Arial" w:cs="Arial" w:eastAsia="Arial" w:hAnsi="Arial"/>
          <w:sz w:val="14"/>
          <w:szCs w:val="14"/>
          <w:u w:val="single" w:color="auto"/>
          <w:color w:val="auto"/>
        </w:rPr>
        <w:t>Significant Patent</w:t>
      </w:r>
      <w:r>
        <w:rPr>
          <w:rFonts w:ascii="Arial" w:cs="Arial" w:eastAsia="Arial" w:hAnsi="Arial"/>
          <w:sz w:val="14"/>
          <w:szCs w:val="14"/>
          <w:color w:val="auto"/>
        </w:rPr>
        <w:t>” means any ***</w:t>
      </w:r>
    </w:p>
    <w:p>
      <w:pPr>
        <w:spacing w:after="0" w:line="132" w:lineRule="exact"/>
        <w:rPr>
          <w:sz w:val="20"/>
          <w:szCs w:val="20"/>
          <w:color w:val="auto"/>
        </w:rPr>
      </w:pPr>
    </w:p>
    <w:p>
      <w:pPr>
        <w:jc w:val="both"/>
        <w:ind w:right="280" w:firstLine="458"/>
        <w:spacing w:after="0" w:line="258" w:lineRule="auto"/>
        <w:rPr>
          <w:sz w:val="20"/>
          <w:szCs w:val="20"/>
          <w:color w:val="auto"/>
        </w:rPr>
      </w:pPr>
      <w:r>
        <w:rPr>
          <w:rFonts w:ascii="Arial" w:cs="Arial" w:eastAsia="Arial" w:hAnsi="Arial"/>
          <w:sz w:val="14"/>
          <w:szCs w:val="14"/>
          <w:color w:val="auto"/>
        </w:rPr>
        <w:t>1.92 “</w:t>
      </w:r>
      <w:r>
        <w:rPr>
          <w:rFonts w:ascii="Arial" w:cs="Arial" w:eastAsia="Arial" w:hAnsi="Arial"/>
          <w:sz w:val="14"/>
          <w:szCs w:val="14"/>
          <w:u w:val="single" w:color="auto"/>
          <w:color w:val="auto"/>
        </w:rPr>
        <w:t>Sublicensee</w:t>
      </w:r>
      <w:r>
        <w:rPr>
          <w:rFonts w:ascii="Arial" w:cs="Arial" w:eastAsia="Arial" w:hAnsi="Arial"/>
          <w:sz w:val="14"/>
          <w:szCs w:val="14"/>
          <w:color w:val="auto"/>
        </w:rPr>
        <w:t>” means a Third Party to whom a Party, as permitted under this Agreement, grants a license or sublicense, as the case may be, under the MacroGenics IP or Servier IP to Research, Develop, Manufacture, Commercialize or use Program DARTs and/or Licensed Products in the Field or otherwise grants rights to distribute, promote or sell Licensed Products in the Field. For clarification purpose, a Party’s subcontractor shall not be deemed a Sublicensee, but shall be subject to the provisions of Section 4.4.</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1.93 “</w:t>
      </w:r>
      <w:r>
        <w:rPr>
          <w:rFonts w:ascii="Arial" w:cs="Arial" w:eastAsia="Arial" w:hAnsi="Arial"/>
          <w:sz w:val="14"/>
          <w:szCs w:val="14"/>
          <w:u w:val="single" w:color="auto"/>
          <w:color w:val="auto"/>
        </w:rPr>
        <w:t>Target</w:t>
      </w:r>
      <w:r>
        <w:rPr>
          <w:rFonts w:ascii="Arial" w:cs="Arial" w:eastAsia="Arial" w:hAnsi="Arial"/>
          <w:sz w:val="14"/>
          <w:szCs w:val="14"/>
          <w:color w:val="auto"/>
        </w:rPr>
        <w:t>” means (a) ***</w:t>
      </w:r>
    </w:p>
    <w:p>
      <w:pPr>
        <w:spacing w:after="0" w:line="132"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1.94 “</w:t>
      </w:r>
      <w:r>
        <w:rPr>
          <w:rFonts w:ascii="Arial" w:cs="Arial" w:eastAsia="Arial" w:hAnsi="Arial"/>
          <w:sz w:val="14"/>
          <w:szCs w:val="14"/>
          <w:u w:val="single" w:color="auto"/>
          <w:color w:val="auto"/>
        </w:rPr>
        <w:t>Terminated Licensed Program</w:t>
      </w:r>
      <w:r>
        <w:rPr>
          <w:rFonts w:ascii="Arial" w:cs="Arial" w:eastAsia="Arial" w:hAnsi="Arial"/>
          <w:sz w:val="14"/>
          <w:szCs w:val="14"/>
          <w:color w:val="auto"/>
        </w:rPr>
        <w:t>” means with respect to a termination of this Agreement pursuant to ARTICLE 14, as applicable, (i) the Licensed Programs subject to such termination; and (ii) with respect to termination of this Agreement in its entirety, all Licensed Programs.</w:t>
      </w:r>
    </w:p>
    <w:p>
      <w:pPr>
        <w:spacing w:after="0" w:line="101"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1.95 “</w:t>
      </w:r>
      <w:r>
        <w:rPr>
          <w:rFonts w:ascii="Arial" w:cs="Arial" w:eastAsia="Arial" w:hAnsi="Arial"/>
          <w:sz w:val="14"/>
          <w:szCs w:val="14"/>
          <w:u w:val="single" w:color="auto"/>
          <w:color w:val="auto"/>
        </w:rPr>
        <w:t>Terminated Option</w:t>
      </w:r>
      <w:r>
        <w:rPr>
          <w:rFonts w:ascii="Arial" w:cs="Arial" w:eastAsia="Arial" w:hAnsi="Arial"/>
          <w:sz w:val="14"/>
          <w:szCs w:val="14"/>
          <w:color w:val="auto"/>
        </w:rPr>
        <w:t>” means with respect to a termination of this Agreement pursuant to ARTICLE 14, as applicable, (a) the Options subject to such termination; and (b) with respect to termination of this Agreement in its entirety, all Options.</w:t>
      </w:r>
    </w:p>
    <w:p>
      <w:pPr>
        <w:spacing w:after="0" w:line="101" w:lineRule="exact"/>
        <w:rPr>
          <w:sz w:val="20"/>
          <w:szCs w:val="20"/>
          <w:color w:val="auto"/>
        </w:rPr>
      </w:pPr>
    </w:p>
    <w:p>
      <w:pPr>
        <w:ind w:right="380" w:firstLine="458"/>
        <w:spacing w:after="0" w:line="267" w:lineRule="auto"/>
        <w:rPr>
          <w:sz w:val="20"/>
          <w:szCs w:val="20"/>
          <w:color w:val="auto"/>
        </w:rPr>
      </w:pPr>
      <w:r>
        <w:rPr>
          <w:rFonts w:ascii="Arial" w:cs="Arial" w:eastAsia="Arial" w:hAnsi="Arial"/>
          <w:sz w:val="14"/>
          <w:szCs w:val="14"/>
          <w:color w:val="auto"/>
        </w:rPr>
        <w:t>1.96 “</w:t>
      </w:r>
      <w:r>
        <w:rPr>
          <w:rFonts w:ascii="Arial" w:cs="Arial" w:eastAsia="Arial" w:hAnsi="Arial"/>
          <w:sz w:val="14"/>
          <w:szCs w:val="14"/>
          <w:u w:val="single" w:color="auto"/>
          <w:color w:val="auto"/>
        </w:rPr>
        <w:t>Terminated Territory</w:t>
      </w:r>
      <w:r>
        <w:rPr>
          <w:rFonts w:ascii="Arial" w:cs="Arial" w:eastAsia="Arial" w:hAnsi="Arial"/>
          <w:sz w:val="14"/>
          <w:szCs w:val="14"/>
          <w:color w:val="auto"/>
        </w:rPr>
        <w:t>” means with respect to a termination of this Agreement pursuant to ARTICLE 14, as applicable, (a) the country(ies) subject to such termination; and (b) with respect to termination of this Agreement in its entirety, the Servier Territory.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1.97 “</w:t>
      </w:r>
      <w:r>
        <w:rPr>
          <w:rFonts w:ascii="Arial" w:cs="Arial" w:eastAsia="Arial" w:hAnsi="Arial"/>
          <w:sz w:val="14"/>
          <w:szCs w:val="14"/>
          <w:u w:val="single" w:color="auto"/>
          <w:color w:val="auto"/>
        </w:rPr>
        <w:t>Third Party</w:t>
      </w:r>
      <w:r>
        <w:rPr>
          <w:rFonts w:ascii="Arial" w:cs="Arial" w:eastAsia="Arial" w:hAnsi="Arial"/>
          <w:sz w:val="14"/>
          <w:szCs w:val="14"/>
          <w:color w:val="auto"/>
        </w:rPr>
        <w:t>” means any Person other than MacroGenics or Servier that is not an Affiliate of MacroGenics or of Servier.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1.98 “</w:t>
      </w:r>
      <w:r>
        <w:rPr>
          <w:rFonts w:ascii="Arial" w:cs="Arial" w:eastAsia="Arial" w:hAnsi="Arial"/>
          <w:sz w:val="14"/>
          <w:szCs w:val="14"/>
          <w:u w:val="single" w:color="auto"/>
          <w:color w:val="auto"/>
        </w:rPr>
        <w:t>United States</w:t>
      </w:r>
      <w:r>
        <w:rPr>
          <w:rFonts w:ascii="Arial" w:cs="Arial" w:eastAsia="Arial" w:hAnsi="Arial"/>
          <w:sz w:val="14"/>
          <w:szCs w:val="14"/>
          <w:color w:val="auto"/>
        </w:rPr>
        <w:t>” or “</w:t>
      </w:r>
      <w:r>
        <w:rPr>
          <w:rFonts w:ascii="Arial" w:cs="Arial" w:eastAsia="Arial" w:hAnsi="Arial"/>
          <w:sz w:val="14"/>
          <w:szCs w:val="14"/>
          <w:u w:val="single" w:color="auto"/>
          <w:color w:val="auto"/>
        </w:rPr>
        <w:t>U.S.</w:t>
      </w:r>
      <w:r>
        <w:rPr>
          <w:rFonts w:ascii="Arial" w:cs="Arial" w:eastAsia="Arial" w:hAnsi="Arial"/>
          <w:sz w:val="14"/>
          <w:szCs w:val="14"/>
          <w:color w:val="auto"/>
        </w:rPr>
        <w:t>” means the United States of America and all of its territories and possessions.</w:t>
      </w:r>
    </w:p>
    <w:p>
      <w:pPr>
        <w:spacing w:after="0" w:line="13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1.99 “</w:t>
      </w:r>
      <w:r>
        <w:rPr>
          <w:rFonts w:ascii="Arial" w:cs="Arial" w:eastAsia="Arial" w:hAnsi="Arial"/>
          <w:sz w:val="14"/>
          <w:szCs w:val="14"/>
          <w:u w:val="single" w:color="auto"/>
          <w:color w:val="auto"/>
        </w:rPr>
        <w:t>Valid Claim</w:t>
      </w:r>
      <w:r>
        <w:rPr>
          <w:rFonts w:ascii="Arial" w:cs="Arial" w:eastAsia="Arial" w:hAnsi="Arial"/>
          <w:sz w:val="14"/>
          <w:szCs w:val="14"/>
          <w:color w:val="auto"/>
        </w:rPr>
        <w:t xml:space="preserve">” means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or (b)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2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23" w:name="page724"/>
    <w:bookmarkEnd w:id="72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1.100 </w:t>
      </w:r>
      <w:r>
        <w:rPr>
          <w:rFonts w:ascii="Arial" w:cs="Arial" w:eastAsia="Arial" w:hAnsi="Arial"/>
          <w:sz w:val="14"/>
          <w:szCs w:val="14"/>
          <w:u w:val="single" w:color="auto"/>
          <w:color w:val="auto"/>
        </w:rPr>
        <w:t>Additional Definitions</w:t>
      </w:r>
      <w:r>
        <w:rPr>
          <w:rFonts w:ascii="Arial" w:cs="Arial" w:eastAsia="Arial" w:hAnsi="Arial"/>
          <w:sz w:val="14"/>
          <w:szCs w:val="14"/>
          <w:color w:val="auto"/>
        </w:rPr>
        <w:t>. Each of the following definitions is set forth in the section of this Agreement indicated below:</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46"/>
        </w:trPr>
        <w:tc>
          <w:tcPr>
            <w:tcW w:w="4720" w:type="dxa"/>
            <w:vAlign w:val="bottom"/>
            <w:gridSpan w:val="2"/>
          </w:tcPr>
          <w:p>
            <w:pPr>
              <w:spacing w:after="0"/>
              <w:rPr>
                <w:sz w:val="20"/>
                <w:szCs w:val="20"/>
                <w:color w:val="auto"/>
              </w:rPr>
            </w:pPr>
            <w:r>
              <w:rPr>
                <w:rFonts w:ascii="Arial" w:cs="Arial" w:eastAsia="Arial" w:hAnsi="Arial"/>
                <w:sz w:val="10"/>
                <w:szCs w:val="10"/>
                <w:b w:val="1"/>
                <w:bCs w:val="1"/>
                <w:color w:val="auto"/>
              </w:rPr>
              <w:t>Definition:</w:t>
            </w:r>
          </w:p>
        </w:tc>
        <w:tc>
          <w:tcPr>
            <w:tcW w:w="24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0"/>
                <w:szCs w:val="10"/>
                <w:b w:val="1"/>
                <w:bCs w:val="1"/>
                <w:color w:val="auto"/>
              </w:rPr>
              <w:t>Section:</w:t>
            </w:r>
          </w:p>
        </w:tc>
      </w:tr>
      <w:tr>
        <w:trPr>
          <w:trHeight w:val="140"/>
        </w:trPr>
        <w:tc>
          <w:tcPr>
            <w:tcW w:w="5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w w:val="97"/>
              </w:rPr>
              <w:t>Alliance</w:t>
            </w:r>
          </w:p>
        </w:tc>
        <w:tc>
          <w:tcPr>
            <w:tcW w:w="4220" w:type="dxa"/>
            <w:vAlign w:val="bottom"/>
          </w:tcPr>
          <w:p>
            <w:pPr>
              <w:spacing w:after="0" w:line="136" w:lineRule="exact"/>
              <w:rPr>
                <w:sz w:val="20"/>
                <w:szCs w:val="20"/>
                <w:color w:val="auto"/>
              </w:rPr>
            </w:pPr>
            <w:r>
              <w:rPr>
                <w:rFonts w:ascii="Arial" w:cs="Arial" w:eastAsia="Arial" w:hAnsi="Arial"/>
                <w:sz w:val="14"/>
                <w:szCs w:val="14"/>
                <w:color w:val="auto"/>
              </w:rPr>
              <w:t>Business-Development Manager</w:t>
            </w:r>
          </w:p>
        </w:tc>
        <w:tc>
          <w:tcPr>
            <w:tcW w:w="2440" w:type="dxa"/>
            <w:vAlign w:val="bottom"/>
          </w:tcPr>
          <w:p>
            <w:pPr>
              <w:spacing w:after="0"/>
              <w:rPr>
                <w:sz w:val="12"/>
                <w:szCs w:val="12"/>
                <w:color w:val="auto"/>
              </w:rPr>
            </w:pPr>
          </w:p>
        </w:tc>
        <w:tc>
          <w:tcPr>
            <w:tcW w:w="6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2.1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Alliance R&amp;D Manager</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2.2</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Arbitration Request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16.2.1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Audited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9.10</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Auditing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9.10</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Bankruptcy Code</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4.7</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Breaching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14.2</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Buy-In Amount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w w:val="88"/>
              </w:rPr>
              <w:t>5.4.2(b)(iv)</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Buy-In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w w:val="93"/>
              </w:rPr>
              <w:t>5.4.2(b)(ii)</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Clinical Supply Agreement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7.2.1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Co-Chairperson</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2.7</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Commercial Supply Agreement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7.2.2</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Commercialization Plan</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8.4</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Commercializing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8.1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Confidential Information</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11.1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De Minimis Overage Amount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5.5.2(a)</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Development Budget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5.3.1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Development Collaboration Proposal</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5.4.2(b)</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Disclosing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11.1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Excess Overage Amount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5.5.2(a)</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Effective Date</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Preamble</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Existing Confidentiality Agreement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11.4</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Global Development Plan</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5.3.1</w:t>
            </w:r>
          </w:p>
        </w:tc>
      </w:tr>
      <w:tr>
        <w:trPr>
          <w:trHeight w:val="1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4220" w:type="dxa"/>
            <w:vAlign w:val="bottom"/>
          </w:tcPr>
          <w:p>
            <w:pPr>
              <w:spacing w:after="0"/>
              <w:rPr>
                <w:sz w:val="15"/>
                <w:szCs w:val="15"/>
                <w:color w:val="auto"/>
              </w:rPr>
            </w:pP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16.2.3</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IdRS</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Preamble</w:t>
            </w:r>
          </w:p>
        </w:tc>
      </w:tr>
      <w:tr>
        <w:trPr>
          <w:trHeight w:val="1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4220" w:type="dxa"/>
            <w:vAlign w:val="bottom"/>
          </w:tcPr>
          <w:p>
            <w:pPr>
              <w:spacing w:after="0"/>
              <w:rPr>
                <w:sz w:val="15"/>
                <w:szCs w:val="15"/>
                <w:color w:val="auto"/>
              </w:rPr>
            </w:pP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9.3.1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Indemnified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13.3</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Indemnifying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13.3</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Initial Development Budget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5.5.2</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Initiating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10.4.3</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Inspected Party</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6.3.2</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JEC</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2.4.1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Joint Patents</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10.3.3(a)</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JRDC</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2.6.1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JSC</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2.5.1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License Grant Date</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3.3.3(a)</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License Grant Fee</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9.2</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LLS</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Preamble</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Losses</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13.1</w:t>
            </w: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M&amp;A Event</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16.4</w:t>
            </w:r>
          </w:p>
        </w:tc>
      </w:tr>
      <w:tr>
        <w:trPr>
          <w:trHeight w:val="173"/>
        </w:trPr>
        <w:tc>
          <w:tcPr>
            <w:tcW w:w="4720" w:type="dxa"/>
            <w:vAlign w:val="bottom"/>
            <w:gridSpan w:val="2"/>
          </w:tcPr>
          <w:p>
            <w:pPr>
              <w:spacing w:after="0"/>
              <w:rPr>
                <w:sz w:val="20"/>
                <w:szCs w:val="20"/>
                <w:color w:val="auto"/>
              </w:rPr>
            </w:pPr>
            <w:r>
              <w:rPr>
                <w:rFonts w:ascii="Arial" w:cs="Arial" w:eastAsia="Arial" w:hAnsi="Arial"/>
                <w:sz w:val="14"/>
                <w:szCs w:val="14"/>
                <w:color w:val="auto"/>
              </w:rPr>
              <w:t>MacroGenics</w:t>
            </w:r>
          </w:p>
        </w:tc>
        <w:tc>
          <w:tcPr>
            <w:tcW w:w="3060" w:type="dxa"/>
            <w:vAlign w:val="bottom"/>
            <w:gridSpan w:val="2"/>
          </w:tcPr>
          <w:p>
            <w:pPr>
              <w:ind w:left="2440"/>
              <w:spacing w:after="0"/>
              <w:rPr>
                <w:sz w:val="20"/>
                <w:szCs w:val="20"/>
                <w:color w:val="auto"/>
              </w:rPr>
            </w:pPr>
            <w:r>
              <w:rPr>
                <w:rFonts w:ascii="Arial" w:cs="Arial" w:eastAsia="Arial" w:hAnsi="Arial"/>
                <w:sz w:val="14"/>
                <w:szCs w:val="14"/>
                <w:color w:val="auto"/>
              </w:rPr>
              <w:t>Preamble</w:t>
            </w:r>
          </w:p>
        </w:tc>
      </w:tr>
    </w:tbl>
    <w:p>
      <w:pPr>
        <w:spacing w:after="0" w:line="109"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14</w:t>
      </w:r>
    </w:p>
    <w:p>
      <w:pPr>
        <w:spacing w:after="0" w:line="12" w:lineRule="exact"/>
        <w:rPr>
          <w:sz w:val="20"/>
          <w:szCs w:val="20"/>
          <w:color w:val="auto"/>
        </w:rPr>
      </w:pPr>
    </w:p>
    <w:p>
      <w:pPr>
        <w:ind w:left="3380" w:right="1479" w:hanging="1135"/>
        <w:spacing w:after="0" w:line="341" w:lineRule="auto"/>
        <w:tabs>
          <w:tab w:leader="none" w:pos="2484" w:val="left"/>
        </w:tabs>
        <w:numPr>
          <w:ilvl w:val="0"/>
          <w:numId w:val="82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779"/>
          </w:cols>
          <w:pgMar w:left="680" w:top="248" w:right="1440" w:bottom="1440" w:gutter="0" w:footer="0" w:header="0"/>
        </w:sectPr>
      </w:pPr>
    </w:p>
    <w:bookmarkStart w:id="724" w:name="page725"/>
    <w:bookmarkEnd w:id="724"/>
    <w:tbl>
      <w:tblPr>
        <w:tblLayout w:type="fixed"/>
        <w:tblInd w:w="1840" w:type="dxa"/>
        <w:tblCellMar>
          <w:top w:w="0" w:type="dxa"/>
          <w:left w:w="0" w:type="dxa"/>
          <w:bottom w:w="0" w:type="dxa"/>
          <w:right w:w="0" w:type="dxa"/>
        </w:tblCellMar>
      </w:tblPr>
      <w:tr>
        <w:trPr>
          <w:trHeight w:val="146"/>
        </w:trPr>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6"/>
              </w:rPr>
              <w:t>Definition:</w:t>
            </w:r>
          </w:p>
        </w:tc>
        <w:tc>
          <w:tcPr>
            <w:tcW w:w="6740" w:type="dxa"/>
            <w:vAlign w:val="bottom"/>
          </w:tcPr>
          <w:p>
            <w:pPr>
              <w:spacing w:after="0"/>
              <w:rPr>
                <w:sz w:val="12"/>
                <w:szCs w:val="12"/>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Section:</w:t>
            </w:r>
          </w:p>
        </w:tc>
      </w:tr>
      <w:tr>
        <w:trPr>
          <w:trHeight w:val="140"/>
        </w:trPr>
        <w:tc>
          <w:tcPr>
            <w:tcW w:w="7240" w:type="dxa"/>
            <w:vAlign w:val="bottom"/>
            <w:gridSpan w:val="2"/>
          </w:tcPr>
          <w:p>
            <w:pPr>
              <w:spacing w:after="0" w:line="141" w:lineRule="exact"/>
              <w:rPr>
                <w:sz w:val="20"/>
                <w:szCs w:val="20"/>
                <w:color w:val="auto"/>
              </w:rPr>
            </w:pPr>
            <w:r>
              <w:rPr>
                <w:rFonts w:ascii="Arial" w:cs="Arial" w:eastAsia="Arial" w:hAnsi="Arial"/>
                <w:sz w:val="14"/>
                <w:szCs w:val="14"/>
                <w:color w:val="auto"/>
              </w:rPr>
              <w:t>MacroGenics Product Patents</w:t>
            </w:r>
          </w:p>
        </w:tc>
        <w:tc>
          <w:tcPr>
            <w:tcW w:w="540" w:type="dxa"/>
            <w:vAlign w:val="bottom"/>
          </w:tcPr>
          <w:p>
            <w:pPr>
              <w:spacing w:after="0" w:line="141" w:lineRule="exact"/>
              <w:rPr>
                <w:sz w:val="20"/>
                <w:szCs w:val="20"/>
                <w:color w:val="auto"/>
              </w:rPr>
            </w:pPr>
            <w:r>
              <w:rPr>
                <w:rFonts w:ascii="Arial" w:cs="Arial" w:eastAsia="Arial" w:hAnsi="Arial"/>
                <w:sz w:val="14"/>
                <w:szCs w:val="14"/>
                <w:color w:val="auto"/>
                <w:w w:val="92"/>
              </w:rPr>
              <w:t>10.3.1(a)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Non-Arbitrable Dispute</w:t>
            </w:r>
          </w:p>
        </w:tc>
        <w:tc>
          <w:tcPr>
            <w:tcW w:w="540" w:type="dxa"/>
            <w:vAlign w:val="bottom"/>
          </w:tcPr>
          <w:p>
            <w:pPr>
              <w:spacing w:after="0"/>
              <w:rPr>
                <w:sz w:val="20"/>
                <w:szCs w:val="20"/>
                <w:color w:val="auto"/>
              </w:rPr>
            </w:pPr>
            <w:r>
              <w:rPr>
                <w:rFonts w:ascii="Arial" w:cs="Arial" w:eastAsia="Arial" w:hAnsi="Arial"/>
                <w:sz w:val="14"/>
                <w:szCs w:val="14"/>
                <w:color w:val="auto"/>
              </w:rPr>
              <w:t>16.1.2</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Non-Breaching Party</w:t>
            </w:r>
          </w:p>
        </w:tc>
        <w:tc>
          <w:tcPr>
            <w:tcW w:w="540" w:type="dxa"/>
            <w:vAlign w:val="bottom"/>
          </w:tcPr>
          <w:p>
            <w:pPr>
              <w:spacing w:after="0"/>
              <w:rPr>
                <w:sz w:val="20"/>
                <w:szCs w:val="20"/>
                <w:color w:val="auto"/>
              </w:rPr>
            </w:pPr>
            <w:r>
              <w:rPr>
                <w:rFonts w:ascii="Arial" w:cs="Arial" w:eastAsia="Arial" w:hAnsi="Arial"/>
                <w:sz w:val="14"/>
                <w:szCs w:val="14"/>
                <w:color w:val="auto"/>
              </w:rPr>
              <w:t>14.2</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Option</w:t>
            </w:r>
          </w:p>
        </w:tc>
        <w:tc>
          <w:tcPr>
            <w:tcW w:w="540" w:type="dxa"/>
            <w:vAlign w:val="bottom"/>
          </w:tcPr>
          <w:p>
            <w:pPr>
              <w:spacing w:after="0"/>
              <w:rPr>
                <w:sz w:val="20"/>
                <w:szCs w:val="20"/>
                <w:color w:val="auto"/>
              </w:rPr>
            </w:pPr>
            <w:r>
              <w:rPr>
                <w:rFonts w:ascii="Arial" w:cs="Arial" w:eastAsia="Arial" w:hAnsi="Arial"/>
                <w:sz w:val="14"/>
                <w:szCs w:val="14"/>
                <w:color w:val="auto"/>
              </w:rPr>
              <w:t>3.3.3(a)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Option Grant Fee</w:t>
            </w:r>
          </w:p>
        </w:tc>
        <w:tc>
          <w:tcPr>
            <w:tcW w:w="540" w:type="dxa"/>
            <w:vAlign w:val="bottom"/>
          </w:tcPr>
          <w:p>
            <w:pPr>
              <w:spacing w:after="0"/>
              <w:rPr>
                <w:sz w:val="20"/>
                <w:szCs w:val="20"/>
                <w:color w:val="auto"/>
              </w:rPr>
            </w:pPr>
            <w:r>
              <w:rPr>
                <w:rFonts w:ascii="Arial" w:cs="Arial" w:eastAsia="Arial" w:hAnsi="Arial"/>
                <w:sz w:val="14"/>
                <w:szCs w:val="14"/>
                <w:color w:val="auto"/>
              </w:rPr>
              <w:t>9.1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Option Period</w:t>
            </w:r>
          </w:p>
        </w:tc>
        <w:tc>
          <w:tcPr>
            <w:tcW w:w="540" w:type="dxa"/>
            <w:vAlign w:val="bottom"/>
          </w:tcPr>
          <w:p>
            <w:pPr>
              <w:spacing w:after="0"/>
              <w:rPr>
                <w:sz w:val="20"/>
                <w:szCs w:val="20"/>
                <w:color w:val="auto"/>
              </w:rPr>
            </w:pPr>
            <w:r>
              <w:rPr>
                <w:rFonts w:ascii="Arial" w:cs="Arial" w:eastAsia="Arial" w:hAnsi="Arial"/>
                <w:sz w:val="14"/>
                <w:szCs w:val="14"/>
                <w:color w:val="auto"/>
              </w:rPr>
              <w:t>3.3.3(a)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Party or Parties</w:t>
            </w: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Project Director</w:t>
            </w:r>
          </w:p>
        </w:tc>
        <w:tc>
          <w:tcPr>
            <w:tcW w:w="540" w:type="dxa"/>
            <w:vAlign w:val="bottom"/>
          </w:tcPr>
          <w:p>
            <w:pPr>
              <w:spacing w:after="0"/>
              <w:rPr>
                <w:sz w:val="20"/>
                <w:szCs w:val="20"/>
                <w:color w:val="auto"/>
              </w:rPr>
            </w:pPr>
            <w:r>
              <w:rPr>
                <w:rFonts w:ascii="Arial" w:cs="Arial" w:eastAsia="Arial" w:hAnsi="Arial"/>
                <w:sz w:val="14"/>
                <w:szCs w:val="14"/>
                <w:color w:val="auto"/>
              </w:rPr>
              <w:t>2.3</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Proposed Development</w:t>
            </w:r>
          </w:p>
        </w:tc>
        <w:tc>
          <w:tcPr>
            <w:tcW w:w="540" w:type="dxa"/>
            <w:vAlign w:val="bottom"/>
          </w:tcPr>
          <w:p>
            <w:pPr>
              <w:spacing w:after="0"/>
              <w:rPr>
                <w:sz w:val="20"/>
                <w:szCs w:val="20"/>
                <w:color w:val="auto"/>
              </w:rPr>
            </w:pPr>
            <w:r>
              <w:rPr>
                <w:rFonts w:ascii="Arial" w:cs="Arial" w:eastAsia="Arial" w:hAnsi="Arial"/>
                <w:sz w:val="14"/>
                <w:szCs w:val="14"/>
                <w:color w:val="auto"/>
              </w:rPr>
              <w:t>5.4.2(a)</w:t>
            </w:r>
          </w:p>
        </w:tc>
      </w:tr>
      <w:tr>
        <w:trPr>
          <w:trHeight w:val="173"/>
        </w:trPr>
        <w:tc>
          <w:tcPr>
            <w:tcW w:w="7240" w:type="dxa"/>
            <w:vAlign w:val="bottom"/>
            <w:gridSpan w:val="2"/>
          </w:tcPr>
          <w:p>
            <w:pPr>
              <w:spacing w:after="0"/>
              <w:rPr>
                <w:sz w:val="20"/>
                <w:szCs w:val="20"/>
                <w:color w:val="auto"/>
              </w:rPr>
            </w:pPr>
            <w:r>
              <w:rPr>
                <w:rFonts w:ascii="Arial" w:cs="Arial" w:eastAsia="Arial" w:hAnsi="Arial"/>
                <w:sz w:val="14"/>
                <w:szCs w:val="14"/>
                <w:color w:val="auto"/>
              </w:rPr>
              <w:t>Plan Amendment</w:t>
            </w:r>
          </w:p>
        </w:tc>
        <w:tc>
          <w:tcPr>
            <w:tcW w:w="540" w:type="dxa"/>
            <w:vAlign w:val="bottom"/>
          </w:tcPr>
          <w:p>
            <w:pPr>
              <w:spacing w:after="0"/>
              <w:rPr>
                <w:sz w:val="15"/>
                <w:szCs w:val="15"/>
                <w:color w:val="auto"/>
              </w:rPr>
            </w:pPr>
          </w:p>
        </w:tc>
      </w:tr>
      <w:tr>
        <w:trPr>
          <w:trHeight w:val="172"/>
        </w:trPr>
        <w:tc>
          <w:tcPr>
            <w:tcW w:w="7240" w:type="dxa"/>
            <w:vAlign w:val="bottom"/>
            <w:gridSpan w:val="2"/>
          </w:tcPr>
          <w:p>
            <w:pPr>
              <w:spacing w:after="0"/>
              <w:rPr>
                <w:sz w:val="20"/>
                <w:szCs w:val="20"/>
                <w:color w:val="auto"/>
              </w:rPr>
            </w:pPr>
            <w:r>
              <w:rPr>
                <w:rFonts w:ascii="Arial" w:cs="Arial" w:eastAsia="Arial" w:hAnsi="Arial"/>
                <w:sz w:val="14"/>
                <w:szCs w:val="14"/>
                <w:color w:val="auto"/>
              </w:rPr>
              <w:t>Receiving Party</w:t>
            </w:r>
          </w:p>
        </w:tc>
        <w:tc>
          <w:tcPr>
            <w:tcW w:w="540" w:type="dxa"/>
            <w:vAlign w:val="bottom"/>
          </w:tcPr>
          <w:p>
            <w:pPr>
              <w:spacing w:after="0"/>
              <w:rPr>
                <w:sz w:val="20"/>
                <w:szCs w:val="20"/>
                <w:color w:val="auto"/>
              </w:rPr>
            </w:pPr>
            <w:r>
              <w:rPr>
                <w:rFonts w:ascii="Arial" w:cs="Arial" w:eastAsia="Arial" w:hAnsi="Arial"/>
                <w:sz w:val="14"/>
                <w:szCs w:val="14"/>
                <w:color w:val="auto"/>
              </w:rPr>
              <w:t>11.1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Reconciliation Payment</w:t>
            </w:r>
          </w:p>
        </w:tc>
        <w:tc>
          <w:tcPr>
            <w:tcW w:w="540" w:type="dxa"/>
            <w:vAlign w:val="bottom"/>
          </w:tcPr>
          <w:p>
            <w:pPr>
              <w:spacing w:after="0"/>
              <w:rPr>
                <w:sz w:val="20"/>
                <w:szCs w:val="20"/>
                <w:color w:val="auto"/>
              </w:rPr>
            </w:pPr>
            <w:r>
              <w:rPr>
                <w:rFonts w:ascii="Arial" w:cs="Arial" w:eastAsia="Arial" w:hAnsi="Arial"/>
                <w:sz w:val="14"/>
                <w:szCs w:val="14"/>
                <w:color w:val="auto"/>
              </w:rPr>
              <w:t>5.5.2(c)</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Research Program</w:t>
            </w:r>
          </w:p>
        </w:tc>
        <w:tc>
          <w:tcPr>
            <w:tcW w:w="540" w:type="dxa"/>
            <w:vAlign w:val="bottom"/>
          </w:tcPr>
          <w:p>
            <w:pPr>
              <w:spacing w:after="0"/>
              <w:rPr>
                <w:sz w:val="20"/>
                <w:szCs w:val="20"/>
                <w:color w:val="auto"/>
              </w:rPr>
            </w:pPr>
            <w:r>
              <w:rPr>
                <w:rFonts w:ascii="Arial" w:cs="Arial" w:eastAsia="Arial" w:hAnsi="Arial"/>
                <w:sz w:val="14"/>
                <w:szCs w:val="14"/>
                <w:color w:val="auto"/>
              </w:rPr>
              <w:t>3.1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Responsible Party</w:t>
            </w:r>
          </w:p>
        </w:tc>
        <w:tc>
          <w:tcPr>
            <w:tcW w:w="540" w:type="dxa"/>
            <w:vAlign w:val="bottom"/>
          </w:tcPr>
          <w:p>
            <w:pPr>
              <w:spacing w:after="0"/>
              <w:rPr>
                <w:sz w:val="20"/>
                <w:szCs w:val="20"/>
                <w:color w:val="auto"/>
              </w:rPr>
            </w:pPr>
            <w:r>
              <w:rPr>
                <w:rFonts w:ascii="Arial" w:cs="Arial" w:eastAsia="Arial" w:hAnsi="Arial"/>
                <w:sz w:val="14"/>
                <w:szCs w:val="14"/>
                <w:color w:val="auto"/>
                <w:w w:val="92"/>
              </w:rPr>
              <w:t>10.3.3(b)</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Royalty Term</w:t>
            </w:r>
          </w:p>
        </w:tc>
        <w:tc>
          <w:tcPr>
            <w:tcW w:w="540" w:type="dxa"/>
            <w:vAlign w:val="bottom"/>
          </w:tcPr>
          <w:p>
            <w:pPr>
              <w:spacing w:after="0"/>
              <w:rPr>
                <w:sz w:val="20"/>
                <w:szCs w:val="20"/>
                <w:color w:val="auto"/>
              </w:rPr>
            </w:pPr>
            <w:r>
              <w:rPr>
                <w:rFonts w:ascii="Arial" w:cs="Arial" w:eastAsia="Arial" w:hAnsi="Arial"/>
                <w:sz w:val="14"/>
                <w:szCs w:val="14"/>
                <w:color w:val="auto"/>
              </w:rPr>
              <w:t>9.5.2</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SDEA Agreement</w:t>
            </w:r>
          </w:p>
        </w:tc>
        <w:tc>
          <w:tcPr>
            <w:tcW w:w="540" w:type="dxa"/>
            <w:vAlign w:val="bottom"/>
          </w:tcPr>
          <w:p>
            <w:pPr>
              <w:spacing w:after="0"/>
              <w:rPr>
                <w:sz w:val="20"/>
                <w:szCs w:val="20"/>
                <w:color w:val="auto"/>
              </w:rPr>
            </w:pPr>
            <w:r>
              <w:rPr>
                <w:rFonts w:ascii="Arial" w:cs="Arial" w:eastAsia="Arial" w:hAnsi="Arial"/>
                <w:sz w:val="14"/>
                <w:szCs w:val="14"/>
                <w:color w:val="auto"/>
              </w:rPr>
              <w:t>6.5.1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Servier</w:t>
            </w: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Servier Product Patents</w:t>
            </w:r>
          </w:p>
        </w:tc>
        <w:tc>
          <w:tcPr>
            <w:tcW w:w="540" w:type="dxa"/>
            <w:vAlign w:val="bottom"/>
          </w:tcPr>
          <w:p>
            <w:pPr>
              <w:spacing w:after="0"/>
              <w:rPr>
                <w:sz w:val="20"/>
                <w:szCs w:val="20"/>
                <w:color w:val="auto"/>
              </w:rPr>
            </w:pPr>
            <w:r>
              <w:rPr>
                <w:rFonts w:ascii="Arial" w:cs="Arial" w:eastAsia="Arial" w:hAnsi="Arial"/>
                <w:sz w:val="14"/>
                <w:szCs w:val="14"/>
                <w:color w:val="auto"/>
                <w:w w:val="92"/>
              </w:rPr>
              <w:t>10.3.2(a)</w:t>
            </w:r>
          </w:p>
        </w:tc>
      </w:tr>
      <w:tr>
        <w:trPr>
          <w:trHeight w:val="173"/>
        </w:trPr>
        <w:tc>
          <w:tcPr>
            <w:tcW w:w="7240" w:type="dxa"/>
            <w:vAlign w:val="bottom"/>
            <w:gridSpan w:val="2"/>
          </w:tcPr>
          <w:p>
            <w:pPr>
              <w:spacing w:after="0"/>
              <w:rPr>
                <w:sz w:val="20"/>
                <w:szCs w:val="20"/>
                <w:color w:val="auto"/>
              </w:rPr>
            </w:pPr>
            <w:r>
              <w:rPr>
                <w:rFonts w:ascii="Arial" w:cs="Arial" w:eastAsia="Arial" w:hAnsi="Arial"/>
                <w:sz w:val="14"/>
                <w:szCs w:val="14"/>
                <w:color w:val="auto"/>
              </w:rPr>
              <w:t>Supplemental Data</w:t>
            </w:r>
          </w:p>
        </w:tc>
        <w:tc>
          <w:tcPr>
            <w:tcW w:w="540" w:type="dxa"/>
            <w:vAlign w:val="bottom"/>
          </w:tcPr>
          <w:p>
            <w:pPr>
              <w:spacing w:after="0"/>
              <w:rPr>
                <w:sz w:val="20"/>
                <w:szCs w:val="20"/>
                <w:color w:val="auto"/>
              </w:rPr>
            </w:pPr>
            <w:r>
              <w:rPr>
                <w:rFonts w:ascii="Arial" w:cs="Arial" w:eastAsia="Arial" w:hAnsi="Arial"/>
                <w:sz w:val="14"/>
                <w:szCs w:val="14"/>
                <w:color w:val="auto"/>
              </w:rPr>
              <w:t>3.2.1</w:t>
            </w:r>
          </w:p>
        </w:tc>
      </w:tr>
    </w:tbl>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GOVERNANCE</w:t>
      </w:r>
    </w:p>
    <w:p>
      <w:pPr>
        <w:spacing w:after="0" w:line="126" w:lineRule="exact"/>
        <w:rPr>
          <w:sz w:val="20"/>
          <w:szCs w:val="20"/>
          <w:color w:val="auto"/>
        </w:rPr>
      </w:pPr>
    </w:p>
    <w:p>
      <w:pPr>
        <w:ind w:right="160" w:firstLine="458"/>
        <w:spacing w:after="0" w:line="253"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Alliance Business-Development Managers</w:t>
      </w:r>
      <w:r>
        <w:rPr>
          <w:rFonts w:ascii="Arial" w:cs="Arial" w:eastAsia="Arial" w:hAnsi="Arial"/>
          <w:sz w:val="14"/>
          <w:szCs w:val="14"/>
          <w:color w:val="auto"/>
        </w:rPr>
        <w:t>. Within thirty (30) days following the Effective Date, each Party shall appoint (and notify the other Party of the identity of) a representative to act as its business development alliance manager for each Program under this Agreement (“</w:t>
      </w:r>
      <w:r>
        <w:rPr>
          <w:rFonts w:ascii="Arial" w:cs="Arial" w:eastAsia="Arial" w:hAnsi="Arial"/>
          <w:sz w:val="14"/>
          <w:szCs w:val="14"/>
          <w:u w:val="single" w:color="auto"/>
          <w:color w:val="auto"/>
        </w:rPr>
        <w:t>Alliance Business-Development Manager</w:t>
      </w:r>
      <w:r>
        <w:rPr>
          <w:rFonts w:ascii="Arial" w:cs="Arial" w:eastAsia="Arial" w:hAnsi="Arial"/>
          <w:sz w:val="14"/>
          <w:szCs w:val="14"/>
          <w:color w:val="auto"/>
        </w:rPr>
        <w:t>”). The Alliance Business-Development Managers shall be there to coordinate any business related activities under this Agreement. Each Alliance Business-Development Manager shall attend all JSC meetings and may bring any matter in relation to business regarding such Program to the attention of any committee if such Alliance Business-Development Manager reasonably believes that such matter warrants such attention. Each Party may replace an Alliance Business-Development Manager which it appointed upon written notice to the other Party.</w:t>
      </w:r>
    </w:p>
    <w:p>
      <w:pPr>
        <w:spacing w:after="0" w:line="113"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Alliance R&amp;D Managers</w:t>
      </w:r>
      <w:r>
        <w:rPr>
          <w:rFonts w:ascii="Arial" w:cs="Arial" w:eastAsia="Arial" w:hAnsi="Arial"/>
          <w:sz w:val="12"/>
          <w:szCs w:val="12"/>
          <w:color w:val="auto"/>
        </w:rPr>
        <w:t>. Within thirty (30) days following the Effective Date, each Party shall appoint (and notify the other Party of the identity of) a representative to act as its alliance research and development manager for each Program under this Agreement (“</w:t>
      </w:r>
      <w:r>
        <w:rPr>
          <w:rFonts w:ascii="Arial" w:cs="Arial" w:eastAsia="Arial" w:hAnsi="Arial"/>
          <w:sz w:val="12"/>
          <w:szCs w:val="12"/>
          <w:u w:val="single" w:color="auto"/>
          <w:color w:val="auto"/>
        </w:rPr>
        <w:t>Alliance R&amp;D Manager</w:t>
      </w:r>
      <w:r>
        <w:rPr>
          <w:rFonts w:ascii="Arial" w:cs="Arial" w:eastAsia="Arial" w:hAnsi="Arial"/>
          <w:sz w:val="12"/>
          <w:szCs w:val="12"/>
          <w:color w:val="auto"/>
        </w:rPr>
        <w:t>”). With regard to Research and Development activities, the Alliance R&amp;D Managers shall serve as the primary contact points for their designated Programs between the Parties and shall be primarily responsible for facilitating the flow of information, interaction and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3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3" w:right="239" w:bottom="1440" w:gutter="0" w:footer="0" w:header="0"/>
        </w:sectPr>
      </w:pPr>
    </w:p>
    <w:bookmarkStart w:id="725" w:name="page726"/>
    <w:bookmarkEnd w:id="725"/>
    <w:p>
      <w:pPr>
        <w:ind w:right="2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collaboration between the Parties and shall be responsible for ensuring that the governance procedures and rules set forth herein are complied with. Each Alliance R&amp;D Manager shall attend the meetings of the JRDC and the JSC and may bring any matter in relation to such Program to the Research and Development management to the attention of any committee, if such Alliance R&amp;D Manager reasonably believes that such matter warrants such attention. Each Party may replace an Alliance R&amp;D Manager it appointed upon written notice to the other Party.</w:t>
      </w:r>
    </w:p>
    <w:p>
      <w:pPr>
        <w:spacing w:after="0" w:line="73"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Project Directors</w:t>
      </w:r>
      <w:r>
        <w:rPr>
          <w:rFonts w:ascii="Arial" w:cs="Arial" w:eastAsia="Arial" w:hAnsi="Arial"/>
          <w:sz w:val="12"/>
          <w:szCs w:val="12"/>
          <w:color w:val="auto"/>
        </w:rPr>
        <w:t>. Within thirty (30) days following the Effective Date each Party shall appoint (and notify the other Party of the identity of a representative to act as its project director for the Programs (“</w:t>
      </w:r>
      <w:r>
        <w:rPr>
          <w:rFonts w:ascii="Arial" w:cs="Arial" w:eastAsia="Arial" w:hAnsi="Arial"/>
          <w:sz w:val="12"/>
          <w:szCs w:val="12"/>
          <w:u w:val="single" w:color="auto"/>
          <w:color w:val="auto"/>
        </w:rPr>
        <w:t>Project Director</w:t>
      </w:r>
      <w:r>
        <w:rPr>
          <w:rFonts w:ascii="Arial" w:cs="Arial" w:eastAsia="Arial" w:hAnsi="Arial"/>
          <w:sz w:val="12"/>
          <w:szCs w:val="12"/>
          <w:color w:val="auto"/>
        </w:rPr>
        <w:t>”). The Project Director shall be responsible for the follow-up of the respective Research and Development activities under this Agreement for his/her designated Program on a regular basis. The Project Director shall attend the meetings of the JRDC, and may bring any matter in relation to the project management to the attention of the JSC, if such Project Director reasonably believes that such matter warrants such attention. Each Party may replace its Project Director upon written notice to the other Party.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Joint Executive Committee</w:t>
      </w:r>
      <w:r>
        <w:rPr>
          <w:rFonts w:ascii="Arial" w:cs="Arial" w:eastAsia="Arial" w:hAnsi="Arial"/>
          <w:sz w:val="14"/>
          <w:szCs w:val="14"/>
          <w:color w:val="auto"/>
        </w:rPr>
        <w:t>.</w:t>
      </w:r>
    </w:p>
    <w:p>
      <w:pPr>
        <w:spacing w:after="0" w:line="132" w:lineRule="exact"/>
        <w:rPr>
          <w:sz w:val="20"/>
          <w:szCs w:val="20"/>
          <w:color w:val="auto"/>
        </w:rPr>
      </w:pPr>
    </w:p>
    <w:p>
      <w:pPr>
        <w:ind w:right="140" w:firstLine="917"/>
        <w:spacing w:after="0" w:line="321" w:lineRule="auto"/>
        <w:rPr>
          <w:sz w:val="20"/>
          <w:szCs w:val="20"/>
          <w:color w:val="auto"/>
        </w:rPr>
      </w:pPr>
      <w:r>
        <w:rPr>
          <w:rFonts w:ascii="Arial" w:cs="Arial" w:eastAsia="Arial" w:hAnsi="Arial"/>
          <w:sz w:val="12"/>
          <w:szCs w:val="12"/>
          <w:color w:val="auto"/>
        </w:rPr>
        <w:t xml:space="preserve">2.4.1 </w:t>
      </w: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executive committee (the “</w:t>
      </w:r>
      <w:r>
        <w:rPr>
          <w:rFonts w:ascii="Arial" w:cs="Arial" w:eastAsia="Arial" w:hAnsi="Arial"/>
          <w:sz w:val="12"/>
          <w:szCs w:val="12"/>
          <w:u w:val="single" w:color="auto"/>
          <w:color w:val="auto"/>
        </w:rPr>
        <w:t>JEC</w:t>
      </w:r>
      <w:r>
        <w:rPr>
          <w:rFonts w:ascii="Arial" w:cs="Arial" w:eastAsia="Arial" w:hAnsi="Arial"/>
          <w:sz w:val="12"/>
          <w:szCs w:val="12"/>
          <w:color w:val="auto"/>
        </w:rPr>
        <w:t>”). The JEC shall be comprised of up to three (3) senior executives from each Party. Either Party may, from time to time, invite additional representatives or consultants to attend JEC meetings, subject to such representative’s and consultant’s written agreement to comply with confidentiality obligations substantially the same as those set forth in ARTICLE 11. Each Party shall bear its own expenses related to the attendance at JEC meetings by its representatives.</w:t>
      </w:r>
    </w:p>
    <w:p>
      <w:pPr>
        <w:spacing w:after="0" w:line="73"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 xml:space="preserve">2.4.2 </w:t>
      </w:r>
      <w:r>
        <w:rPr>
          <w:rFonts w:ascii="Arial" w:cs="Arial" w:eastAsia="Arial" w:hAnsi="Arial"/>
          <w:sz w:val="14"/>
          <w:szCs w:val="14"/>
          <w:u w:val="single" w:color="auto"/>
          <w:color w:val="auto"/>
        </w:rPr>
        <w:t>Function and Powers of the JEC</w:t>
      </w:r>
      <w:r>
        <w:rPr>
          <w:rFonts w:ascii="Arial" w:cs="Arial" w:eastAsia="Arial" w:hAnsi="Arial"/>
          <w:sz w:val="14"/>
          <w:szCs w:val="14"/>
          <w:color w:val="auto"/>
        </w:rPr>
        <w:t>. The JEC shall manage the overall collaboration between the Parties, resource allocation and major changes to the collaboration requiring amendments to this Agreement and shall resolve disagreements that may arise at the JSC.</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Joint Steering Committee</w:t>
      </w:r>
      <w:r>
        <w:rPr>
          <w:rFonts w:ascii="Arial" w:cs="Arial" w:eastAsia="Arial" w:hAnsi="Arial"/>
          <w:sz w:val="14"/>
          <w:szCs w:val="14"/>
          <w:color w:val="auto"/>
        </w:rPr>
        <w:t>.</w:t>
      </w:r>
    </w:p>
    <w:p>
      <w:pPr>
        <w:spacing w:after="0" w:line="132" w:lineRule="exact"/>
        <w:rPr>
          <w:sz w:val="20"/>
          <w:szCs w:val="20"/>
          <w:color w:val="auto"/>
        </w:rPr>
      </w:pPr>
    </w:p>
    <w:p>
      <w:pPr>
        <w:ind w:right="20" w:firstLine="917"/>
        <w:spacing w:after="0" w:line="300" w:lineRule="auto"/>
        <w:rPr>
          <w:sz w:val="20"/>
          <w:szCs w:val="20"/>
          <w:color w:val="auto"/>
        </w:rPr>
      </w:pPr>
      <w:r>
        <w:rPr>
          <w:rFonts w:ascii="Arial" w:cs="Arial" w:eastAsia="Arial" w:hAnsi="Arial"/>
          <w:sz w:val="12"/>
          <w:szCs w:val="12"/>
          <w:color w:val="auto"/>
        </w:rPr>
        <w:t xml:space="preserve">2.5.1 </w:t>
      </w: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steering committee (a “</w:t>
      </w:r>
      <w:r>
        <w:rPr>
          <w:rFonts w:ascii="Arial" w:cs="Arial" w:eastAsia="Arial" w:hAnsi="Arial"/>
          <w:sz w:val="12"/>
          <w:szCs w:val="12"/>
          <w:u w:val="single" w:color="auto"/>
          <w:color w:val="auto"/>
        </w:rPr>
        <w:t>JSC</w:t>
      </w:r>
      <w:r>
        <w:rPr>
          <w:rFonts w:ascii="Arial" w:cs="Arial" w:eastAsia="Arial" w:hAnsi="Arial"/>
          <w:sz w:val="12"/>
          <w:szCs w:val="12"/>
          <w:color w:val="auto"/>
        </w:rPr>
        <w:t>”). The JSC shall be comprised of three (3) named representatives of Servier and three (3) named representatives of MacroGenics (or such other number as the Parties may agree) as well as each Party’s Alliance Business-Development Manager and Alliance R&amp;D Manager. As soon as practicable after the Effective Date (but in no event more than thirty (30) days after the Effective Date), each Party shall designate by written notice to the other Party its initial representatives on the JSC. Each Party may replace one or more of its representatives, in its sole discretion, effective upon written notice to the other Party of such change. These representatives shall have appropriate technical credentials, experience and knowledge. Either Party may, from time to time, invite additional representatives or consultants to attend JSC meetings, subject to such representative’s and consultant’s written agreement to comply with confidentiality obligations substantially the same as those set forth in ARTICLE 11. Each Party shall bear its own expenses related to the attendance at JSC meetings by its representatives. The JSC shall be co-chaired by a representative from each Party.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16</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3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726" w:name="page727"/>
    <w:bookmarkEnd w:id="726"/>
    <w:p>
      <w:pPr>
        <w:ind w:right="20" w:firstLine="917"/>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2.5.2 </w:t>
      </w:r>
      <w:r>
        <w:rPr>
          <w:rFonts w:ascii="Arial" w:cs="Arial" w:eastAsia="Arial" w:hAnsi="Arial"/>
          <w:sz w:val="12"/>
          <w:szCs w:val="12"/>
          <w:u w:val="single" w:color="auto"/>
          <w:color w:val="auto"/>
        </w:rPr>
        <w:t>Function and Powers of the JSC</w:t>
      </w:r>
      <w:r>
        <w:rPr>
          <w:rFonts w:ascii="Arial" w:cs="Arial" w:eastAsia="Arial" w:hAnsi="Arial"/>
          <w:sz w:val="12"/>
          <w:szCs w:val="12"/>
          <w:color w:val="auto"/>
        </w:rPr>
        <w:t>. The JSC’s responsibilities shall be limited to matters regarding the Programs: (a) coordinating the activities of the Parties, including facilitating communications between the Parties with respect to the Development, Manufacture and Commercialization of Program DARTS and Licensed Products; (b) providing a forum for discussion of the Development, Manufacture, and Commercialization of Licensed Products; (c) reviewing and approving each Research Plan and Global Development Plan and associated Development Budget and any annual or interim updates and proposed amendments thereto; (d) reviewing and discussing Servier’s Commercialization Plan and related activities with respect to Licensed Products throughout the Servier Territory and (if applicable) the MacroGenics Territory, including pre-launch and go-to-market strategies; (e) directing and overseeing the JRDC and any operating subcommittee established by the JSC, on all significant issues that fall within the purview of such committees; (f) attempting to resolve issues presented to it by, and disputes within, the other committees, including the JRDC and any of its subcommittees, in accordance with Section 2.9; and (g) considering and acting upon such other matters as specified in this Agreement.</w:t>
      </w:r>
    </w:p>
    <w:p>
      <w:pPr>
        <w:spacing w:after="0" w:line="88" w:lineRule="exact"/>
        <w:rPr>
          <w:sz w:val="20"/>
          <w:szCs w:val="20"/>
          <w:color w:val="auto"/>
        </w:rPr>
      </w:pPr>
    </w:p>
    <w:p>
      <w:pPr>
        <w:ind w:right="80" w:firstLine="917"/>
        <w:spacing w:after="0" w:line="311" w:lineRule="auto"/>
        <w:rPr>
          <w:sz w:val="20"/>
          <w:szCs w:val="20"/>
          <w:color w:val="auto"/>
        </w:rPr>
      </w:pPr>
      <w:r>
        <w:rPr>
          <w:rFonts w:ascii="Arial" w:cs="Arial" w:eastAsia="Arial" w:hAnsi="Arial"/>
          <w:sz w:val="12"/>
          <w:szCs w:val="12"/>
          <w:color w:val="auto"/>
        </w:rPr>
        <w:t xml:space="preserve">2.5.3 </w:t>
      </w:r>
      <w:r>
        <w:rPr>
          <w:rFonts w:ascii="Arial" w:cs="Arial" w:eastAsia="Arial" w:hAnsi="Arial"/>
          <w:sz w:val="12"/>
          <w:szCs w:val="12"/>
          <w:u w:val="single" w:color="auto"/>
          <w:color w:val="auto"/>
        </w:rPr>
        <w:t>Subcommittees</w:t>
      </w:r>
      <w:r>
        <w:rPr>
          <w:rFonts w:ascii="Arial" w:cs="Arial" w:eastAsia="Arial" w:hAnsi="Arial"/>
          <w:sz w:val="12"/>
          <w:szCs w:val="12"/>
          <w:color w:val="auto"/>
        </w:rPr>
        <w:t>. The JSC may establish and disband such subcommittees as deemed necessary by the JSC. Each such subcommittee shall consist of the same number of representatives designated by each Party, which number shall be mutually agreed by the Parties. Each Party shall be free to change its representatives on written notice to the other Party or to send a substitute representative to any subcommittee meeting. Each Party’s representatives and any substitute for a representative shall be bound by the obligations of confidentiality set forth in ARTICLE 11. Except as expressly provided in this Agreement, no subcommittee shall have the authority to bind the Parties hereunder and each subcommittee shall report to the JSC for its designated Program.</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Joint Research and Development Committee and Subcommittees.</w:t>
      </w:r>
    </w:p>
    <w:p>
      <w:pPr>
        <w:spacing w:after="0" w:line="132" w:lineRule="exact"/>
        <w:rPr>
          <w:sz w:val="20"/>
          <w:szCs w:val="20"/>
          <w:color w:val="auto"/>
        </w:rPr>
      </w:pPr>
    </w:p>
    <w:p>
      <w:pPr>
        <w:ind w:firstLine="917"/>
        <w:spacing w:after="0" w:line="300" w:lineRule="auto"/>
        <w:rPr>
          <w:sz w:val="20"/>
          <w:szCs w:val="20"/>
          <w:color w:val="auto"/>
        </w:rPr>
      </w:pPr>
      <w:r>
        <w:rPr>
          <w:rFonts w:ascii="Arial" w:cs="Arial" w:eastAsia="Arial" w:hAnsi="Arial"/>
          <w:sz w:val="12"/>
          <w:szCs w:val="12"/>
          <w:color w:val="auto"/>
        </w:rPr>
        <w:t xml:space="preserve">2.6.1 </w:t>
      </w: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research and development committee (the “</w:t>
      </w:r>
      <w:r>
        <w:rPr>
          <w:rFonts w:ascii="Arial" w:cs="Arial" w:eastAsia="Arial" w:hAnsi="Arial"/>
          <w:sz w:val="12"/>
          <w:szCs w:val="12"/>
          <w:u w:val="single" w:color="auto"/>
          <w:color w:val="auto"/>
        </w:rPr>
        <w:t>JRDC</w:t>
      </w:r>
      <w:r>
        <w:rPr>
          <w:rFonts w:ascii="Arial" w:cs="Arial" w:eastAsia="Arial" w:hAnsi="Arial"/>
          <w:sz w:val="12"/>
          <w:szCs w:val="12"/>
          <w:color w:val="auto"/>
        </w:rPr>
        <w:t>”). The JRDC shall be comprised of three (3) named representatives of Servier and three (3) named representatives of MacroGenics (or such other number as the Parties may agree) as well as each Party’s Project Director. As soon as practicable after the Effective Date (but in no event more than thirty (30) days after the Effective Date), each Party shall designate by written notice to the other Party its initial representatives on the JRDC. Each Party may replace one or more of its representatives, in its sole discretion, effective upon written notice to the other Party of such change. These representatives shall have appropriate technical credentials, experience and knowledge, and ongoing familiarity with the Research and Development activities hereunder. Either Party may, from time to time, invite additional representatives or consultants to attend JRDC meetings, subject to such representative’s and consultant’s written agreement to comply with confidentiality obligations substantially the same as those set forth in ARTICLE 11. Each Party shall bear its own expenses related to the attendance at JRDC meetings by its representatives. The JRDC shall be co-chaired by a representative from each Party.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3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27" w:name="page728"/>
    <w:bookmarkEnd w:id="727"/>
    <w:p>
      <w:pPr>
        <w:ind w:firstLine="917"/>
        <w:spacing w:after="0" w:line="29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2.6.2 </w:t>
      </w:r>
      <w:r>
        <w:rPr>
          <w:rFonts w:ascii="Arial" w:cs="Arial" w:eastAsia="Arial" w:hAnsi="Arial"/>
          <w:sz w:val="12"/>
          <w:szCs w:val="12"/>
          <w:u w:val="single" w:color="auto"/>
          <w:color w:val="auto"/>
        </w:rPr>
        <w:t>Function and Powers of the JRDC</w:t>
      </w:r>
      <w:r>
        <w:rPr>
          <w:rFonts w:ascii="Arial" w:cs="Arial" w:eastAsia="Arial" w:hAnsi="Arial"/>
          <w:sz w:val="12"/>
          <w:szCs w:val="12"/>
          <w:color w:val="auto"/>
        </w:rPr>
        <w:t>. The JRDC’s responsibilities shall be limited to matters regarding the Programs and Licensed Programs and shall include the following activities for each Program or Licensed Program, as applicable: (a) during the Research Term, proposing the Research Plan for such Program, proposing any changes or amendments to the Research Plan for approval by the JSC;</w:t>
      </w:r>
    </w:p>
    <w:p>
      <w:pPr>
        <w:spacing w:after="0" w:line="1" w:lineRule="exact"/>
        <w:rPr>
          <w:sz w:val="20"/>
          <w:szCs w:val="20"/>
          <w:color w:val="auto"/>
        </w:rPr>
      </w:pPr>
    </w:p>
    <w:p>
      <w:pPr>
        <w:ind w:firstLine="4"/>
        <w:spacing w:after="0" w:line="300" w:lineRule="auto"/>
        <w:tabs>
          <w:tab w:leader="none" w:pos="192" w:val="left"/>
        </w:tabs>
        <w:numPr>
          <w:ilvl w:val="0"/>
          <w:numId w:val="833"/>
        </w:numPr>
        <w:rPr>
          <w:rFonts w:ascii="Arial" w:cs="Arial" w:eastAsia="Arial" w:hAnsi="Arial"/>
          <w:sz w:val="12"/>
          <w:szCs w:val="12"/>
          <w:color w:val="auto"/>
        </w:rPr>
      </w:pPr>
      <w:r>
        <w:rPr>
          <w:rFonts w:ascii="Arial" w:cs="Arial" w:eastAsia="Arial" w:hAnsi="Arial"/>
          <w:sz w:val="12"/>
          <w:szCs w:val="12"/>
          <w:color w:val="auto"/>
        </w:rPr>
        <w:t>during the Research Term, reviewing and monitoring progress for all activities performed under the Research Plan and provide regular updates on the status of the Option Trigger Data Package; (c) during the License Term, proposing the initial Global Development Plan, coordinating the activities of the Parties under and overseeing the implementation of the Global Development Plan; (d) during the License Term, preparing annual and interim updates to the Global Development Plans; (e) during the Agreement Term, serving as a forum for and facilitating communications between the Parties with respect to the Research and Development of Licensed Products, including any joint Development activities to be pursued by the Parties during the License Term; (f) during the License Term, monitoring and coordinating all regulatory actions, communications and submissions for Licensed Products; (g) informal resolution of disagreements that may arise in the relation to the Parties activities under the Research Program and the Global Development Plan; and (h) considering and acting upon such other matters as specified in this Agreement.</w:t>
      </w:r>
    </w:p>
    <w:p>
      <w:pPr>
        <w:spacing w:after="0" w:line="88" w:lineRule="exact"/>
        <w:rPr>
          <w:sz w:val="20"/>
          <w:szCs w:val="20"/>
          <w:color w:val="auto"/>
        </w:rPr>
      </w:pPr>
    </w:p>
    <w:p>
      <w:pPr>
        <w:ind w:right="120" w:firstLine="458"/>
        <w:spacing w:after="0" w:line="305" w:lineRule="auto"/>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Co-Chairpersons</w:t>
      </w:r>
      <w:r>
        <w:rPr>
          <w:rFonts w:ascii="Arial" w:cs="Arial" w:eastAsia="Arial" w:hAnsi="Arial"/>
          <w:sz w:val="12"/>
          <w:szCs w:val="12"/>
          <w:color w:val="auto"/>
        </w:rPr>
        <w:t>. Each Party shall designate one of its members of the JSC and JRDC, respectively, as a co-chairperson (each, a “</w:t>
      </w:r>
      <w:r>
        <w:rPr>
          <w:rFonts w:ascii="Arial" w:cs="Arial" w:eastAsia="Arial" w:hAnsi="Arial"/>
          <w:sz w:val="12"/>
          <w:szCs w:val="12"/>
          <w:u w:val="single" w:color="auto"/>
          <w:color w:val="auto"/>
        </w:rPr>
        <w:t>Co-Chairperson</w:t>
      </w:r>
      <w:r>
        <w:rPr>
          <w:rFonts w:ascii="Arial" w:cs="Arial" w:eastAsia="Arial" w:hAnsi="Arial"/>
          <w:sz w:val="12"/>
          <w:szCs w:val="12"/>
          <w:color w:val="auto"/>
        </w:rPr>
        <w:t>”) of such committee. The Co-Chairpersons shall have the following roles and responsibilities: (a) to call meetings of the relevant committee, send notice of each such meeting and designate the time, date and place of each such meeting; (b) to convene or poll the members of the relevant committee by other permitted means; (c) to establish a reasonably detailed agenda, including identification of relevant supporting information and materials to be discussed during such meeting, for each meeting of the relevant committee, subject to the right of any member of such committee to add additional agenda items at any meeting; and (d) to promptly draft and finalize minutes of each meeting of such committee, for review and approval by members of such committee at the following meeting. Each Co-Chairperson shall sign and date the final minutes.</w:t>
      </w:r>
    </w:p>
    <w:p>
      <w:pPr>
        <w:spacing w:after="0" w:line="84" w:lineRule="exact"/>
        <w:rPr>
          <w:sz w:val="20"/>
          <w:szCs w:val="20"/>
          <w:color w:val="auto"/>
        </w:rPr>
      </w:pPr>
    </w:p>
    <w:p>
      <w:pPr>
        <w:ind w:right="380" w:firstLine="458"/>
        <w:spacing w:after="0" w:line="267"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Committee Meetings. Frequency</w:t>
      </w:r>
      <w:r>
        <w:rPr>
          <w:rFonts w:ascii="Arial" w:cs="Arial" w:eastAsia="Arial" w:hAnsi="Arial"/>
          <w:sz w:val="14"/>
          <w:szCs w:val="14"/>
          <w:color w:val="auto"/>
        </w:rPr>
        <w:t>. The JRDC and each of the subcommittees shall each hold at least one (1) meeting per Calendar Quarter at such times during such Calendar Quarter as the co-chairpersons elect to do so and the JSC and JEC shall hold at least one (1) meeting per Calendar Year as the co-chairpersons elect to do so.</w:t>
      </w:r>
    </w:p>
    <w:p>
      <w:pPr>
        <w:spacing w:after="0" w:line="101" w:lineRule="exact"/>
        <w:rPr>
          <w:sz w:val="20"/>
          <w:szCs w:val="20"/>
          <w:color w:val="auto"/>
        </w:rPr>
      </w:pPr>
    </w:p>
    <w:p>
      <w:pPr>
        <w:jc w:val="both"/>
        <w:ind w:right="180" w:firstLine="917"/>
        <w:spacing w:after="0" w:line="321" w:lineRule="auto"/>
        <w:rPr>
          <w:sz w:val="20"/>
          <w:szCs w:val="20"/>
          <w:color w:val="auto"/>
        </w:rPr>
      </w:pPr>
      <w:r>
        <w:rPr>
          <w:rFonts w:ascii="Arial" w:cs="Arial" w:eastAsia="Arial" w:hAnsi="Arial"/>
          <w:sz w:val="12"/>
          <w:szCs w:val="12"/>
          <w:color w:val="auto"/>
        </w:rPr>
        <w:t xml:space="preserve">2.8.1 </w:t>
      </w:r>
      <w:r>
        <w:rPr>
          <w:rFonts w:ascii="Arial" w:cs="Arial" w:eastAsia="Arial" w:hAnsi="Arial"/>
          <w:sz w:val="12"/>
          <w:szCs w:val="12"/>
          <w:u w:val="single" w:color="auto"/>
          <w:color w:val="auto"/>
        </w:rPr>
        <w:t>Quorum; Location</w:t>
      </w:r>
      <w:r>
        <w:rPr>
          <w:rFonts w:ascii="Arial" w:cs="Arial" w:eastAsia="Arial" w:hAnsi="Arial"/>
          <w:sz w:val="12"/>
          <w:szCs w:val="12"/>
          <w:color w:val="auto"/>
        </w:rPr>
        <w:t>. Except where a Party fails to appoint a member or members to the JEC, JSC, JRDC or any subcommittee or fails to participate in meetings of the JEC, JSC, JRDC or any subcommittee, meetings of the JEC, JSC, JRDC and subcommittee, respectively, shall be effective only if at least one (1) representative of each Party is present or participating. The JEC, JSC, JRDC and subcommittee may meet either (a) in person at either Party’s facilities or at such locations as the Parties may otherwise agree or (b) by audio or video</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3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28" w:name="page729"/>
    <w:bookmarkEnd w:id="728"/>
    <w:p>
      <w:pPr>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teleconference;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less than one (1) meeting during each Calendar Year shall be conducted in person. Additional meetings of the JEC, JSC, JRDC and subcommittee may also be held with the consent of each Party, or as required under this Agreement, and neither Party shall unreasonably withhold its consent to hold such additional meetings. Each Party shall be responsible for all of its own expenses incurred in connection with participating in all such meetings.</w:t>
      </w:r>
    </w:p>
    <w:p>
      <w:pPr>
        <w:spacing w:after="0" w:line="108" w:lineRule="exact"/>
        <w:rPr>
          <w:sz w:val="20"/>
          <w:szCs w:val="20"/>
          <w:color w:val="auto"/>
        </w:rPr>
      </w:pPr>
    </w:p>
    <w:p>
      <w:pPr>
        <w:ind w:firstLine="917"/>
        <w:spacing w:after="0" w:line="351" w:lineRule="auto"/>
        <w:rPr>
          <w:sz w:val="20"/>
          <w:szCs w:val="20"/>
          <w:color w:val="auto"/>
        </w:rPr>
      </w:pPr>
      <w:r>
        <w:rPr>
          <w:rFonts w:ascii="Arial" w:cs="Arial" w:eastAsia="Arial" w:hAnsi="Arial"/>
          <w:sz w:val="12"/>
          <w:szCs w:val="12"/>
          <w:color w:val="auto"/>
        </w:rPr>
        <w:t xml:space="preserve">2.8.2 </w:t>
      </w:r>
      <w:r>
        <w:rPr>
          <w:rFonts w:ascii="Arial" w:cs="Arial" w:eastAsia="Arial" w:hAnsi="Arial"/>
          <w:sz w:val="12"/>
          <w:szCs w:val="12"/>
          <w:u w:val="single" w:color="auto"/>
          <w:color w:val="auto"/>
        </w:rPr>
        <w:t>Cooperation</w:t>
      </w:r>
      <w:r>
        <w:rPr>
          <w:rFonts w:ascii="Arial" w:cs="Arial" w:eastAsia="Arial" w:hAnsi="Arial"/>
          <w:sz w:val="12"/>
          <w:szCs w:val="12"/>
          <w:color w:val="auto"/>
        </w:rPr>
        <w:t>. Each Party shall provide the JSC and JRDC such information as required under each Research Plan or Global Development Plan, as applicable, or reasonably requested by the other Party and reasonably available, relating to the progress of the goals or performance of activities under, as applicable, each such Research Plan or Global Development Plan.</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Decisions</w:t>
      </w:r>
      <w:r>
        <w:rPr>
          <w:rFonts w:ascii="Arial" w:cs="Arial" w:eastAsia="Arial" w:hAnsi="Arial"/>
          <w:sz w:val="14"/>
          <w:szCs w:val="14"/>
          <w:color w:val="auto"/>
        </w:rPr>
        <w:t>.</w:t>
      </w:r>
    </w:p>
    <w:p>
      <w:pPr>
        <w:spacing w:after="0" w:line="130" w:lineRule="exact"/>
        <w:rPr>
          <w:sz w:val="20"/>
          <w:szCs w:val="20"/>
          <w:color w:val="auto"/>
        </w:rPr>
      </w:pPr>
    </w:p>
    <w:p>
      <w:pPr>
        <w:ind w:right="60" w:firstLine="917"/>
        <w:spacing w:after="0" w:line="259" w:lineRule="auto"/>
        <w:rPr>
          <w:sz w:val="20"/>
          <w:szCs w:val="20"/>
          <w:color w:val="auto"/>
        </w:rPr>
      </w:pPr>
      <w:r>
        <w:rPr>
          <w:rFonts w:ascii="Arial" w:cs="Arial" w:eastAsia="Arial" w:hAnsi="Arial"/>
          <w:sz w:val="14"/>
          <w:szCs w:val="14"/>
          <w:color w:val="auto"/>
        </w:rPr>
        <w:t xml:space="preserve">2.9.1 </w:t>
      </w:r>
      <w:r>
        <w:rPr>
          <w:rFonts w:ascii="Arial" w:cs="Arial" w:eastAsia="Arial" w:hAnsi="Arial"/>
          <w:sz w:val="14"/>
          <w:szCs w:val="14"/>
          <w:u w:val="single" w:color="auto"/>
          <w:color w:val="auto"/>
        </w:rPr>
        <w:t>Initial Dispute Resolution Procedures</w:t>
      </w:r>
      <w:r>
        <w:rPr>
          <w:rFonts w:ascii="Arial" w:cs="Arial" w:eastAsia="Arial" w:hAnsi="Arial"/>
          <w:sz w:val="14"/>
          <w:szCs w:val="14"/>
          <w:color w:val="auto"/>
        </w:rPr>
        <w:t xml:space="preserve">. Subject to the provisions of this Section 2.9, actions to be taken by the JEC, JSC, JRDC and subcommittees shall be taken only following a </w:t>
      </w:r>
      <w:r>
        <w:rPr>
          <w:rFonts w:ascii="Arial" w:cs="Arial" w:eastAsia="Arial" w:hAnsi="Arial"/>
          <w:sz w:val="14"/>
          <w:szCs w:val="14"/>
          <w:b w:val="1"/>
          <w:bCs w:val="1"/>
          <w:color w:val="auto"/>
        </w:rPr>
        <w:t>*** ***</w:t>
      </w:r>
      <w:r>
        <w:rPr>
          <w:rFonts w:ascii="Arial" w:cs="Arial" w:eastAsia="Arial" w:hAnsi="Arial"/>
          <w:sz w:val="14"/>
          <w:szCs w:val="14"/>
          <w:color w:val="auto"/>
        </w:rPr>
        <w:t xml:space="preserve">. If the JRDC or any subcommittee </w:t>
      </w:r>
      <w:r>
        <w:rPr>
          <w:rFonts w:ascii="Arial" w:cs="Arial" w:eastAsia="Arial" w:hAnsi="Arial"/>
          <w:sz w:val="14"/>
          <w:szCs w:val="14"/>
          <w:b w:val="1"/>
          <w:bCs w:val="1"/>
          <w:color w:val="auto"/>
        </w:rPr>
        <w:t>***</w:t>
      </w:r>
      <w:r>
        <w:rPr>
          <w:rFonts w:ascii="Arial" w:cs="Arial" w:eastAsia="Arial" w:hAnsi="Arial"/>
          <w:sz w:val="14"/>
          <w:szCs w:val="14"/>
          <w:color w:val="auto"/>
        </w:rPr>
        <w:t xml:space="preserve"> on a matter before it for decision for a period in excess of </w:t>
      </w:r>
      <w:r>
        <w:rPr>
          <w:rFonts w:ascii="Arial" w:cs="Arial" w:eastAsia="Arial" w:hAnsi="Arial"/>
          <w:sz w:val="14"/>
          <w:szCs w:val="14"/>
          <w:b w:val="1"/>
          <w:bCs w:val="1"/>
          <w:color w:val="auto"/>
        </w:rPr>
        <w:t>***</w:t>
      </w:r>
      <w:r>
        <w:rPr>
          <w:rFonts w:ascii="Arial" w:cs="Arial" w:eastAsia="Arial" w:hAnsi="Arial"/>
          <w:sz w:val="14"/>
          <w:szCs w:val="14"/>
          <w:color w:val="auto"/>
        </w:rPr>
        <w:t xml:space="preserve">, the matter shall be referred to the JSC. If the JSC fails to reach unanimous agreement on a matter before it for decision for a period in excess of </w:t>
      </w:r>
      <w:r>
        <w:rPr>
          <w:rFonts w:ascii="Arial" w:cs="Arial" w:eastAsia="Arial" w:hAnsi="Arial"/>
          <w:sz w:val="14"/>
          <w:szCs w:val="14"/>
          <w:b w:val="1"/>
          <w:bCs w:val="1"/>
          <w:color w:val="auto"/>
        </w:rPr>
        <w:t>***</w:t>
      </w:r>
      <w:r>
        <w:rPr>
          <w:rFonts w:ascii="Arial" w:cs="Arial" w:eastAsia="Arial" w:hAnsi="Arial"/>
          <w:sz w:val="14"/>
          <w:szCs w:val="14"/>
          <w:color w:val="auto"/>
        </w:rPr>
        <w:t>, the matter shall be referred to the JEC.</w:t>
      </w:r>
    </w:p>
    <w:p>
      <w:pPr>
        <w:spacing w:after="0" w:line="108" w:lineRule="exact"/>
        <w:rPr>
          <w:sz w:val="20"/>
          <w:szCs w:val="20"/>
          <w:color w:val="auto"/>
        </w:rPr>
      </w:pPr>
    </w:p>
    <w:p>
      <w:pPr>
        <w:ind w:right="60" w:firstLine="917"/>
        <w:spacing w:after="0" w:line="321" w:lineRule="auto"/>
        <w:rPr>
          <w:sz w:val="20"/>
          <w:szCs w:val="20"/>
          <w:color w:val="auto"/>
        </w:rPr>
      </w:pPr>
      <w:r>
        <w:rPr>
          <w:rFonts w:ascii="Arial" w:cs="Arial" w:eastAsia="Arial" w:hAnsi="Arial"/>
          <w:sz w:val="12"/>
          <w:szCs w:val="12"/>
          <w:color w:val="auto"/>
        </w:rPr>
        <w:t xml:space="preserve">2.9.2 </w:t>
      </w:r>
      <w:r>
        <w:rPr>
          <w:rFonts w:ascii="Arial" w:cs="Arial" w:eastAsia="Arial" w:hAnsi="Arial"/>
          <w:sz w:val="12"/>
          <w:szCs w:val="12"/>
          <w:u w:val="single" w:color="auto"/>
          <w:color w:val="auto"/>
        </w:rPr>
        <w:t>Conduct of Development during the Option Period</w:t>
      </w:r>
      <w:r>
        <w:rPr>
          <w:rFonts w:ascii="Arial" w:cs="Arial" w:eastAsia="Arial" w:hAnsi="Arial"/>
          <w:sz w:val="12"/>
          <w:szCs w:val="12"/>
          <w:color w:val="auto"/>
        </w:rPr>
        <w:t>. Notwithstanding any other provision in this Agreement, unless otherwise agreed upon to the contrary by the Parties, ***. MacroGenics shall reasonably consult with Servier regarding the conduct of preclinical and clinical studies and shall reasonably consider any input provided by Servier with respect thereto. For clarification purposes MacroGenics shall not have the ability to alter the the specified information and data required for the Option Trigger Data Package set forth in Section 1.63.</w:t>
      </w:r>
    </w:p>
    <w:p>
      <w:pPr>
        <w:spacing w:after="0" w:line="71" w:lineRule="exact"/>
        <w:rPr>
          <w:sz w:val="20"/>
          <w:szCs w:val="20"/>
          <w:color w:val="auto"/>
        </w:rPr>
      </w:pPr>
    </w:p>
    <w:p>
      <w:pPr>
        <w:ind w:right="20" w:firstLine="917"/>
        <w:spacing w:after="0" w:line="256" w:lineRule="auto"/>
        <w:rPr>
          <w:sz w:val="20"/>
          <w:szCs w:val="20"/>
          <w:color w:val="auto"/>
        </w:rPr>
      </w:pPr>
      <w:r>
        <w:rPr>
          <w:rFonts w:ascii="Arial" w:cs="Arial" w:eastAsia="Arial" w:hAnsi="Arial"/>
          <w:sz w:val="14"/>
          <w:szCs w:val="14"/>
          <w:color w:val="auto"/>
        </w:rPr>
        <w:t xml:space="preserve">2.9.3 </w:t>
      </w:r>
      <w:r>
        <w:rPr>
          <w:rFonts w:ascii="Arial" w:cs="Arial" w:eastAsia="Arial" w:hAnsi="Arial"/>
          <w:sz w:val="14"/>
          <w:szCs w:val="14"/>
          <w:u w:val="single" w:color="auto"/>
          <w:color w:val="auto"/>
        </w:rPr>
        <w:t>Final Decision-Making</w:t>
      </w:r>
      <w:r>
        <w:rPr>
          <w:rFonts w:ascii="Arial" w:cs="Arial" w:eastAsia="Arial" w:hAnsi="Arial"/>
          <w:sz w:val="14"/>
          <w:szCs w:val="14"/>
          <w:color w:val="auto"/>
        </w:rPr>
        <w:t xml:space="preserve">. If the JEC fails to reach </w:t>
      </w:r>
      <w:r>
        <w:rPr>
          <w:rFonts w:ascii="Arial" w:cs="Arial" w:eastAsia="Arial" w:hAnsi="Arial"/>
          <w:sz w:val="14"/>
          <w:szCs w:val="14"/>
          <w:b w:val="1"/>
          <w:bCs w:val="1"/>
          <w:color w:val="auto"/>
        </w:rPr>
        <w:t>***</w:t>
      </w:r>
      <w:r>
        <w:rPr>
          <w:rFonts w:ascii="Arial" w:cs="Arial" w:eastAsia="Arial" w:hAnsi="Arial"/>
          <w:sz w:val="14"/>
          <w:szCs w:val="14"/>
          <w:color w:val="auto"/>
        </w:rPr>
        <w:t xml:space="preserve"> on a matter before it for decision for a period in excess of </w:t>
      </w:r>
      <w:r>
        <w:rPr>
          <w:rFonts w:ascii="Arial" w:cs="Arial" w:eastAsia="Arial" w:hAnsi="Arial"/>
          <w:sz w:val="14"/>
          <w:szCs w:val="14"/>
          <w:b w:val="1"/>
          <w:bCs w:val="1"/>
          <w:color w:val="auto"/>
        </w:rPr>
        <w:t>***</w:t>
      </w:r>
      <w:r>
        <w:rPr>
          <w:rFonts w:ascii="Arial" w:cs="Arial" w:eastAsia="Arial" w:hAnsi="Arial"/>
          <w:sz w:val="14"/>
          <w:szCs w:val="14"/>
          <w:color w:val="auto"/>
        </w:rPr>
        <w:t xml:space="preserve">, during the License Term for a Licensed Program, </w:t>
      </w:r>
      <w:r>
        <w:rPr>
          <w:rFonts w:ascii="Arial" w:cs="Arial" w:eastAsia="Arial" w:hAnsi="Arial"/>
          <w:sz w:val="14"/>
          <w:szCs w:val="14"/>
          <w:b w:val="1"/>
          <w:bCs w:val="1"/>
          <w:color w:val="auto"/>
        </w:rPr>
        <w:t>*** ***</w:t>
      </w:r>
      <w:r>
        <w:rPr>
          <w:rFonts w:ascii="Arial" w:cs="Arial" w:eastAsia="Arial" w:hAnsi="Arial"/>
          <w:sz w:val="14"/>
          <w:szCs w:val="14"/>
          <w:color w:val="auto"/>
        </w:rPr>
        <w:t xml:space="preserve"> any matter involving the Development or Commercialization of Program DARTs and Licensed Products in the Field in the Servier Territory for such Licensed Program and the JEC representatives appointed by MacroGenics shall have the deciding vote on any matter involving the Development or Commercialization of Program DARTs and Licensed Products in the Field in the MacroGenics Territory for such Licensed Program.</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2.9.4 </w:t>
      </w:r>
      <w:r>
        <w:rPr>
          <w:rFonts w:ascii="Arial" w:cs="Arial" w:eastAsia="Arial" w:hAnsi="Arial"/>
          <w:sz w:val="14"/>
          <w:szCs w:val="14"/>
          <w:u w:val="single" w:color="auto"/>
          <w:color w:val="auto"/>
        </w:rPr>
        <w:t>Exceptions</w:t>
      </w:r>
      <w:r>
        <w:rPr>
          <w:rFonts w:ascii="Arial" w:cs="Arial" w:eastAsia="Arial" w:hAnsi="Arial"/>
          <w:sz w:val="14"/>
          <w:szCs w:val="14"/>
          <w:color w:val="auto"/>
        </w:rPr>
        <w:t>. Notwithstanding the foregoing, neither Party shall exercise its right to finally resolve a dispute pursuant to Section 2.9.3:</w:t>
      </w:r>
    </w:p>
    <w:p>
      <w:pPr>
        <w:spacing w:after="0" w:line="132" w:lineRule="exact"/>
        <w:rPr>
          <w:sz w:val="20"/>
          <w:szCs w:val="20"/>
          <w:color w:val="auto"/>
        </w:rPr>
      </w:pPr>
    </w:p>
    <w:p>
      <w:pPr>
        <w:ind w:left="1100" w:hanging="180"/>
        <w:spacing w:after="0"/>
        <w:tabs>
          <w:tab w:leader="none" w:pos="1100" w:val="left"/>
        </w:tabs>
        <w:numPr>
          <w:ilvl w:val="0"/>
          <w:numId w:val="835"/>
        </w:numPr>
        <w:rPr>
          <w:rFonts w:ascii="Arial" w:cs="Arial" w:eastAsia="Arial" w:hAnsi="Arial"/>
          <w:sz w:val="14"/>
          <w:szCs w:val="14"/>
          <w:color w:val="auto"/>
        </w:rPr>
      </w:pPr>
      <w:r>
        <w:rPr>
          <w:rFonts w:ascii="Arial" w:cs="Arial" w:eastAsia="Arial" w:hAnsi="Arial"/>
          <w:sz w:val="14"/>
          <w:szCs w:val="14"/>
          <w:color w:val="auto"/>
        </w:rPr>
        <w:t>in a manner that excuses such Party from any of its obligations specifically enumerated under this Agreement;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835"/>
        </w:numPr>
        <w:rPr>
          <w:rFonts w:ascii="Arial" w:cs="Arial" w:eastAsia="Arial" w:hAnsi="Arial"/>
          <w:sz w:val="14"/>
          <w:szCs w:val="14"/>
          <w:color w:val="auto"/>
        </w:rPr>
      </w:pPr>
      <w:r>
        <w:rPr>
          <w:rFonts w:ascii="Arial" w:cs="Arial" w:eastAsia="Arial" w:hAnsi="Arial"/>
          <w:sz w:val="14"/>
          <w:szCs w:val="14"/>
          <w:color w:val="auto"/>
        </w:rPr>
        <w:t>in a manner that negates any consent rights or other rights specifically allocated to the other Party under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3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29" w:name="page730"/>
    <w:bookmarkEnd w:id="729"/>
    <w:p>
      <w:pPr>
        <w:ind w:right="80" w:firstLine="920"/>
        <w:spacing w:after="0" w:line="270" w:lineRule="auto"/>
        <w:tabs>
          <w:tab w:leader="none" w:pos="1101" w:val="left"/>
        </w:tabs>
        <w:numPr>
          <w:ilvl w:val="0"/>
          <w:numId w:val="83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during the License Term, to increase Development Costs for the other Party for any Global Clinical Trial for a given Calendar Year by more than </w:t>
      </w:r>
      <w:r>
        <w:rPr>
          <w:rFonts w:ascii="Arial" w:cs="Arial" w:eastAsia="Arial" w:hAnsi="Arial"/>
          <w:sz w:val="14"/>
          <w:szCs w:val="14"/>
          <w:b w:val="1"/>
          <w:bCs w:val="1"/>
          <w:color w:val="auto"/>
        </w:rPr>
        <w:t>***</w:t>
      </w:r>
      <w:r>
        <w:rPr>
          <w:rFonts w:ascii="Arial" w:cs="Arial" w:eastAsia="Arial" w:hAnsi="Arial"/>
          <w:sz w:val="14"/>
          <w:szCs w:val="14"/>
          <w:color w:val="auto"/>
        </w:rPr>
        <w:t xml:space="preserve"> above the Initial Development Budget for such Global Clinical Trial;</w:t>
      </w:r>
    </w:p>
    <w:p>
      <w:pPr>
        <w:spacing w:after="0" w:line="99" w:lineRule="exact"/>
        <w:rPr>
          <w:rFonts w:ascii="Arial" w:cs="Arial" w:eastAsia="Arial" w:hAnsi="Arial"/>
          <w:sz w:val="14"/>
          <w:szCs w:val="14"/>
          <w:color w:val="auto"/>
        </w:rPr>
      </w:pPr>
    </w:p>
    <w:p>
      <w:pPr>
        <w:ind w:left="1120" w:hanging="200"/>
        <w:spacing w:after="0"/>
        <w:tabs>
          <w:tab w:leader="none" w:pos="1120" w:val="left"/>
        </w:tabs>
        <w:numPr>
          <w:ilvl w:val="0"/>
          <w:numId w:val="837"/>
        </w:numPr>
        <w:rPr>
          <w:rFonts w:ascii="Arial" w:cs="Arial" w:eastAsia="Arial" w:hAnsi="Arial"/>
          <w:sz w:val="14"/>
          <w:szCs w:val="14"/>
          <w:color w:val="auto"/>
        </w:rPr>
      </w:pPr>
      <w:r>
        <w:rPr>
          <w:rFonts w:ascii="Arial" w:cs="Arial" w:eastAsia="Arial" w:hAnsi="Arial"/>
          <w:sz w:val="14"/>
          <w:szCs w:val="14"/>
          <w:color w:val="auto"/>
        </w:rPr>
        <w:t>to resolve any dispute regarding whether a Party may conduct Development or Commercialization activities in the other Party’s territory;</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837"/>
        </w:numPr>
        <w:rPr>
          <w:rFonts w:ascii="Arial" w:cs="Arial" w:eastAsia="Arial" w:hAnsi="Arial"/>
          <w:sz w:val="14"/>
          <w:szCs w:val="14"/>
          <w:color w:val="auto"/>
        </w:rPr>
      </w:pPr>
      <w:r>
        <w:rPr>
          <w:rFonts w:ascii="Arial" w:cs="Arial" w:eastAsia="Arial" w:hAnsi="Arial"/>
          <w:sz w:val="14"/>
          <w:szCs w:val="14"/>
          <w:color w:val="auto"/>
        </w:rPr>
        <w:t>to resolve any dispute regarding whether a milestone event set forth in Section 9.3 has been achieved; or</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837"/>
        </w:numPr>
        <w:rPr>
          <w:rFonts w:ascii="Arial" w:cs="Arial" w:eastAsia="Arial" w:hAnsi="Arial"/>
          <w:sz w:val="12"/>
          <w:szCs w:val="12"/>
          <w:color w:val="auto"/>
        </w:rPr>
      </w:pPr>
      <w:r>
        <w:rPr>
          <w:rFonts w:ascii="Arial" w:cs="Arial" w:eastAsia="Arial" w:hAnsi="Arial"/>
          <w:sz w:val="12"/>
          <w:szCs w:val="12"/>
          <w:color w:val="auto"/>
        </w:rPr>
        <w:t>in a manner that would require the other Party to perform any act that it reasonably believes to be inconsistent with any Law or any approval, order, policy or guidelines of a Regulatory</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Authority.</w:t>
      </w:r>
    </w:p>
    <w:p>
      <w:pPr>
        <w:spacing w:after="0" w:line="126"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Authority</w:t>
      </w:r>
      <w:r>
        <w:rPr>
          <w:rFonts w:ascii="Arial" w:cs="Arial" w:eastAsia="Arial" w:hAnsi="Arial"/>
          <w:sz w:val="12"/>
          <w:szCs w:val="12"/>
          <w:color w:val="auto"/>
        </w:rPr>
        <w:t>. The JEC, JSC, JRDC and any subcommittee shall have only the powers assigned expressly to it in this ARTICLE 2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JEC, JSC, JRDC or subcommittee unless such delegation or vesting of rights is expressly provided for in this Agreement or the Parties expressly so agree in writing.</w:t>
      </w:r>
    </w:p>
    <w:p>
      <w:pPr>
        <w:spacing w:after="0" w:line="73" w:lineRule="exact"/>
        <w:rPr>
          <w:sz w:val="20"/>
          <w:szCs w:val="20"/>
          <w:color w:val="auto"/>
        </w:rPr>
      </w:pPr>
    </w:p>
    <w:p>
      <w:pPr>
        <w:ind w:right="300" w:firstLine="458"/>
        <w:spacing w:after="0" w:line="267"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Representatives</w:t>
      </w:r>
      <w:r>
        <w:rPr>
          <w:rFonts w:ascii="Arial" w:cs="Arial" w:eastAsia="Arial" w:hAnsi="Arial"/>
          <w:sz w:val="14"/>
          <w:szCs w:val="14"/>
          <w:color w:val="auto"/>
        </w:rPr>
        <w:t>. For purposes of clarity, a Party may appoint the same person to simultaneously serve as the Alliance Business Development Manager, Alliance R&amp;D Manager, and/or Project Director for a Program or multiple Programs for such Party and/or serve on multiple committees established pursuant to this ARTICLE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ARTICLE 3</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RESEARCH AND DEVELOPMENT; EXCLUSIVE OPTION</w:t>
      </w:r>
    </w:p>
    <w:p>
      <w:pPr>
        <w:spacing w:after="0" w:line="126" w:lineRule="exact"/>
        <w:rPr>
          <w:sz w:val="20"/>
          <w:szCs w:val="20"/>
          <w:color w:val="auto"/>
        </w:rPr>
      </w:pPr>
    </w:p>
    <w:p>
      <w:pPr>
        <w:ind w:right="100" w:firstLine="458"/>
        <w:spacing w:after="0" w:line="31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Research Overview</w:t>
      </w:r>
      <w:r>
        <w:rPr>
          <w:rFonts w:ascii="Arial" w:cs="Arial" w:eastAsia="Arial" w:hAnsi="Arial"/>
          <w:sz w:val="12"/>
          <w:szCs w:val="12"/>
          <w:color w:val="auto"/>
        </w:rPr>
        <w:t>. Pursuant to this Agreement and as further provided in this ARTICLE 3, MacroGenics and Servier shall conduct the research activities indicated in each Research Plan during each Research Term for each Program (each a “</w:t>
      </w:r>
      <w:r>
        <w:rPr>
          <w:rFonts w:ascii="Arial" w:cs="Arial" w:eastAsia="Arial" w:hAnsi="Arial"/>
          <w:sz w:val="12"/>
          <w:szCs w:val="12"/>
          <w:u w:val="single" w:color="auto"/>
          <w:color w:val="auto"/>
        </w:rPr>
        <w:t>Research Program</w:t>
      </w:r>
      <w:r>
        <w:rPr>
          <w:rFonts w:ascii="Arial" w:cs="Arial" w:eastAsia="Arial" w:hAnsi="Arial"/>
          <w:sz w:val="12"/>
          <w:szCs w:val="12"/>
          <w:color w:val="auto"/>
        </w:rPr>
        <w:t>”). The primary objective of each Research Program is to generate, create and/or obtain the data and documentation necessary to complete the Option Trigger Data Package for such Program. Neither Party warrants that any Research Program shall achieve any of the research objectives contemplated in its Research Plan. At the end of the applicable Research Term, each Party’s obligation to conduct such Research Program shall cease unless the Parties mutually agree to extend its Research Term.</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Conduct of the Research Programs</w:t>
      </w:r>
      <w:r>
        <w:rPr>
          <w:rFonts w:ascii="Arial" w:cs="Arial" w:eastAsia="Arial" w:hAnsi="Arial"/>
          <w:sz w:val="14"/>
          <w:szCs w:val="14"/>
          <w:color w:val="auto"/>
        </w:rPr>
        <w:t>.</w:t>
      </w:r>
    </w:p>
    <w:p>
      <w:pPr>
        <w:spacing w:after="0" w:line="130" w:lineRule="exact"/>
        <w:rPr>
          <w:sz w:val="20"/>
          <w:szCs w:val="20"/>
          <w:color w:val="auto"/>
        </w:rPr>
      </w:pPr>
    </w:p>
    <w:p>
      <w:pPr>
        <w:ind w:right="80" w:firstLine="917"/>
        <w:spacing w:after="0" w:line="270" w:lineRule="auto"/>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auto"/>
        </w:rPr>
        <w:t>Research Plan</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Effective Date, the JRDC will prepare a Research Plan for each Program to be submitted for approval by JSC. The Parties may mutually agree to specify in a Research Plan activities to be conducted by Servier to generate additional</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3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730" w:name="page731"/>
    <w:bookmarkEnd w:id="730"/>
    <w:p>
      <w:pPr>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pre-clinical and clinical data to be shared by both Parties (the “</w:t>
      </w:r>
      <w:r>
        <w:rPr>
          <w:rFonts w:ascii="Arial" w:cs="Arial" w:eastAsia="Arial" w:hAnsi="Arial"/>
          <w:sz w:val="14"/>
          <w:szCs w:val="14"/>
          <w:u w:val="single" w:color="auto"/>
          <w:color w:val="auto"/>
        </w:rPr>
        <w:t>Supplemental Data</w:t>
      </w:r>
      <w:r>
        <w:rPr>
          <w:rFonts w:ascii="Arial" w:cs="Arial" w:eastAsia="Arial" w:hAnsi="Arial"/>
          <w:sz w:val="14"/>
          <w:szCs w:val="14"/>
          <w:color w:val="auto"/>
        </w:rPr>
        <w:t xml:space="preserve">”). Servier shall disclose to MacroGenics all Supplemental Data for a Research Program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completion of such activities and MacroGenics shall have the right to use such Supplemental Data in order to Develop, obtain Regulatory Approval for and Commercialize Licensed Products.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and the gpA33 DART Program, </w:t>
      </w:r>
      <w:r>
        <w:rPr>
          <w:rFonts w:ascii="Arial" w:cs="Arial" w:eastAsia="Arial" w:hAnsi="Arial"/>
          <w:sz w:val="14"/>
          <w:szCs w:val="14"/>
          <w:b w:val="1"/>
          <w:bCs w:val="1"/>
          <w:color w:val="auto"/>
        </w:rPr>
        <w:t>***</w:t>
      </w:r>
      <w:r>
        <w:rPr>
          <w:rFonts w:ascii="Arial" w:cs="Arial" w:eastAsia="Arial" w:hAnsi="Arial"/>
          <w:sz w:val="14"/>
          <w:szCs w:val="14"/>
          <w:color w:val="auto"/>
        </w:rPr>
        <w:t>. Neither the availability and finalization of such Supplemental Data nor any modification to the Initial Phase 1 Clinical Trial that the Parties may agree upon shall in any way delay the timing of the delivery of the Option Trigger Data Package to Servier in accordance with Section 3.3.2. To the extent that any provision of a Research Plan conflicts or is inconsistent with the provisions of this Agreement, the provisions of this Agreement shall control.</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3.2.2 </w:t>
      </w:r>
      <w:r>
        <w:rPr>
          <w:rFonts w:ascii="Arial" w:cs="Arial" w:eastAsia="Arial" w:hAnsi="Arial"/>
          <w:sz w:val="12"/>
          <w:szCs w:val="12"/>
          <w:u w:val="single" w:color="auto"/>
          <w:color w:val="auto"/>
        </w:rPr>
        <w:t>Diligence</w:t>
      </w:r>
      <w:r>
        <w:rPr>
          <w:rFonts w:ascii="Arial" w:cs="Arial" w:eastAsia="Arial" w:hAnsi="Arial"/>
          <w:sz w:val="12"/>
          <w:szCs w:val="12"/>
          <w:color w:val="auto"/>
        </w:rPr>
        <w:t>. MacroGenics and Servier shall use Commercially Reasonable Efforts to conduct each Research Program in a good scientific manner and in accordance with the applicable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Research Plan.</w:t>
      </w:r>
    </w:p>
    <w:p>
      <w:pPr>
        <w:spacing w:after="0" w:line="126" w:lineRule="exact"/>
        <w:rPr>
          <w:sz w:val="20"/>
          <w:szCs w:val="20"/>
          <w:color w:val="auto"/>
        </w:rPr>
      </w:pPr>
    </w:p>
    <w:p>
      <w:pPr>
        <w:ind w:right="420" w:firstLine="917"/>
        <w:spacing w:after="0" w:line="267"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u w:val="single" w:color="auto"/>
          <w:color w:val="auto"/>
        </w:rPr>
        <w:t>Expenses</w:t>
      </w:r>
      <w:r>
        <w:rPr>
          <w:rFonts w:ascii="Arial" w:cs="Arial" w:eastAsia="Arial" w:hAnsi="Arial"/>
          <w:sz w:val="14"/>
          <w:szCs w:val="14"/>
          <w:color w:val="auto"/>
        </w:rPr>
        <w:t>. Except as otherwise set forth elsewhere in this Agreement, each Party shall bear its own costs and expenses of conducting the activities allocated to such Party under each Research Plan, including the costs of clinical supply of Program DARTs and Licensed Products.</w:t>
      </w:r>
    </w:p>
    <w:p>
      <w:pPr>
        <w:spacing w:after="0" w:line="101"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 xml:space="preserve">3.2.4 </w:t>
      </w:r>
      <w:r>
        <w:rPr>
          <w:rFonts w:ascii="Arial" w:cs="Arial" w:eastAsia="Arial" w:hAnsi="Arial"/>
          <w:sz w:val="14"/>
          <w:szCs w:val="14"/>
          <w:u w:val="single" w:color="auto"/>
          <w:color w:val="auto"/>
        </w:rPr>
        <w:t>Reports</w:t>
      </w:r>
      <w:r>
        <w:rPr>
          <w:rFonts w:ascii="Arial" w:cs="Arial" w:eastAsia="Arial" w:hAnsi="Arial"/>
          <w:sz w:val="14"/>
          <w:szCs w:val="14"/>
          <w:color w:val="auto"/>
        </w:rPr>
        <w:t>. MacroGenics and Servier shall provide written progress reports on the status of its Research and Development activities under each Research Plan, including summaries of data generated in the applicable Research Program, at least *** in advance of each JRDC meeting.</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Evaluation of Option Trigger Data Package; Option Exercise.</w:t>
      </w:r>
    </w:p>
    <w:p>
      <w:pPr>
        <w:spacing w:after="0" w:line="132" w:lineRule="exact"/>
        <w:rPr>
          <w:sz w:val="20"/>
          <w:szCs w:val="20"/>
          <w:color w:val="auto"/>
        </w:rPr>
      </w:pPr>
    </w:p>
    <w:p>
      <w:pPr>
        <w:jc w:val="both"/>
        <w:ind w:right="300" w:firstLine="917"/>
        <w:spacing w:after="0" w:line="258" w:lineRule="auto"/>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Limited Evaluation License; Supply</w:t>
      </w:r>
      <w:r>
        <w:rPr>
          <w:rFonts w:ascii="Arial" w:cs="Arial" w:eastAsia="Arial" w:hAnsi="Arial"/>
          <w:sz w:val="14"/>
          <w:szCs w:val="14"/>
          <w:color w:val="auto"/>
        </w:rPr>
        <w:t>. MacroGenics hereby grants Servier an exclusive, royalty and other fee-free license, with the right to sublicense only to Servier’s Affiliates, under MacroGenics IP, to (a) conduct the activities, if any, allocated to Servier under each Research Plan and (b) use the Option Trigger Data Package for each Research Program solely for purposes of evaluating Program DARTs to determine whether to exercise its Option for the Program that is subject to such Option.</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3.3.2 </w:t>
      </w:r>
      <w:r>
        <w:rPr>
          <w:rFonts w:ascii="Arial" w:cs="Arial" w:eastAsia="Arial" w:hAnsi="Arial"/>
          <w:sz w:val="14"/>
          <w:szCs w:val="14"/>
          <w:u w:val="single" w:color="auto"/>
          <w:color w:val="auto"/>
        </w:rPr>
        <w:t>Delivery of Option Trigger Data Package</w:t>
      </w:r>
      <w:r>
        <w:rPr>
          <w:rFonts w:ascii="Arial" w:cs="Arial" w:eastAsia="Arial" w:hAnsi="Arial"/>
          <w:sz w:val="14"/>
          <w:szCs w:val="14"/>
          <w:color w:val="auto"/>
        </w:rPr>
        <w:t xml:space="preserve">. MacroGenics shall provide Servier with each Option Trigger Data Package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3.3.3 Option Exercise.</w:t>
      </w:r>
    </w:p>
    <w:p>
      <w:pPr>
        <w:spacing w:after="0" w:line="132" w:lineRule="exact"/>
        <w:rPr>
          <w:sz w:val="20"/>
          <w:szCs w:val="20"/>
          <w:color w:val="auto"/>
        </w:rPr>
      </w:pPr>
    </w:p>
    <w:p>
      <w:pPr>
        <w:ind w:right="160" w:firstLine="920"/>
        <w:spacing w:after="0" w:line="321" w:lineRule="auto"/>
        <w:tabs>
          <w:tab w:leader="none" w:pos="1101" w:val="left"/>
        </w:tabs>
        <w:numPr>
          <w:ilvl w:val="0"/>
          <w:numId w:val="839"/>
        </w:numPr>
        <w:rPr>
          <w:rFonts w:ascii="Arial" w:cs="Arial" w:eastAsia="Arial" w:hAnsi="Arial"/>
          <w:sz w:val="12"/>
          <w:szCs w:val="12"/>
          <w:color w:val="auto"/>
        </w:rPr>
      </w:pPr>
      <w:r>
        <w:rPr>
          <w:rFonts w:ascii="Arial" w:cs="Arial" w:eastAsia="Arial" w:hAnsi="Arial"/>
          <w:sz w:val="12"/>
          <w:szCs w:val="12"/>
          <w:color w:val="auto"/>
        </w:rPr>
        <w:t>For each Program, Servier shall have an exclusive option to obtain an exclusive license under MacroGenics IP to Research, Develop and Commercialize Program DARTs and Licensed Products from such Program in the Field in the Servier Territory (each an “</w:t>
      </w:r>
      <w:r>
        <w:rPr>
          <w:rFonts w:ascii="Arial" w:cs="Arial" w:eastAsia="Arial" w:hAnsi="Arial"/>
          <w:sz w:val="12"/>
          <w:szCs w:val="12"/>
          <w:u w:val="single" w:color="auto"/>
          <w:color w:val="auto"/>
        </w:rPr>
        <w:t>Option</w:t>
      </w:r>
      <w:r>
        <w:rPr>
          <w:rFonts w:ascii="Arial" w:cs="Arial" w:eastAsia="Arial" w:hAnsi="Arial"/>
          <w:sz w:val="12"/>
          <w:szCs w:val="12"/>
          <w:color w:val="auto"/>
        </w:rPr>
        <w:t xml:space="preserve">”). Servier may exercise each such Option by providing MacroGenics written notice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receipt of the Option Trigger Data Package for the corresponding Program (each an “</w:t>
      </w:r>
      <w:r>
        <w:rPr>
          <w:rFonts w:ascii="Arial" w:cs="Arial" w:eastAsia="Arial" w:hAnsi="Arial"/>
          <w:sz w:val="12"/>
          <w:szCs w:val="12"/>
          <w:u w:val="single" w:color="auto"/>
          <w:color w:val="auto"/>
        </w:rPr>
        <w:t>Option Period</w:t>
      </w:r>
      <w:r>
        <w:rPr>
          <w:rFonts w:ascii="Arial" w:cs="Arial" w:eastAsia="Arial" w:hAnsi="Arial"/>
          <w:sz w:val="12"/>
          <w:szCs w:val="12"/>
          <w:color w:val="auto"/>
        </w:rPr>
        <w:t>”). In the event Servier elects to exercise an Option, it shall, no later than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4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731" w:name="page732"/>
    <w:bookmarkEnd w:id="731"/>
    <w:p>
      <w:pPr>
        <w:ind w:right="6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end of the last day of the Option Period for such Option, deliver to MacroGenics (i) written notice specifying that Servier has elected to exercise the Option, and (ii) payment of the corresponding License Grant Fee. Provided Servier has properly exercised the Option in accordance with the preceding sentence, the later of the date of the written notice and receipt by MacroGenics of the License Grant Fee shall be the “</w:t>
      </w:r>
      <w:r>
        <w:rPr>
          <w:rFonts w:ascii="Arial" w:cs="Arial" w:eastAsia="Arial" w:hAnsi="Arial"/>
          <w:sz w:val="14"/>
          <w:szCs w:val="14"/>
          <w:u w:val="single" w:color="auto"/>
          <w:color w:val="auto"/>
        </w:rPr>
        <w:t>License Grant Date</w:t>
      </w:r>
      <w:r>
        <w:rPr>
          <w:rFonts w:ascii="Arial" w:cs="Arial" w:eastAsia="Arial" w:hAnsi="Arial"/>
          <w:sz w:val="14"/>
          <w:szCs w:val="14"/>
          <w:color w:val="auto"/>
        </w:rPr>
        <w:t>” of the resulting Licensed Program. The Research Term and Option Period will be deemed to have ended for such Program, and the License Term of such Licensed Program will be deemed to have commenced, on such License Grant Date.</w:t>
      </w:r>
    </w:p>
    <w:p>
      <w:pPr>
        <w:spacing w:after="0" w:line="110" w:lineRule="exact"/>
        <w:rPr>
          <w:sz w:val="20"/>
          <w:szCs w:val="20"/>
          <w:color w:val="auto"/>
        </w:rPr>
      </w:pPr>
    </w:p>
    <w:p>
      <w:pPr>
        <w:ind w:firstLine="920"/>
        <w:spacing w:after="0" w:line="299" w:lineRule="auto"/>
        <w:tabs>
          <w:tab w:leader="none" w:pos="1109" w:val="left"/>
        </w:tabs>
        <w:numPr>
          <w:ilvl w:val="0"/>
          <w:numId w:val="841"/>
        </w:numPr>
        <w:rPr>
          <w:rFonts w:ascii="Arial" w:cs="Arial" w:eastAsia="Arial" w:hAnsi="Arial"/>
          <w:sz w:val="12"/>
          <w:szCs w:val="12"/>
          <w:color w:val="auto"/>
        </w:rPr>
      </w:pPr>
      <w:r>
        <w:rPr>
          <w:rFonts w:ascii="Arial" w:cs="Arial" w:eastAsia="Arial" w:hAnsi="Arial"/>
          <w:sz w:val="12"/>
          <w:szCs w:val="12"/>
          <w:color w:val="auto"/>
        </w:rPr>
        <w:t>Upon the exercise by Servier of an Option in accordance with this Section 3.3, the provisions set forth in Sections 4.1, 4.2 and 4.3 of this Agreement shall constitute the terms and conditions of the license and sublicense rights granted by MacroGenics to Servier with respect to Licensed Products and the MacroGenics IP from the Licensed Program that was licensed under such Option in the Field in the Servier Territory, and by Servier to MacroGenics with respect to Servier IP and Licensed Products from such Licensed Program in the Field in the MacroGenics Territory. During each period commencing on the Effective Date and ending on the expiration of an Option Exercise Period, MacroGenics will not grant a license or other rights to any Third Party or take any other action that would prevent MacroGenics from being able to grant to Servier the license set forth in Section 4.1 for the Program that is subject to such Option. In the event Servier does not exercise the Option for a Program during the applicable Option Exercise Period, with regard to such Program Servier (i) Servier’s Option shall expire and all right and interest with respect to the Program DARTs, Licensed Products and MacroGenics IP for such Program shall revert to MacroGenics; (ii) Servier shall have no right to or interest in such Program DARTs and Licensed Products; (iii) the license granted to Servier under Section 3.3.1 shall terminate; (iv) the licenses and other rights granted under ARTICLE 4 shall have no force or effect; (v) Servier shall and hereby does assign and transfer to MacroGenics all right, title and interest in and to the Supplemental Data; (vi)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4</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GRANT OF RIGHTS; EXCLUSIVITY</w:t>
      </w:r>
    </w:p>
    <w:p>
      <w:pPr>
        <w:spacing w:after="0" w:line="126" w:lineRule="exact"/>
        <w:rPr>
          <w:sz w:val="20"/>
          <w:szCs w:val="20"/>
          <w:color w:val="auto"/>
        </w:rPr>
      </w:pPr>
    </w:p>
    <w:p>
      <w:pPr>
        <w:ind w:right="60" w:firstLine="458"/>
        <w:spacing w:after="0" w:line="255"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License Grant to Servier</w:t>
      </w:r>
      <w:r>
        <w:rPr>
          <w:rFonts w:ascii="Arial" w:cs="Arial" w:eastAsia="Arial" w:hAnsi="Arial"/>
          <w:sz w:val="14"/>
          <w:szCs w:val="14"/>
          <w:color w:val="auto"/>
        </w:rPr>
        <w:t>. Subject to the terms of this Agreement, upon MacroGenics’ receipt of a License Grant Fee with respect to a Licensed Program, MacroGenics shall and hereby does grant Servier (a) an exclusive, royalty-bearing, non-transferable (except in accordance with Section 16.4) license, with the right to sublicense (subject to Section 4.3), under MacroGenics IP and MacroGenics’ and its Affiliates’ interests in Joint IP, to Research, Develop, Manufacture and Commercialize, Program DARTs and Licensed Products from such Licensed Program in and for the Servier Territory in the Field; (b) an exclusive, royalty-bearing, non-transferable (except in accordance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32" w:name="page733"/>
    <w:bookmarkEnd w:id="732"/>
    <w:p>
      <w:pPr>
        <w:ind w:right="2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with Section 16.4) license, with the right to sublicense (subject to Section 4.3), under MacroGenics IP and MacroGenics’ and its Affiliates’ interests in Joint IP, to Research, Develop, Manufacture and Commercialize Diagnostics for use solely with Program DARTs and Licensed Products from such Licensed Program in the Field in and for the Servier Territory; and (c) a non-exclusive, royalty-bearing, non-transferable (except in accordance with Section 16.4) license, with the right to sublicense (subject to Section 4.3), under MacroGenics IP and MacroGenics’ and its Affiliates’ interests in Joint IP and Servier Collaboration IP, to Research, Develop and Manufacture Program DARTs and Licensed Products from such Licensed Program in the MacroGenics Territory for the sole purpose of using, offering for sale and selling such Licensed Products in, and importing such Program DARTs and such Licensed Products into, the Servier Territory in the Field;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Servier shall not, directly or indirectly, conduct clinical trials or other clinical studies, including any investigator initiated studies, in the MacroGenics Territory using Program DARTs or Licensed Products without the prior approval of the JRDC.</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License Grant to MacroGenics</w:t>
      </w:r>
      <w:r>
        <w:rPr>
          <w:rFonts w:ascii="Arial" w:cs="Arial" w:eastAsia="Arial" w:hAnsi="Arial"/>
          <w:sz w:val="12"/>
          <w:szCs w:val="12"/>
          <w:color w:val="auto"/>
        </w:rPr>
        <w:t>. Subject to the terms of this Agreement, upon MacroGenics’ receipt of a License Grant Fee with respect to a Licensed Program, Servier hereby grants MacroGenics:</w:t>
      </w:r>
    </w:p>
    <w:p>
      <w:pPr>
        <w:spacing w:after="0" w:line="35" w:lineRule="exact"/>
        <w:rPr>
          <w:sz w:val="20"/>
          <w:szCs w:val="20"/>
          <w:color w:val="auto"/>
        </w:rPr>
      </w:pPr>
    </w:p>
    <w:p>
      <w:pPr>
        <w:ind w:right="260" w:firstLine="4"/>
        <w:spacing w:after="0" w:line="290" w:lineRule="auto"/>
        <w:tabs>
          <w:tab w:leader="none" w:pos="185" w:val="left"/>
        </w:tabs>
        <w:numPr>
          <w:ilvl w:val="0"/>
          <w:numId w:val="843"/>
        </w:numPr>
        <w:rPr>
          <w:rFonts w:ascii="Arial" w:cs="Arial" w:eastAsia="Arial" w:hAnsi="Arial"/>
          <w:sz w:val="12"/>
          <w:szCs w:val="12"/>
          <w:color w:val="auto"/>
        </w:rPr>
      </w:pPr>
      <w:r>
        <w:rPr>
          <w:rFonts w:ascii="Arial" w:cs="Arial" w:eastAsia="Arial" w:hAnsi="Arial"/>
          <w:sz w:val="12"/>
          <w:szCs w:val="12"/>
          <w:color w:val="auto"/>
        </w:rPr>
        <w:t>an exclusive, royalty-free, non-transferable (except in accordance with Section 16.4) license, with the right to sublicense (subject to Section 4.3), under Servier Collaboration IP and Servier’s and its Affiliates’ interest in Joint IP, to Research, Develop, Manufacture and Commercialize Program DARTs and Licensed Products from such Licensed Program in the Field in and for the MacroGenics Territory;</w:t>
      </w:r>
    </w:p>
    <w:p>
      <w:pPr>
        <w:ind w:firstLine="4"/>
        <w:spacing w:after="0" w:line="299" w:lineRule="auto"/>
        <w:tabs>
          <w:tab w:leader="none" w:pos="192" w:val="left"/>
        </w:tabs>
        <w:numPr>
          <w:ilvl w:val="0"/>
          <w:numId w:val="843"/>
        </w:numPr>
        <w:rPr>
          <w:rFonts w:ascii="Arial" w:cs="Arial" w:eastAsia="Arial" w:hAnsi="Arial"/>
          <w:sz w:val="12"/>
          <w:szCs w:val="12"/>
          <w:color w:val="auto"/>
        </w:rPr>
      </w:pPr>
      <w:r>
        <w:rPr>
          <w:rFonts w:ascii="Arial" w:cs="Arial" w:eastAsia="Arial" w:hAnsi="Arial"/>
          <w:sz w:val="12"/>
          <w:szCs w:val="12"/>
          <w:color w:val="auto"/>
        </w:rPr>
        <w:t xml:space="preserve">an exclusive, royalty-free, non-transferable (except in accordance with Section 16.4) license, with the right to sublicense (subject to Section 4.3), under Servier Collaboration IP and Servier’s and its Affiliates’ interest in Joint IP, to Research, Develop, Manufacture and Commercialize Diagnostics for use solely with Program DARTs and Licensed Products from such Licensed Program in the Field in and for the MacroGenics Territory; and (c) a non-exclusive, royalty-free, non-transferable (except in accordance with Section 16.4) license, with the right to sublicense (subject to Section 4.3), under Servier Collaboration IP and Servier’s and its Affiliates’ interest in Joint IP, to Research, Develop and Manufacture Program DARTs and Licensed Products under the corresponding Licensed Program in the Servier Territory for the sole purpose of using, offering for sale and selling Licensed Products in, and importing Program DARTs and Licensed Products from the corresponding Licensed Program into, the MacroGenics Territory in the Field;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MacroGenics shall not, directly or indirectly, conduct clinical trials or other clinical studies, including any investigator initiated studies, in the Servier Territory using Program DARTs or Licensed Products without the prior approval of the JRDC.</w:t>
      </w:r>
    </w:p>
    <w:p>
      <w:pPr>
        <w:spacing w:after="0" w:line="86"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Sublicenses</w:t>
      </w:r>
      <w:r>
        <w:rPr>
          <w:rFonts w:ascii="Arial" w:cs="Arial" w:eastAsia="Arial" w:hAnsi="Arial"/>
          <w:sz w:val="12"/>
          <w:szCs w:val="12"/>
          <w:color w:val="auto"/>
        </w:rPr>
        <w:t xml:space="preserve">. Each Party shall have the right to grant sublicenses within the scope of the licenses under Section 4.1 or 4.2, as applicable, solely to its Affiliates and to Third Parties that are conducting Research, Development, Manufacture and/or Commercialization activities with such Party or its Affiliates with respect to Program DARTs and Licensed Products;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sublicense granted to Third Party collaborators under this Agreement shall be pursuant to a written agreement that subjects such sublicensee to all relevant restrictions and limitations set forth in this Agreement, including the confidentiality provisions of ARTICLE 11. If either Party grants a sublicense to a Third Party as permitted by this Section 4.3, then such Party shall provide the other Party prompt written notice thereof and shall provide the other Party with an executed copy of any such sublicense (redacted as necessary to protect confidential or commercially sensitive information). Except as otherwise agreed by the Parties in writing, each Party shall be jointly and severally responsible with its sublicensees to the other Party for failure by its sublicensees to comply with this Agreement.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4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33" w:name="page734"/>
    <w:bookmarkEnd w:id="733"/>
    <w:p>
      <w:pPr>
        <w:ind w:firstLine="458"/>
        <w:spacing w:after="0" w:line="29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4.4 </w:t>
      </w:r>
      <w:r>
        <w:rPr>
          <w:rFonts w:ascii="Arial" w:cs="Arial" w:eastAsia="Arial" w:hAnsi="Arial"/>
          <w:sz w:val="12"/>
          <w:szCs w:val="12"/>
          <w:u w:val="single" w:color="auto"/>
          <w:color w:val="auto"/>
        </w:rPr>
        <w:t>Subcontracting</w:t>
      </w:r>
      <w:r>
        <w:rPr>
          <w:rFonts w:ascii="Arial" w:cs="Arial" w:eastAsia="Arial" w:hAnsi="Arial"/>
          <w:sz w:val="12"/>
          <w:szCs w:val="12"/>
          <w:color w:val="auto"/>
        </w:rPr>
        <w:t xml:space="preserve">. Subject to the terms of this Agreement, each Party shall have the right to engage Affiliates, licensees, Sublicensees or Third Party subcontractors to perform activities ascribed to such Party, under this Agreement. Any Affiliate, licensee or subcontractor to be engaged by a Party to perform a Party’s obligations under this Agreement shall meet the qualifications typically required by such Party for the performance of work similar in scope and complexity to the subcontracted activity;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Party engaging an Affiliate, licensee or subcontractor hereunder shall remain principally responsible and obligated for such activities. In addition, each Party engaging a licensee, Sublicensee or subcontractor shall obtain Control of any and all Know-How, Patents or other intellectual property rights created, discovered, invented, conceived or reduced to practice by such licensee, Sublicensee or subcontractor with respect to any Program DART or Licensed Product so that the other Party is not impeded from carrying out its rights and responsibilities under this Agreement by such Know-How, Patents or other intellectual property rights. To the extent a Party cannot obtain assignment of, or an exclusive license to, all Know-How, Patents and other intellectual property rights created, discovered, invented, conceived or reduced to practice by any licensee, Sublicensee or subcontractor engaged by such Party with respect to any Program DART or Licensed Product or in the performance of activities under this Agreement at the time such Party initially enters into such arrangement with such licensee, Sublicensee or subcontractor, such Party shall bring such matter to the JSC for the prior approval of such arrangement and for the express approval by the JRDC of the licensing terms and conditions with respect to such arrangement.</w:t>
      </w:r>
    </w:p>
    <w:p>
      <w:pPr>
        <w:spacing w:after="0" w:line="88" w:lineRule="exact"/>
        <w:rPr>
          <w:sz w:val="20"/>
          <w:szCs w:val="20"/>
          <w:color w:val="auto"/>
        </w:rPr>
      </w:pPr>
    </w:p>
    <w:p>
      <w:pPr>
        <w:ind w:right="40" w:firstLine="458"/>
        <w:spacing w:after="0" w:line="299"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MacroGenics Third Party Agreements</w:t>
      </w:r>
      <w:r>
        <w:rPr>
          <w:rFonts w:ascii="Arial" w:cs="Arial" w:eastAsia="Arial" w:hAnsi="Arial"/>
          <w:sz w:val="12"/>
          <w:szCs w:val="12"/>
          <w:color w:val="auto"/>
        </w:rPr>
        <w:t>. Servier acknowledges and agrees that the rights, licenses and sublicenses granted by MacroGenics to Servier under this Agreement may be or are subject to the terms of the MacroGenics Third Party Agreements. Servier covenants to comply with, and to cause its Affiliates and Sublicensees to comply with, the MacroGenics Third Party Agreements, and to take any action or provide any information reasonably requested by MacroGenics, to prevent any potential breach of any terms of such MacroGenics Third Party Agreements. To the extent there is a conflict between the terms of any MacroGenics Third Party Agreement and the rights granted to Servier hereunder, the terms of such MacroGenics Third Party Agreement shall control solely with respect to the Patents and Know-How owned or controlled by such Third Party licensor. MacroGenics shall not terminate or consent to the termination of the MacroGenics Third Party Agreement without Servier’s prior reasonable consent if such termination would materially adversely affect Servier’s license granted hereunder; however, for clarity, MacroGenics may (a) terminate any MacroGenics Third Party Agreement by acquiring all of the relevant intellectual property licensed thereunder, in which case Servier agrees to consent to such termination of such MacroGenics Third Party Agreement; and (b) terminate its obligation to make royalty and milestone payments by making a lump-sum payment.</w:t>
      </w:r>
    </w:p>
    <w:p>
      <w:pPr>
        <w:spacing w:after="0" w:line="87" w:lineRule="exact"/>
        <w:rPr>
          <w:sz w:val="20"/>
          <w:szCs w:val="20"/>
          <w:color w:val="auto"/>
        </w:rPr>
      </w:pPr>
    </w:p>
    <w:p>
      <w:pPr>
        <w:ind w:right="480" w:firstLine="458"/>
        <w:spacing w:after="0" w:line="267"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Rights Retained by the Parties</w:t>
      </w:r>
      <w:r>
        <w:rPr>
          <w:rFonts w:ascii="Arial" w:cs="Arial" w:eastAsia="Arial" w:hAnsi="Arial"/>
          <w:sz w:val="14"/>
          <w:szCs w:val="14"/>
          <w:color w:val="auto"/>
        </w:rPr>
        <w:t>. Any rights of MacroGenics or Servier, as the case may be, not expressly granted to the other Party pursuant to this Agreement shall be retained by such Party. Notwithstanding the exclusive licenses granted to Servier pursuant to Section 4.1,</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4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734" w:name="page735"/>
    <w:bookmarkEnd w:id="734"/>
    <w:p>
      <w:pPr>
        <w:jc w:val="both"/>
        <w:ind w:right="1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retains the right to practice under the MacroGenics IP and Joint IP to perform (and to sublicense Third Parties to perform) its obligations under this Agreement and any supply agreement entered into in accordance with ARTICLE 7, including for the purpose of performing its activities in connection with clinical trials for Licensed Products and any related manufacture of Program DARTs and Licensed Products.</w:t>
      </w:r>
    </w:p>
    <w:p>
      <w:pPr>
        <w:spacing w:after="0" w:line="108" w:lineRule="exact"/>
        <w:rPr>
          <w:sz w:val="20"/>
          <w:szCs w:val="20"/>
          <w:color w:val="auto"/>
        </w:rPr>
      </w:pPr>
    </w:p>
    <w:p>
      <w:pPr>
        <w:ind w:right="80" w:firstLine="458"/>
        <w:spacing w:after="0" w:line="299"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Section 365(n) of the Bankruptcy Code</w:t>
      </w:r>
      <w:r>
        <w:rPr>
          <w:rFonts w:ascii="Arial" w:cs="Arial" w:eastAsia="Arial" w:hAnsi="Arial"/>
          <w:sz w:val="12"/>
          <w:szCs w:val="12"/>
          <w:color w:val="auto"/>
        </w:rPr>
        <w:t>. All rights and licenses granted under or pursuant to any section of this Agreement are and will otherwise be deemed to be for purposes of Section 365(n) of the United States Bankruptcy Code (Title 11, U.S. Code), as amended (the “</w:t>
      </w:r>
      <w:r>
        <w:rPr>
          <w:rFonts w:ascii="Arial" w:cs="Arial" w:eastAsia="Arial" w:hAnsi="Arial"/>
          <w:sz w:val="12"/>
          <w:szCs w:val="12"/>
          <w:u w:val="single" w:color="auto"/>
          <w:color w:val="auto"/>
        </w:rPr>
        <w:t>Bankruptcy Code</w:t>
      </w:r>
      <w:r>
        <w:rPr>
          <w:rFonts w:ascii="Arial" w:cs="Arial" w:eastAsia="Arial" w:hAnsi="Arial"/>
          <w:sz w:val="12"/>
          <w:szCs w:val="12"/>
          <w:color w:val="auto"/>
        </w:rPr>
        <w:t>”), licenses of rights to “intellectual property” as defined in Section 101(35A) of the Bankruptcy Code. The Parties will retain and may fully exercise all of their respective rights and elections under the Bankruptcy Code. Each Party agrees that the other Party, as licensee of such rights under this Agreement, will retain and may fully exercise all of its rights and elections under the Bankruptcy Code or any other provisions of applicable Law outside the United States that provide similar protection for “intellectual property.” The Parties further agree that, in the event of the commencement of a bankruptcy proceeding by or against a Party under the U.S. Bankruptcy Code or analogous provisions of applicable Law outside the United States, the other Party will be entitled to a complete duplicate of (or complete access to, as appropriate) such intellectual property and all embodiments of such intellectual property, which, if not already in such Party’s possession, will be promptly delivered to it upon such Party’s written request thereof. Any agreements supplemental hereto will be deemed to be “agreements supplementary to” this Agreement for purposes of Section 365(n) of the Bankruptcy Code.</w:t>
      </w:r>
    </w:p>
    <w:p>
      <w:pPr>
        <w:spacing w:after="0" w:line="85" w:lineRule="exact"/>
        <w:rPr>
          <w:sz w:val="20"/>
          <w:szCs w:val="20"/>
          <w:color w:val="auto"/>
        </w:rPr>
      </w:pPr>
    </w:p>
    <w:p>
      <w:pPr>
        <w:ind w:firstLine="458"/>
        <w:spacing w:after="0" w:line="306"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Exclusivity</w:t>
      </w:r>
      <w:r>
        <w:rPr>
          <w:rFonts w:ascii="Arial" w:cs="Arial" w:eastAsia="Arial" w:hAnsi="Arial"/>
          <w:sz w:val="12"/>
          <w:szCs w:val="12"/>
          <w:color w:val="auto"/>
        </w:rPr>
        <w:t xml:space="preserve">. For the period commencing with the Effective Date and ending on the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Effective Date (subject to earlier termination pursuant to Article 14), other than with respect to the Development and Commercialization activities pursuant to this Agreement, neither Party nor its Affiliates shall, directly or indirectly, (a) initiate or conduct clinical development for a Competing Product in each other’s respective territory; or (b) Commercialize a Competing Product in the other Party’s territory. During such </w:t>
      </w:r>
      <w:r>
        <w:rPr>
          <w:rFonts w:ascii="Arial" w:cs="Arial" w:eastAsia="Arial" w:hAnsi="Arial"/>
          <w:sz w:val="12"/>
          <w:szCs w:val="12"/>
          <w:b w:val="1"/>
          <w:bCs w:val="1"/>
          <w:color w:val="auto"/>
        </w:rPr>
        <w:t>***</w:t>
      </w:r>
      <w:r>
        <w:rPr>
          <w:rFonts w:ascii="Arial" w:cs="Arial" w:eastAsia="Arial" w:hAnsi="Arial"/>
          <w:sz w:val="12"/>
          <w:szCs w:val="12"/>
          <w:color w:val="auto"/>
        </w:rPr>
        <w:t>, a Third Party that acquires all of the outstanding shares of a Party and has a Competing Product in Development at the time of such acquisition shall have the right to (i) continue any ongoing Clinical Trials it is conducting with such Competing Product; and (ii) initiate Clinical Trials in an Indication for which such Third Party previously conducted a Clinical Trial with the Competing Product provided that under such scenario the provisions of section 4.9. below shall apply.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Consequences of Development and Commercialization of Competing Products</w:t>
      </w:r>
      <w:r>
        <w:rPr>
          <w:rFonts w:ascii="Arial" w:cs="Arial" w:eastAsia="Arial" w:hAnsi="Arial"/>
          <w:sz w:val="14"/>
          <w:szCs w:val="14"/>
          <w:color w:val="auto"/>
        </w:rPr>
        <w:t>. ***</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4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35" w:name="page736"/>
    <w:bookmarkEnd w:id="735"/>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t>
      </w:r>
    </w:p>
    <w:p>
      <w:pPr>
        <w:spacing w:after="0" w:line="132" w:lineRule="exact"/>
        <w:rPr>
          <w:sz w:val="20"/>
          <w:szCs w:val="20"/>
          <w:color w:val="auto"/>
        </w:rPr>
      </w:pPr>
    </w:p>
    <w:p>
      <w:pPr>
        <w:ind w:firstLine="458"/>
        <w:spacing w:after="0" w:line="297" w:lineRule="auto"/>
        <w:rPr>
          <w:sz w:val="20"/>
          <w:szCs w:val="20"/>
          <w:color w:val="auto"/>
        </w:rPr>
      </w:pPr>
      <w:r>
        <w:rPr>
          <w:rFonts w:ascii="Arial" w:cs="Arial" w:eastAsia="Arial" w:hAnsi="Arial"/>
          <w:sz w:val="12"/>
          <w:szCs w:val="12"/>
          <w:color w:val="auto"/>
        </w:rPr>
        <w:t xml:space="preserve">4.10 </w:t>
      </w:r>
      <w:r>
        <w:rPr>
          <w:rFonts w:ascii="Arial" w:cs="Arial" w:eastAsia="Arial" w:hAnsi="Arial"/>
          <w:sz w:val="12"/>
          <w:szCs w:val="12"/>
          <w:u w:val="single" w:color="auto"/>
          <w:color w:val="auto"/>
        </w:rPr>
        <w:t>Right of First Negotiation for Independent Product</w:t>
      </w:r>
      <w:r>
        <w:rPr>
          <w:rFonts w:ascii="Arial" w:cs="Arial" w:eastAsia="Arial" w:hAnsi="Arial"/>
          <w:sz w:val="12"/>
          <w:szCs w:val="12"/>
          <w:color w:val="auto"/>
        </w:rPr>
        <w:t xml:space="preserve">. If at any time during the Agreement Term MacroGenics or its Affiliates desires to enter into a Qualified Transaction, MacroGenics shall notify Servier of such intent and propose to Servier to enter into negotiations with respect to the subject matter of such Qualified Transaction, identifying the applicable Independent Product(s) that is(are) proposed to be the subject of such Qualified Transaction. Servier shall have </w:t>
      </w:r>
      <w:r>
        <w:rPr>
          <w:rFonts w:ascii="Arial" w:cs="Arial" w:eastAsia="Arial" w:hAnsi="Arial"/>
          <w:sz w:val="12"/>
          <w:szCs w:val="12"/>
          <w:b w:val="1"/>
          <w:bCs w:val="1"/>
          <w:color w:val="auto"/>
        </w:rPr>
        <w:t>***</w:t>
      </w:r>
      <w:r>
        <w:rPr>
          <w:rFonts w:ascii="Arial" w:cs="Arial" w:eastAsia="Arial" w:hAnsi="Arial"/>
          <w:sz w:val="12"/>
          <w:szCs w:val="12"/>
          <w:color w:val="auto"/>
        </w:rPr>
        <w:t xml:space="preserve"> from receipt of such written notice to notify MacroGenics in writing as to whether Servier desires to negotiate for such rights, and if Servier so notifies MacroGenics that it does desire to negotiate for such rights, Servier and MacroGenics shall have </w:t>
      </w:r>
      <w:r>
        <w:rPr>
          <w:rFonts w:ascii="Arial" w:cs="Arial" w:eastAsia="Arial" w:hAnsi="Arial"/>
          <w:sz w:val="12"/>
          <w:szCs w:val="12"/>
          <w:b w:val="1"/>
          <w:bCs w:val="1"/>
          <w:color w:val="auto"/>
        </w:rPr>
        <w:t>***</w:t>
      </w:r>
      <w:r>
        <w:rPr>
          <w:rFonts w:ascii="Arial" w:cs="Arial" w:eastAsia="Arial" w:hAnsi="Arial"/>
          <w:sz w:val="12"/>
          <w:szCs w:val="12"/>
          <w:color w:val="auto"/>
        </w:rPr>
        <w:t xml:space="preserve"> from the date of such notification to negotiate and enter into a definitive agreement for such rights; provided that, if either Servier does not provide such written notice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or Servier and MacroGenics do not enter into a definitive agreement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MacroGenics shall be free to enter into negotiations and agreements with Third Parties relating to such Qualified Transaction, provided however that if,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such negotiations with Servier terminate, MacroGenics should *** of such terms, and Servier shall have a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receipt of the same to notify MacroGenics as to whether Servier would be prepared to accept such terms (subject to execution of a mutually acceptable license agreement) in which case the Parties will use commercially reasonable efforts to conclude such license agreement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Servier notifies MacroGenics of the same. If the Parties cannot conclude such license agreement or such </w:t>
      </w:r>
      <w:r>
        <w:rPr>
          <w:rFonts w:ascii="Arial" w:cs="Arial" w:eastAsia="Arial" w:hAnsi="Arial"/>
          <w:sz w:val="12"/>
          <w:szCs w:val="12"/>
          <w:b w:val="1"/>
          <w:bCs w:val="1"/>
          <w:color w:val="auto"/>
        </w:rPr>
        <w:t>***</w:t>
      </w:r>
      <w:r>
        <w:rPr>
          <w:rFonts w:ascii="Arial" w:cs="Arial" w:eastAsia="Arial" w:hAnsi="Arial"/>
          <w:sz w:val="12"/>
          <w:szCs w:val="12"/>
          <w:color w:val="auto"/>
        </w:rPr>
        <w:t>, the Parties agree that, MacroGenics shall be free to enter into negotiations and agreements with Third Party(ies) relating to such Qualified Transaction during the remainder of the Agreement Term without further obligation to Servier.</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u w:val="single" w:color="auto"/>
          <w:color w:val="auto"/>
        </w:rPr>
        <w:t>Diagnostics</w:t>
      </w:r>
      <w:r>
        <w:rPr>
          <w:rFonts w:ascii="Arial" w:cs="Arial" w:eastAsia="Arial" w:hAnsi="Arial"/>
          <w:sz w:val="12"/>
          <w:szCs w:val="12"/>
          <w:color w:val="auto"/>
        </w:rPr>
        <w:t>. The Parties acknowledge and agree that each Party shall have the right to use Diagnostics in combination with Competing Products Researched, Developed or Commercialized by such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Party.</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5</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DEVELOPMENT DURING THE LICENSE TERM</w:t>
      </w:r>
    </w:p>
    <w:p>
      <w:pPr>
        <w:spacing w:after="0" w:line="126" w:lineRule="exact"/>
        <w:rPr>
          <w:sz w:val="20"/>
          <w:szCs w:val="20"/>
          <w:color w:val="auto"/>
        </w:rPr>
      </w:pPr>
    </w:p>
    <w:p>
      <w:pPr>
        <w:ind w:right="40" w:firstLine="458"/>
        <w:spacing w:after="0" w:line="311"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Overview</w:t>
      </w:r>
      <w:r>
        <w:rPr>
          <w:rFonts w:ascii="Arial" w:cs="Arial" w:eastAsia="Arial" w:hAnsi="Arial"/>
          <w:sz w:val="12"/>
          <w:szCs w:val="12"/>
          <w:color w:val="auto"/>
        </w:rPr>
        <w:t>. During each License Term, (a) Servier will, subject to the terms of this Agreement, be responsible for the Development of Licensed Products from the corresponding Licensed Program in the Field for the Servier Territory, and (b) MacroGenics will remain responsible for Development of Licensed Products from the same Licensed Program in the Field in the MacroGenics Territory. While the Parties may choose, at their sole discretion, to work together on particular projects, except as otherwise provided in this Agreement, the Parties will operate independently in their activities for their respective Development of Licensed Products, but will provide access to certain information to the JRDC and to each other as expressly described in this Agreement.</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4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36" w:name="page737"/>
    <w:bookmarkEnd w:id="736"/>
    <w:p>
      <w:pPr>
        <w:ind w:right="20" w:firstLine="458"/>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5.2 </w:t>
      </w:r>
      <w:r>
        <w:rPr>
          <w:rFonts w:ascii="Arial" w:cs="Arial" w:eastAsia="Arial" w:hAnsi="Arial"/>
          <w:sz w:val="12"/>
          <w:szCs w:val="12"/>
          <w:u w:val="single" w:color="auto"/>
          <w:color w:val="auto"/>
        </w:rPr>
        <w:t>Servier Obligations</w:t>
      </w:r>
      <w:r>
        <w:rPr>
          <w:rFonts w:ascii="Arial" w:cs="Arial" w:eastAsia="Arial" w:hAnsi="Arial"/>
          <w:sz w:val="12"/>
          <w:szCs w:val="12"/>
          <w:color w:val="auto"/>
        </w:rPr>
        <w:t>. Servier shall use Commercially Reasonable Efforts to Develop Licensed Products from each Licensed Program in the Servier Territory. Servier shall be deemed to not have used Commercially Reasonable Efforts to Develop Licensed Products from a Licensed Program in the Servier Territory, and MacroGenics shall have the right to terminate this Agreement in accordance with Section 14.2, if at any point in time prior to the First Commercial Sale of a Licensed Product under such Licensed Program, Servier fails to undertake Development activities, with the intention of rapidly advancing a Licensed Product under such Licensed Program toward registration (and not for the sole purpose of preserving rights hereunder) during at least the preceding ***.</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Development Activities.</w:t>
      </w:r>
    </w:p>
    <w:p>
      <w:pPr>
        <w:spacing w:after="0" w:line="132" w:lineRule="exact"/>
        <w:rPr>
          <w:sz w:val="20"/>
          <w:szCs w:val="20"/>
          <w:color w:val="auto"/>
        </w:rPr>
      </w:pPr>
    </w:p>
    <w:p>
      <w:pPr>
        <w:ind w:firstLine="917"/>
        <w:spacing w:after="0" w:line="297" w:lineRule="auto"/>
        <w:rPr>
          <w:sz w:val="20"/>
          <w:szCs w:val="20"/>
          <w:color w:val="auto"/>
        </w:rPr>
      </w:pPr>
      <w:r>
        <w:rPr>
          <w:rFonts w:ascii="Arial" w:cs="Arial" w:eastAsia="Arial" w:hAnsi="Arial"/>
          <w:sz w:val="12"/>
          <w:szCs w:val="12"/>
          <w:color w:val="auto"/>
        </w:rPr>
        <w:t xml:space="preserve">5.3.1 </w:t>
      </w:r>
      <w:r>
        <w:rPr>
          <w:rFonts w:ascii="Arial" w:cs="Arial" w:eastAsia="Arial" w:hAnsi="Arial"/>
          <w:sz w:val="12"/>
          <w:szCs w:val="12"/>
          <w:u w:val="single" w:color="auto"/>
          <w:color w:val="auto"/>
        </w:rPr>
        <w:t>Global Development Plan</w:t>
      </w:r>
      <w:r>
        <w:rPr>
          <w:rFonts w:ascii="Arial" w:cs="Arial" w:eastAsia="Arial" w:hAnsi="Arial"/>
          <w:sz w:val="12"/>
          <w:szCs w:val="12"/>
          <w:color w:val="auto"/>
        </w:rPr>
        <w:t>. During the License Term for each Licensed Program, the Development of Licensed Products under this Agreement under such Licensed Program shall be conducted pursuant to a reasonably comprehensive written research and development plan (each, a “</w:t>
      </w:r>
      <w:r>
        <w:rPr>
          <w:rFonts w:ascii="Arial" w:cs="Arial" w:eastAsia="Arial" w:hAnsi="Arial"/>
          <w:sz w:val="12"/>
          <w:szCs w:val="12"/>
          <w:u w:val="single" w:color="auto"/>
          <w:color w:val="auto"/>
        </w:rPr>
        <w:t>Global Development Plan</w:t>
      </w:r>
      <w:r>
        <w:rPr>
          <w:rFonts w:ascii="Arial" w:cs="Arial" w:eastAsia="Arial" w:hAnsi="Arial"/>
          <w:sz w:val="12"/>
          <w:szCs w:val="12"/>
          <w:color w:val="auto"/>
        </w:rPr>
        <w:t>”), which shall include a detailed budget for all Development Costs and Manufacturing Process Development Costs (each, a “</w:t>
      </w:r>
      <w:r>
        <w:rPr>
          <w:rFonts w:ascii="Arial" w:cs="Arial" w:eastAsia="Arial" w:hAnsi="Arial"/>
          <w:sz w:val="12"/>
          <w:szCs w:val="12"/>
          <w:u w:val="single" w:color="auto"/>
          <w:color w:val="auto"/>
        </w:rPr>
        <w:t>Development Budget</w:t>
      </w:r>
      <w:r>
        <w:rPr>
          <w:rFonts w:ascii="Arial" w:cs="Arial" w:eastAsia="Arial" w:hAnsi="Arial"/>
          <w:sz w:val="12"/>
          <w:szCs w:val="12"/>
          <w:color w:val="auto"/>
        </w:rPr>
        <w:t xml:space="preserve">”), and which shall include the resource allocations for the Parties based upon the general principle that the allocation shall endeavor to take advantage of the respective resources, capabilities and expertise of MacroGenics and Servier, respectively.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License Grant Date, the JRDC shall prepare an initial draft of the Global Development Plan for approval by the JSC for such Licensed Program. Each Global Development Plan also shall set forth the specific activities (including non-clinical and clinical studies to be conducted by each Party) and the estimated timeline for Development of Licensed Products licensed under such Licensed Program in order to obtain the data that the Parties intend will be useful, by both Parties, to obtain Regulatory Approvals of the Licensed Products in both the United States, and the EU. Servier shall be the sponsor of all clinical studies conducted in the Servier Territory and shall be solely responsible for Development activities and for obtaining Regulatory Approval for Licensed Products in the Servier Territory, and MacroGenics shall be the sponsor of all clinical studies conducted in the MacroGenics Territory and shall be solely responsible for Development activities and for obtaining Regulatory Approval for Licensed Products in the MacroGenics Territory. The JRDC shall discuss which Party(ies) shall be the sponsor of all clinical studies conducted in countries of both the MacroGenics Territory and the Servier Territory under such Licensed Program.</w:t>
      </w:r>
    </w:p>
    <w:p>
      <w:pPr>
        <w:spacing w:after="0" w:line="89" w:lineRule="exact"/>
        <w:rPr>
          <w:sz w:val="20"/>
          <w:szCs w:val="20"/>
          <w:color w:val="auto"/>
        </w:rPr>
      </w:pPr>
    </w:p>
    <w:p>
      <w:pPr>
        <w:ind w:right="60" w:firstLine="917"/>
        <w:spacing w:after="0" w:line="267" w:lineRule="auto"/>
        <w:rPr>
          <w:sz w:val="20"/>
          <w:szCs w:val="20"/>
          <w:color w:val="auto"/>
        </w:rPr>
      </w:pPr>
      <w:r>
        <w:rPr>
          <w:rFonts w:ascii="Arial" w:cs="Arial" w:eastAsia="Arial" w:hAnsi="Arial"/>
          <w:sz w:val="14"/>
          <w:szCs w:val="14"/>
          <w:color w:val="auto"/>
        </w:rPr>
        <w:t xml:space="preserve">5.3.2 </w:t>
      </w:r>
      <w:r>
        <w:rPr>
          <w:rFonts w:ascii="Arial" w:cs="Arial" w:eastAsia="Arial" w:hAnsi="Arial"/>
          <w:sz w:val="14"/>
          <w:szCs w:val="14"/>
          <w:u w:val="single" w:color="auto"/>
          <w:color w:val="auto"/>
        </w:rPr>
        <w:t>Details in Global Development Plan</w:t>
      </w:r>
      <w:r>
        <w:rPr>
          <w:rFonts w:ascii="Arial" w:cs="Arial" w:eastAsia="Arial" w:hAnsi="Arial"/>
          <w:sz w:val="14"/>
          <w:szCs w:val="14"/>
          <w:color w:val="auto"/>
        </w:rPr>
        <w:t>. Without limiting Section 5.3.1, each Global Development Plan shall set forth, among other things, the following activities to be undertaken jointly or coordinated by Servier and MacroGenics:</w:t>
      </w:r>
    </w:p>
    <w:p>
      <w:pPr>
        <w:spacing w:after="0" w:line="101" w:lineRule="exact"/>
        <w:rPr>
          <w:sz w:val="20"/>
          <w:szCs w:val="20"/>
          <w:color w:val="auto"/>
        </w:rPr>
      </w:pPr>
    </w:p>
    <w:p>
      <w:pPr>
        <w:ind w:right="240" w:firstLine="920"/>
        <w:spacing w:after="0" w:line="258" w:lineRule="auto"/>
        <w:tabs>
          <w:tab w:leader="none" w:pos="1101" w:val="left"/>
        </w:tabs>
        <w:numPr>
          <w:ilvl w:val="0"/>
          <w:numId w:val="848"/>
        </w:numPr>
        <w:rPr>
          <w:rFonts w:ascii="Arial" w:cs="Arial" w:eastAsia="Arial" w:hAnsi="Arial"/>
          <w:sz w:val="14"/>
          <w:szCs w:val="14"/>
          <w:color w:val="auto"/>
        </w:rPr>
      </w:pPr>
      <w:r>
        <w:rPr>
          <w:rFonts w:ascii="Arial" w:cs="Arial" w:eastAsia="Arial" w:hAnsi="Arial"/>
          <w:sz w:val="14"/>
          <w:szCs w:val="14"/>
          <w:color w:val="auto"/>
        </w:rPr>
        <w:t>any non-clinical studies, toxicology studies, pharmaco-economic studies, process development studies and other clinical studies, whether pre- or post-approval and whether sponsored or merely supported by Servier or MacroGenics, in each case, together with all protocols, endpoints and investigators conducting such studies, with respect to Licensed Products in the Servier Territory and MacroGenics Territory;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4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737" w:name="page738"/>
    <w:bookmarkEnd w:id="737"/>
    <w:p>
      <w:pPr>
        <w:ind w:left="1120" w:hanging="200"/>
        <w:spacing w:after="0"/>
        <w:tabs>
          <w:tab w:leader="none" w:pos="1120" w:val="left"/>
        </w:tabs>
        <w:numPr>
          <w:ilvl w:val="0"/>
          <w:numId w:val="85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regulatory plans and other elements of obtaining and maintaining Regulatory Approvals in the Field in each country in the Servier Territory and MacroGenics Territory;</w:t>
      </w:r>
    </w:p>
    <w:p>
      <w:pPr>
        <w:spacing w:after="0" w:line="131" w:lineRule="exact"/>
        <w:rPr>
          <w:rFonts w:ascii="Arial" w:cs="Arial" w:eastAsia="Arial" w:hAnsi="Arial"/>
          <w:sz w:val="14"/>
          <w:szCs w:val="14"/>
          <w:color w:val="auto"/>
        </w:rPr>
      </w:pPr>
    </w:p>
    <w:p>
      <w:pPr>
        <w:ind w:left="1100" w:hanging="180"/>
        <w:spacing w:after="0"/>
        <w:tabs>
          <w:tab w:leader="none" w:pos="1100" w:val="left"/>
        </w:tabs>
        <w:numPr>
          <w:ilvl w:val="0"/>
          <w:numId w:val="850"/>
        </w:numPr>
        <w:rPr>
          <w:rFonts w:ascii="Arial" w:cs="Arial" w:eastAsia="Arial" w:hAnsi="Arial"/>
          <w:sz w:val="14"/>
          <w:szCs w:val="14"/>
          <w:color w:val="auto"/>
        </w:rPr>
      </w:pPr>
      <w:r>
        <w:rPr>
          <w:rFonts w:ascii="Arial" w:cs="Arial" w:eastAsia="Arial" w:hAnsi="Arial"/>
          <w:sz w:val="14"/>
          <w:szCs w:val="14"/>
          <w:color w:val="auto"/>
        </w:rPr>
        <w:t>the timeline for completing such Development activities; and</w:t>
      </w:r>
    </w:p>
    <w:p>
      <w:pPr>
        <w:spacing w:after="0" w:line="131" w:lineRule="exact"/>
        <w:rPr>
          <w:rFonts w:ascii="Arial" w:cs="Arial" w:eastAsia="Arial" w:hAnsi="Arial"/>
          <w:sz w:val="14"/>
          <w:szCs w:val="14"/>
          <w:color w:val="auto"/>
        </w:rPr>
      </w:pPr>
    </w:p>
    <w:p>
      <w:pPr>
        <w:ind w:left="460" w:right="500" w:firstLine="460"/>
        <w:spacing w:after="0" w:line="436" w:lineRule="auto"/>
        <w:tabs>
          <w:tab w:leader="none" w:pos="1111" w:val="left"/>
        </w:tabs>
        <w:numPr>
          <w:ilvl w:val="0"/>
          <w:numId w:val="850"/>
        </w:numPr>
        <w:rPr>
          <w:rFonts w:ascii="Arial" w:cs="Arial" w:eastAsia="Arial" w:hAnsi="Arial"/>
          <w:sz w:val="14"/>
          <w:szCs w:val="14"/>
          <w:color w:val="auto"/>
        </w:rPr>
      </w:pPr>
      <w:r>
        <w:rPr>
          <w:rFonts w:ascii="Arial" w:cs="Arial" w:eastAsia="Arial" w:hAnsi="Arial"/>
          <w:sz w:val="14"/>
          <w:szCs w:val="14"/>
          <w:color w:val="auto"/>
        </w:rPr>
        <w:t xml:space="preserve">the plans and timeline for preparing the necessary Regulatory Documentation and for obtaining Regulatory Approval in the Field in the Servier Territory and MacroGenics Territory. 5.4 </w:t>
      </w:r>
      <w:r>
        <w:rPr>
          <w:rFonts w:ascii="Arial" w:cs="Arial" w:eastAsia="Arial" w:hAnsi="Arial"/>
          <w:sz w:val="14"/>
          <w:szCs w:val="14"/>
          <w:u w:val="single" w:color="auto"/>
          <w:color w:val="auto"/>
        </w:rPr>
        <w:t>Updating and Amending Development Plan and Development Budget; Additional Development Activities.</w:t>
      </w:r>
    </w:p>
    <w:p>
      <w:pPr>
        <w:ind w:right="100" w:firstLine="917"/>
        <w:spacing w:after="0" w:line="311" w:lineRule="auto"/>
        <w:rPr>
          <w:sz w:val="20"/>
          <w:szCs w:val="20"/>
          <w:color w:val="auto"/>
        </w:rPr>
      </w:pPr>
      <w:r>
        <w:rPr>
          <w:rFonts w:ascii="Arial" w:cs="Arial" w:eastAsia="Arial" w:hAnsi="Arial"/>
          <w:sz w:val="12"/>
          <w:szCs w:val="12"/>
          <w:color w:val="auto"/>
        </w:rPr>
        <w:t xml:space="preserve">5.4.1 </w:t>
      </w:r>
      <w:r>
        <w:rPr>
          <w:rFonts w:ascii="Arial" w:cs="Arial" w:eastAsia="Arial" w:hAnsi="Arial"/>
          <w:sz w:val="12"/>
          <w:szCs w:val="12"/>
          <w:u w:val="single" w:color="auto"/>
          <w:color w:val="auto"/>
        </w:rPr>
        <w:t>Development Plan Reviews and Updates</w:t>
      </w:r>
      <w:r>
        <w:rPr>
          <w:rFonts w:ascii="Arial" w:cs="Arial" w:eastAsia="Arial" w:hAnsi="Arial"/>
          <w:sz w:val="12"/>
          <w:szCs w:val="12"/>
          <w:color w:val="auto"/>
        </w:rPr>
        <w:t>. On or before January 1st of each Calendar Year during the License Term, the JRDC shall review, update and approve each Global Development Plan (including the Development Budget contained therein) which shall cover the Development activities and Manufacturing process development activities to be conducted with respect to the Development of Licensed Products subject to such Global Development Plan for use in the Field during the upcoming Calendar Year, and the JRDC shall, on at least a quarterly basis, review and update, as appropriate, each then-current Global Development Plan (including the Development Budget) to reflect any changes, reprioritizations of, or additions to the Global Development Plan.</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5.4.2 </w:t>
      </w:r>
      <w:r>
        <w:rPr>
          <w:rFonts w:ascii="Arial" w:cs="Arial" w:eastAsia="Arial" w:hAnsi="Arial"/>
          <w:sz w:val="14"/>
          <w:szCs w:val="14"/>
          <w:u w:val="single" w:color="auto"/>
          <w:color w:val="auto"/>
        </w:rPr>
        <w:t>Amendments to Development Plan; New Development Collaboration Proposals.</w:t>
      </w:r>
    </w:p>
    <w:p>
      <w:pPr>
        <w:spacing w:after="0" w:line="132" w:lineRule="exact"/>
        <w:rPr>
          <w:sz w:val="20"/>
          <w:szCs w:val="20"/>
          <w:color w:val="auto"/>
        </w:rPr>
      </w:pPr>
    </w:p>
    <w:p>
      <w:pPr>
        <w:ind w:firstLine="920"/>
        <w:spacing w:after="0" w:line="302" w:lineRule="auto"/>
        <w:tabs>
          <w:tab w:leader="none" w:pos="1101" w:val="left"/>
        </w:tabs>
        <w:numPr>
          <w:ilvl w:val="0"/>
          <w:numId w:val="851"/>
        </w:numPr>
        <w:rPr>
          <w:rFonts w:ascii="Arial" w:cs="Arial" w:eastAsia="Arial" w:hAnsi="Arial"/>
          <w:sz w:val="12"/>
          <w:szCs w:val="12"/>
          <w:color w:val="auto"/>
        </w:rPr>
      </w:pPr>
      <w:r>
        <w:rPr>
          <w:rFonts w:ascii="Arial" w:cs="Arial" w:eastAsia="Arial" w:hAnsi="Arial"/>
          <w:sz w:val="12"/>
          <w:szCs w:val="12"/>
          <w:u w:val="single" w:color="auto"/>
          <w:color w:val="auto"/>
        </w:rPr>
        <w:t>Amendments to Development Plan</w:t>
      </w:r>
      <w:r>
        <w:rPr>
          <w:rFonts w:ascii="Arial" w:cs="Arial" w:eastAsia="Arial" w:hAnsi="Arial"/>
          <w:sz w:val="12"/>
          <w:szCs w:val="12"/>
          <w:color w:val="auto"/>
        </w:rPr>
        <w:t>. From time to time during the License Term, either Party may submit to the JRDC any proposed amendment of any Global Development Plan to amend the then-currently approved Development activities (such proposed amendment, a “</w:t>
      </w:r>
      <w:r>
        <w:rPr>
          <w:rFonts w:ascii="Arial" w:cs="Arial" w:eastAsia="Arial" w:hAnsi="Arial"/>
          <w:sz w:val="12"/>
          <w:szCs w:val="12"/>
          <w:u w:val="single" w:color="auto"/>
          <w:color w:val="auto"/>
        </w:rPr>
        <w:t>Proposed Development Plan Amendment</w:t>
      </w:r>
      <w:r>
        <w:rPr>
          <w:rFonts w:ascii="Arial" w:cs="Arial" w:eastAsia="Arial" w:hAnsi="Arial"/>
          <w:sz w:val="12"/>
          <w:szCs w:val="12"/>
          <w:color w:val="auto"/>
        </w:rPr>
        <w:t>”) for the JRDC’s review and approval by the JSC. Any Proposed Development Plan Amendment shall contain, at a minimum, information supporting the rationale for the Proposed Development Plan Amendment related to Licensed Products from a scientific, regulatory and commercial standpoint, as well as an estimated developmental critical path, and an estimate of the cost of such Development. The JRDC shall consider any submitted Proposed Development Plan Amendment during its next scheduled meeting. Once approved by the JSC (or otherwise resolved pursuant to Section 2.9), each amended Global Development Plan (including the Development Budget contained therein) shall become effective and supersede the previous Global Development Plan and Development Budget as of the date of such approval or at such other time as decided by the JSC.</w:t>
      </w:r>
    </w:p>
    <w:p>
      <w:pPr>
        <w:spacing w:after="0" w:line="86" w:lineRule="exact"/>
        <w:rPr>
          <w:rFonts w:ascii="Arial" w:cs="Arial" w:eastAsia="Arial" w:hAnsi="Arial"/>
          <w:sz w:val="12"/>
          <w:szCs w:val="12"/>
          <w:color w:val="auto"/>
        </w:rPr>
      </w:pPr>
    </w:p>
    <w:p>
      <w:pPr>
        <w:ind w:right="100" w:firstLine="920"/>
        <w:spacing w:after="0" w:line="258" w:lineRule="auto"/>
        <w:tabs>
          <w:tab w:leader="none" w:pos="1109" w:val="left"/>
        </w:tabs>
        <w:numPr>
          <w:ilvl w:val="0"/>
          <w:numId w:val="851"/>
        </w:numPr>
        <w:rPr>
          <w:rFonts w:ascii="Arial" w:cs="Arial" w:eastAsia="Arial" w:hAnsi="Arial"/>
          <w:sz w:val="14"/>
          <w:szCs w:val="14"/>
          <w:color w:val="auto"/>
        </w:rPr>
      </w:pPr>
      <w:r>
        <w:rPr>
          <w:rFonts w:ascii="Arial" w:cs="Arial" w:eastAsia="Arial" w:hAnsi="Arial"/>
          <w:sz w:val="14"/>
          <w:szCs w:val="14"/>
          <w:u w:val="single" w:color="auto"/>
          <w:color w:val="auto"/>
        </w:rPr>
        <w:t>New Development Collaboration Proposals</w:t>
      </w:r>
      <w:r>
        <w:rPr>
          <w:rFonts w:ascii="Arial" w:cs="Arial" w:eastAsia="Arial" w:hAnsi="Arial"/>
          <w:sz w:val="14"/>
          <w:szCs w:val="14"/>
          <w:color w:val="auto"/>
        </w:rPr>
        <w:t xml:space="preserve">. If either Party proposes to conduct new Development activities in connection with the Development of a Licensed Product not included in the then approved Global Development Plan of the Licensed Program for such Licensed Product, including any proposal to collaborate to </w:t>
      </w:r>
      <w:r>
        <w:rPr>
          <w:rFonts w:ascii="Arial" w:cs="Arial" w:eastAsia="Arial" w:hAnsi="Arial"/>
          <w:sz w:val="14"/>
          <w:szCs w:val="14"/>
          <w:b w:val="1"/>
          <w:bCs w:val="1"/>
          <w:color w:val="auto"/>
        </w:rPr>
        <w:t>***</w:t>
      </w:r>
      <w:r>
        <w:rPr>
          <w:rFonts w:ascii="Arial" w:cs="Arial" w:eastAsia="Arial" w:hAnsi="Arial"/>
          <w:sz w:val="14"/>
          <w:szCs w:val="14"/>
          <w:color w:val="auto"/>
        </w:rPr>
        <w:t xml:space="preserve"> (such proposal, a “</w:t>
      </w:r>
      <w:r>
        <w:rPr>
          <w:rFonts w:ascii="Arial" w:cs="Arial" w:eastAsia="Arial" w:hAnsi="Arial"/>
          <w:sz w:val="14"/>
          <w:szCs w:val="14"/>
          <w:u w:val="single" w:color="auto"/>
          <w:color w:val="auto"/>
        </w:rPr>
        <w:t>Development Collaboration Proposal</w:t>
      </w:r>
      <w:r>
        <w:rPr>
          <w:rFonts w:ascii="Arial" w:cs="Arial" w:eastAsia="Arial" w:hAnsi="Arial"/>
          <w:sz w:val="14"/>
          <w:szCs w:val="14"/>
          <w:color w:val="auto"/>
        </w:rPr>
        <w:t>”), such Party shall submit the Development Collaboration Proposal to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5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38" w:name="page739"/>
    <w:bookmarkEnd w:id="738"/>
    <w:p>
      <w:pPr>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other Party through the JRDC. Every Development Collaboration Proposal shall include a proposal to collaborate with the other Party for such Development activities so that, subject to the terms of this Agreement, with respect to the Development activities underlying the Development Collaboration Proposal, Servier shall be able to Develop Licensed Products for Commercialization in the Field in the Servier Territory and MacroGenics shall be able to Develop Licensed Products for Commercialization in the Field in the MacroGenics Territory.</w:t>
      </w:r>
    </w:p>
    <w:p>
      <w:pPr>
        <w:spacing w:after="0" w:line="108" w:lineRule="exact"/>
        <w:rPr>
          <w:sz w:val="20"/>
          <w:szCs w:val="20"/>
          <w:color w:val="auto"/>
        </w:rPr>
      </w:pPr>
    </w:p>
    <w:p>
      <w:pPr>
        <w:ind w:right="20" w:firstLine="1493"/>
        <w:spacing w:after="0" w:line="255" w:lineRule="auto"/>
        <w:tabs>
          <w:tab w:leader="none" w:pos="1652" w:val="left"/>
        </w:tabs>
        <w:numPr>
          <w:ilvl w:val="0"/>
          <w:numId w:val="853"/>
        </w:numPr>
        <w:rPr>
          <w:rFonts w:ascii="Arial" w:cs="Arial" w:eastAsia="Arial" w:hAnsi="Arial"/>
          <w:sz w:val="14"/>
          <w:szCs w:val="14"/>
          <w:color w:val="auto"/>
        </w:rPr>
      </w:pPr>
      <w:r>
        <w:rPr>
          <w:rFonts w:ascii="Arial" w:cs="Arial" w:eastAsia="Arial" w:hAnsi="Arial"/>
          <w:sz w:val="14"/>
          <w:szCs w:val="14"/>
          <w:color w:val="auto"/>
        </w:rPr>
        <w:t>In the event the other Party approves a Development Collaboration Proposal and the Parties agree to collaborate to conduct the Development activities underlying the Development Collaboration Proposal with respect to Licensed Products, (A) the Global Development Plan shall be amended to include such Development Collaboration Proposal and (B) each Party shall use Commercially Reasonable Efforts to perform the activities allocated to it under the approved Development Collaboration Proposal, and the Parties shall share in the payment of Development Costs incurred in connection with such activities in accordance with Section 5.5.1(a).</w:t>
      </w:r>
    </w:p>
    <w:p>
      <w:pPr>
        <w:spacing w:after="0" w:line="109" w:lineRule="exact"/>
        <w:rPr>
          <w:rFonts w:ascii="Arial" w:cs="Arial" w:eastAsia="Arial" w:hAnsi="Arial"/>
          <w:sz w:val="14"/>
          <w:szCs w:val="14"/>
          <w:color w:val="auto"/>
        </w:rPr>
      </w:pPr>
    </w:p>
    <w:p>
      <w:pPr>
        <w:ind w:firstLine="1493"/>
        <w:spacing w:after="0" w:line="305" w:lineRule="auto"/>
        <w:tabs>
          <w:tab w:leader="none" w:pos="1690" w:val="left"/>
        </w:tabs>
        <w:numPr>
          <w:ilvl w:val="0"/>
          <w:numId w:val="853"/>
        </w:numPr>
        <w:rPr>
          <w:rFonts w:ascii="Arial" w:cs="Arial" w:eastAsia="Arial" w:hAnsi="Arial"/>
          <w:sz w:val="12"/>
          <w:szCs w:val="12"/>
          <w:color w:val="auto"/>
        </w:rPr>
      </w:pPr>
      <w:r>
        <w:rPr>
          <w:rFonts w:ascii="Arial" w:cs="Arial" w:eastAsia="Arial" w:hAnsi="Arial"/>
          <w:sz w:val="12"/>
          <w:szCs w:val="12"/>
          <w:color w:val="auto"/>
        </w:rPr>
        <w:t>In the event the other Party declines to participate in and share the funding of such activity (the “</w:t>
      </w:r>
      <w:r>
        <w:rPr>
          <w:rFonts w:ascii="Arial" w:cs="Arial" w:eastAsia="Arial" w:hAnsi="Arial"/>
          <w:sz w:val="12"/>
          <w:szCs w:val="12"/>
          <w:u w:val="single" w:color="auto"/>
          <w:color w:val="auto"/>
        </w:rPr>
        <w:t>Buy-In Party</w:t>
      </w:r>
      <w:r>
        <w:rPr>
          <w:rFonts w:ascii="Arial" w:cs="Arial" w:eastAsia="Arial" w:hAnsi="Arial"/>
          <w:sz w:val="12"/>
          <w:szCs w:val="12"/>
          <w:color w:val="auto"/>
        </w:rPr>
        <w:t>”), the submitting Party may proceed with the activities described in such Development Collaboration Proposal at its sole expense unless the other Party reasonably objects to the conduct of such activity as reasonably likely to result in a safety or public health issue that will have a material adverse effect in the Development or Commercialization of Program DARTs and Licensed Product in its territory. Any disputes regarding whether an activity is reasonably likely to result in a safety or public health issue that will have a material adverse impact on the Development and/or Commercialization of Program DARTs and Licensed Products in a Party’s territory shall be referred to the JRDC for a determination and resolved in accordance with Section 2.9; provided that neither Party shall have the right to exercise its final decision making authority pursuant to Section 2.9.3 with respect to such issue.</w:t>
      </w:r>
    </w:p>
    <w:p>
      <w:pPr>
        <w:spacing w:after="0" w:line="84" w:lineRule="exact"/>
        <w:rPr>
          <w:rFonts w:ascii="Arial" w:cs="Arial" w:eastAsia="Arial" w:hAnsi="Arial"/>
          <w:sz w:val="12"/>
          <w:szCs w:val="12"/>
          <w:color w:val="auto"/>
        </w:rPr>
      </w:pPr>
    </w:p>
    <w:p>
      <w:pPr>
        <w:jc w:val="both"/>
        <w:ind w:right="40" w:firstLine="1493"/>
        <w:spacing w:after="0" w:line="258" w:lineRule="auto"/>
        <w:tabs>
          <w:tab w:leader="none" w:pos="1728" w:val="left"/>
        </w:tabs>
        <w:numPr>
          <w:ilvl w:val="0"/>
          <w:numId w:val="853"/>
        </w:numPr>
        <w:rPr>
          <w:rFonts w:ascii="Arial" w:cs="Arial" w:eastAsia="Arial" w:hAnsi="Arial"/>
          <w:sz w:val="14"/>
          <w:szCs w:val="14"/>
          <w:color w:val="auto"/>
        </w:rPr>
      </w:pPr>
      <w:r>
        <w:rPr>
          <w:rFonts w:ascii="Arial" w:cs="Arial" w:eastAsia="Arial" w:hAnsi="Arial"/>
          <w:sz w:val="14"/>
          <w:szCs w:val="14"/>
          <w:color w:val="auto"/>
        </w:rPr>
        <w:t>Once during each Calendar Quarter following the commencement of, and until the completion of, the activities described in the Development Collaboration Proposal, the Buy-In Party may request that the Party conducting such Development activity provide a summary of the current status of such Development activity, the Development Costs incurred to date, any significant milestones achieved and any topline initial results of such Development activity.</w:t>
      </w:r>
    </w:p>
    <w:p>
      <w:pPr>
        <w:spacing w:after="0" w:line="107" w:lineRule="exact"/>
        <w:rPr>
          <w:rFonts w:ascii="Arial" w:cs="Arial" w:eastAsia="Arial" w:hAnsi="Arial"/>
          <w:sz w:val="14"/>
          <w:szCs w:val="14"/>
          <w:color w:val="auto"/>
        </w:rPr>
      </w:pPr>
    </w:p>
    <w:p>
      <w:pPr>
        <w:ind w:right="20" w:firstLine="1493"/>
        <w:spacing w:after="0" w:line="311" w:lineRule="auto"/>
        <w:tabs>
          <w:tab w:leader="none" w:pos="1720" w:val="left"/>
        </w:tabs>
        <w:numPr>
          <w:ilvl w:val="0"/>
          <w:numId w:val="853"/>
        </w:numPr>
        <w:rPr>
          <w:rFonts w:ascii="Arial" w:cs="Arial" w:eastAsia="Arial" w:hAnsi="Arial"/>
          <w:sz w:val="12"/>
          <w:szCs w:val="12"/>
          <w:color w:val="auto"/>
        </w:rPr>
      </w:pPr>
      <w:r>
        <w:rPr>
          <w:rFonts w:ascii="Arial" w:cs="Arial" w:eastAsia="Arial" w:hAnsi="Arial"/>
          <w:sz w:val="12"/>
          <w:szCs w:val="12"/>
          <w:color w:val="auto"/>
        </w:rPr>
        <w:t xml:space="preserve">The Buy-In Party may obtain access to and use of the Excluded Data in accordance with the procedure described in this paragraph; provided that the Buy-In Party shall be provided access to Safety Data, at no cost, in accordance with the SDEA Agreement. At any time following the commencement of the activities described in the Development Collaboration Proposal, the Buy-In Party shall provide the other Party with written notice of its election to buy-in to such Development, and promptly thereafter the other Party shall provide the Buy-In Party with an invoice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cumulative Development Costs as well as the costs of clinical supply of the Program DART and/or Licensed Product used in connection with such</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5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39" w:name="page740"/>
    <w:bookmarkEnd w:id="739"/>
    <w:p>
      <w:pPr>
        <w:spacing w:after="0" w:line="32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Development incurred by a Party in the generation of such data as of the date of the Buy-In Party’s written request (the “</w:t>
      </w:r>
      <w:r>
        <w:rPr>
          <w:rFonts w:ascii="Arial" w:cs="Arial" w:eastAsia="Arial" w:hAnsi="Arial"/>
          <w:sz w:val="12"/>
          <w:szCs w:val="12"/>
          <w:u w:val="single" w:color="auto"/>
          <w:color w:val="auto"/>
        </w:rPr>
        <w:t>Buy-in Amount</w:t>
      </w:r>
      <w:r>
        <w:rPr>
          <w:rFonts w:ascii="Arial" w:cs="Arial" w:eastAsia="Arial" w:hAnsi="Arial"/>
          <w:sz w:val="12"/>
          <w:szCs w:val="12"/>
          <w:color w:val="auto"/>
        </w:rPr>
        <w:t xml:space="preserve">”), which invoice the Buy-In Party shall pay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Each Party shall thereafter share, in accordance with the allocation of costs set forth in Section 5.5.1(a), in the Development Costs incurred after the date of the Buy-In Party’s written request in connection with such Development activities under such Development Collaboration Proposal and Global Development Plan shall be amended to include such Development activities.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5.4.3 </w:t>
      </w:r>
      <w:r>
        <w:rPr>
          <w:rFonts w:ascii="Arial" w:cs="Arial" w:eastAsia="Arial" w:hAnsi="Arial"/>
          <w:sz w:val="14"/>
          <w:szCs w:val="14"/>
          <w:u w:val="single" w:color="auto"/>
          <w:color w:val="auto"/>
        </w:rPr>
        <w:t>Unilateral Development Costs and Manufacturing Process Development Costs.</w:t>
      </w:r>
    </w:p>
    <w:p>
      <w:pPr>
        <w:spacing w:after="0" w:line="132" w:lineRule="exact"/>
        <w:rPr>
          <w:sz w:val="20"/>
          <w:szCs w:val="20"/>
          <w:color w:val="auto"/>
        </w:rPr>
      </w:pPr>
    </w:p>
    <w:p>
      <w:pPr>
        <w:ind w:right="140" w:firstLine="920"/>
        <w:spacing w:after="0" w:line="298" w:lineRule="auto"/>
        <w:tabs>
          <w:tab w:leader="none" w:pos="1101" w:val="left"/>
        </w:tabs>
        <w:numPr>
          <w:ilvl w:val="0"/>
          <w:numId w:val="855"/>
        </w:numPr>
        <w:rPr>
          <w:rFonts w:ascii="Arial" w:cs="Arial" w:eastAsia="Arial" w:hAnsi="Arial"/>
          <w:sz w:val="12"/>
          <w:szCs w:val="12"/>
          <w:color w:val="auto"/>
        </w:rPr>
      </w:pPr>
      <w:r>
        <w:rPr>
          <w:rFonts w:ascii="Arial" w:cs="Arial" w:eastAsia="Arial" w:hAnsi="Arial"/>
          <w:sz w:val="12"/>
          <w:szCs w:val="12"/>
          <w:u w:val="single" w:color="auto"/>
          <w:color w:val="auto"/>
        </w:rPr>
        <w:t>Servier Territory Exclusive Development Activities</w:t>
      </w:r>
      <w:r>
        <w:rPr>
          <w:rFonts w:ascii="Arial" w:cs="Arial" w:eastAsia="Arial" w:hAnsi="Arial"/>
          <w:sz w:val="12"/>
          <w:szCs w:val="12"/>
          <w:color w:val="auto"/>
        </w:rPr>
        <w:t xml:space="preserve">. Except as provided in Section 5.5 and for Development activities conducted by a Party at its own expense pursuant to Section 5.4.2(b) (ii), Servier shall be responsible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all Development Costs (whether incurred by Servier or MacroGenics (if the activities and their cost are agreed to in advance in writing by Servier) or their respective Affiliates) set forth in the applicable Development Budget with respect to any Development activities that are conducted for the primary purpose of obtaining or maintaining Regulatory Approval for Licensed Products in the Field in any country or other regulatory jurisdiction in the Servier Territory. On a Licensed Program-by-Licensed Program basis, Servier shall disclose to MacroGenics a summary of efficacy results and detailed safety information Controlled by Servier and generated in the course of such Development activities for each Licensed Program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completion of such activities, subject to the pharmacovigilence provision under Section 6.5. MacroGenics may obtain access to and use Servier’s data (other than Safety Data which shall in all cases be exchanged, at no cost, in accordance with the SDEA) obtained in such exclusive development activities if MacroGenics provides Servier with written notice of its election to buy-in such Development, and promptly thereafter Servier shall provide MacroGenics with an invoice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cumulative Development Costs as well as the costs </w:t>
      </w:r>
      <w:r>
        <w:rPr>
          <w:rFonts w:ascii="Arial" w:cs="Arial" w:eastAsia="Arial" w:hAnsi="Arial"/>
          <w:sz w:val="12"/>
          <w:szCs w:val="12"/>
          <w:b w:val="1"/>
          <w:bCs w:val="1"/>
          <w:color w:val="auto"/>
        </w:rPr>
        <w:t>***</w:t>
      </w:r>
      <w:r>
        <w:rPr>
          <w:rFonts w:ascii="Arial" w:cs="Arial" w:eastAsia="Arial" w:hAnsi="Arial"/>
          <w:sz w:val="12"/>
          <w:szCs w:val="12"/>
          <w:color w:val="auto"/>
        </w:rPr>
        <w:t xml:space="preserve"> in connection with such Development incurred by Servier in the generation of such data as of the date of MacroGenics written request, which invoice MacroGenics shall pay within *** after receipt.</w:t>
      </w:r>
    </w:p>
    <w:p>
      <w:pPr>
        <w:spacing w:after="0" w:line="87" w:lineRule="exact"/>
        <w:rPr>
          <w:rFonts w:ascii="Arial" w:cs="Arial" w:eastAsia="Arial" w:hAnsi="Arial"/>
          <w:sz w:val="12"/>
          <w:szCs w:val="12"/>
          <w:color w:val="auto"/>
        </w:rPr>
      </w:pPr>
    </w:p>
    <w:p>
      <w:pPr>
        <w:ind w:left="1120" w:hanging="200"/>
        <w:spacing w:after="0"/>
        <w:tabs>
          <w:tab w:leader="none" w:pos="1120" w:val="left"/>
        </w:tabs>
        <w:numPr>
          <w:ilvl w:val="0"/>
          <w:numId w:val="855"/>
        </w:numPr>
        <w:rPr>
          <w:rFonts w:ascii="Arial" w:cs="Arial" w:eastAsia="Arial" w:hAnsi="Arial"/>
          <w:sz w:val="12"/>
          <w:szCs w:val="12"/>
          <w:color w:val="auto"/>
        </w:rPr>
      </w:pPr>
      <w:r>
        <w:rPr>
          <w:rFonts w:ascii="Arial" w:cs="Arial" w:eastAsia="Arial" w:hAnsi="Arial"/>
          <w:sz w:val="12"/>
          <w:szCs w:val="12"/>
          <w:u w:val="single" w:color="auto"/>
          <w:color w:val="auto"/>
        </w:rPr>
        <w:t>MacroGenics Territory Exclusive Development Activities</w:t>
      </w:r>
      <w:r>
        <w:rPr>
          <w:rFonts w:ascii="Arial" w:cs="Arial" w:eastAsia="Arial" w:hAnsi="Arial"/>
          <w:sz w:val="12"/>
          <w:szCs w:val="12"/>
          <w:color w:val="auto"/>
        </w:rPr>
        <w:t>. Except as provided in Section 5.5 and for Development activities conducted by a Party at its own expense pursuant to</w:t>
      </w:r>
    </w:p>
    <w:p>
      <w:pPr>
        <w:spacing w:after="0" w:line="35"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color w:val="auto"/>
        </w:rPr>
        <w:t xml:space="preserve">Section 5.4.2(b)(ii), MacroGenics shall be responsible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all Development Costs (whether incurred by Servier (if the activities and their costs are agreed to in advance in writing by MacroGenics) or MacroGenics or their respective Affiliates) set forth in the applicable Development Budget with respect to any Development activities that are conducted for the primary purpose of obtaining or maintaining Regulatory Approval for Licensed Products in the Field in any country or other regulatory jurisdiction in the MacroGenics Territory. On a Licensed Program-by-Licensed Program basis, MacroGenics shall disclose to Servier a summary of efficacy results and detailed safety information Controlled by Servier and generated in the course of such Development activities for each Licensed Program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completion of such activities, subject to the pharmacovigilence provision under Section 6.5. Servier may obtain access to and use MacroGenics’ data (other than Safety Data which shall in all cases be exchanged, at no cost, in accordance with the SDEA) obtained in such exclusive Development activities if Servier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5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740" w:name="page741"/>
    <w:bookmarkEnd w:id="740"/>
    <w:p>
      <w:pPr>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provides MacroGenics with written notice of its election to buy-in such Development, and promptly thereafter MacroGenics shall provide Servier with an invoice for *** of the cumulative Development Costs as well as the costs *** in connection with such Development incurred by MacroGenics in the generation of such data as of the date of Servier written request, which invoice Servier shall pay within *** after receipt.</w:t>
      </w:r>
    </w:p>
    <w:p>
      <w:pPr>
        <w:spacing w:after="0" w:line="108" w:lineRule="exact"/>
        <w:rPr>
          <w:sz w:val="20"/>
          <w:szCs w:val="20"/>
          <w:color w:val="auto"/>
        </w:rPr>
      </w:pPr>
    </w:p>
    <w:p>
      <w:pPr>
        <w:ind w:right="180" w:firstLine="920"/>
        <w:spacing w:after="0" w:line="267" w:lineRule="auto"/>
        <w:tabs>
          <w:tab w:leader="none" w:pos="1101" w:val="left"/>
        </w:tabs>
        <w:numPr>
          <w:ilvl w:val="0"/>
          <w:numId w:val="857"/>
        </w:numPr>
        <w:rPr>
          <w:rFonts w:ascii="Arial" w:cs="Arial" w:eastAsia="Arial" w:hAnsi="Arial"/>
          <w:sz w:val="14"/>
          <w:szCs w:val="14"/>
          <w:color w:val="auto"/>
        </w:rPr>
      </w:pPr>
      <w:r>
        <w:rPr>
          <w:rFonts w:ascii="Arial" w:cs="Arial" w:eastAsia="Arial" w:hAnsi="Arial"/>
          <w:sz w:val="14"/>
          <w:szCs w:val="14"/>
          <w:u w:val="single" w:color="auto"/>
          <w:color w:val="auto"/>
        </w:rPr>
        <w:t>Servier Phase 2 Clinical Trial Funding</w:t>
      </w:r>
      <w:r>
        <w:rPr>
          <w:rFonts w:ascii="Arial" w:cs="Arial" w:eastAsia="Arial" w:hAnsi="Arial"/>
          <w:sz w:val="14"/>
          <w:szCs w:val="14"/>
          <w:color w:val="auto"/>
        </w:rPr>
        <w:t>. For each Global Development Plan, Servier shall reimburse MacroGenics for up to the first *** of Development Costs incurred by MacroGenics in conducting or participating in Phase 2 Clinical Trials for Licensed Products included in such Global Development Plan.</w:t>
      </w:r>
    </w:p>
    <w:p>
      <w:pPr>
        <w:spacing w:after="0" w:line="99" w:lineRule="exact"/>
        <w:rPr>
          <w:rFonts w:ascii="Arial" w:cs="Arial" w:eastAsia="Arial" w:hAnsi="Arial"/>
          <w:sz w:val="14"/>
          <w:szCs w:val="14"/>
          <w:color w:val="auto"/>
        </w:rPr>
      </w:pPr>
    </w:p>
    <w:p>
      <w:pPr>
        <w:ind w:right="420" w:firstLine="920"/>
        <w:spacing w:after="0" w:line="270" w:lineRule="auto"/>
        <w:tabs>
          <w:tab w:leader="none" w:pos="1109" w:val="left"/>
        </w:tabs>
        <w:numPr>
          <w:ilvl w:val="0"/>
          <w:numId w:val="857"/>
        </w:numPr>
        <w:rPr>
          <w:rFonts w:ascii="Arial" w:cs="Arial" w:eastAsia="Arial" w:hAnsi="Arial"/>
          <w:sz w:val="14"/>
          <w:szCs w:val="14"/>
          <w:color w:val="auto"/>
        </w:rPr>
      </w:pPr>
      <w:r>
        <w:rPr>
          <w:rFonts w:ascii="Arial" w:cs="Arial" w:eastAsia="Arial" w:hAnsi="Arial"/>
          <w:sz w:val="14"/>
          <w:szCs w:val="14"/>
          <w:u w:val="single" w:color="auto"/>
          <w:color w:val="auto"/>
        </w:rPr>
        <w:t>Manufacturing Process Development Costs</w:t>
      </w:r>
      <w:r>
        <w:rPr>
          <w:rFonts w:ascii="Arial" w:cs="Arial" w:eastAsia="Arial" w:hAnsi="Arial"/>
          <w:sz w:val="14"/>
          <w:szCs w:val="14"/>
          <w:color w:val="auto"/>
        </w:rPr>
        <w:t xml:space="preserve">. Servier and MacroGenics shall each be responsible for </w:t>
      </w:r>
      <w:r>
        <w:rPr>
          <w:rFonts w:ascii="Arial" w:cs="Arial" w:eastAsia="Arial" w:hAnsi="Arial"/>
          <w:sz w:val="14"/>
          <w:szCs w:val="14"/>
          <w:b w:val="1"/>
          <w:bCs w:val="1"/>
          <w:color w:val="auto"/>
        </w:rPr>
        <w:t>***</w:t>
      </w:r>
      <w:r>
        <w:rPr>
          <w:rFonts w:ascii="Arial" w:cs="Arial" w:eastAsia="Arial" w:hAnsi="Arial"/>
          <w:sz w:val="14"/>
          <w:szCs w:val="14"/>
          <w:color w:val="auto"/>
        </w:rPr>
        <w:t xml:space="preserve"> of each Manufacturing Process Development Cost provided the activity which resulted in such cost was conducted under a Global Development Plan.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Development Activities.</w:t>
      </w:r>
    </w:p>
    <w:p>
      <w:pPr>
        <w:spacing w:after="0" w:line="132"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5.5.1 Except for Development activities conducted by a Party at its own expense pursuant to Section 5.4.2(b)(ii), with respect to any Development activities conducted for the primary purpose of obtaining or maintaining Regulatory Approval for Licensed Products both in the Servier Territory and in the MacroGenics Territory (including Development activities with respect to which a Party has paid the Buy-in Amount in accordance with Section 5.4.2(b)(iv)) pursuant to the Development Plan:</w:t>
      </w:r>
    </w:p>
    <w:p>
      <w:pPr>
        <w:spacing w:after="0" w:line="106" w:lineRule="exact"/>
        <w:rPr>
          <w:sz w:val="20"/>
          <w:szCs w:val="20"/>
          <w:color w:val="auto"/>
        </w:rPr>
      </w:pPr>
    </w:p>
    <w:p>
      <w:pPr>
        <w:ind w:right="160" w:firstLine="920"/>
        <w:spacing w:after="0" w:line="256" w:lineRule="auto"/>
        <w:tabs>
          <w:tab w:leader="none" w:pos="1101" w:val="left"/>
        </w:tabs>
        <w:numPr>
          <w:ilvl w:val="0"/>
          <w:numId w:val="858"/>
        </w:numPr>
        <w:rPr>
          <w:rFonts w:ascii="Arial" w:cs="Arial" w:eastAsia="Arial" w:hAnsi="Arial"/>
          <w:sz w:val="14"/>
          <w:szCs w:val="14"/>
          <w:color w:val="auto"/>
        </w:rPr>
      </w:pPr>
      <w:r>
        <w:rPr>
          <w:rFonts w:ascii="Arial" w:cs="Arial" w:eastAsia="Arial" w:hAnsi="Arial"/>
          <w:sz w:val="14"/>
          <w:szCs w:val="14"/>
          <w:color w:val="auto"/>
        </w:rPr>
        <w:t xml:space="preserve">subject to Section 5.5.2, Servier shall be responsible for </w:t>
      </w:r>
      <w:r>
        <w:rPr>
          <w:rFonts w:ascii="Arial" w:cs="Arial" w:eastAsia="Arial" w:hAnsi="Arial"/>
          <w:sz w:val="14"/>
          <w:szCs w:val="14"/>
          <w:b w:val="1"/>
          <w:bCs w:val="1"/>
          <w:color w:val="auto"/>
        </w:rPr>
        <w:t>***</w:t>
      </w:r>
      <w:r>
        <w:rPr>
          <w:rFonts w:ascii="Arial" w:cs="Arial" w:eastAsia="Arial" w:hAnsi="Arial"/>
          <w:sz w:val="14"/>
          <w:szCs w:val="14"/>
          <w:color w:val="auto"/>
        </w:rPr>
        <w:t xml:space="preserve"> and MacroGenics shall be responsible for </w:t>
      </w:r>
      <w:r>
        <w:rPr>
          <w:rFonts w:ascii="Arial" w:cs="Arial" w:eastAsia="Arial" w:hAnsi="Arial"/>
          <w:sz w:val="14"/>
          <w:szCs w:val="14"/>
          <w:b w:val="1"/>
          <w:bCs w:val="1"/>
          <w:color w:val="auto"/>
        </w:rPr>
        <w:t>***</w:t>
      </w:r>
      <w:r>
        <w:rPr>
          <w:rFonts w:ascii="Arial" w:cs="Arial" w:eastAsia="Arial" w:hAnsi="Arial"/>
          <w:sz w:val="14"/>
          <w:szCs w:val="14"/>
          <w:color w:val="auto"/>
        </w:rPr>
        <w:t xml:space="preserve"> of all Development Costs as well as the costs of clinical supply of the Program DART and/or Licensed Product used in connection with such Development (in each case, whether incurred by Servier or MacroGenics or their respective Affiliates). For purposes of clarity, MacroGenics may seek reimbursement from Servier under Section 5.4.3(c) to apply to Development Costs for which MacroGenics is responsible under this Section 5.5.1(a) to the extent such Development Costs are for Phase 2 Clinical Trials;</w:t>
      </w:r>
    </w:p>
    <w:p>
      <w:pPr>
        <w:spacing w:after="0" w:line="109" w:lineRule="exact"/>
        <w:rPr>
          <w:rFonts w:ascii="Arial" w:cs="Arial" w:eastAsia="Arial" w:hAnsi="Arial"/>
          <w:sz w:val="14"/>
          <w:szCs w:val="14"/>
          <w:color w:val="auto"/>
        </w:rPr>
      </w:pPr>
    </w:p>
    <w:p>
      <w:pPr>
        <w:ind w:right="40" w:firstLine="920"/>
        <w:spacing w:after="0" w:line="267" w:lineRule="auto"/>
        <w:tabs>
          <w:tab w:leader="none" w:pos="1109" w:val="left"/>
        </w:tabs>
        <w:numPr>
          <w:ilvl w:val="0"/>
          <w:numId w:val="858"/>
        </w:numPr>
        <w:rPr>
          <w:rFonts w:ascii="Arial" w:cs="Arial" w:eastAsia="Arial" w:hAnsi="Arial"/>
          <w:sz w:val="14"/>
          <w:szCs w:val="14"/>
          <w:color w:val="auto"/>
        </w:rPr>
      </w:pPr>
      <w:r>
        <w:rPr>
          <w:rFonts w:ascii="Arial" w:cs="Arial" w:eastAsia="Arial" w:hAnsi="Arial"/>
          <w:sz w:val="14"/>
          <w:szCs w:val="14"/>
          <w:color w:val="auto"/>
        </w:rPr>
        <w:t xml:space="preserve">On a Licensed Program by Licensed Program basis each Party shall disclose to the other Party all clinical data and related Regulatory Documentation Controlled by such Party and generated in the course of such Manufacturing process development activities and Development activities for each Licensed Program within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right="120" w:firstLine="920"/>
        <w:spacing w:after="0" w:line="258" w:lineRule="auto"/>
        <w:tabs>
          <w:tab w:leader="none" w:pos="1101" w:val="left"/>
        </w:tabs>
        <w:numPr>
          <w:ilvl w:val="0"/>
          <w:numId w:val="858"/>
        </w:numPr>
        <w:rPr>
          <w:rFonts w:ascii="Arial" w:cs="Arial" w:eastAsia="Arial" w:hAnsi="Arial"/>
          <w:sz w:val="14"/>
          <w:szCs w:val="14"/>
          <w:color w:val="auto"/>
        </w:rPr>
      </w:pPr>
      <w:r>
        <w:rPr>
          <w:rFonts w:ascii="Arial" w:cs="Arial" w:eastAsia="Arial" w:hAnsi="Arial"/>
          <w:sz w:val="14"/>
          <w:szCs w:val="14"/>
          <w:color w:val="auto"/>
        </w:rPr>
        <w:t>each Party shall have the right to use all clinical data and related Regulatory Documentation Controlled by either Party and generated in the course of such Manufacturing process development activities and Development activities in order to Develop, obtain Regulatory Approval for and Commercialize Licensed Products in the Field in such Party’s territory, in accordance with the terms of this Agreement; and</w:t>
      </w:r>
    </w:p>
    <w:p>
      <w:pPr>
        <w:spacing w:after="0" w:line="107" w:lineRule="exact"/>
        <w:rPr>
          <w:rFonts w:ascii="Arial" w:cs="Arial" w:eastAsia="Arial" w:hAnsi="Arial"/>
          <w:sz w:val="14"/>
          <w:szCs w:val="14"/>
          <w:color w:val="auto"/>
        </w:rPr>
      </w:pPr>
    </w:p>
    <w:p>
      <w:pPr>
        <w:ind w:right="340" w:firstLine="920"/>
        <w:spacing w:after="0" w:line="267" w:lineRule="auto"/>
        <w:tabs>
          <w:tab w:leader="none" w:pos="1109" w:val="left"/>
        </w:tabs>
        <w:numPr>
          <w:ilvl w:val="0"/>
          <w:numId w:val="858"/>
        </w:numPr>
        <w:rPr>
          <w:rFonts w:ascii="Arial" w:cs="Arial" w:eastAsia="Arial" w:hAnsi="Arial"/>
          <w:sz w:val="14"/>
          <w:szCs w:val="14"/>
          <w:color w:val="auto"/>
        </w:rPr>
      </w:pPr>
      <w:r>
        <w:rPr>
          <w:rFonts w:ascii="Arial" w:cs="Arial" w:eastAsia="Arial" w:hAnsi="Arial"/>
          <w:sz w:val="14"/>
          <w:szCs w:val="14"/>
          <w:color w:val="auto"/>
        </w:rPr>
        <w:t>each Party hereby grants to the other Party a Right of Reference or Use to any and all such Regulatory Documentation with respect to Licensed Products in the Field in the other Party’s territory, and agrees to sign, and cause its Affiliates to sign, any instruments reasonably requested by such other Party in order to effect such grant.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5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41" w:name="page742"/>
    <w:bookmarkEnd w:id="741"/>
    <w:p>
      <w:pPr>
        <w:ind w:left="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5.5.2 </w:t>
      </w:r>
      <w:r>
        <w:rPr>
          <w:rFonts w:ascii="Arial" w:cs="Arial" w:eastAsia="Arial" w:hAnsi="Arial"/>
          <w:sz w:val="14"/>
          <w:szCs w:val="14"/>
          <w:u w:val="single" w:color="auto"/>
          <w:color w:val="auto"/>
        </w:rPr>
        <w:t>Development Costs Budget and Timeline Overruns.</w:t>
      </w:r>
    </w:p>
    <w:p>
      <w:pPr>
        <w:spacing w:after="0" w:line="132" w:lineRule="exact"/>
        <w:rPr>
          <w:sz w:val="20"/>
          <w:szCs w:val="20"/>
          <w:color w:val="auto"/>
        </w:rPr>
      </w:pPr>
    </w:p>
    <w:p>
      <w:pPr>
        <w:ind w:left="-20" w:firstLine="920"/>
        <w:spacing w:after="0" w:line="296" w:lineRule="auto"/>
        <w:tabs>
          <w:tab w:leader="none" w:pos="1081" w:val="left"/>
        </w:tabs>
        <w:numPr>
          <w:ilvl w:val="0"/>
          <w:numId w:val="860"/>
        </w:numPr>
        <w:rPr>
          <w:rFonts w:ascii="Arial" w:cs="Arial" w:eastAsia="Arial" w:hAnsi="Arial"/>
          <w:sz w:val="12"/>
          <w:szCs w:val="12"/>
          <w:color w:val="auto"/>
        </w:rPr>
      </w:pPr>
      <w:r>
        <w:rPr>
          <w:rFonts w:ascii="Arial" w:cs="Arial" w:eastAsia="Arial" w:hAnsi="Arial"/>
          <w:sz w:val="12"/>
          <w:szCs w:val="12"/>
          <w:u w:val="single" w:color="auto"/>
          <w:color w:val="auto"/>
        </w:rPr>
        <w:t>Budget Overruns</w:t>
      </w:r>
      <w:r>
        <w:rPr>
          <w:rFonts w:ascii="Arial" w:cs="Arial" w:eastAsia="Arial" w:hAnsi="Arial"/>
          <w:sz w:val="12"/>
          <w:szCs w:val="12"/>
          <w:color w:val="auto"/>
        </w:rPr>
        <w:t>. With respect to any Development Costs which, pursuant to this Agreement and/or a Global Development Plan or an approved Development Collaboration Proposal, are meant to be allocated between the Parties (rather than one Party being solely responsible for such Development Costs), each Party shall promptly inform the other Party upon determining that it is likely to exceed the budget amounts set forth in the annual Development Budget for the activities such Party is responsible for under the applicable Global Development Plan. To the extent that a Party (or its Affiliates or Sublicensees) incurs Development Costs for the activities such Party is responsible for under a Global Development Plan for a particular Calendar Year which on an aggregate basis for that year exceed the Development Costs allocated for such activity in the initial Development Budget for that Global Development Plan that includes such activity (the “</w:t>
      </w:r>
      <w:r>
        <w:rPr>
          <w:rFonts w:ascii="Arial" w:cs="Arial" w:eastAsia="Arial" w:hAnsi="Arial"/>
          <w:sz w:val="12"/>
          <w:szCs w:val="12"/>
          <w:u w:val="single" w:color="auto"/>
          <w:color w:val="auto"/>
        </w:rPr>
        <w:t>Initial Development Budget</w:t>
      </w:r>
      <w:r>
        <w:rPr>
          <w:rFonts w:ascii="Arial" w:cs="Arial" w:eastAsia="Arial" w:hAnsi="Arial"/>
          <w:sz w:val="12"/>
          <w:szCs w:val="12"/>
          <w:color w:val="auto"/>
        </w:rPr>
        <w:t xml:space="preserve">”) by </w:t>
      </w:r>
      <w:r>
        <w:rPr>
          <w:rFonts w:ascii="Arial" w:cs="Arial" w:eastAsia="Arial" w:hAnsi="Arial"/>
          <w:sz w:val="12"/>
          <w:szCs w:val="12"/>
          <w:b w:val="1"/>
          <w:bCs w:val="1"/>
          <w:color w:val="auto"/>
        </w:rPr>
        <w:t>***</w:t>
      </w:r>
      <w:r>
        <w:rPr>
          <w:rFonts w:ascii="Arial" w:cs="Arial" w:eastAsia="Arial" w:hAnsi="Arial"/>
          <w:sz w:val="12"/>
          <w:szCs w:val="12"/>
          <w:color w:val="auto"/>
        </w:rPr>
        <w:t xml:space="preserve"> or less (a “</w:t>
      </w:r>
      <w:r>
        <w:rPr>
          <w:rFonts w:ascii="Arial" w:cs="Arial" w:eastAsia="Arial" w:hAnsi="Arial"/>
          <w:sz w:val="12"/>
          <w:szCs w:val="12"/>
          <w:u w:val="single" w:color="auto"/>
          <w:color w:val="auto"/>
        </w:rPr>
        <w:t>De Minimis</w:t>
      </w:r>
      <w:r>
        <w:rPr>
          <w:rFonts w:ascii="Arial" w:cs="Arial" w:eastAsia="Arial" w:hAnsi="Arial"/>
          <w:sz w:val="12"/>
          <w:szCs w:val="12"/>
          <w:color w:val="auto"/>
        </w:rPr>
        <w:t xml:space="preserve"> </w:t>
      </w:r>
      <w:r>
        <w:rPr>
          <w:rFonts w:ascii="Arial" w:cs="Arial" w:eastAsia="Arial" w:hAnsi="Arial"/>
          <w:sz w:val="12"/>
          <w:szCs w:val="12"/>
          <w:u w:val="single" w:color="auto"/>
          <w:color w:val="auto"/>
        </w:rPr>
        <w:t>Overage Amount</w:t>
      </w:r>
      <w:r>
        <w:rPr>
          <w:rFonts w:ascii="Arial" w:cs="Arial" w:eastAsia="Arial" w:hAnsi="Arial"/>
          <w:sz w:val="12"/>
          <w:szCs w:val="12"/>
          <w:color w:val="auto"/>
        </w:rPr>
        <w:t xml:space="preserve">”), then such De Minimis Overage Amount shall automatically be included in such Development Budget for such year. However, to the extent that a Party (or its Affiliates or Sublicensees) incurs Development Costs for the activities such Party is responsible for under a Development Plan for a particular Calendar Year which on an aggregate basis for that year exceed the Development Costs allocated for such activity in the Initial Development Budget by more than </w:t>
      </w:r>
      <w:r>
        <w:rPr>
          <w:rFonts w:ascii="Arial" w:cs="Arial" w:eastAsia="Arial" w:hAnsi="Arial"/>
          <w:sz w:val="12"/>
          <w:szCs w:val="12"/>
          <w:b w:val="1"/>
          <w:bCs w:val="1"/>
          <w:color w:val="auto"/>
        </w:rPr>
        <w:t>***</w:t>
      </w:r>
      <w:r>
        <w:rPr>
          <w:rFonts w:ascii="Arial" w:cs="Arial" w:eastAsia="Arial" w:hAnsi="Arial"/>
          <w:sz w:val="12"/>
          <w:szCs w:val="12"/>
          <w:color w:val="auto"/>
        </w:rPr>
        <w:t>, the “</w:t>
      </w:r>
      <w:r>
        <w:rPr>
          <w:rFonts w:ascii="Arial" w:cs="Arial" w:eastAsia="Arial" w:hAnsi="Arial"/>
          <w:sz w:val="12"/>
          <w:szCs w:val="12"/>
          <w:u w:val="single" w:color="auto"/>
          <w:color w:val="auto"/>
        </w:rPr>
        <w:t>Excess Overage Amount</w:t>
      </w:r>
      <w:r>
        <w:rPr>
          <w:rFonts w:ascii="Arial" w:cs="Arial" w:eastAsia="Arial" w:hAnsi="Arial"/>
          <w:sz w:val="12"/>
          <w:szCs w:val="12"/>
          <w:color w:val="auto"/>
        </w:rPr>
        <w:t>”), the Party that has so exceeded its budget shall provide to the JRDC a full explanation for so exceeding its budget and such Excess Overage Amount shall only be included in such Development Budget to the extent that the JRDC agrees to allow some or all of the Excess Overage Amount to be included in such Development Budget as it considers equitable under the circumstances. To the extent that the JRDC does not agree to treat the Excess Overage Amount as Development Costs, the Party that has exceeded its budget shall be solely responsible for the Excess Overage Amount.</w:t>
      </w:r>
    </w:p>
    <w:p>
      <w:pPr>
        <w:spacing w:after="0" w:line="92" w:lineRule="exact"/>
        <w:rPr>
          <w:rFonts w:ascii="Arial" w:cs="Arial" w:eastAsia="Arial" w:hAnsi="Arial"/>
          <w:sz w:val="12"/>
          <w:szCs w:val="12"/>
          <w:color w:val="auto"/>
        </w:rPr>
      </w:pPr>
    </w:p>
    <w:p>
      <w:pPr>
        <w:jc w:val="both"/>
        <w:ind w:left="-20" w:right="40" w:firstLine="920"/>
        <w:spacing w:after="0" w:line="258" w:lineRule="auto"/>
        <w:tabs>
          <w:tab w:leader="none" w:pos="1089" w:val="left"/>
        </w:tabs>
        <w:numPr>
          <w:ilvl w:val="0"/>
          <w:numId w:val="860"/>
        </w:numPr>
        <w:rPr>
          <w:rFonts w:ascii="Arial" w:cs="Arial" w:eastAsia="Arial" w:hAnsi="Arial"/>
          <w:sz w:val="14"/>
          <w:szCs w:val="14"/>
          <w:color w:val="auto"/>
        </w:rPr>
      </w:pPr>
      <w:r>
        <w:rPr>
          <w:rFonts w:ascii="Arial" w:cs="Arial" w:eastAsia="Arial" w:hAnsi="Arial"/>
          <w:sz w:val="14"/>
          <w:szCs w:val="14"/>
          <w:u w:val="single" w:color="auto"/>
          <w:color w:val="auto"/>
        </w:rPr>
        <w:t>Timeline Overruns</w:t>
      </w:r>
      <w:r>
        <w:rPr>
          <w:rFonts w:ascii="Arial" w:cs="Arial" w:eastAsia="Arial" w:hAnsi="Arial"/>
          <w:sz w:val="14"/>
          <w:szCs w:val="14"/>
          <w:color w:val="auto"/>
        </w:rPr>
        <w:t xml:space="preserve">. Each Party shall promptly inform the other Party upon determining that it is likely to miss a Development date set forth in a Global Development Plan. To the extent that a Party (or its Affiliates) misses such a date by </w:t>
      </w:r>
      <w:r>
        <w:rPr>
          <w:rFonts w:ascii="Arial" w:cs="Arial" w:eastAsia="Arial" w:hAnsi="Arial"/>
          <w:sz w:val="14"/>
          <w:szCs w:val="14"/>
          <w:b w:val="1"/>
          <w:bCs w:val="1"/>
          <w:color w:val="auto"/>
        </w:rPr>
        <w:t>***</w:t>
      </w:r>
      <w:r>
        <w:rPr>
          <w:rFonts w:ascii="Arial" w:cs="Arial" w:eastAsia="Arial" w:hAnsi="Arial"/>
          <w:sz w:val="14"/>
          <w:szCs w:val="14"/>
          <w:color w:val="auto"/>
        </w:rPr>
        <w:t xml:space="preserve"> or more, the Party that has experienced such Development timeline failure shall provide to the JRDC a full explanation for such Development timeline failure. Such notification shall not serve to excuse a Party from its diligence or other obligations under this Agreement.</w:t>
      </w:r>
    </w:p>
    <w:p>
      <w:pPr>
        <w:spacing w:after="0" w:line="105" w:lineRule="exact"/>
        <w:rPr>
          <w:rFonts w:ascii="Arial" w:cs="Arial" w:eastAsia="Arial" w:hAnsi="Arial"/>
          <w:sz w:val="14"/>
          <w:szCs w:val="14"/>
          <w:color w:val="auto"/>
        </w:rPr>
      </w:pPr>
    </w:p>
    <w:p>
      <w:pPr>
        <w:ind w:left="-20" w:right="80" w:firstLine="920"/>
        <w:spacing w:after="0" w:line="312" w:lineRule="auto"/>
        <w:tabs>
          <w:tab w:leader="none" w:pos="1081" w:val="left"/>
        </w:tabs>
        <w:numPr>
          <w:ilvl w:val="0"/>
          <w:numId w:val="860"/>
        </w:numPr>
        <w:rPr>
          <w:rFonts w:ascii="Arial" w:cs="Arial" w:eastAsia="Arial" w:hAnsi="Arial"/>
          <w:sz w:val="12"/>
          <w:szCs w:val="12"/>
          <w:color w:val="auto"/>
        </w:rPr>
      </w:pPr>
      <w:r>
        <w:rPr>
          <w:rFonts w:ascii="Arial" w:cs="Arial" w:eastAsia="Arial" w:hAnsi="Arial"/>
          <w:sz w:val="12"/>
          <w:szCs w:val="12"/>
          <w:u w:val="single" w:color="auto"/>
          <w:color w:val="auto"/>
        </w:rPr>
        <w:t>Reconciliation</w:t>
      </w:r>
      <w:r>
        <w:rPr>
          <w:rFonts w:ascii="Arial" w:cs="Arial" w:eastAsia="Arial" w:hAnsi="Arial"/>
          <w:sz w:val="12"/>
          <w:szCs w:val="12"/>
          <w:color w:val="auto"/>
        </w:rPr>
        <w:t xml:space="preserv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end of each Calendar Quarter beginning with the License Grant Date, each Party shall prepare and deliver to the other Party on a Licensed Program by Licensed Program basis a quarterly report detailing its Development Costs and Manufacturing Process Development Costs incurred during such period, with each Party reporting on all Development Costs incurred with respect to Development Collaboration Proposals. Each Party shall submit any additional information reasonably requested by the other Party related to the Development Costs and Manufacturing Process Development Costs included in its report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of its receipt of such request.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receipt of the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12" w:lineRule="exact"/>
        <w:rPr>
          <w:sz w:val="20"/>
          <w:szCs w:val="20"/>
          <w:color w:val="auto"/>
        </w:rPr>
      </w:pPr>
    </w:p>
    <w:p>
      <w:pPr>
        <w:ind w:left="3820" w:right="2700" w:hanging="1135"/>
        <w:spacing w:after="0" w:line="341" w:lineRule="auto"/>
        <w:tabs>
          <w:tab w:leader="none" w:pos="2924" w:val="left"/>
        </w:tabs>
        <w:numPr>
          <w:ilvl w:val="0"/>
          <w:numId w:val="86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40" w:top="247" w:right="219" w:bottom="1440" w:gutter="0" w:footer="0" w:header="0"/>
        </w:sectPr>
      </w:pPr>
    </w:p>
    <w:bookmarkStart w:id="742" w:name="page743"/>
    <w:bookmarkEnd w:id="742"/>
    <w:p>
      <w:pPr>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316470" cy="33020"/>
                    </a:xfrm>
                    <a:prstGeom prst="rect">
                      <a:avLst/>
                    </a:prstGeom>
                    <a:noFill/>
                  </pic:spPr>
                </pic:pic>
              </a:graphicData>
            </a:graphic>
          </wp:anchor>
        </w:drawing>
        <w:t>report delivered by Servier pursuant to this Section 5.5.2(c), MacroGenics shall prepare and deliver to Servier a composite report that (i) summarizes the Development Costs and Manufacturing Process Development Costs incurred by each Party for such Calendar Quarter; (ii) applies the percentage of such costs for which each Party is responsible for the total Development Costs and Manufacturing Process Development Costs attributable to the Development and Manufacturing activities for such Calendar Quarter pursuant to Sections 5.4.3 and 5.5.1; and (iii) computes the amount due to MacroGenics or Servier, as applicable, for such Calendar Quarter in order for the Parties to share the total Development Costs and Manufacturing Process Development Costs for such quarter based on the Development Plan and the principles set forth in Sections 5.4.3 and 5.5.1 (each, a “</w:t>
      </w:r>
      <w:r>
        <w:rPr>
          <w:rFonts w:ascii="Arial" w:cs="Arial" w:eastAsia="Arial" w:hAnsi="Arial"/>
          <w:sz w:val="12"/>
          <w:szCs w:val="12"/>
          <w:u w:val="single" w:color="auto"/>
          <w:color w:val="auto"/>
        </w:rPr>
        <w:t>Reconciliation Payment</w:t>
      </w:r>
      <w:r>
        <w:rPr>
          <w:rFonts w:ascii="Arial" w:cs="Arial" w:eastAsia="Arial" w:hAnsi="Arial"/>
          <w:sz w:val="12"/>
          <w:szCs w:val="12"/>
          <w:color w:val="auto"/>
        </w:rPr>
        <w:t xml:space="preserve">”). The Party to whom a Reconciliation Payment is due shall issue an invoice to the other Party for the Reconciliation Payment, and such other Party shall pay all undisputed amounts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its receipt of the invoice. Each Party shall have the right to audit the records of the other Party with respect to any Development Costs and Manufacturing Process Development Costs included in such reports, in accordance with Section 9.10.</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Exchange of Data</w:t>
      </w:r>
      <w:r>
        <w:rPr>
          <w:rFonts w:ascii="Arial" w:cs="Arial" w:eastAsia="Arial" w:hAnsi="Arial"/>
          <w:sz w:val="14"/>
          <w:szCs w:val="14"/>
          <w:color w:val="auto"/>
        </w:rPr>
        <w:t>. During the License Term, the following shall apply:</w:t>
      </w:r>
    </w:p>
    <w:p>
      <w:pPr>
        <w:spacing w:after="0" w:line="132" w:lineRule="exact"/>
        <w:rPr>
          <w:sz w:val="20"/>
          <w:szCs w:val="20"/>
          <w:color w:val="auto"/>
        </w:rPr>
      </w:pPr>
    </w:p>
    <w:p>
      <w:pPr>
        <w:ind w:right="80" w:firstLine="917"/>
        <w:spacing w:after="0" w:line="255" w:lineRule="auto"/>
        <w:rPr>
          <w:sz w:val="20"/>
          <w:szCs w:val="20"/>
          <w:color w:val="auto"/>
        </w:rPr>
      </w:pPr>
      <w:r>
        <w:rPr>
          <w:rFonts w:ascii="Arial" w:cs="Arial" w:eastAsia="Arial" w:hAnsi="Arial"/>
          <w:sz w:val="14"/>
          <w:szCs w:val="14"/>
          <w:color w:val="auto"/>
        </w:rPr>
        <w:t xml:space="preserve">5.6.1 </w:t>
      </w:r>
      <w:r>
        <w:rPr>
          <w:rFonts w:ascii="Arial" w:cs="Arial" w:eastAsia="Arial" w:hAnsi="Arial"/>
          <w:sz w:val="14"/>
          <w:szCs w:val="14"/>
          <w:u w:val="single" w:color="auto"/>
          <w:color w:val="auto"/>
        </w:rPr>
        <w:t>Initial Exchange of Data</w:t>
      </w:r>
      <w:r>
        <w:rPr>
          <w:rFonts w:ascii="Arial" w:cs="Arial" w:eastAsia="Arial" w:hAnsi="Arial"/>
          <w:sz w:val="14"/>
          <w:szCs w:val="14"/>
          <w:color w:val="auto"/>
        </w:rPr>
        <w:t>. Promptly after each License Grant Date, MacroGenics shall transfer to Servier the MacroGenics Know-How related to Program DARTs and Licensed Products (other than the MacroGenics Know-How related directly and solely to Manufacturing) that was licensed to Servier on such License Grant Date. Such transfer shall occur in a manner and following a reasonable schedule to be established by the JSC. MacroGenics shall provide Servier with copies of relevant material, information, reports and data, including pre-clinical data, clinical data, and any data that has been provided to Regulatory Authorities for the purpose of obtaining Regulatory Approval.</w:t>
      </w:r>
    </w:p>
    <w:p>
      <w:pPr>
        <w:spacing w:after="0" w:line="110" w:lineRule="exact"/>
        <w:rPr>
          <w:sz w:val="20"/>
          <w:szCs w:val="20"/>
          <w:color w:val="auto"/>
        </w:rPr>
      </w:pPr>
    </w:p>
    <w:p>
      <w:pPr>
        <w:ind w:right="20" w:firstLine="917"/>
        <w:spacing w:after="0" w:line="299" w:lineRule="auto"/>
        <w:rPr>
          <w:sz w:val="20"/>
          <w:szCs w:val="20"/>
          <w:color w:val="auto"/>
        </w:rPr>
      </w:pPr>
      <w:r>
        <w:rPr>
          <w:rFonts w:ascii="Arial" w:cs="Arial" w:eastAsia="Arial" w:hAnsi="Arial"/>
          <w:sz w:val="12"/>
          <w:szCs w:val="12"/>
          <w:color w:val="auto"/>
        </w:rPr>
        <w:t xml:space="preserve">5.6.2 </w:t>
      </w:r>
      <w:r>
        <w:rPr>
          <w:rFonts w:ascii="Arial" w:cs="Arial" w:eastAsia="Arial" w:hAnsi="Arial"/>
          <w:sz w:val="12"/>
          <w:szCs w:val="12"/>
          <w:u w:val="single" w:color="auto"/>
          <w:color w:val="auto"/>
        </w:rPr>
        <w:t>Ongoing Exchange of Data</w:t>
      </w:r>
      <w:r>
        <w:rPr>
          <w:rFonts w:ascii="Arial" w:cs="Arial" w:eastAsia="Arial" w:hAnsi="Arial"/>
          <w:sz w:val="12"/>
          <w:szCs w:val="12"/>
          <w:color w:val="auto"/>
        </w:rPr>
        <w:t>. During each License Term, except as provided in Section 5.4.2(b)(iv) with respect to Excluded Data, each Party shall provide to the other Party (a) all Know-How Controlled by such Party that is specified in the applicable Global Development Plan to the extent necessary or useful for the Development or Commercialization of Program DARTs or Licensed Products under such Global Development Plan in the other Party’s territory, and (b) any Know-How Controlled by such Party that is not specified in such Global Development Plan that such Party reasonably believes to be necessary or useful for the Development or Commercialization of Program DARTs or Licensed Products that were licensed under the Licensed Program for such Global Development Plan in the other Party’s territory, in a timely fashion and as promptly as possible for use by such other Party in accordance with this Section 5.6.2. Servier shall only use and disclose to Third Parties such MacroGenics Know-How as may be necessary or useful for Development and Commercialization of Program DARTs and/or Licensed Products in the Servier Territory; or as may otherwise be agreed by MacroGenics and Servier. Servier may not use any MacroGenics Know-How (or permit any Third Party to use any MacroGenics Know-How) outside the Servier Territory, nor for any products other than the Licensed Products, except as may otherwise be agreed by MacroGenics and Servier (including as provided in Sections 4.1 and 4.2). MacroGenics shall not use any Servier Know-How (or permit</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43" w:name="page744"/>
    <w:bookmarkEnd w:id="74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any Third Party to use any Servier Know-How) outside the MacroGenics Territory, nor for any products other than the Licensed Products, except as may otherwise be agreed by MacroGenics and Servier.</w:t>
      </w:r>
    </w:p>
    <w:p>
      <w:pPr>
        <w:spacing w:after="0" w:line="155" w:lineRule="exact"/>
        <w:rPr>
          <w:sz w:val="20"/>
          <w:szCs w:val="20"/>
          <w:color w:val="auto"/>
        </w:rPr>
      </w:pPr>
    </w:p>
    <w:p>
      <w:pPr>
        <w:ind w:right="20" w:firstLine="917"/>
        <w:spacing w:after="0" w:line="252" w:lineRule="auto"/>
        <w:rPr>
          <w:sz w:val="20"/>
          <w:szCs w:val="20"/>
          <w:color w:val="auto"/>
        </w:rPr>
      </w:pPr>
      <w:r>
        <w:rPr>
          <w:rFonts w:ascii="Arial" w:cs="Arial" w:eastAsia="Arial" w:hAnsi="Arial"/>
          <w:sz w:val="14"/>
          <w:szCs w:val="14"/>
          <w:color w:val="auto"/>
        </w:rPr>
        <w:t xml:space="preserve">5.6.3 </w:t>
      </w:r>
      <w:r>
        <w:rPr>
          <w:rFonts w:ascii="Arial" w:cs="Arial" w:eastAsia="Arial" w:hAnsi="Arial"/>
          <w:sz w:val="14"/>
          <w:szCs w:val="14"/>
          <w:u w:val="single" w:color="auto"/>
          <w:color w:val="auto"/>
        </w:rPr>
        <w:t>Use</w:t>
      </w:r>
      <w:r>
        <w:rPr>
          <w:rFonts w:ascii="Arial" w:cs="Arial" w:eastAsia="Arial" w:hAnsi="Arial"/>
          <w:sz w:val="14"/>
          <w:szCs w:val="14"/>
          <w:color w:val="auto"/>
        </w:rPr>
        <w:t>. All preclinical, non-clinical, analytical, manufacturing, and clinical data and associated reports disclosed by one Party to the other under this Agreement may be used by the receiving Party subject to the terms of this Agreement solely for the purpose of Developing, Manufacturing and Commercializing Licensed Products in its respective territory. Each Party shall have the right to share any and all such data and other regulatory materials received from the other Party with its Affiliates and any Third Party sublicensees or licensees in its respective territory solely for the purpose of Developing, Manufacturing and Commercializing Licensed Products in its respective territory. Access to and use of such data and regulatory materials are given by each Party to the other Party without cost (except as otherwise provided herein) on an “as is” basis without any warranty of any kind. Each receiving Party accepts all risk and liability in relation to the use of the data and regulatory materials received from the other Party and shall indemnify and hold harmless the Party providing such data and regulatory materials from any Third Party’s claim(s) based upon such data and regulatory materials as provided in ARTICLE 13.</w:t>
      </w:r>
    </w:p>
    <w:p>
      <w:pPr>
        <w:spacing w:after="0" w:line="112"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 xml:space="preserve">5.6.4 </w:t>
      </w:r>
      <w:r>
        <w:rPr>
          <w:rFonts w:ascii="Arial" w:cs="Arial" w:eastAsia="Arial" w:hAnsi="Arial"/>
          <w:sz w:val="14"/>
          <w:szCs w:val="14"/>
          <w:u w:val="single" w:color="auto"/>
          <w:color w:val="auto"/>
        </w:rPr>
        <w:t>Reports</w:t>
      </w:r>
      <w:r>
        <w:rPr>
          <w:rFonts w:ascii="Arial" w:cs="Arial" w:eastAsia="Arial" w:hAnsi="Arial"/>
          <w:sz w:val="14"/>
          <w:szCs w:val="14"/>
          <w:color w:val="auto"/>
        </w:rPr>
        <w:t xml:space="preserve">. In addition to information and reports required elsewhere in this Agreement, each Party shall provide the other Party and the JRDC with a written annual report summarizing the major activities performed by it under each Global Development Plan during the previous year, conduct of non-clinical activities and clinical trials, information regarding the status of Regulatory Approvals. The other Party shall have the opportunity to reasonably seek further explanation or clarification of matters covered in such reports and to provide observations and suggestions to the disclosing Party regarding the subject matter thereof, and the disclosing Party shall provide such explanation or clarification and shall consider such observations and suggestions in good faith. Furthermore, if after receiving such a report the receiving Party wishes to meet with the disclosing Party to discuss such report, the disclosing Party shall meet with the receiving Party at a site reasonably requested by the receiving Party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disclosing Party’s requests such meeting.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REGULATORY MATTERS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6 shall apply during the License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Servier Regulatory Responsibility.</w:t>
      </w:r>
    </w:p>
    <w:p>
      <w:pPr>
        <w:spacing w:after="0" w:line="132" w:lineRule="exact"/>
        <w:rPr>
          <w:sz w:val="20"/>
          <w:szCs w:val="20"/>
          <w:color w:val="auto"/>
        </w:rPr>
      </w:pPr>
    </w:p>
    <w:p>
      <w:pPr>
        <w:ind w:right="40" w:firstLine="917"/>
        <w:spacing w:after="0" w:line="255" w:lineRule="auto"/>
        <w:rPr>
          <w:sz w:val="20"/>
          <w:szCs w:val="20"/>
          <w:color w:val="auto"/>
        </w:rPr>
      </w:pPr>
      <w:r>
        <w:rPr>
          <w:rFonts w:ascii="Arial" w:cs="Arial" w:eastAsia="Arial" w:hAnsi="Arial"/>
          <w:sz w:val="14"/>
          <w:szCs w:val="14"/>
          <w:color w:val="auto"/>
        </w:rPr>
        <w:t>6.1.1 During the License Term, Servier shall own and be responsible for preparing, filing and maintaining all Regulatory Documentation and Regulatory Approvals that are required for the Development (unless otherwise agreed by the JRDC on the basis of Section 4.2), Manufacture or Commercialization of the Program DARTs or Licensed Products in the Field in the Servier Territory and Servier shall otherwise be responsible for and have sole authority as to all interactions with Regulatory Authorities in the Servier Territory. Servier shall comply with all applicable Laws in the Servier Territory, including local regulations and ICH guidelines.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6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44" w:name="page745"/>
    <w:bookmarkEnd w:id="744"/>
    <w:p>
      <w:pPr>
        <w:ind w:right="20" w:firstLine="917"/>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6.1.2 Servier hereby grants to MacroGenics a Right of Reference or Use to any Regulatory Documentation in the Servier Territory Controlled by Servier for use by MacroGenics in the MacroGenics Territory, and agrees to sign, and cause its Affiliates to sign, from time to time, promptly upon request, any instruments reasonably requested by MacroGenics in order to further effect such grant. Servier shall permit any relevant Regulatory Authority to inspect any such Regulatory Documentation. Servier shall also permit MacroGenics, upon reasonable notice, during regular business hours, to audit any such Regulatory Documentation; </w:t>
      </w:r>
      <w:r>
        <w:rPr>
          <w:rFonts w:ascii="Arial" w:cs="Arial" w:eastAsia="Arial" w:hAnsi="Arial"/>
          <w:sz w:val="14"/>
          <w:szCs w:val="14"/>
          <w:u w:val="single" w:color="auto"/>
          <w:color w:val="auto"/>
        </w:rPr>
        <w:t>provided that</w:t>
      </w:r>
      <w:r>
        <w:rPr>
          <w:rFonts w:ascii="Arial" w:cs="Arial" w:eastAsia="Arial" w:hAnsi="Arial"/>
          <w:sz w:val="14"/>
          <w:szCs w:val="14"/>
          <w:color w:val="auto"/>
        </w:rPr>
        <w:t>, MacroGenics shall limit such audits by MacroGenics to a moderate frequency reasonably necessary in order for MacroGenics to perform the Development and Commercialization of the Program DARTs and Licensed Product.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MacroGenics Regulatory Responsibility.</w:t>
      </w:r>
    </w:p>
    <w:p>
      <w:pPr>
        <w:spacing w:after="0" w:line="132" w:lineRule="exact"/>
        <w:rPr>
          <w:sz w:val="20"/>
          <w:szCs w:val="20"/>
          <w:color w:val="auto"/>
        </w:rPr>
      </w:pPr>
    </w:p>
    <w:p>
      <w:pPr>
        <w:ind w:right="220" w:firstLine="917"/>
        <w:spacing w:after="0" w:line="255" w:lineRule="auto"/>
        <w:rPr>
          <w:sz w:val="20"/>
          <w:szCs w:val="20"/>
          <w:color w:val="auto"/>
        </w:rPr>
      </w:pPr>
      <w:r>
        <w:rPr>
          <w:rFonts w:ascii="Arial" w:cs="Arial" w:eastAsia="Arial" w:hAnsi="Arial"/>
          <w:sz w:val="14"/>
          <w:szCs w:val="14"/>
          <w:color w:val="auto"/>
        </w:rPr>
        <w:t>6.2.1 MacroGenics shall own and be responsible for preparing, filing and maintaining all Regulatory Documentation and Regulatory Approvals that are required for the Development (unless otherwise agreed by the JRDC on the basis of Section 4.1), or Commercialization of Program DARTs or Licensed Products in the Field in the MacroGenics Territory and MacroGenics shall otherwise be responsible for and have sole authority as to all interactions with Regulatory Authorities in the MacroGenics Territory. MacroGenics shall comply with all applicable Laws in the MacroGenics Territory, including local regulations and ICH guidelines.</w:t>
      </w:r>
    </w:p>
    <w:p>
      <w:pPr>
        <w:spacing w:after="0" w:line="110" w:lineRule="exact"/>
        <w:rPr>
          <w:sz w:val="20"/>
          <w:szCs w:val="20"/>
          <w:color w:val="auto"/>
        </w:rPr>
      </w:pPr>
    </w:p>
    <w:p>
      <w:pPr>
        <w:ind w:right="20" w:firstLine="917"/>
        <w:spacing w:after="0" w:line="253" w:lineRule="auto"/>
        <w:rPr>
          <w:sz w:val="20"/>
          <w:szCs w:val="20"/>
          <w:color w:val="auto"/>
        </w:rPr>
      </w:pPr>
      <w:r>
        <w:rPr>
          <w:rFonts w:ascii="Arial" w:cs="Arial" w:eastAsia="Arial" w:hAnsi="Arial"/>
          <w:sz w:val="14"/>
          <w:szCs w:val="14"/>
          <w:color w:val="auto"/>
        </w:rPr>
        <w:t xml:space="preserve">6.2.2 MacroGenics hereby grants to Servier a Right of Reference or Use to any Regulatory Documentation in the MacroGenics Territory Controlled by MacroGenics for use by Servier in the Servier Territory, and agrees to sign, and cause its Affiliates to sign, from time to time, promptly upon request, any instruments reasonably requested by Servier in order to further effect such grant. MacroGenics shall permit any relevant Regulatory Authority to inspect any such Regulatory Documentation. MacroGenics shall also permit Servier, upon reasonable notice, during regular business hours, to audit any such Regulatory Documentation; </w:t>
      </w:r>
      <w:r>
        <w:rPr>
          <w:rFonts w:ascii="Arial" w:cs="Arial" w:eastAsia="Arial" w:hAnsi="Arial"/>
          <w:sz w:val="14"/>
          <w:szCs w:val="14"/>
          <w:u w:val="single" w:color="auto"/>
          <w:color w:val="auto"/>
        </w:rPr>
        <w:t>provided that</w:t>
      </w:r>
      <w:r>
        <w:rPr>
          <w:rFonts w:ascii="Arial" w:cs="Arial" w:eastAsia="Arial" w:hAnsi="Arial"/>
          <w:sz w:val="14"/>
          <w:szCs w:val="14"/>
          <w:color w:val="auto"/>
        </w:rPr>
        <w:t>, Servier shall limit such audits by Servier to a moderate frequency reasonably necessary in order for Servier to perform the Development and Commercialization of the Program DARTs and Licensed Product.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Communications with Regulatory Authorities.</w:t>
      </w:r>
    </w:p>
    <w:p>
      <w:pPr>
        <w:spacing w:after="0" w:line="130" w:lineRule="exact"/>
        <w:rPr>
          <w:sz w:val="20"/>
          <w:szCs w:val="20"/>
          <w:color w:val="auto"/>
        </w:rPr>
      </w:pPr>
    </w:p>
    <w:p>
      <w:pPr>
        <w:ind w:firstLine="917"/>
        <w:spacing w:after="0" w:line="256" w:lineRule="auto"/>
        <w:rPr>
          <w:sz w:val="20"/>
          <w:szCs w:val="20"/>
          <w:color w:val="auto"/>
        </w:rPr>
      </w:pPr>
      <w:r>
        <w:rPr>
          <w:rFonts w:ascii="Arial" w:cs="Arial" w:eastAsia="Arial" w:hAnsi="Arial"/>
          <w:sz w:val="14"/>
          <w:szCs w:val="14"/>
          <w:color w:val="auto"/>
        </w:rPr>
        <w:t xml:space="preserve">6.3.1 For purposes of this Article 6.3, “material” shall mean any </w:t>
      </w:r>
      <w:r>
        <w:rPr>
          <w:rFonts w:ascii="Arial" w:cs="Arial" w:eastAsia="Arial" w:hAnsi="Arial"/>
          <w:sz w:val="14"/>
          <w:szCs w:val="14"/>
          <w:b w:val="1"/>
          <w:bCs w:val="1"/>
          <w:color w:val="auto"/>
        </w:rPr>
        <w:t>***</w:t>
      </w:r>
      <w:r>
        <w:rPr>
          <w:rFonts w:ascii="Arial" w:cs="Arial" w:eastAsia="Arial" w:hAnsi="Arial"/>
          <w:sz w:val="14"/>
          <w:szCs w:val="14"/>
          <w:color w:val="auto"/>
        </w:rPr>
        <w:t>. Servier shall be responsible for all submissions to, and communications and interactions with, Regulatory Authorities in the Servier Territory with respect to Program DARTs and Licensed Products (unless otherwise agreed by the JRDC on the basis of Section 4.2), and MacroGenics shall be responsible for submissions to, and communications and interactions with, Regulatory Authorities in the MacroGenics Territory with respect to Program DARTs and Licensed Products (unless otherwise agreed by the JRDC on the basis of Section 4.1). In connection therewith:</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On a Licensed Program by Licensed Program basis Servier shall keep MacroGenics reasonably informed regarding Servier’s (or its Affiliate’s or Sublicensee’s)</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35</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6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45" w:name="page746"/>
    <w:bookmarkEnd w:id="745"/>
    <w:p>
      <w:pPr>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regulatory strategy, planned regulatory submissions and material communications with the Regulatory Authorities in the Servier Territory with respect to the Program DARTs and Licensed Products for each Licensed Program, including any material changes to such strategy, submissions or communications. Servier shall provide MacroGenics with copies of material regulatory submissions to, and material communications with the *** relating to the Program DARTs and Licensed Products. To the extent permitted by Regulatory Authorities, MacroGenics shall have the right to have a senior, experienced employee participate as an observer in meetings with the *** or their agents, as well as participate in internal meetings or discussions of Servier occurring immediately before or after, and related to, such meetings, and shall be provided with advance access to Servier’s materials prepared for such meetings. MacroGenics shall also have the right to review and comment upon any correspondence with the *** or their agents related to such meetings. Servier shall provide MacroGenics regularly prepared minutes of material meetings with the *** regarding Program DARTs and Licensed Products in the Field in the Servier Territory and available material teleconference reports with the *** pertaining to Program DARTs and Licensed Products in the Field in the Servier Territory.</w:t>
      </w:r>
    </w:p>
    <w:p>
      <w:pPr>
        <w:spacing w:after="0" w:line="88" w:lineRule="exact"/>
        <w:rPr>
          <w:sz w:val="20"/>
          <w:szCs w:val="20"/>
          <w:color w:val="auto"/>
        </w:rPr>
      </w:pPr>
    </w:p>
    <w:p>
      <w:pPr>
        <w:ind w:firstLine="920"/>
        <w:spacing w:after="0" w:line="299" w:lineRule="auto"/>
        <w:tabs>
          <w:tab w:leader="none" w:pos="1109" w:val="left"/>
        </w:tabs>
        <w:numPr>
          <w:ilvl w:val="0"/>
          <w:numId w:val="865"/>
        </w:numPr>
        <w:rPr>
          <w:rFonts w:ascii="Arial" w:cs="Arial" w:eastAsia="Arial" w:hAnsi="Arial"/>
          <w:sz w:val="12"/>
          <w:szCs w:val="12"/>
          <w:color w:val="auto"/>
        </w:rPr>
      </w:pPr>
      <w:r>
        <w:rPr>
          <w:rFonts w:ascii="Arial" w:cs="Arial" w:eastAsia="Arial" w:hAnsi="Arial"/>
          <w:sz w:val="12"/>
          <w:szCs w:val="12"/>
          <w:color w:val="auto"/>
        </w:rPr>
        <w:t>On a Licensed Program by Licensed Program basis MacroGenics shall keep Servier reasonably informed regarding MacroGenics’ (or its Affiliate’s or Sublicensee’s) regulatory strategy, planned regulatory submissions and material communications with the *** with respect to the Program DARTs and Licensed Products for each Licensed Program, including any material changes to such strategy, submissions or communications. MacroGenics shall provide Servier with copies of material regulatory submissions to, and material communications with the *** relating to the Program DARTs and Licensed Products. To the extent permitted by Regulatory Authorities, Servier shall have the right to have a senior, experienced employee participate as an observer in meetings with the *** or its agents, as well as participate in internal meetings or discussions of MacroGenics occurring immediately before or after, and related to, such meetings, and shall be provided with advance access to MacroGenics’ materials prepared for such meetings. Servier shall also have the right to review and comment upon any correspondence with the *** or its agents related to such meetings. MacroGenics shall provide Servier regularly prepared minutes of material meetings with the *** regarding Licensed Products in the Field in the MacroGenics Territory and available material teleconference reports with the *** pertaining to Licensed Products in the Field in the MacroGenics Territory.</w:t>
      </w:r>
    </w:p>
    <w:p>
      <w:pPr>
        <w:spacing w:after="0" w:line="87" w:lineRule="exact"/>
        <w:rPr>
          <w:sz w:val="20"/>
          <w:szCs w:val="20"/>
          <w:color w:val="auto"/>
        </w:rPr>
      </w:pPr>
    </w:p>
    <w:p>
      <w:pPr>
        <w:ind w:right="40" w:firstLine="917"/>
        <w:spacing w:after="0" w:line="252" w:lineRule="auto"/>
        <w:rPr>
          <w:sz w:val="20"/>
          <w:szCs w:val="20"/>
          <w:color w:val="auto"/>
        </w:rPr>
      </w:pPr>
      <w:r>
        <w:rPr>
          <w:rFonts w:ascii="Arial" w:cs="Arial" w:eastAsia="Arial" w:hAnsi="Arial"/>
          <w:sz w:val="14"/>
          <w:szCs w:val="14"/>
          <w:color w:val="auto"/>
        </w:rPr>
        <w:t>6.3.2 If either Party or its Affiliates or subcontractors (each, an “</w:t>
      </w:r>
      <w:r>
        <w:rPr>
          <w:rFonts w:ascii="Arial" w:cs="Arial" w:eastAsia="Arial" w:hAnsi="Arial"/>
          <w:sz w:val="14"/>
          <w:szCs w:val="14"/>
          <w:u w:val="single" w:color="auto"/>
          <w:color w:val="auto"/>
        </w:rPr>
        <w:t>Inspected Party</w:t>
      </w:r>
      <w:r>
        <w:rPr>
          <w:rFonts w:ascii="Arial" w:cs="Arial" w:eastAsia="Arial" w:hAnsi="Arial"/>
          <w:sz w:val="14"/>
          <w:szCs w:val="14"/>
          <w:color w:val="auto"/>
        </w:rPr>
        <w:t>”) are to be inspected by a Government Authority regarding the development, manufacture, registration or commercialization of a Licensed Product, the Inspected Party shall promptly notify the other Party of the inspection in writing as soon as reasonably practicable, and in advance, if any such inspection is a scheduled inspection. The Inspected Party shall, where practicable, permit representatives of the other Party to participate as observers with respect to such inspection, and shall provide the other Party with a written report of any such inspection, noting with specificity any records or documents reviewed by the regulatory inspector, and including copies of any FDA 483s (or their non-U.S. equivalent) or written communications provided by or to any Government Authority relating to such inspection. The Inspected Party will use Commercially Reasonable Efforts to provide an opportunity for the other Party to assist in responding to any issues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6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746" w:name="page747"/>
    <w:bookmarkEnd w:id="746"/>
    <w:p>
      <w:pPr>
        <w:ind w:right="22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concerns relating to such inspections, and shall provide copies of all communications to and from any Government Authority relating thereto to the other Party. The Parties shall cooperate in good faith and otherwise mutually support any regulatory inspections of facilities, clinical sites, contract manufacturers or the like with respect to Licensed Products, including by using Commercially Reasonable Efforts to make available such facilities, documents, information and/or personnel as are reasonably necessary or useful for such regulatory inspections by a Government Authority.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Product Withdrawals and Recalls</w:t>
      </w:r>
      <w:r>
        <w:rPr>
          <w:rFonts w:ascii="Arial" w:cs="Arial" w:eastAsia="Arial" w:hAnsi="Arial"/>
          <w:sz w:val="12"/>
          <w:szCs w:val="12"/>
          <w:color w:val="auto"/>
        </w:rPr>
        <w:t>. If any Regulatory Authority (a) threatens, initiates or advises any action to remove any Licensed Product from the market in any country of the world, or</w:t>
      </w:r>
    </w:p>
    <w:p>
      <w:pPr>
        <w:spacing w:after="0" w:line="35" w:lineRule="exact"/>
        <w:rPr>
          <w:sz w:val="20"/>
          <w:szCs w:val="20"/>
          <w:color w:val="auto"/>
        </w:rPr>
      </w:pPr>
    </w:p>
    <w:p>
      <w:pPr>
        <w:ind w:firstLine="4"/>
        <w:spacing w:after="0" w:line="250" w:lineRule="auto"/>
        <w:tabs>
          <w:tab w:leader="none" w:pos="192" w:val="left"/>
        </w:tabs>
        <w:numPr>
          <w:ilvl w:val="0"/>
          <w:numId w:val="867"/>
        </w:numPr>
        <w:rPr>
          <w:rFonts w:ascii="Arial" w:cs="Arial" w:eastAsia="Arial" w:hAnsi="Arial"/>
          <w:sz w:val="14"/>
          <w:szCs w:val="14"/>
          <w:color w:val="auto"/>
        </w:rPr>
      </w:pPr>
      <w:r>
        <w:rPr>
          <w:rFonts w:ascii="Arial" w:cs="Arial" w:eastAsia="Arial" w:hAnsi="Arial"/>
          <w:sz w:val="14"/>
          <w:szCs w:val="14"/>
          <w:color w:val="auto"/>
        </w:rPr>
        <w:t xml:space="preserve">requires or advises either Party or such Party’s Affiliates or sublicensees to distribute a “Dear Doctor” letter or its equivalent regarding use of any Licensed Product in any country of the world, then Servier (if such action is in the Servier Territory) or MacroGenics (if such action is in the MacroGenics Territory), as applicable, shall notify the other Party of such event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(or sooner if required by applicable Law) after such Party becomes aware of the action, threat, advice or requirement (as applicable). The JRDC will discuss and attempt to agree upon whether to recall or withdraw such Licensed Product; provided, however, that if the Parties fail to agree within an appropriate time period or if the matter involves a safety issue that, in order to protect patient safety, does not allow for sufficient time for a discussion at the JRDC level, Servier shall decide whether to recall or withdraw such Licensed Product in the Servier Territory and shall undertake any such recall or withdrawal in the Servier Territory at its own cost and expense, and MacroGenics shall decide whether to recall or withdraw such Licensed Product in the MacroGenics Territory and shall undertake any such recall or withdrawal in the MacroGenics Territory at its own cost and expense.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Pharmacovigilance; Safety Data Reporting.</w:t>
      </w:r>
    </w:p>
    <w:p>
      <w:pPr>
        <w:spacing w:after="0" w:line="130" w:lineRule="exact"/>
        <w:rPr>
          <w:sz w:val="20"/>
          <w:szCs w:val="20"/>
          <w:color w:val="auto"/>
        </w:rPr>
      </w:pPr>
    </w:p>
    <w:p>
      <w:pPr>
        <w:ind w:right="140" w:firstLine="917"/>
        <w:spacing w:after="0" w:line="322" w:lineRule="auto"/>
        <w:rPr>
          <w:sz w:val="20"/>
          <w:szCs w:val="20"/>
          <w:color w:val="auto"/>
        </w:rPr>
      </w:pPr>
      <w:r>
        <w:rPr>
          <w:rFonts w:ascii="Arial" w:cs="Arial" w:eastAsia="Arial" w:hAnsi="Arial"/>
          <w:sz w:val="12"/>
          <w:szCs w:val="12"/>
          <w:color w:val="auto"/>
        </w:rPr>
        <w:t xml:space="preserve">6.5.1 </w:t>
      </w:r>
      <w:r>
        <w:rPr>
          <w:rFonts w:ascii="Arial" w:cs="Arial" w:eastAsia="Arial" w:hAnsi="Arial"/>
          <w:sz w:val="12"/>
          <w:szCs w:val="12"/>
          <w:u w:val="single" w:color="auto"/>
          <w:color w:val="auto"/>
        </w:rPr>
        <w:t>Pharmacovigilance</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after each License Grant Date the Parties shall negotiate in good faith, with respect to Licensed Products under the applicable Licensed Program, a safety data exchange agreement, governing the collection, investigation, reporting, and exchange of information concerning adverse drug reactions/experience, Licensed Product quality and Licensed Product complaints, sufficient to permit each Party to comply with its legal obligations (the “</w:t>
      </w:r>
      <w:r>
        <w:rPr>
          <w:rFonts w:ascii="Arial" w:cs="Arial" w:eastAsia="Arial" w:hAnsi="Arial"/>
          <w:sz w:val="12"/>
          <w:szCs w:val="12"/>
          <w:u w:val="single" w:color="auto"/>
          <w:color w:val="auto"/>
        </w:rPr>
        <w:t>SDEA Agreement</w:t>
      </w:r>
      <w:r>
        <w:rPr>
          <w:rFonts w:ascii="Arial" w:cs="Arial" w:eastAsia="Arial" w:hAnsi="Arial"/>
          <w:sz w:val="12"/>
          <w:szCs w:val="12"/>
          <w:color w:val="auto"/>
        </w:rPr>
        <w:t>”). The SDEA Agreement will be promptly updated if required by changes in legal requirements.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Safety Data Reporting.</w:t>
      </w:r>
    </w:p>
    <w:p>
      <w:pPr>
        <w:spacing w:after="0" w:line="132" w:lineRule="exact"/>
        <w:rPr>
          <w:sz w:val="20"/>
          <w:szCs w:val="20"/>
          <w:color w:val="auto"/>
        </w:rPr>
      </w:pPr>
    </w:p>
    <w:p>
      <w:pPr>
        <w:ind w:right="220" w:firstLine="920"/>
        <w:spacing w:after="0" w:line="311" w:lineRule="auto"/>
        <w:tabs>
          <w:tab w:leader="none" w:pos="1101" w:val="left"/>
        </w:tabs>
        <w:numPr>
          <w:ilvl w:val="0"/>
          <w:numId w:val="868"/>
        </w:numPr>
        <w:rPr>
          <w:rFonts w:ascii="Arial" w:cs="Arial" w:eastAsia="Arial" w:hAnsi="Arial"/>
          <w:sz w:val="12"/>
          <w:szCs w:val="12"/>
          <w:color w:val="auto"/>
        </w:rPr>
      </w:pPr>
      <w:r>
        <w:rPr>
          <w:rFonts w:ascii="Arial" w:cs="Arial" w:eastAsia="Arial" w:hAnsi="Arial"/>
          <w:sz w:val="12"/>
          <w:szCs w:val="12"/>
          <w:color w:val="auto"/>
        </w:rPr>
        <w:t>Each Party shall keep the other Party informed about any adverse drug reactions such Party becomes aware or is informed about regarding the use of a Licensed Product. As between the Parties, Servier shall be responsible for reporting all adverse drug reactions/experiences to the appropriate regulatory authorities in countries in the Servier Territory, and MacroGenics shall be responsible for reporting all adverse drug reactions/experiences to the appropriate regulatory authorities in the MacroGenics Territory, in accordance with the appropriate laws and regulations of the relevant countries and authorities. Servier shall ensure that its Affiliates and Sublicensees comply with such reporting obligations in the Servier Territory and</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6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47" w:name="page748"/>
    <w:bookmarkEnd w:id="747"/>
    <w:p>
      <w:pPr>
        <w:ind w:right="4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MacroGenics shall ensure that its Affiliates and sublicensees (other than Servier and its Sublicensees) comply with such reporting obligations in the MacroGenics Territory. These reporting obligations shall apply to other adverse events as described in the SDEA Agreement, including adverse events occurring from product overdose or from product withdrawal, as well as any toxicity, sensitivity, failure of expected pharmacological action, or laboratory abnormality which is, or is thought by the reporter, to be serious or associated with relevant clinical signs or symptoms.</w:t>
      </w:r>
    </w:p>
    <w:p>
      <w:pPr>
        <w:spacing w:after="0" w:line="73" w:lineRule="exact"/>
        <w:rPr>
          <w:sz w:val="20"/>
          <w:szCs w:val="20"/>
          <w:color w:val="auto"/>
        </w:rPr>
      </w:pPr>
    </w:p>
    <w:p>
      <w:pPr>
        <w:ind w:firstLine="920"/>
        <w:spacing w:after="0" w:line="255" w:lineRule="auto"/>
        <w:tabs>
          <w:tab w:leader="none" w:pos="1109" w:val="left"/>
        </w:tabs>
        <w:numPr>
          <w:ilvl w:val="0"/>
          <w:numId w:val="870"/>
        </w:numPr>
        <w:rPr>
          <w:rFonts w:ascii="Arial" w:cs="Arial" w:eastAsia="Arial" w:hAnsi="Arial"/>
          <w:sz w:val="14"/>
          <w:szCs w:val="14"/>
          <w:color w:val="auto"/>
        </w:rPr>
      </w:pPr>
      <w:r>
        <w:rPr>
          <w:rFonts w:ascii="Arial" w:cs="Arial" w:eastAsia="Arial" w:hAnsi="Arial"/>
          <w:sz w:val="14"/>
          <w:szCs w:val="14"/>
          <w:color w:val="auto"/>
        </w:rPr>
        <w:t>For each Research Program and Global Development Plan each Party will designate a pharmacovigilance liaison to be responsible for communicating with the other Party regarding the reporting of adverse drug reactions/experiences. Each Party (the “</w:t>
      </w:r>
      <w:r>
        <w:rPr>
          <w:rFonts w:ascii="Arial" w:cs="Arial" w:eastAsia="Arial" w:hAnsi="Arial"/>
          <w:sz w:val="14"/>
          <w:szCs w:val="14"/>
          <w:u w:val="single" w:color="auto"/>
          <w:color w:val="auto"/>
        </w:rPr>
        <w:t>Notifying Party</w:t>
      </w:r>
      <w:r>
        <w:rPr>
          <w:rFonts w:ascii="Arial" w:cs="Arial" w:eastAsia="Arial" w:hAnsi="Arial"/>
          <w:sz w:val="14"/>
          <w:szCs w:val="14"/>
          <w:color w:val="auto"/>
        </w:rPr>
        <w:t>”) shall notify the other Party in writing of all information coming to the Notifying Party’s attention, regardless of the origin of such information, and including such information coming to its attention through clinical and non-clinical sources (including journal publications and other media), regarding adverse drug experiences associated with a Licensed Product, whether in the Servier Territory or in the MacroGenics Territory.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MANUFACTURING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7 shall apply during the License Term for each Licensed Program.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Transfer of MacroGenics Manufacturing Know-How.</w:t>
      </w:r>
    </w:p>
    <w:p>
      <w:pPr>
        <w:spacing w:after="0" w:line="132" w:lineRule="exact"/>
        <w:rPr>
          <w:sz w:val="20"/>
          <w:szCs w:val="20"/>
          <w:color w:val="auto"/>
        </w:rPr>
      </w:pPr>
    </w:p>
    <w:p>
      <w:pPr>
        <w:ind w:right="20" w:firstLine="917"/>
        <w:spacing w:after="0" w:line="300" w:lineRule="auto"/>
        <w:rPr>
          <w:sz w:val="20"/>
          <w:szCs w:val="20"/>
          <w:color w:val="auto"/>
        </w:rPr>
      </w:pPr>
      <w:r>
        <w:rPr>
          <w:rFonts w:ascii="Arial" w:cs="Arial" w:eastAsia="Arial" w:hAnsi="Arial"/>
          <w:sz w:val="12"/>
          <w:szCs w:val="12"/>
          <w:color w:val="auto"/>
        </w:rPr>
        <w:t xml:space="preserve">7.1.1 For each Licensed Program, at Servier’s request and sole expense, and on a schedule and a product comparability plan agreed upon by the Parties, MacroGenics shall disclose (and provide copies, as applicable) to either Servier or the Third Party manufacturer that is mutually acceptable to both Parties, all MacroGenics Know-How necessary or useful to enable Servier or such Third Party manufacturer (as appropriate) </w:t>
      </w:r>
      <w:r>
        <w:rPr>
          <w:rFonts w:ascii="Arial" w:cs="Arial" w:eastAsia="Arial" w:hAnsi="Arial"/>
          <w:sz w:val="12"/>
          <w:szCs w:val="12"/>
          <w:b w:val="1"/>
          <w:bCs w:val="1"/>
          <w:color w:val="auto"/>
        </w:rPr>
        <w:t>***</w:t>
      </w:r>
      <w:r>
        <w:rPr>
          <w:rFonts w:ascii="Arial" w:cs="Arial" w:eastAsia="Arial" w:hAnsi="Arial"/>
          <w:sz w:val="12"/>
          <w:szCs w:val="12"/>
          <w:color w:val="auto"/>
        </w:rPr>
        <w:t xml:space="preserve"> for such Licensed Program to Manufacture Licensed Product based on a manufacturing process ***. For clarity, nothing in this Section 7.1 with respect to MacroGenics’ obligation to transfer MacroGenics Know-How to Servier shall limit MacroGenics’ right to use any such MacroGenics Know-How to fulfill MacroGenics’ obligations to Manufacture and supply Licensed Product to Servier under this Agreement or the Supply Agreement. In addition, MacroGenics shall, at Servier’s sole expense, make available to Servier, on a reasonable consultation basis, advice of its technical personnel as may reasonably be requested by Servier in connection with such transfer of MacroGenics Know-How. MacroGenics shall thereafter during the Agreement Term, continue to promptly and regularly disclose any material new MacroGenics Know-How related to Manufacturing Program DARTs and Licensed Products to Servier or to the Third Party manufacturer mentioned above at Servier’s cost.</w:t>
      </w:r>
    </w:p>
    <w:p>
      <w:pPr>
        <w:spacing w:after="0" w:line="88"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7.1.2 Servier and/or its Third Party manufacturer shall use the MacroGenics Know-How transferred under Section 7.1.1 solely for the purpose of Manufacturing Program DARTs and finished Licensed Products in accordance with the terms and conditions of this Agreement, and for no other purpose.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7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48" w:name="page749"/>
    <w:bookmarkEnd w:id="748"/>
    <w:p>
      <w:pPr>
        <w:ind w:right="380" w:firstLine="917"/>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7.1.3 Servier acknowledges and agrees that MacroGenics may condition any of its agreement to transfer any MacroGenics Know-How to a Third Party manufacturer on the execution of a confidentiality agreement between such Third Party manufacturer and MacroGenics that contains terms substantially equivalent to those of ARTICLE 11.</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Supply Agreements.</w:t>
      </w:r>
    </w:p>
    <w:p>
      <w:pPr>
        <w:spacing w:after="0" w:line="132" w:lineRule="exact"/>
        <w:rPr>
          <w:sz w:val="20"/>
          <w:szCs w:val="20"/>
          <w:color w:val="auto"/>
        </w:rPr>
      </w:pPr>
    </w:p>
    <w:p>
      <w:pPr>
        <w:ind w:right="80" w:firstLine="917"/>
        <w:spacing w:after="0" w:line="302" w:lineRule="auto"/>
        <w:rPr>
          <w:sz w:val="20"/>
          <w:szCs w:val="20"/>
          <w:color w:val="auto"/>
        </w:rPr>
      </w:pPr>
      <w:r>
        <w:rPr>
          <w:rFonts w:ascii="Arial" w:cs="Arial" w:eastAsia="Arial" w:hAnsi="Arial"/>
          <w:sz w:val="12"/>
          <w:szCs w:val="12"/>
          <w:color w:val="auto"/>
        </w:rPr>
        <w:t xml:space="preserve">7.2.1 </w:t>
      </w:r>
      <w:r>
        <w:rPr>
          <w:rFonts w:ascii="Arial" w:cs="Arial" w:eastAsia="Arial" w:hAnsi="Arial"/>
          <w:sz w:val="12"/>
          <w:szCs w:val="12"/>
          <w:u w:val="single" w:color="auto"/>
          <w:color w:val="auto"/>
        </w:rPr>
        <w:t>Clinical Supply Agreement</w:t>
      </w:r>
      <w:r>
        <w:rPr>
          <w:rFonts w:ascii="Arial" w:cs="Arial" w:eastAsia="Arial" w:hAnsi="Arial"/>
          <w:sz w:val="12"/>
          <w:szCs w:val="12"/>
          <w:color w:val="auto"/>
        </w:rPr>
        <w:t xml:space="preserve">. For each Program, the Parties shall enter into good faith negotiations regarding the terms of a clinical supply agreement, pursuant to which MacroGenics shall provide clinical supply of Program DARTs and/or Licensed Products from such Program for (a) Phase 1 Clinical Trials and the first two (2) Phase 2 Clinical Trials of Licensed Products to be conducted by Servier and its Affiliates and Sublicensees and (b) at MacroGenics’ option, Clinical Trials of Licensed Products conducted by Servier and its Affiliates and Sublicensees </w:t>
      </w:r>
      <w:r>
        <w:rPr>
          <w:rFonts w:ascii="Arial" w:cs="Arial" w:eastAsia="Arial" w:hAnsi="Arial"/>
          <w:sz w:val="12"/>
          <w:szCs w:val="12"/>
          <w:b w:val="1"/>
          <w:bCs w:val="1"/>
          <w:color w:val="auto"/>
        </w:rPr>
        <w:t>***</w:t>
      </w:r>
      <w:r>
        <w:rPr>
          <w:rFonts w:ascii="Arial" w:cs="Arial" w:eastAsia="Arial" w:hAnsi="Arial"/>
          <w:sz w:val="12"/>
          <w:szCs w:val="12"/>
          <w:color w:val="auto"/>
        </w:rPr>
        <w:t xml:space="preserve"> of Licensed Products to be conducted by Servier and its Affiliates and Sublicensees (the “</w:t>
      </w:r>
      <w:r>
        <w:rPr>
          <w:rFonts w:ascii="Arial" w:cs="Arial" w:eastAsia="Arial" w:hAnsi="Arial"/>
          <w:sz w:val="12"/>
          <w:szCs w:val="12"/>
          <w:u w:val="single" w:color="auto"/>
          <w:color w:val="auto"/>
        </w:rPr>
        <w:t>Clinical Supply Agreement</w:t>
      </w:r>
      <w:r>
        <w:rPr>
          <w:rFonts w:ascii="Arial" w:cs="Arial" w:eastAsia="Arial" w:hAnsi="Arial"/>
          <w:sz w:val="12"/>
          <w:szCs w:val="12"/>
          <w:color w:val="auto"/>
        </w:rPr>
        <w:t xml:space="preserve">”). The cost for such supply of Program DARTs and/or Licensed Products for Clinical Trials shall be equal to MacroGenics’ Fully Burdened Manufacturing Cost; </w:t>
      </w:r>
      <w:r>
        <w:rPr>
          <w:rFonts w:ascii="Arial" w:cs="Arial" w:eastAsia="Arial" w:hAnsi="Arial"/>
          <w:sz w:val="12"/>
          <w:szCs w:val="12"/>
          <w:b w:val="1"/>
          <w:bCs w:val="1"/>
          <w:color w:val="auto"/>
        </w:rPr>
        <w:t>***</w:t>
      </w:r>
      <w:r>
        <w:rPr>
          <w:rFonts w:ascii="Arial" w:cs="Arial" w:eastAsia="Arial" w:hAnsi="Arial"/>
          <w:sz w:val="12"/>
          <w:szCs w:val="12"/>
          <w:color w:val="auto"/>
        </w:rPr>
        <w:t>. The Fully Burdened Manufacturing Cost for supply of Program DARTs and/or Licensed Products for clinical trials used by Servier in connection with the Development of a Program DARTs and/or Licensed Products outside a Global Development Plan shall be invoiced by MacroGenics on a quarterly basis.</w:t>
      </w:r>
    </w:p>
    <w:p>
      <w:pPr>
        <w:spacing w:after="0" w:line="86" w:lineRule="exact"/>
        <w:rPr>
          <w:sz w:val="20"/>
          <w:szCs w:val="20"/>
          <w:color w:val="auto"/>
        </w:rPr>
      </w:pPr>
    </w:p>
    <w:p>
      <w:pPr>
        <w:ind w:right="80" w:firstLine="917"/>
        <w:spacing w:after="0" w:line="258" w:lineRule="auto"/>
        <w:rPr>
          <w:sz w:val="20"/>
          <w:szCs w:val="20"/>
          <w:color w:val="auto"/>
        </w:rPr>
      </w:pPr>
      <w:r>
        <w:rPr>
          <w:rFonts w:ascii="Arial" w:cs="Arial" w:eastAsia="Arial" w:hAnsi="Arial"/>
          <w:sz w:val="14"/>
          <w:szCs w:val="14"/>
          <w:color w:val="auto"/>
        </w:rPr>
        <w:t xml:space="preserve">7.2.2 </w:t>
      </w:r>
      <w:r>
        <w:rPr>
          <w:rFonts w:ascii="Arial" w:cs="Arial" w:eastAsia="Arial" w:hAnsi="Arial"/>
          <w:sz w:val="14"/>
          <w:szCs w:val="14"/>
          <w:u w:val="single" w:color="auto"/>
          <w:color w:val="auto"/>
        </w:rPr>
        <w:t>Commercial Supply Agreement</w:t>
      </w:r>
      <w:r>
        <w:rPr>
          <w:rFonts w:ascii="Arial" w:cs="Arial" w:eastAsia="Arial" w:hAnsi="Arial"/>
          <w:sz w:val="14"/>
          <w:szCs w:val="14"/>
          <w:color w:val="auto"/>
        </w:rPr>
        <w:t>. Following each License Grant Date, if requested by Servier, the Parties shall enter into good faith negotiations regarding the terms of a quality and supply agreement, pursuant to which MacroGenics shall provide commercial supply of Program DARTs and/or Licensed Products licensed under such Licensed Program to Servier and its Affiliates and Sublicensees (the “</w:t>
      </w:r>
      <w:r>
        <w:rPr>
          <w:rFonts w:ascii="Arial" w:cs="Arial" w:eastAsia="Arial" w:hAnsi="Arial"/>
          <w:sz w:val="14"/>
          <w:szCs w:val="14"/>
          <w:u w:val="single" w:color="auto"/>
          <w:color w:val="auto"/>
        </w:rPr>
        <w:t>Commercial Supply Agreement</w:t>
      </w:r>
      <w:r>
        <w:rPr>
          <w:rFonts w:ascii="Arial" w:cs="Arial" w:eastAsia="Arial" w:hAnsi="Arial"/>
          <w:sz w:val="14"/>
          <w:szCs w:val="14"/>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COMMERCIALIZATION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8 shall apply during the License Term.</w:t>
      </w:r>
    </w:p>
    <w:p>
      <w:pPr>
        <w:spacing w:after="0" w:line="132"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Overview</w:t>
      </w:r>
      <w:r>
        <w:rPr>
          <w:rFonts w:ascii="Arial" w:cs="Arial" w:eastAsia="Arial" w:hAnsi="Arial"/>
          <w:sz w:val="14"/>
          <w:szCs w:val="14"/>
          <w:color w:val="auto"/>
        </w:rPr>
        <w:t>. Servier shall have sole control and responsibility for the Commercialization of Licensed Products in the Servier Territory and shall bear all costs and expenses associated with the Commercialization of Licensed Products in the Servier Territory. MacroGenics shall have sole control and responsibility for the Commercialization of Licensed Products in the MacroGenics Territory and shall bear all costs and expenses associated with the Commercialization of Licensed Products in the MacroGenics Territory. The Party with responsibility for Commercialization in a territory and field shall be referred to as the “</w:t>
      </w:r>
      <w:r>
        <w:rPr>
          <w:rFonts w:ascii="Arial" w:cs="Arial" w:eastAsia="Arial" w:hAnsi="Arial"/>
          <w:sz w:val="14"/>
          <w:szCs w:val="14"/>
          <w:u w:val="single" w:color="auto"/>
          <w:color w:val="auto"/>
        </w:rPr>
        <w:t>Commercializing Party</w:t>
      </w:r>
      <w:r>
        <w:rPr>
          <w:rFonts w:ascii="Arial" w:cs="Arial" w:eastAsia="Arial" w:hAnsi="Arial"/>
          <w:sz w:val="14"/>
          <w:szCs w:val="14"/>
          <w:color w:val="auto"/>
        </w:rPr>
        <w:t>” for such territory.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7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49" w:name="page750"/>
    <w:bookmarkEnd w:id="749"/>
    <w:p>
      <w:pPr>
        <w:ind w:right="52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8.2 </w:t>
      </w:r>
      <w:r>
        <w:rPr>
          <w:rFonts w:ascii="Arial" w:cs="Arial" w:eastAsia="Arial" w:hAnsi="Arial"/>
          <w:sz w:val="14"/>
          <w:szCs w:val="14"/>
          <w:u w:val="single" w:color="auto"/>
          <w:color w:val="auto"/>
        </w:rPr>
        <w:t>Sales and Distribution</w:t>
      </w:r>
      <w:r>
        <w:rPr>
          <w:rFonts w:ascii="Arial" w:cs="Arial" w:eastAsia="Arial" w:hAnsi="Arial"/>
          <w:sz w:val="14"/>
          <w:szCs w:val="14"/>
          <w:color w:val="auto"/>
        </w:rPr>
        <w:t>. It is understood that as between the Parties, the Commercializing Party shall be solely responsible for handling all returns, order processing, invoicing and collection, distribution, and receivables for Licensed Products in the applicable territory and indication.</w:t>
      </w:r>
    </w:p>
    <w:p>
      <w:pPr>
        <w:spacing w:after="0" w:line="101" w:lineRule="exact"/>
        <w:rPr>
          <w:sz w:val="20"/>
          <w:szCs w:val="20"/>
          <w:color w:val="auto"/>
        </w:rPr>
      </w:pPr>
    </w:p>
    <w:p>
      <w:pPr>
        <w:ind w:right="140" w:firstLine="458"/>
        <w:spacing w:after="0" w:line="321"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Ex-Territory Sales</w:t>
      </w:r>
      <w:r>
        <w:rPr>
          <w:rFonts w:ascii="Arial" w:cs="Arial" w:eastAsia="Arial" w:hAnsi="Arial"/>
          <w:sz w:val="12"/>
          <w:szCs w:val="12"/>
          <w:color w:val="auto"/>
        </w:rPr>
        <w:t>. Subject to applicable Law, neither Party shall engage in any advertising or promotional activities relating to Licensed Product directed primarily to customers or other buyers or users of Licensed Product located outside its territory or accept orders for Licensed Products from or sell Licensed Products into such other Party’s territory for its own account or for the Commercializing Party’s account, and if such other Party receives any order for Licensed Products in the Commercializing Party’s territory, it shall refer such orders to the Commercializing Party for acceptance or rejection.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Commercialization Plan for Licensed Territory</w:t>
      </w:r>
      <w:r>
        <w:rPr>
          <w:rFonts w:ascii="Arial" w:cs="Arial" w:eastAsia="Arial" w:hAnsi="Arial"/>
          <w:sz w:val="12"/>
          <w:szCs w:val="12"/>
          <w:color w:val="auto"/>
        </w:rPr>
        <w:t>. Servier shall pursue Commercialization of Licensed Products in the Servier Territory, in accordance with Commercially Reasonable Efforts. Servier</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shall deliver an initial Commercialization plan to MacroGenics no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the anticipated date of the first filing of the first BLA for a Licensed Product in the Servier Territory (the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Commercialization Plan</w:t>
      </w:r>
      <w:r>
        <w:rPr>
          <w:rFonts w:ascii="Arial" w:cs="Arial" w:eastAsia="Arial" w:hAnsi="Arial"/>
          <w:sz w:val="12"/>
          <w:szCs w:val="12"/>
          <w:color w:val="auto"/>
        </w:rPr>
        <w:t>”). After the establishment of the initial Commercialization Plan, Servier shall prepare updates and amendments to such Commercialization Plan at least annually and deliver such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updated Commercialization Plan to MacroGenics no later than March 31</w:t>
      </w:r>
      <w:r>
        <w:rPr>
          <w:rFonts w:ascii="Arial" w:cs="Arial" w:eastAsia="Arial" w:hAnsi="Arial"/>
          <w:sz w:val="8"/>
          <w:szCs w:val="8"/>
          <w:color w:val="auto"/>
        </w:rPr>
        <w:t>st</w:t>
      </w:r>
      <w:r>
        <w:rPr>
          <w:rFonts w:ascii="Arial" w:cs="Arial" w:eastAsia="Arial" w:hAnsi="Arial"/>
          <w:sz w:val="14"/>
          <w:szCs w:val="14"/>
          <w:color w:val="auto"/>
        </w:rPr>
        <w:t xml:space="preserve"> of each Calendar Year.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Trademarks</w:t>
      </w:r>
      <w:r>
        <w:rPr>
          <w:rFonts w:ascii="Arial" w:cs="Arial" w:eastAsia="Arial" w:hAnsi="Arial"/>
          <w:sz w:val="14"/>
          <w:szCs w:val="14"/>
          <w:color w:val="auto"/>
        </w:rPr>
        <w:t>.</w:t>
      </w:r>
    </w:p>
    <w:p>
      <w:pPr>
        <w:spacing w:after="0" w:line="132" w:lineRule="exact"/>
        <w:rPr>
          <w:sz w:val="20"/>
          <w:szCs w:val="20"/>
          <w:color w:val="auto"/>
        </w:rPr>
      </w:pPr>
    </w:p>
    <w:p>
      <w:pPr>
        <w:ind w:right="40" w:firstLine="917"/>
        <w:spacing w:after="0" w:line="258" w:lineRule="auto"/>
        <w:rPr>
          <w:sz w:val="20"/>
          <w:szCs w:val="20"/>
          <w:color w:val="auto"/>
        </w:rPr>
      </w:pPr>
      <w:r>
        <w:rPr>
          <w:rFonts w:ascii="Arial" w:cs="Arial" w:eastAsia="Arial" w:hAnsi="Arial"/>
          <w:sz w:val="14"/>
          <w:szCs w:val="14"/>
          <w:color w:val="auto"/>
        </w:rPr>
        <w:t xml:space="preserve">8.5.1 </w:t>
      </w:r>
      <w:r>
        <w:rPr>
          <w:rFonts w:ascii="Arial" w:cs="Arial" w:eastAsia="Arial" w:hAnsi="Arial"/>
          <w:sz w:val="14"/>
          <w:szCs w:val="14"/>
          <w:u w:val="single" w:color="auto"/>
          <w:color w:val="auto"/>
        </w:rPr>
        <w:t>Generally</w:t>
      </w:r>
      <w:r>
        <w:rPr>
          <w:rFonts w:ascii="Arial" w:cs="Arial" w:eastAsia="Arial" w:hAnsi="Arial"/>
          <w:sz w:val="14"/>
          <w:szCs w:val="14"/>
          <w:color w:val="auto"/>
        </w:rPr>
        <w:t>. Servier and its Affiliates shall select their own trademarks under which they will market Licensed Products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such trademark shall contain the word “MacroGenics”) and shall own such trademarks. MacroGenics and its Affiliates shall select their own trademarks under which they will market Licensed Products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such trademark shall contain the word “Servier” or “Les Laboratoires Servier”) and shall own such trademarks.</w:t>
      </w:r>
    </w:p>
    <w:p>
      <w:pPr>
        <w:spacing w:after="0" w:line="108" w:lineRule="exact"/>
        <w:rPr>
          <w:sz w:val="20"/>
          <w:szCs w:val="20"/>
          <w:color w:val="auto"/>
        </w:rPr>
      </w:pPr>
    </w:p>
    <w:p>
      <w:pPr>
        <w:ind w:right="80" w:firstLine="917"/>
        <w:spacing w:after="0" w:line="255" w:lineRule="auto"/>
        <w:rPr>
          <w:sz w:val="20"/>
          <w:szCs w:val="20"/>
          <w:color w:val="auto"/>
        </w:rPr>
      </w:pPr>
      <w:r>
        <w:rPr>
          <w:rFonts w:ascii="Arial" w:cs="Arial" w:eastAsia="Arial" w:hAnsi="Arial"/>
          <w:sz w:val="14"/>
          <w:szCs w:val="14"/>
          <w:color w:val="auto"/>
        </w:rPr>
        <w:t xml:space="preserve">8.5.2 </w:t>
      </w:r>
      <w:r>
        <w:rPr>
          <w:rFonts w:ascii="Arial" w:cs="Arial" w:eastAsia="Arial" w:hAnsi="Arial"/>
          <w:sz w:val="14"/>
          <w:szCs w:val="14"/>
          <w:u w:val="single" w:color="auto"/>
          <w:color w:val="auto"/>
        </w:rPr>
        <w:t>Acknowledgement</w:t>
      </w:r>
      <w:r>
        <w:rPr>
          <w:rFonts w:ascii="Arial" w:cs="Arial" w:eastAsia="Arial" w:hAnsi="Arial"/>
          <w:sz w:val="14"/>
          <w:szCs w:val="14"/>
          <w:color w:val="auto"/>
        </w:rPr>
        <w:t>. Servier shall use, in connection with all packaging, literature, labels and other printed matters, to the extent required by Law, and where reasonably practicable in light of space limitations, an expression to the effect that the Licensed Products were developed under license from MacroGenics, together with the MacroGenics logo. The provisions of this Section 8.5.2 shall not apply to primary packaging of the Licensed Products. Primary packaging shall mean packaging that is in direct contact with the Licensed Products or the Licensed Products themselves, including vials, blister packs, tablets and capsules.</w:t>
      </w:r>
    </w:p>
    <w:p>
      <w:pPr>
        <w:spacing w:after="0" w:line="110"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8.5.3 </w:t>
      </w:r>
      <w:r>
        <w:rPr>
          <w:rFonts w:ascii="Arial" w:cs="Arial" w:eastAsia="Arial" w:hAnsi="Arial"/>
          <w:sz w:val="14"/>
          <w:szCs w:val="14"/>
          <w:u w:val="single" w:color="auto"/>
          <w:color w:val="auto"/>
        </w:rPr>
        <w:t>Housemarks</w:t>
      </w:r>
      <w:r>
        <w:rPr>
          <w:rFonts w:ascii="Arial" w:cs="Arial" w:eastAsia="Arial" w:hAnsi="Arial"/>
          <w:sz w:val="14"/>
          <w:szCs w:val="14"/>
          <w:color w:val="auto"/>
        </w:rPr>
        <w:t>. Neither Party shall, and shall ensure that its Affiliates and sublicensees will not, make any use of the trademarks or house marks of the other Party or its Affiliates or licensees (including their corporate names) or any trademark confusingly similar thereto.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7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50" w:name="page751"/>
    <w:bookmarkEnd w:id="750"/>
    <w:p>
      <w:pPr>
        <w:ind w:right="32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8.6 </w:t>
      </w:r>
      <w:r>
        <w:rPr>
          <w:rFonts w:ascii="Arial" w:cs="Arial" w:eastAsia="Arial" w:hAnsi="Arial"/>
          <w:sz w:val="14"/>
          <w:szCs w:val="14"/>
          <w:u w:val="single" w:color="auto"/>
          <w:color w:val="auto"/>
        </w:rPr>
        <w:t>Commercial Diligence</w:t>
      </w:r>
      <w:r>
        <w:rPr>
          <w:rFonts w:ascii="Arial" w:cs="Arial" w:eastAsia="Arial" w:hAnsi="Arial"/>
          <w:sz w:val="14"/>
          <w:szCs w:val="14"/>
          <w:color w:val="auto"/>
        </w:rPr>
        <w:t>. During each License Term, Servier shall use Commercially Reasonable Efforts to Commercialize Licensed Products that were licensed under the applicable Licensed Program throughout the Servier Territory.</w:t>
      </w:r>
    </w:p>
    <w:p>
      <w:pPr>
        <w:spacing w:after="0" w:line="101"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Standards of Conduct</w:t>
      </w:r>
      <w:r>
        <w:rPr>
          <w:rFonts w:ascii="Arial" w:cs="Arial" w:eastAsia="Arial" w:hAnsi="Arial"/>
          <w:sz w:val="14"/>
          <w:szCs w:val="14"/>
          <w:color w:val="auto"/>
        </w:rPr>
        <w:t>. Each Party shall in all respects comply with all applicable Laws and applicable guidelines concerning the advertising, sales and marketing of prescription drug products in Commercializing Products under this Agreement, including any applicable local anti-bribery laws.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9</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PAYMENTS</w:t>
      </w:r>
    </w:p>
    <w:p>
      <w:pPr>
        <w:spacing w:after="0" w:line="126" w:lineRule="exact"/>
        <w:rPr>
          <w:sz w:val="20"/>
          <w:szCs w:val="20"/>
          <w:color w:val="auto"/>
        </w:rPr>
      </w:pPr>
    </w:p>
    <w:p>
      <w:pPr>
        <w:ind w:right="420" w:firstLine="458"/>
        <w:spacing w:after="0" w:line="351"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Option Grant Fee</w:t>
      </w:r>
      <w:r>
        <w:rPr>
          <w:rFonts w:ascii="Arial" w:cs="Arial" w:eastAsia="Arial" w:hAnsi="Arial"/>
          <w:sz w:val="12"/>
          <w:szCs w:val="12"/>
          <w:color w:val="auto"/>
        </w:rPr>
        <w:t>. In consideration for the Options as granted by MacroGenics to Servier hereunder and to review the Option Trigger Data Packages, Servier shall pay MacroGenics a non-refundable, non-creditable payment of Twenty Million Dollars ($20,000,000) (the “</w:t>
      </w:r>
      <w:r>
        <w:rPr>
          <w:rFonts w:ascii="Arial" w:cs="Arial" w:eastAsia="Arial" w:hAnsi="Arial"/>
          <w:sz w:val="12"/>
          <w:szCs w:val="12"/>
          <w:u w:val="single" w:color="auto"/>
          <w:color w:val="auto"/>
        </w:rPr>
        <w:t>Option Grant Fee</w:t>
      </w:r>
      <w:r>
        <w:rPr>
          <w:rFonts w:ascii="Arial" w:cs="Arial" w:eastAsia="Arial" w:hAnsi="Arial"/>
          <w:sz w:val="12"/>
          <w:szCs w:val="12"/>
          <w:color w:val="auto"/>
        </w:rPr>
        <w:t>”) within *** after the Effective Date and the date of receipt of the corresponding invoice.</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License Grant Fees</w:t>
      </w:r>
      <w:r>
        <w:rPr>
          <w:rFonts w:ascii="Arial" w:cs="Arial" w:eastAsia="Arial" w:hAnsi="Arial"/>
          <w:sz w:val="12"/>
          <w:szCs w:val="12"/>
          <w:color w:val="auto"/>
        </w:rPr>
        <w:t>. Upon exercise of an Option and *** after the date of receipt of the corresponding invoice, Servier shall pay MacroGenics a *** payment (the “</w:t>
      </w:r>
      <w:r>
        <w:rPr>
          <w:rFonts w:ascii="Arial" w:cs="Arial" w:eastAsia="Arial" w:hAnsi="Arial"/>
          <w:sz w:val="12"/>
          <w:szCs w:val="12"/>
          <w:u w:val="single" w:color="auto"/>
          <w:color w:val="auto"/>
        </w:rPr>
        <w:t>License Grant Fee</w:t>
      </w:r>
      <w:r>
        <w:rPr>
          <w:rFonts w:ascii="Arial" w:cs="Arial" w:eastAsia="Arial" w:hAnsi="Arial"/>
          <w:sz w:val="12"/>
          <w:szCs w:val="12"/>
          <w:color w:val="auto"/>
        </w:rPr>
        <w:t>”) of</w:t>
      </w:r>
    </w:p>
    <w:p>
      <w:pPr>
        <w:spacing w:after="0" w:line="155" w:lineRule="exact"/>
        <w:rPr>
          <w:sz w:val="20"/>
          <w:szCs w:val="20"/>
          <w:color w:val="auto"/>
        </w:rPr>
      </w:pPr>
    </w:p>
    <w:p>
      <w:pPr>
        <w:ind w:left="1100" w:hanging="180"/>
        <w:spacing w:after="0"/>
        <w:tabs>
          <w:tab w:leader="none" w:pos="1100" w:val="left"/>
        </w:tabs>
        <w:numPr>
          <w:ilvl w:val="0"/>
          <w:numId w:val="874"/>
        </w:numPr>
        <w:rPr>
          <w:rFonts w:ascii="Arial" w:cs="Arial" w:eastAsia="Arial" w:hAnsi="Arial"/>
          <w:sz w:val="14"/>
          <w:szCs w:val="14"/>
          <w:color w:val="auto"/>
        </w:rPr>
      </w:pPr>
      <w:r>
        <w:rPr>
          <w:rFonts w:ascii="Arial" w:cs="Arial" w:eastAsia="Arial" w:hAnsi="Arial"/>
          <w:sz w:val="14"/>
          <w:szCs w:val="14"/>
          <w:color w:val="auto"/>
        </w:rPr>
        <w:t>Fifteen Million Dollars ($15,000,000) for exercise of the Option for the CD123 Program;</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874"/>
        </w:numPr>
        <w:rPr>
          <w:rFonts w:ascii="Arial" w:cs="Arial" w:eastAsia="Arial" w:hAnsi="Arial"/>
          <w:sz w:val="14"/>
          <w:szCs w:val="14"/>
          <w:color w:val="auto"/>
        </w:rPr>
      </w:pPr>
      <w:r>
        <w:rPr>
          <w:rFonts w:ascii="Arial" w:cs="Arial" w:eastAsia="Arial" w:hAnsi="Arial"/>
          <w:sz w:val="14"/>
          <w:szCs w:val="14"/>
          <w:color w:val="auto"/>
        </w:rPr>
        <w:t>*** for exercise of the Option for the A33 Program; and</w:t>
      </w:r>
    </w:p>
    <w:p>
      <w:pPr>
        <w:spacing w:after="0" w:line="129" w:lineRule="exact"/>
        <w:rPr>
          <w:rFonts w:ascii="Arial" w:cs="Arial" w:eastAsia="Arial" w:hAnsi="Arial"/>
          <w:sz w:val="14"/>
          <w:szCs w:val="14"/>
          <w:color w:val="auto"/>
        </w:rPr>
      </w:pPr>
    </w:p>
    <w:p>
      <w:pPr>
        <w:ind w:left="1100" w:hanging="180"/>
        <w:spacing w:after="0"/>
        <w:tabs>
          <w:tab w:leader="none" w:pos="1100" w:val="left"/>
        </w:tabs>
        <w:numPr>
          <w:ilvl w:val="0"/>
          <w:numId w:val="874"/>
        </w:numPr>
        <w:rPr>
          <w:rFonts w:ascii="Arial" w:cs="Arial" w:eastAsia="Arial" w:hAnsi="Arial"/>
          <w:sz w:val="14"/>
          <w:szCs w:val="14"/>
          <w:color w:val="auto"/>
        </w:rPr>
      </w:pPr>
      <w:r>
        <w:rPr>
          <w:rFonts w:ascii="Arial" w:cs="Arial" w:eastAsia="Arial" w:hAnsi="Arial"/>
          <w:sz w:val="14"/>
          <w:szCs w:val="14"/>
          <w:color w:val="auto"/>
        </w:rPr>
        <w:t xml:space="preserve">*** for exercise of the Option for the </w:t>
      </w:r>
      <w:r>
        <w:rPr>
          <w:rFonts w:ascii="Arial" w:cs="Arial" w:eastAsia="Arial" w:hAnsi="Arial"/>
          <w:sz w:val="14"/>
          <w:szCs w:val="14"/>
          <w:b w:val="1"/>
          <w:bCs w:val="1"/>
          <w:color w:val="auto"/>
        </w:rPr>
        <w:t>***</w:t>
      </w:r>
      <w:r>
        <w:rPr>
          <w:rFonts w:ascii="Arial" w:cs="Arial" w:eastAsia="Arial" w:hAnsi="Arial"/>
          <w:sz w:val="14"/>
          <w:szCs w:val="14"/>
          <w:color w:val="auto"/>
        </w:rPr>
        <w:t xml:space="preserve"> Program.</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Development and Regulatory Milestones.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9.3.1 </w:t>
      </w:r>
      <w:r>
        <w:rPr>
          <w:rFonts w:ascii="Arial" w:cs="Arial" w:eastAsia="Arial" w:hAnsi="Arial"/>
          <w:sz w:val="12"/>
          <w:szCs w:val="12"/>
          <w:u w:val="single" w:color="auto"/>
          <w:color w:val="auto"/>
        </w:rPr>
        <w:t>IND Approval/Acceptance Milestones</w:t>
      </w:r>
      <w:r>
        <w:rPr>
          <w:rFonts w:ascii="Arial" w:cs="Arial" w:eastAsia="Arial" w:hAnsi="Arial"/>
          <w:sz w:val="12"/>
          <w:szCs w:val="12"/>
          <w:color w:val="auto"/>
        </w:rPr>
        <w:t>. For each Program or Licensed Program, Servier shall pay to MacroGenics the non-refundable, non-creditable amount of Five Million Dollars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($5,000,000) upon approval or acceptance of the first IND filed with the FDA (or corresponding Regulatory Authority in the EU) for such Program or Licensed Program (each an “</w:t>
      </w:r>
      <w:r>
        <w:rPr>
          <w:rFonts w:ascii="Arial" w:cs="Arial" w:eastAsia="Arial" w:hAnsi="Arial"/>
          <w:sz w:val="12"/>
          <w:szCs w:val="12"/>
          <w:u w:val="single" w:color="auto"/>
          <w:color w:val="auto"/>
        </w:rPr>
        <w:t>IND Approval Milestone</w:t>
      </w:r>
      <w:r>
        <w:rPr>
          <w:rFonts w:ascii="Arial" w:cs="Arial" w:eastAsia="Arial" w:hAnsi="Arial"/>
          <w:sz w:val="12"/>
          <w:szCs w:val="12"/>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within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receipt of the corresponding invoice.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41</w:t>
      </w:r>
    </w:p>
    <w:p>
      <w:pPr>
        <w:spacing w:after="0" w:line="12" w:lineRule="exact"/>
        <w:rPr>
          <w:sz w:val="20"/>
          <w:szCs w:val="20"/>
          <w:color w:val="auto"/>
        </w:rPr>
      </w:pPr>
    </w:p>
    <w:p>
      <w:pPr>
        <w:ind w:left="3840" w:right="2520" w:hanging="1135"/>
        <w:spacing w:after="0" w:line="341" w:lineRule="auto"/>
        <w:tabs>
          <w:tab w:leader="none" w:pos="2944" w:val="left"/>
        </w:tabs>
        <w:numPr>
          <w:ilvl w:val="0"/>
          <w:numId w:val="87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280"/>
          </w:cols>
          <w:pgMar w:left="220" w:top="246" w:right="399" w:bottom="1440" w:gutter="0" w:footer="0" w:header="0"/>
        </w:sectPr>
      </w:pPr>
    </w:p>
    <w:bookmarkStart w:id="751" w:name="page752"/>
    <w:bookmarkEnd w:id="751"/>
    <w:p>
      <w:pPr>
        <w:ind w:right="160" w:firstLine="917"/>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9.3.2 </w:t>
      </w:r>
      <w:r>
        <w:rPr>
          <w:rFonts w:ascii="Arial" w:cs="Arial" w:eastAsia="Arial" w:hAnsi="Arial"/>
          <w:sz w:val="12"/>
          <w:szCs w:val="12"/>
          <w:u w:val="single" w:color="auto"/>
          <w:color w:val="auto"/>
        </w:rPr>
        <w:t>License Term Development and Regulatory Milestones</w:t>
      </w:r>
      <w:r>
        <w:rPr>
          <w:rFonts w:ascii="Arial" w:cs="Arial" w:eastAsia="Arial" w:hAnsi="Arial"/>
          <w:sz w:val="12"/>
          <w:szCs w:val="12"/>
          <w:color w:val="auto"/>
        </w:rPr>
        <w:t>. During the License Term for each Licensed Program, for each milestone set forth in this Section 9.3.2 achieved in such Licensed Program, Servier shall pay, depending on the Licensed Program, the corresponding *** amount indicated for that milestone for the first instance of its achievement: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4220" w:type="dxa"/>
            <w:vAlign w:val="bottom"/>
            <w:gridSpan w:val="2"/>
          </w:tcPr>
          <w:p>
            <w:pPr>
              <w:jc w:val="center"/>
              <w:ind w:right="2960"/>
              <w:spacing w:after="0"/>
              <w:rPr>
                <w:sz w:val="20"/>
                <w:szCs w:val="20"/>
                <w:color w:val="auto"/>
              </w:rPr>
            </w:pPr>
            <w:r>
              <w:rPr>
                <w:rFonts w:ascii="Arial" w:cs="Arial" w:eastAsia="Arial" w:hAnsi="Arial"/>
                <w:sz w:val="10"/>
                <w:szCs w:val="10"/>
                <w:color w:val="auto"/>
                <w:w w:val="96"/>
              </w:rPr>
              <w:t>Payment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220" w:type="dxa"/>
            <w:vAlign w:val="bottom"/>
            <w:gridSpan w:val="2"/>
          </w:tcPr>
          <w:p>
            <w:pPr>
              <w:jc w:val="center"/>
              <w:ind w:right="2960"/>
              <w:spacing w:after="0"/>
              <w:rPr>
                <w:sz w:val="20"/>
                <w:szCs w:val="20"/>
                <w:color w:val="auto"/>
              </w:rPr>
            </w:pPr>
            <w:r>
              <w:rPr>
                <w:rFonts w:ascii="Arial" w:cs="Arial" w:eastAsia="Arial" w:hAnsi="Arial"/>
                <w:sz w:val="10"/>
                <w:szCs w:val="10"/>
                <w:color w:val="auto"/>
              </w:rPr>
              <w:t>For each of the ***</w:t>
            </w: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Payment</w:t>
            </w:r>
          </w:p>
        </w:tc>
        <w:tc>
          <w:tcPr>
            <w:tcW w:w="0" w:type="dxa"/>
            <w:vAlign w:val="bottom"/>
          </w:tcPr>
          <w:p>
            <w:pPr>
              <w:spacing w:after="0"/>
              <w:rPr>
                <w:sz w:val="1"/>
                <w:szCs w:val="1"/>
                <w:color w:val="auto"/>
              </w:rPr>
            </w:pPr>
          </w:p>
        </w:tc>
      </w:tr>
      <w:tr>
        <w:trPr>
          <w:trHeight w:val="115"/>
        </w:trPr>
        <w:tc>
          <w:tcPr>
            <w:tcW w:w="720" w:type="dxa"/>
            <w:vAlign w:val="bottom"/>
            <w:gridSpan w:val="2"/>
            <w:vMerge w:val="restart"/>
          </w:tcPr>
          <w:p>
            <w:pPr>
              <w:spacing w:after="0"/>
              <w:rPr>
                <w:sz w:val="20"/>
                <w:szCs w:val="20"/>
                <w:color w:val="auto"/>
              </w:rPr>
            </w:pPr>
            <w:r>
              <w:rPr>
                <w:rFonts w:ascii="Arial" w:cs="Arial" w:eastAsia="Arial" w:hAnsi="Arial"/>
                <w:sz w:val="10"/>
                <w:szCs w:val="10"/>
                <w:color w:val="auto"/>
                <w:w w:val="98"/>
              </w:rPr>
              <w:t>Milestone Event</w:t>
            </w:r>
          </w:p>
        </w:tc>
        <w:tc>
          <w:tcPr>
            <w:tcW w:w="5760" w:type="dxa"/>
            <w:vAlign w:val="bottom"/>
          </w:tcPr>
          <w:p>
            <w:pPr>
              <w:spacing w:after="0"/>
              <w:rPr>
                <w:sz w:val="9"/>
                <w:szCs w:val="9"/>
                <w:color w:val="auto"/>
              </w:rPr>
            </w:pPr>
          </w:p>
        </w:tc>
        <w:tc>
          <w:tcPr>
            <w:tcW w:w="4220" w:type="dxa"/>
            <w:vAlign w:val="bottom"/>
            <w:gridSpan w:val="2"/>
          </w:tcPr>
          <w:p>
            <w:pPr>
              <w:jc w:val="center"/>
              <w:ind w:right="2960"/>
              <w:spacing w:after="0"/>
              <w:rPr>
                <w:sz w:val="20"/>
                <w:szCs w:val="20"/>
                <w:color w:val="auto"/>
              </w:rPr>
            </w:pPr>
            <w:r>
              <w:rPr>
                <w:rFonts w:ascii="Arial" w:cs="Arial" w:eastAsia="Arial" w:hAnsi="Arial"/>
                <w:sz w:val="10"/>
                <w:szCs w:val="10"/>
                <w:color w:val="auto"/>
                <w:w w:val="95"/>
              </w:rPr>
              <w:t>Licensed Program and gpA33</w:t>
            </w:r>
          </w:p>
        </w:tc>
        <w:tc>
          <w:tcPr>
            <w:tcW w:w="760" w:type="dxa"/>
            <w:vAlign w:val="bottom"/>
          </w:tcPr>
          <w:p>
            <w:pPr>
              <w:jc w:val="center"/>
              <w:spacing w:after="0"/>
              <w:rPr>
                <w:sz w:val="20"/>
                <w:szCs w:val="20"/>
                <w:color w:val="auto"/>
              </w:rPr>
            </w:pPr>
            <w:r>
              <w:rPr>
                <w:rFonts w:ascii="Arial" w:cs="Arial" w:eastAsia="Arial" w:hAnsi="Arial"/>
                <w:sz w:val="10"/>
                <w:szCs w:val="10"/>
                <w:color w:val="auto"/>
                <w:w w:val="97"/>
              </w:rPr>
              <w:t>For the CD123</w:t>
            </w:r>
          </w:p>
        </w:tc>
        <w:tc>
          <w:tcPr>
            <w:tcW w:w="0" w:type="dxa"/>
            <w:vAlign w:val="bottom"/>
          </w:tcPr>
          <w:p>
            <w:pPr>
              <w:spacing w:after="0"/>
              <w:rPr>
                <w:sz w:val="1"/>
                <w:szCs w:val="1"/>
                <w:color w:val="auto"/>
              </w:rPr>
            </w:pPr>
          </w:p>
        </w:tc>
      </w:tr>
      <w:tr>
        <w:trPr>
          <w:trHeight w:val="112"/>
        </w:trPr>
        <w:tc>
          <w:tcPr>
            <w:tcW w:w="720" w:type="dxa"/>
            <w:vAlign w:val="bottom"/>
            <w:tcBorders>
              <w:bottom w:val="single" w:sz="8" w:color="auto"/>
            </w:tcBorders>
            <w:gridSpan w:val="2"/>
            <w:vMerge w:val="continue"/>
          </w:tcPr>
          <w:p>
            <w:pPr>
              <w:spacing w:after="0"/>
              <w:rPr>
                <w:sz w:val="9"/>
                <w:szCs w:val="9"/>
                <w:color w:val="auto"/>
              </w:rPr>
            </w:pPr>
          </w:p>
        </w:tc>
        <w:tc>
          <w:tcPr>
            <w:tcW w:w="5760" w:type="dxa"/>
            <w:vAlign w:val="bottom"/>
          </w:tcPr>
          <w:p>
            <w:pPr>
              <w:spacing w:after="0"/>
              <w:rPr>
                <w:sz w:val="9"/>
                <w:szCs w:val="9"/>
                <w:color w:val="auto"/>
              </w:rPr>
            </w:pPr>
          </w:p>
        </w:tc>
        <w:tc>
          <w:tcPr>
            <w:tcW w:w="12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93"/>
              </w:rPr>
              <w:t>Licensed Program</w:t>
            </w:r>
          </w:p>
        </w:tc>
        <w:tc>
          <w:tcPr>
            <w:tcW w:w="2960" w:type="dxa"/>
            <w:vAlign w:val="bottom"/>
          </w:tcPr>
          <w:p>
            <w:pPr>
              <w:spacing w:after="0"/>
              <w:rPr>
                <w:sz w:val="9"/>
                <w:szCs w:val="9"/>
                <w:color w:val="auto"/>
              </w:rPr>
            </w:pPr>
          </w:p>
        </w:tc>
        <w:tc>
          <w:tcPr>
            <w:tcW w:w="7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93"/>
              </w:rPr>
              <w:t>Licensed Program</w:t>
            </w: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r>
              <w:rPr>
                <w:rFonts w:ascii="Arial" w:cs="Arial" w:eastAsia="Arial" w:hAnsi="Arial"/>
                <w:sz w:val="14"/>
                <w:szCs w:val="14"/>
                <w:color w:val="auto"/>
              </w:rPr>
              <w:t>(i)</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(ii)</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(iii)</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(iv)</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(v)</w:t>
            </w:r>
          </w:p>
        </w:tc>
        <w:tc>
          <w:tcPr>
            <w:tcW w:w="4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(vi)</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(vii)</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(viii)</w:t>
            </w:r>
          </w:p>
        </w:tc>
        <w:tc>
          <w:tcPr>
            <w:tcW w:w="4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300" w:type="dxa"/>
            <w:vAlign w:val="bottom"/>
          </w:tcPr>
          <w:p>
            <w:pPr>
              <w:spacing w:after="0"/>
              <w:rPr>
                <w:sz w:val="20"/>
                <w:szCs w:val="20"/>
                <w:color w:val="auto"/>
              </w:rPr>
            </w:pPr>
            <w:r>
              <w:rPr>
                <w:rFonts w:ascii="Arial" w:cs="Arial" w:eastAsia="Arial" w:hAnsi="Arial"/>
                <w:sz w:val="14"/>
                <w:szCs w:val="14"/>
                <w:color w:val="auto"/>
              </w:rPr>
              <w:t>(ix)</w:t>
            </w:r>
          </w:p>
        </w:tc>
        <w:tc>
          <w:tcPr>
            <w:tcW w:w="4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20" w:type="dxa"/>
            <w:vAlign w:val="bottom"/>
            <w:gridSpan w:val="2"/>
          </w:tcPr>
          <w:p>
            <w:pPr>
              <w:jc w:val="center"/>
              <w:ind w:left="5672"/>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In no event shall the total of the amounts paid under this Section 9.3.2 for the *** Licensed Program and gpA33 Licensed Program exceed ***, or exceed *** for the CD 123 Licensed Program, and exceed *** in the aggregate for all of the Licensed Programs.</w:t>
      </w:r>
    </w:p>
    <w:p>
      <w:pPr>
        <w:spacing w:after="0" w:line="101" w:lineRule="exact"/>
        <w:rPr>
          <w:sz w:val="20"/>
          <w:szCs w:val="20"/>
          <w:color w:val="auto"/>
        </w:rPr>
      </w:pPr>
    </w:p>
    <w:p>
      <w:pPr>
        <w:ind w:right="300" w:firstLine="917"/>
        <w:spacing w:after="0" w:line="258" w:lineRule="auto"/>
        <w:rPr>
          <w:sz w:val="20"/>
          <w:szCs w:val="20"/>
          <w:color w:val="auto"/>
        </w:rPr>
      </w:pPr>
      <w:r>
        <w:rPr>
          <w:rFonts w:ascii="Arial" w:cs="Arial" w:eastAsia="Arial" w:hAnsi="Arial"/>
          <w:sz w:val="14"/>
          <w:szCs w:val="14"/>
          <w:color w:val="auto"/>
        </w:rPr>
        <w:t xml:space="preserve">9.3.3 </w:t>
      </w:r>
      <w:r>
        <w:rPr>
          <w:rFonts w:ascii="Arial" w:cs="Arial" w:eastAsia="Arial" w:hAnsi="Arial"/>
          <w:sz w:val="14"/>
          <w:szCs w:val="14"/>
          <w:u w:val="single" w:color="auto"/>
          <w:color w:val="auto"/>
        </w:rPr>
        <w:t>Milestone Payments</w:t>
      </w:r>
      <w:r>
        <w:rPr>
          <w:rFonts w:ascii="Arial" w:cs="Arial" w:eastAsia="Arial" w:hAnsi="Arial"/>
          <w:sz w:val="14"/>
          <w:szCs w:val="14"/>
          <w:color w:val="auto"/>
        </w:rPr>
        <w:t>. Servier shall make the milestone payments required by Section 9.4.1 and 9.3.2 in accordance with Section 9.3.6. If an event described in a clause in Section 9.3.2 occurs before or concurrently with another event described in a preceding clause in Section 9.3.2, Servier shall also pay the milestone payment described in such earlier clause when the milestone payment described in such later clause is paid.</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9.3.4 </w:t>
      </w:r>
      <w:r>
        <w:rPr>
          <w:rFonts w:ascii="Arial" w:cs="Arial" w:eastAsia="Arial" w:hAnsi="Arial"/>
          <w:sz w:val="14"/>
          <w:szCs w:val="14"/>
          <w:u w:val="single" w:color="auto"/>
          <w:color w:val="auto"/>
        </w:rPr>
        <w:t>Follow-On Products.</w:t>
      </w:r>
    </w:p>
    <w:p>
      <w:pPr>
        <w:spacing w:after="0" w:line="132" w:lineRule="exact"/>
        <w:rPr>
          <w:sz w:val="20"/>
          <w:szCs w:val="20"/>
          <w:color w:val="auto"/>
        </w:rPr>
      </w:pPr>
    </w:p>
    <w:p>
      <w:pPr>
        <w:ind w:left="1100" w:hanging="180"/>
        <w:spacing w:after="0"/>
        <w:tabs>
          <w:tab w:leader="none" w:pos="1100" w:val="left"/>
        </w:tabs>
        <w:numPr>
          <w:ilvl w:val="0"/>
          <w:numId w:val="876"/>
        </w:numPr>
        <w:rPr>
          <w:rFonts w:ascii="Arial" w:cs="Arial" w:eastAsia="Arial" w:hAnsi="Arial"/>
          <w:sz w:val="14"/>
          <w:szCs w:val="14"/>
          <w:color w:val="auto"/>
        </w:rPr>
      </w:pPr>
      <w:r>
        <w:rPr>
          <w:rFonts w:ascii="Arial" w:cs="Arial" w:eastAsia="Arial" w:hAnsi="Arial"/>
          <w:sz w:val="14"/>
          <w:szCs w:val="14"/>
          <w:color w:val="auto"/>
        </w:rPr>
        <w:t>Subject to the terms of this Agreement, ***</w:t>
      </w:r>
    </w:p>
    <w:p>
      <w:pPr>
        <w:spacing w:after="0" w:line="131" w:lineRule="exact"/>
        <w:rPr>
          <w:rFonts w:ascii="Arial" w:cs="Arial" w:eastAsia="Arial" w:hAnsi="Arial"/>
          <w:sz w:val="14"/>
          <w:szCs w:val="14"/>
          <w:color w:val="auto"/>
        </w:rPr>
      </w:pPr>
    </w:p>
    <w:p>
      <w:pPr>
        <w:ind w:right="80" w:firstLine="920"/>
        <w:spacing w:after="0" w:line="321" w:lineRule="auto"/>
        <w:tabs>
          <w:tab w:leader="none" w:pos="1109" w:val="left"/>
        </w:tabs>
        <w:numPr>
          <w:ilvl w:val="0"/>
          <w:numId w:val="876"/>
        </w:numPr>
        <w:rPr>
          <w:rFonts w:ascii="Arial" w:cs="Arial" w:eastAsia="Arial" w:hAnsi="Arial"/>
          <w:sz w:val="12"/>
          <w:szCs w:val="12"/>
          <w:color w:val="auto"/>
        </w:rPr>
      </w:pPr>
      <w:r>
        <w:rPr>
          <w:rFonts w:ascii="Arial" w:cs="Arial" w:eastAsia="Arial" w:hAnsi="Arial"/>
          <w:sz w:val="12"/>
          <w:szCs w:val="12"/>
          <w:color w:val="auto"/>
        </w:rPr>
        <w:t>If prior to the time at which a milestone payment pursuant to Section 9.3.4(a) is to be made with respect to a subsequent Licensed Product, the first Licensed Product has been substituted by a subsequent Licensed Product in the same Licensed Program or development of the first Licensed Product in the same Licensed Program has been discontinued, then the achievement by such subsequent Licensed Product of a milestone event to the extent the corresponding milestone payment under Section 9.3.2 has not been made with respect to such</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7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52" w:name="page753"/>
    <w:bookmarkEnd w:id="752"/>
    <w:p>
      <w:pPr>
        <w:ind w:right="4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substituted or discontinued first Licensed Product, shall be deemed to be achievement of the corresponding milestone event under Section 9.3.2 by the first Licensed Product entitling MacroGenics to the corresponding milestone payment under Section 9.3.2.</w:t>
      </w:r>
    </w:p>
    <w:p>
      <w:pPr>
        <w:spacing w:after="0" w:line="99" w:lineRule="exact"/>
        <w:rPr>
          <w:sz w:val="20"/>
          <w:szCs w:val="20"/>
          <w:color w:val="auto"/>
        </w:rPr>
      </w:pPr>
    </w:p>
    <w:p>
      <w:pPr>
        <w:ind w:right="80" w:firstLine="917"/>
        <w:spacing w:after="0" w:line="306" w:lineRule="auto"/>
        <w:rPr>
          <w:sz w:val="20"/>
          <w:szCs w:val="20"/>
          <w:color w:val="auto"/>
        </w:rPr>
      </w:pPr>
      <w:r>
        <w:rPr>
          <w:rFonts w:ascii="Arial" w:cs="Arial" w:eastAsia="Arial" w:hAnsi="Arial"/>
          <w:sz w:val="12"/>
          <w:szCs w:val="12"/>
          <w:color w:val="auto"/>
        </w:rPr>
        <w:t xml:space="preserve">9.3.5 </w:t>
      </w:r>
      <w:r>
        <w:rPr>
          <w:rFonts w:ascii="Arial" w:cs="Arial" w:eastAsia="Arial" w:hAnsi="Arial"/>
          <w:sz w:val="12"/>
          <w:szCs w:val="12"/>
          <w:u w:val="single" w:color="auto"/>
          <w:color w:val="auto"/>
        </w:rPr>
        <w:t>Reductions in Milestones Payable for Phase 3 Clinical Trials for the</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w:t>
      </w:r>
      <w:r>
        <w:rPr>
          <w:rFonts w:ascii="Arial" w:cs="Arial" w:eastAsia="Arial" w:hAnsi="Arial"/>
          <w:sz w:val="12"/>
          <w:szCs w:val="12"/>
          <w:color w:val="auto"/>
        </w:rPr>
        <w:t xml:space="preserve"> </w:t>
      </w:r>
      <w:r>
        <w:rPr>
          <w:rFonts w:ascii="Arial" w:cs="Arial" w:eastAsia="Arial" w:hAnsi="Arial"/>
          <w:sz w:val="12"/>
          <w:szCs w:val="12"/>
          <w:u w:val="single" w:color="auto"/>
          <w:color w:val="auto"/>
        </w:rPr>
        <w:t>DART Program or gpA33 DART Program</w:t>
      </w:r>
      <w:r>
        <w:rPr>
          <w:rFonts w:ascii="Arial" w:cs="Arial" w:eastAsia="Arial" w:hAnsi="Arial"/>
          <w:sz w:val="12"/>
          <w:szCs w:val="12"/>
          <w:color w:val="auto"/>
        </w:rPr>
        <w:t xml:space="preserve">. In the event that the conduct by Servier of a Phase 1 Clinical Trial or Phase 2 Clinical Trial for Licensed Product in accordance with the applicable Research Plan results in Servier, its Affiliates or Sublicensees conducting a Phase 3 Clinical Trial for such Licensed Product under the Global Development Plan in the same Indication as that studied in such Phase 1 Clinical Trial or Phase 2 Clinical Trial,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the initiation of any such Phase 3 Clinical Trial, Servier shall provide MacroGenics </w:t>
      </w:r>
      <w:r>
        <w:rPr>
          <w:rFonts w:ascii="Arial" w:cs="Arial" w:eastAsia="Arial" w:hAnsi="Arial"/>
          <w:sz w:val="12"/>
          <w:szCs w:val="12"/>
          <w:b w:val="1"/>
          <w:bCs w:val="1"/>
          <w:color w:val="auto"/>
        </w:rPr>
        <w:t>***</w:t>
      </w:r>
      <w:r>
        <w:rPr>
          <w:rFonts w:ascii="Arial" w:cs="Arial" w:eastAsia="Arial" w:hAnsi="Arial"/>
          <w:sz w:val="12"/>
          <w:szCs w:val="12"/>
          <w:color w:val="auto"/>
        </w:rPr>
        <w:t>. MacroGenics shall have the right to have an independent public accountant reasonably acceptable to Servier audit Servier’s books and records solely for purposes of verifying such Development Costs, upon reasonable advance notice and during Servier’s business hours, subject to the confidentiality provisions of ARTICLE 11.</w:t>
      </w:r>
    </w:p>
    <w:p>
      <w:pPr>
        <w:spacing w:after="0" w:line="83" w:lineRule="exact"/>
        <w:rPr>
          <w:sz w:val="20"/>
          <w:szCs w:val="20"/>
          <w:color w:val="auto"/>
        </w:rPr>
      </w:pPr>
    </w:p>
    <w:p>
      <w:pPr>
        <w:ind w:firstLine="917"/>
        <w:spacing w:after="0" w:line="300" w:lineRule="auto"/>
        <w:rPr>
          <w:sz w:val="20"/>
          <w:szCs w:val="20"/>
          <w:color w:val="auto"/>
        </w:rPr>
      </w:pPr>
      <w:r>
        <w:rPr>
          <w:rFonts w:ascii="Arial" w:cs="Arial" w:eastAsia="Arial" w:hAnsi="Arial"/>
          <w:sz w:val="12"/>
          <w:szCs w:val="12"/>
          <w:color w:val="auto"/>
        </w:rPr>
        <w:t xml:space="preserve">9.3.6 </w:t>
      </w:r>
      <w:r>
        <w:rPr>
          <w:rFonts w:ascii="Arial" w:cs="Arial" w:eastAsia="Arial" w:hAnsi="Arial"/>
          <w:sz w:val="12"/>
          <w:szCs w:val="12"/>
          <w:u w:val="single" w:color="auto"/>
          <w:color w:val="auto"/>
        </w:rPr>
        <w:t>CD123 Licensed Program Deferred Milestone Payments</w:t>
      </w:r>
      <w:r>
        <w:rPr>
          <w:rFonts w:ascii="Arial" w:cs="Arial" w:eastAsia="Arial" w:hAnsi="Arial"/>
          <w:sz w:val="12"/>
          <w:szCs w:val="12"/>
          <w:color w:val="auto"/>
        </w:rPr>
        <w:t xml:space="preserve">. In the event that upon the achievement of a milestone event set forth in Section 9.3.2(e) or (i) with respect to a Licensed Product from the CD123 Licensed Program the MacroGenics Patents do not include an issued patent in a final and non-appealable status before the European Patent Office, which MacroGenics Patent claims the composition of matter of the Licensed Product for which such milestone event(s) were achieved, then one hundred percent (100%) of the milestone payment(s) set forth in Section 9.3.2(e) or (i), as applicable, shall not be due until the issuance in a final and non-appealable status before the European Patent Office of a patent included in the MacroGenics Patents which specifically claims the composition of matter of such Licensed Product from the CD123 Licensed Program. For purposes of clarity, following the issuance in the EU of a patent included in the MacroGenics Patents which claims the composition of matter of a Licensed Product from the CD123 Licensed Program as provided herein above, this Section 9.3.6 shall cease to apply and Servier shall have no right to defer, in part or in whole, any milestone payment as provided in this Section 9.3.6. For further clarity, it is agreed by the Parties that as of the Effective Date none of the MacroGenics Patents listed in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Cover the composition of matter of a Licensed Product from the CD123 Program in the EU.</w:t>
      </w:r>
    </w:p>
    <w:p>
      <w:pPr>
        <w:spacing w:after="0" w:line="255" w:lineRule="exact"/>
        <w:rPr>
          <w:sz w:val="20"/>
          <w:szCs w:val="20"/>
          <w:color w:val="auto"/>
        </w:rPr>
      </w:pPr>
    </w:p>
    <w:p>
      <w:pPr>
        <w:ind w:right="480" w:firstLine="917"/>
        <w:spacing w:after="0" w:line="267" w:lineRule="auto"/>
        <w:rPr>
          <w:sz w:val="20"/>
          <w:szCs w:val="20"/>
          <w:color w:val="auto"/>
        </w:rPr>
      </w:pPr>
      <w:r>
        <w:rPr>
          <w:rFonts w:ascii="Arial" w:cs="Arial" w:eastAsia="Arial" w:hAnsi="Arial"/>
          <w:sz w:val="14"/>
          <w:szCs w:val="14"/>
          <w:color w:val="auto"/>
        </w:rPr>
        <w:t xml:space="preserve">9.3.7 </w:t>
      </w:r>
      <w:r>
        <w:rPr>
          <w:rFonts w:ascii="Arial" w:cs="Arial" w:eastAsia="Arial" w:hAnsi="Arial"/>
          <w:sz w:val="14"/>
          <w:szCs w:val="14"/>
          <w:u w:val="single" w:color="auto"/>
          <w:color w:val="auto"/>
        </w:rPr>
        <w:t>Notification; Payment</w:t>
      </w:r>
      <w:r>
        <w:rPr>
          <w:rFonts w:ascii="Arial" w:cs="Arial" w:eastAsia="Arial" w:hAnsi="Arial"/>
          <w:sz w:val="14"/>
          <w:szCs w:val="14"/>
          <w:color w:val="auto"/>
        </w:rPr>
        <w:t>. Servier shall promptly notify MacroGenics in writing of the first achievement of each of the milestones under this Section 9.3 (other than milestones under Section 9.3.1) and the corresponding milestone payment shall be due within *** after receipt of the corresponding invoice from MacroGenics.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43</w:t>
      </w:r>
    </w:p>
    <w:p>
      <w:pPr>
        <w:spacing w:after="0" w:line="12" w:lineRule="exact"/>
        <w:rPr>
          <w:sz w:val="20"/>
          <w:szCs w:val="20"/>
          <w:color w:val="auto"/>
        </w:rPr>
      </w:pPr>
    </w:p>
    <w:p>
      <w:pPr>
        <w:ind w:left="3840" w:right="2640" w:hanging="1135"/>
        <w:spacing w:after="0" w:line="341" w:lineRule="auto"/>
        <w:tabs>
          <w:tab w:leader="none" w:pos="2944" w:val="left"/>
        </w:tabs>
        <w:numPr>
          <w:ilvl w:val="0"/>
          <w:numId w:val="87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753" w:name="page754"/>
    <w:bookmarkEnd w:id="753"/>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9.4 </w:t>
      </w:r>
      <w:r>
        <w:rPr>
          <w:rFonts w:ascii="Arial" w:cs="Arial" w:eastAsia="Arial" w:hAnsi="Arial"/>
          <w:sz w:val="14"/>
          <w:szCs w:val="14"/>
          <w:u w:val="single" w:color="auto"/>
          <w:color w:val="auto"/>
        </w:rPr>
        <w:t>Sales Milestones.</w:t>
      </w:r>
    </w:p>
    <w:p>
      <w:pPr>
        <w:spacing w:after="0" w:line="132"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 xml:space="preserve">9.4.1 </w:t>
      </w:r>
      <w:r>
        <w:rPr>
          <w:rFonts w:ascii="Arial" w:cs="Arial" w:eastAsia="Arial" w:hAnsi="Arial"/>
          <w:sz w:val="14"/>
          <w:szCs w:val="14"/>
          <w:u w:val="single" w:color="auto"/>
          <w:color w:val="auto"/>
        </w:rPr>
        <w:t>Sales Milestone Payments</w:t>
      </w:r>
      <w:r>
        <w:rPr>
          <w:rFonts w:ascii="Arial" w:cs="Arial" w:eastAsia="Arial" w:hAnsi="Arial"/>
          <w:sz w:val="14"/>
          <w:szCs w:val="14"/>
          <w:color w:val="auto"/>
        </w:rPr>
        <w:t>. For each Licensed Program, Servier shall make the *** payments to MacroGenics set forth below upon the earliest achievement of each of the corresponding milestone events by the first Licensed Product to achieve such milestone in such Licensed Program:</w:t>
      </w:r>
    </w:p>
    <w:p>
      <w:pPr>
        <w:spacing w:after="0" w:line="133" w:lineRule="exact"/>
        <w:rPr>
          <w:sz w:val="20"/>
          <w:szCs w:val="20"/>
          <w:color w:val="auto"/>
        </w:rPr>
      </w:pPr>
    </w:p>
    <w:tbl>
      <w:tblPr>
        <w:tblLayout w:type="fixed"/>
        <w:tblInd w:w="1840" w:type="dxa"/>
        <w:tblCellMar>
          <w:top w:w="0" w:type="dxa"/>
          <w:left w:w="0" w:type="dxa"/>
          <w:bottom w:w="0" w:type="dxa"/>
          <w:right w:w="0" w:type="dxa"/>
        </w:tblCellMar>
      </w:tblPr>
      <w:tr>
        <w:trPr>
          <w:trHeight w:val="123"/>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98"/>
              </w:rPr>
              <w:t>Milestone Event</w:t>
            </w:r>
          </w:p>
        </w:tc>
        <w:tc>
          <w:tcPr>
            <w:tcW w:w="670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Payment</w:t>
            </w:r>
          </w:p>
        </w:tc>
      </w:tr>
      <w:tr>
        <w:trPr>
          <w:trHeight w:val="239"/>
        </w:trPr>
        <w:tc>
          <w:tcPr>
            <w:tcW w:w="280" w:type="dxa"/>
            <w:vAlign w:val="bottom"/>
          </w:tcPr>
          <w:p>
            <w:pPr>
              <w:spacing w:after="0"/>
              <w:rPr>
                <w:sz w:val="20"/>
                <w:szCs w:val="20"/>
                <w:color w:val="auto"/>
              </w:rPr>
            </w:pPr>
            <w:r>
              <w:rPr>
                <w:rFonts w:ascii="Arial" w:cs="Arial" w:eastAsia="Arial" w:hAnsi="Arial"/>
                <w:sz w:val="14"/>
                <w:szCs w:val="14"/>
                <w:color w:val="auto"/>
              </w:rPr>
              <w:t>(i)</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2"/>
              <w:spacing w:after="0"/>
              <w:rPr>
                <w:sz w:val="20"/>
                <w:szCs w:val="20"/>
                <w:color w:val="auto"/>
              </w:rPr>
            </w:pPr>
            <w:r>
              <w:rPr>
                <w:rFonts w:ascii="Arial" w:cs="Arial" w:eastAsia="Arial" w:hAnsi="Arial"/>
                <w:sz w:val="14"/>
                <w:szCs w:val="14"/>
                <w:color w:val="auto"/>
              </w:rPr>
              <w:t>***</w:t>
            </w: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(ii)</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2"/>
              <w:spacing w:after="0"/>
              <w:rPr>
                <w:sz w:val="20"/>
                <w:szCs w:val="20"/>
                <w:color w:val="auto"/>
              </w:rPr>
            </w:pPr>
            <w:r>
              <w:rPr>
                <w:rFonts w:ascii="Arial" w:cs="Arial" w:eastAsia="Arial" w:hAnsi="Arial"/>
                <w:sz w:val="14"/>
                <w:szCs w:val="14"/>
                <w:color w:val="auto"/>
              </w:rPr>
              <w:t>***</w:t>
            </w: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(iii)</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2"/>
              <w:spacing w:after="0"/>
              <w:rPr>
                <w:sz w:val="20"/>
                <w:szCs w:val="20"/>
                <w:color w:val="auto"/>
              </w:rPr>
            </w:pPr>
            <w:r>
              <w:rPr>
                <w:rFonts w:ascii="Arial" w:cs="Arial" w:eastAsia="Arial" w:hAnsi="Arial"/>
                <w:sz w:val="14"/>
                <w:szCs w:val="14"/>
                <w:color w:val="auto"/>
              </w:rPr>
              <w:t>***</w:t>
            </w: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(iv)</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2"/>
              <w:spacing w:after="0"/>
              <w:rPr>
                <w:sz w:val="20"/>
                <w:szCs w:val="20"/>
                <w:color w:val="auto"/>
              </w:rPr>
            </w:pPr>
            <w:r>
              <w:rPr>
                <w:rFonts w:ascii="Arial" w:cs="Arial" w:eastAsia="Arial" w:hAnsi="Arial"/>
                <w:sz w:val="14"/>
                <w:szCs w:val="14"/>
                <w:color w:val="auto"/>
              </w:rPr>
              <w:t>***</w:t>
            </w:r>
          </w:p>
        </w:tc>
      </w:tr>
    </w:tbl>
    <w:p>
      <w:pPr>
        <w:spacing w:after="0" w:line="120" w:lineRule="exact"/>
        <w:rPr>
          <w:sz w:val="20"/>
          <w:szCs w:val="20"/>
          <w:color w:val="auto"/>
        </w:rPr>
      </w:pPr>
    </w:p>
    <w:p>
      <w:pPr>
        <w:ind w:firstLine="917"/>
        <w:spacing w:after="0" w:line="321" w:lineRule="auto"/>
        <w:rPr>
          <w:sz w:val="20"/>
          <w:szCs w:val="20"/>
          <w:color w:val="auto"/>
        </w:rPr>
      </w:pPr>
      <w:r>
        <w:rPr>
          <w:rFonts w:ascii="Arial" w:cs="Arial" w:eastAsia="Arial" w:hAnsi="Arial"/>
          <w:sz w:val="12"/>
          <w:szCs w:val="12"/>
          <w:color w:val="auto"/>
        </w:rPr>
        <w:t xml:space="preserve">9.4.2 </w:t>
      </w:r>
      <w:r>
        <w:rPr>
          <w:rFonts w:ascii="Arial" w:cs="Arial" w:eastAsia="Arial" w:hAnsi="Arial"/>
          <w:sz w:val="12"/>
          <w:szCs w:val="12"/>
          <w:u w:val="single" w:color="auto"/>
          <w:color w:val="auto"/>
        </w:rPr>
        <w:t>Payment of Milestones</w:t>
      </w:r>
      <w:r>
        <w:rPr>
          <w:rFonts w:ascii="Arial" w:cs="Arial" w:eastAsia="Arial" w:hAnsi="Arial"/>
          <w:sz w:val="12"/>
          <w:szCs w:val="12"/>
          <w:color w:val="auto"/>
        </w:rPr>
        <w:t>. Servier shall make the milestone payments required by Section 9.4.1 in accordance with Section 9.6. If an event described in a clause in Section 9.4.1 occurs before or concurrently with another event described in a preceding clause in Section 9.4.1, Servier shall also pay the milestone payment described in such earlier clause when the milestone payment described in such later clause is paid. By way of example, if, during March 2015, ***, Servier shall pay MacroGenics the milestone payments set forth in both Sections 9.4.1(a) and (b).</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Royalties.</w:t>
      </w:r>
    </w:p>
    <w:p>
      <w:pPr>
        <w:spacing w:after="0" w:line="132"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9.5.1 Servier shall pay MacroGenics royalties on Net Sales of Licensed Products at the following rates with respect to all such Net Sales of such applicable Licensed Products achieved during the applicable Calendar Year:</w:t>
      </w:r>
    </w:p>
    <w:p>
      <w:pPr>
        <w:spacing w:after="0" w:line="133" w:lineRule="exact"/>
        <w:rPr>
          <w:sz w:val="20"/>
          <w:szCs w:val="20"/>
          <w:color w:val="auto"/>
        </w:rPr>
      </w:pPr>
    </w:p>
    <w:tbl>
      <w:tblPr>
        <w:tblLayout w:type="fixed"/>
        <w:tblInd w:w="1840" w:type="dxa"/>
        <w:tblCellMar>
          <w:top w:w="0" w:type="dxa"/>
          <w:left w:w="0" w:type="dxa"/>
          <w:bottom w:w="0" w:type="dxa"/>
          <w:right w:w="0" w:type="dxa"/>
        </w:tblCellMar>
      </w:tblPr>
      <w:tr>
        <w:trPr>
          <w:trHeight w:val="12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99"/>
              </w:rPr>
              <w:t>Annual Net Sales Threshold</w:t>
            </w:r>
          </w:p>
        </w:tc>
        <w:tc>
          <w:tcPr>
            <w:tcW w:w="5980" w:type="dxa"/>
            <w:vAlign w:val="bottom"/>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Royalty Rate</w:t>
            </w:r>
          </w:p>
        </w:tc>
      </w:tr>
      <w:tr>
        <w:trPr>
          <w:trHeight w:val="239"/>
        </w:trPr>
        <w:tc>
          <w:tcPr>
            <w:tcW w:w="280" w:type="dxa"/>
            <w:vAlign w:val="bottom"/>
          </w:tcPr>
          <w:p>
            <w:pPr>
              <w:spacing w:after="0"/>
              <w:rPr>
                <w:sz w:val="20"/>
                <w:szCs w:val="20"/>
                <w:color w:val="auto"/>
              </w:rPr>
            </w:pPr>
            <w:r>
              <w:rPr>
                <w:rFonts w:ascii="Arial" w:cs="Arial" w:eastAsia="Arial" w:hAnsi="Arial"/>
                <w:sz w:val="14"/>
                <w:szCs w:val="14"/>
                <w:color w:val="auto"/>
              </w:rPr>
              <w:t>(i)</w:t>
            </w:r>
          </w:p>
        </w:tc>
        <w:tc>
          <w:tcPr>
            <w:tcW w:w="98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(ii)</w:t>
            </w:r>
          </w:p>
        </w:tc>
        <w:tc>
          <w:tcPr>
            <w:tcW w:w="98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(iii)</w:t>
            </w:r>
          </w:p>
        </w:tc>
        <w:tc>
          <w:tcPr>
            <w:tcW w:w="98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r>
        <w:trPr>
          <w:trHeight w:val="251"/>
        </w:trPr>
        <w:tc>
          <w:tcPr>
            <w:tcW w:w="280" w:type="dxa"/>
            <w:vAlign w:val="bottom"/>
          </w:tcPr>
          <w:p>
            <w:pPr>
              <w:spacing w:after="0"/>
              <w:rPr>
                <w:sz w:val="20"/>
                <w:szCs w:val="20"/>
                <w:color w:val="auto"/>
              </w:rPr>
            </w:pPr>
            <w:r>
              <w:rPr>
                <w:rFonts w:ascii="Arial" w:cs="Arial" w:eastAsia="Arial" w:hAnsi="Arial"/>
                <w:sz w:val="14"/>
                <w:szCs w:val="14"/>
                <w:color w:val="auto"/>
              </w:rPr>
              <w:t>(iv)</w:t>
            </w:r>
          </w:p>
        </w:tc>
        <w:tc>
          <w:tcPr>
            <w:tcW w:w="98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bl>
    <w:p>
      <w:pPr>
        <w:spacing w:after="0" w:line="12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9.5.2 </w:t>
      </w:r>
      <w:r>
        <w:rPr>
          <w:rFonts w:ascii="Arial" w:cs="Arial" w:eastAsia="Arial" w:hAnsi="Arial"/>
          <w:sz w:val="12"/>
          <w:szCs w:val="12"/>
          <w:u w:val="single" w:color="auto"/>
          <w:color w:val="auto"/>
        </w:rPr>
        <w:t>Royalty Term</w:t>
      </w:r>
      <w:r>
        <w:rPr>
          <w:rFonts w:ascii="Arial" w:cs="Arial" w:eastAsia="Arial" w:hAnsi="Arial"/>
          <w:sz w:val="12"/>
          <w:szCs w:val="12"/>
          <w:color w:val="auto"/>
        </w:rPr>
        <w:t>. Servier’s royalty obligations to MacroGenics under this Section 9.5 shall expire on a country-by-country and Licensed Product-by-Licensed Product basis on the later of:</w:t>
      </w:r>
    </w:p>
    <w:p>
      <w:pPr>
        <w:spacing w:after="0" w:line="35" w:lineRule="exact"/>
        <w:rPr>
          <w:sz w:val="20"/>
          <w:szCs w:val="20"/>
          <w:color w:val="auto"/>
        </w:rPr>
      </w:pPr>
    </w:p>
    <w:p>
      <w:pPr>
        <w:ind w:left="240" w:hanging="236"/>
        <w:spacing w:after="0"/>
        <w:tabs>
          <w:tab w:leader="none" w:pos="240" w:val="left"/>
        </w:tabs>
        <w:numPr>
          <w:ilvl w:val="0"/>
          <w:numId w:val="879"/>
        </w:numPr>
        <w:rPr>
          <w:rFonts w:ascii="Arial" w:cs="Arial" w:eastAsia="Arial" w:hAnsi="Arial"/>
          <w:sz w:val="14"/>
          <w:szCs w:val="14"/>
          <w:b w:val="1"/>
          <w:bCs w:val="1"/>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Royalty Term</w:t>
      </w:r>
      <w:r>
        <w:rPr>
          <w:rFonts w:ascii="Arial" w:cs="Arial" w:eastAsia="Arial" w:hAnsi="Arial"/>
          <w:sz w:val="14"/>
          <w:szCs w:val="14"/>
          <w:color w:val="auto"/>
        </w:rPr>
        <w:t>”).</w:t>
      </w:r>
    </w:p>
    <w:p>
      <w:pPr>
        <w:spacing w:after="0" w:line="126" w:lineRule="exact"/>
        <w:rPr>
          <w:sz w:val="20"/>
          <w:szCs w:val="20"/>
          <w:color w:val="auto"/>
        </w:rPr>
      </w:pPr>
    </w:p>
    <w:p>
      <w:pPr>
        <w:jc w:val="both"/>
        <w:ind w:right="100" w:firstLine="917"/>
        <w:spacing w:after="0" w:line="258" w:lineRule="auto"/>
        <w:rPr>
          <w:sz w:val="20"/>
          <w:szCs w:val="20"/>
          <w:color w:val="auto"/>
        </w:rPr>
      </w:pPr>
      <w:r>
        <w:rPr>
          <w:rFonts w:ascii="Arial" w:cs="Arial" w:eastAsia="Arial" w:hAnsi="Arial"/>
          <w:sz w:val="14"/>
          <w:szCs w:val="14"/>
          <w:color w:val="auto"/>
        </w:rPr>
        <w:t xml:space="preserve">9.5.3 </w:t>
      </w:r>
      <w:r>
        <w:rPr>
          <w:rFonts w:ascii="Arial" w:cs="Arial" w:eastAsia="Arial" w:hAnsi="Arial"/>
          <w:sz w:val="14"/>
          <w:szCs w:val="14"/>
          <w:u w:val="single" w:color="auto"/>
          <w:color w:val="auto"/>
        </w:rPr>
        <w:t>Third Party Royalty Offset</w:t>
      </w:r>
      <w:r>
        <w:rPr>
          <w:rFonts w:ascii="Arial" w:cs="Arial" w:eastAsia="Arial" w:hAnsi="Arial"/>
          <w:sz w:val="14"/>
          <w:szCs w:val="14"/>
          <w:color w:val="auto"/>
        </w:rPr>
        <w:t>. If, after the License Grant Date, Servier or its sublicensee or designee: (ai) is required, as agreed by the Parties in good faith, ***, to obtain a license from any Third Party under Patents controlled by such Third Party in order to make, have made, use, sell, offer for sale or import a Program DART and/or a Licensed Product in any country in the Servier Territory, and pursuant to such license *** or (b) is required by any court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8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54" w:name="page755"/>
    <w:bookmarkEnd w:id="754"/>
    <w:p>
      <w:pPr>
        <w:ind w:right="8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competent jurisdiction, due to infringement of patent rights controlled by such Third Party in any country(ies) in the Servier Territory, *** then Servier may deduct from the milestones and/or royalties that would otherwise be due to MacroGenics on Net Sales resulting from the sales of such Licensed Product in such country in a Calendar Quarter *** of the amount paid by Servier to such Third Party with respect to such Licensed Product for such country during such Calendar Quarter; ***</w:t>
      </w:r>
    </w:p>
    <w:p>
      <w:pPr>
        <w:spacing w:after="0" w:line="106" w:lineRule="exact"/>
        <w:rPr>
          <w:sz w:val="20"/>
          <w:szCs w:val="20"/>
          <w:color w:val="auto"/>
        </w:rPr>
      </w:pPr>
    </w:p>
    <w:p>
      <w:pPr>
        <w:ind w:firstLine="917"/>
        <w:spacing w:after="0" w:line="259" w:lineRule="auto"/>
        <w:rPr>
          <w:sz w:val="20"/>
          <w:szCs w:val="20"/>
          <w:color w:val="auto"/>
        </w:rPr>
      </w:pPr>
      <w:r>
        <w:rPr>
          <w:rFonts w:ascii="Arial" w:cs="Arial" w:eastAsia="Arial" w:hAnsi="Arial"/>
          <w:sz w:val="14"/>
          <w:szCs w:val="14"/>
          <w:color w:val="auto"/>
        </w:rPr>
        <w:t xml:space="preserve">9.5.4 </w:t>
      </w:r>
      <w:r>
        <w:rPr>
          <w:rFonts w:ascii="Arial" w:cs="Arial" w:eastAsia="Arial" w:hAnsi="Arial"/>
          <w:sz w:val="14"/>
          <w:szCs w:val="14"/>
          <w:u w:val="single" w:color="auto"/>
          <w:color w:val="auto"/>
        </w:rPr>
        <w:t>Generic Competition</w:t>
      </w:r>
      <w:r>
        <w:rPr>
          <w:rFonts w:ascii="Arial" w:cs="Arial" w:eastAsia="Arial" w:hAnsi="Arial"/>
          <w:sz w:val="14"/>
          <w:szCs w:val="14"/>
          <w:color w:val="auto"/>
        </w:rPr>
        <w:t xml:space="preserve">. If at any time following the First Commercial Sale, Generic Competition exists in any country of the Servier Territory, Servier shall deduct </w:t>
      </w:r>
      <w:r>
        <w:rPr>
          <w:rFonts w:ascii="Arial" w:cs="Arial" w:eastAsia="Arial" w:hAnsi="Arial"/>
          <w:sz w:val="14"/>
          <w:szCs w:val="14"/>
          <w:b w:val="1"/>
          <w:bCs w:val="1"/>
          <w:color w:val="auto"/>
        </w:rPr>
        <w:t>***</w:t>
      </w:r>
      <w:r>
        <w:rPr>
          <w:rFonts w:ascii="Arial" w:cs="Arial" w:eastAsia="Arial" w:hAnsi="Arial"/>
          <w:sz w:val="14"/>
          <w:szCs w:val="14"/>
          <w:color w:val="auto"/>
        </w:rPr>
        <w:t xml:space="preserve"> from the royalties that would otherwise be due to MacroGenics on Net Sales (based on the effective, weighted-average royalty rate) resulting from the sales of such Licensed Product in such country during the applicable Calendar Quarter in which such Generic Competition exists.</w:t>
      </w:r>
    </w:p>
    <w:p>
      <w:pPr>
        <w:spacing w:after="0" w:line="108" w:lineRule="exact"/>
        <w:rPr>
          <w:sz w:val="20"/>
          <w:szCs w:val="20"/>
          <w:color w:val="auto"/>
        </w:rPr>
      </w:pPr>
    </w:p>
    <w:p>
      <w:pPr>
        <w:ind w:right="200" w:firstLine="458"/>
        <w:spacing w:after="0" w:line="255"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Reports; Payments</w:t>
      </w:r>
      <w:r>
        <w:rPr>
          <w:rFonts w:ascii="Arial" w:cs="Arial" w:eastAsia="Arial" w:hAnsi="Arial"/>
          <w:sz w:val="14"/>
          <w:szCs w:val="14"/>
          <w:color w:val="auto"/>
        </w:rPr>
        <w:t>. Within *** after the end of each Calendar Quarter during which there are Net Sales giving rise to a payment obligation under Section 9.4 or 9.5, Servier shall submit to MacroGenics a report identifying for each Licensed Product, the Net Sales for such Licensed Product for each country in the Servier Territory for such Calendar Quarter, the calculation of royalties (including gross sales and all deductions taken from gross sales), and the royalties and the sales milestones payable to MacroGenics. Within *** of the delivery of each such report, Servier shall pay to MacroGenics all royalties and sales milestones payable by it under Sections 9.4 and 9.5.</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Methods of Payments.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9.7.1 All payments due under this Agreement shall be paid in Dollars *** by wire transfer to a bank in the United States designated in writing by MacroGenics.</w:t>
      </w:r>
    </w:p>
    <w:p>
      <w:pPr>
        <w:spacing w:after="0" w:line="132" w:lineRule="exact"/>
        <w:rPr>
          <w:sz w:val="20"/>
          <w:szCs w:val="20"/>
          <w:color w:val="auto"/>
        </w:rPr>
      </w:pPr>
    </w:p>
    <w:p>
      <w:pPr>
        <w:ind w:right="40" w:firstLine="917"/>
        <w:spacing w:after="0" w:line="351" w:lineRule="auto"/>
        <w:rPr>
          <w:sz w:val="20"/>
          <w:szCs w:val="20"/>
          <w:color w:val="auto"/>
        </w:rPr>
      </w:pPr>
      <w:r>
        <w:rPr>
          <w:rFonts w:ascii="Arial" w:cs="Arial" w:eastAsia="Arial" w:hAnsi="Arial"/>
          <w:sz w:val="12"/>
          <w:szCs w:val="12"/>
          <w:color w:val="auto"/>
        </w:rPr>
        <w:t>9.7.2 For the purposes of determining the amount of any sales milestone payment under Section 9.4 or royalties due for the relevant Calendar Quarter under Section 9.5, the amount of Net Sales in any non-Euro currency shall be converted into Euro using the average of daily closing rates of exchange published by European Central Bank for the monthly period in which Net Sales are accounted.</w:t>
      </w:r>
    </w:p>
    <w:p>
      <w:pPr>
        <w:spacing w:after="0" w:line="56" w:lineRule="exact"/>
        <w:rPr>
          <w:sz w:val="20"/>
          <w:szCs w:val="20"/>
          <w:color w:val="auto"/>
        </w:rPr>
      </w:pPr>
    </w:p>
    <w:p>
      <w:pPr>
        <w:ind w:firstLine="458"/>
        <w:spacing w:after="0" w:line="351"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u w:val="single" w:color="auto"/>
          <w:color w:val="auto"/>
        </w:rPr>
        <w:t>Late Payments</w:t>
      </w:r>
      <w:r>
        <w:rPr>
          <w:rFonts w:ascii="Arial" w:cs="Arial" w:eastAsia="Arial" w:hAnsi="Arial"/>
          <w:sz w:val="12"/>
          <w:szCs w:val="12"/>
          <w:color w:val="auto"/>
        </w:rPr>
        <w:t xml:space="preserve">. Any amount owed by Servier to MacroGenics under this Agreement that is not paid on or before the date such payment is due shall bear interest at a rate per annum equal to the lesser of (a) </w:t>
      </w:r>
      <w:r>
        <w:rPr>
          <w:rFonts w:ascii="Arial" w:cs="Arial" w:eastAsia="Arial" w:hAnsi="Arial"/>
          <w:sz w:val="12"/>
          <w:szCs w:val="12"/>
          <w:b w:val="1"/>
          <w:bCs w:val="1"/>
          <w:color w:val="auto"/>
        </w:rPr>
        <w:t>***</w:t>
      </w:r>
      <w:r>
        <w:rPr>
          <w:rFonts w:ascii="Arial" w:cs="Arial" w:eastAsia="Arial" w:hAnsi="Arial"/>
          <w:sz w:val="12"/>
          <w:szCs w:val="12"/>
          <w:color w:val="auto"/>
        </w:rPr>
        <w:t>, or (b) the highest rate permitted by applicable Law, calculated on the number of days such payments are paid after such payments are due and compounded monthly. ***</w:t>
      </w:r>
    </w:p>
    <w:p>
      <w:pPr>
        <w:spacing w:after="0" w:line="56"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 xml:space="preserve">9.9 </w:t>
      </w:r>
      <w:r>
        <w:rPr>
          <w:rFonts w:ascii="Arial" w:cs="Arial" w:eastAsia="Arial" w:hAnsi="Arial"/>
          <w:sz w:val="12"/>
          <w:szCs w:val="12"/>
          <w:u w:val="single" w:color="auto"/>
          <w:color w:val="auto"/>
        </w:rPr>
        <w:t>Taxes</w:t>
      </w:r>
      <w:r>
        <w:rPr>
          <w:rFonts w:ascii="Arial" w:cs="Arial" w:eastAsia="Arial" w:hAnsi="Arial"/>
          <w:sz w:val="12"/>
          <w:szCs w:val="12"/>
          <w:color w:val="auto"/>
        </w:rPr>
        <w:t>. All payments due and payable under this Agreement will be made without any deduction or withholding for on account of any tax by application of the Tax Treaty in force between France and The United States since August 31</w:t>
      </w:r>
      <w:r>
        <w:rPr>
          <w:rFonts w:ascii="Arial" w:cs="Arial" w:eastAsia="Arial" w:hAnsi="Arial"/>
          <w:sz w:val="7"/>
          <w:szCs w:val="7"/>
          <w:color w:val="auto"/>
        </w:rPr>
        <w:t>st</w:t>
      </w:r>
      <w:r>
        <w:rPr>
          <w:rFonts w:ascii="Arial" w:cs="Arial" w:eastAsia="Arial" w:hAnsi="Arial"/>
          <w:sz w:val="12"/>
          <w:szCs w:val="12"/>
          <w:color w:val="auto"/>
        </w:rPr>
        <w:t xml:space="preserve"> 1994 and in accordance with its amendment signed January 13</w:t>
      </w:r>
      <w:r>
        <w:rPr>
          <w:rFonts w:ascii="Arial" w:cs="Arial" w:eastAsia="Arial" w:hAnsi="Arial"/>
          <w:sz w:val="7"/>
          <w:szCs w:val="7"/>
          <w:color w:val="auto"/>
        </w:rPr>
        <w:t>th</w:t>
      </w:r>
      <w:r>
        <w:rPr>
          <w:rFonts w:ascii="Arial" w:cs="Arial" w:eastAsia="Arial" w:hAnsi="Arial"/>
          <w:sz w:val="12"/>
          <w:szCs w:val="12"/>
          <w:color w:val="auto"/>
        </w:rPr>
        <w:t xml:space="preserve"> 2009 which came into force retroactively January 1</w:t>
      </w:r>
      <w:r>
        <w:rPr>
          <w:rFonts w:ascii="Arial" w:cs="Arial" w:eastAsia="Arial" w:hAnsi="Arial"/>
          <w:sz w:val="7"/>
          <w:szCs w:val="7"/>
          <w:color w:val="auto"/>
        </w:rPr>
        <w:t>st</w:t>
      </w:r>
      <w:r>
        <w:rPr>
          <w:rFonts w:ascii="Arial" w:cs="Arial" w:eastAsia="Arial" w:hAnsi="Arial"/>
          <w:sz w:val="12"/>
          <w:szCs w:val="12"/>
          <w:color w:val="auto"/>
        </w:rPr>
        <w:t xml:space="preserve"> 2009, unless such deduction or withholding tax is required by applicable laws. If the paying Party is so required to deduct or withhold, such Party shall (a) promptly notify the other Party of such requirement, (b)</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8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755" w:name="page756"/>
    <w:bookmarkEnd w:id="755"/>
    <w:p>
      <w:pPr>
        <w:ind w:right="20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pay to the relevant authorities the full amount required to be deducted or withheld promptly upon the earlier of determining that such deduction or withholding is required or receiving notice that such amount has been assessed against the other Party, and (c) promptly forward to the other Party an official receipt (or certified copy), or other documentation reasonably acceptable to the other Party evidencing such payment to such authorities.</w:t>
      </w:r>
    </w:p>
    <w:p>
      <w:pPr>
        <w:spacing w:after="0" w:line="108" w:lineRule="exact"/>
        <w:rPr>
          <w:sz w:val="20"/>
          <w:szCs w:val="20"/>
          <w:color w:val="auto"/>
        </w:rPr>
      </w:pPr>
    </w:p>
    <w:p>
      <w:pPr>
        <w:ind w:right="20" w:firstLine="458"/>
        <w:spacing w:after="0" w:line="297" w:lineRule="auto"/>
        <w:rPr>
          <w:sz w:val="20"/>
          <w:szCs w:val="20"/>
          <w:color w:val="auto"/>
        </w:rPr>
      </w:pPr>
      <w:r>
        <w:rPr>
          <w:rFonts w:ascii="Arial" w:cs="Arial" w:eastAsia="Arial" w:hAnsi="Arial"/>
          <w:sz w:val="12"/>
          <w:szCs w:val="12"/>
          <w:color w:val="auto"/>
        </w:rPr>
        <w:t xml:space="preserve">9.10 </w:t>
      </w:r>
      <w:r>
        <w:rPr>
          <w:rFonts w:ascii="Arial" w:cs="Arial" w:eastAsia="Arial" w:hAnsi="Arial"/>
          <w:sz w:val="12"/>
          <w:szCs w:val="12"/>
          <w:u w:val="single" w:color="auto"/>
          <w:color w:val="auto"/>
        </w:rPr>
        <w:t>Books and Records; Audit Rights</w:t>
      </w:r>
      <w:r>
        <w:rPr>
          <w:rFonts w:ascii="Arial" w:cs="Arial" w:eastAsia="Arial" w:hAnsi="Arial"/>
          <w:sz w:val="12"/>
          <w:szCs w:val="12"/>
          <w:color w:val="auto"/>
        </w:rPr>
        <w:t>. Each Party (the “</w:t>
      </w:r>
      <w:r>
        <w:rPr>
          <w:rFonts w:ascii="Arial" w:cs="Arial" w:eastAsia="Arial" w:hAnsi="Arial"/>
          <w:sz w:val="12"/>
          <w:szCs w:val="12"/>
          <w:u w:val="single" w:color="auto"/>
          <w:color w:val="auto"/>
        </w:rPr>
        <w:t>Audited Party</w:t>
      </w:r>
      <w:r>
        <w:rPr>
          <w:rFonts w:ascii="Arial" w:cs="Arial" w:eastAsia="Arial" w:hAnsi="Arial"/>
          <w:sz w:val="12"/>
          <w:szCs w:val="12"/>
          <w:color w:val="auto"/>
        </w:rPr>
        <w:t>”) shall keep (and, in the case of Servier, shall cause its Affiliates and Sublicensees to keep) complete, true and accurate books and records in accordance with its Accounting Standards in sufficient detail for the other Party (the “</w:t>
      </w:r>
      <w:r>
        <w:rPr>
          <w:rFonts w:ascii="Arial" w:cs="Arial" w:eastAsia="Arial" w:hAnsi="Arial"/>
          <w:sz w:val="12"/>
          <w:szCs w:val="12"/>
          <w:u w:val="single" w:color="auto"/>
          <w:color w:val="auto"/>
        </w:rPr>
        <w:t>Auditing Party</w:t>
      </w:r>
      <w:r>
        <w:rPr>
          <w:rFonts w:ascii="Arial" w:cs="Arial" w:eastAsia="Arial" w:hAnsi="Arial"/>
          <w:sz w:val="12"/>
          <w:szCs w:val="12"/>
          <w:color w:val="auto"/>
        </w:rPr>
        <w:t>”) to determine the payments due and costs incurred under this Agreement. Each Auditing Party shall have the right, once annually at its own expense, to have an independent, certified public accounting firm of nationally recognized standing, selected by the Auditing Party and reasonably acceptable to the Audited Party, review any such records of the Audited Party in the location(s) where such records are maintained by the Audited Party upon reasonable notice (which shall be no less than *** prior notice) and during regular business hours and under obligations of strict confidence, for the sole purpose of verifying the accuracy of the amounts paid under this Agreement within a *** period preceding the date of the request for review. The report of such accounting firm shall be limited to a certificate stating whether any report made or invoice or payment submitted by the Audited Party during such period is accurate or inaccurate and the actual amounts of Development Costs and the amount of any Net Sales, milestone or royalty discrepancy. No other information shall be provided to the Auditing Party. The Audited Party shall receive a copy of each such report concurrently with receipt by the Auditing Party. Should such inspection lead to the discovery of a discrepancy to the Auditing Party’s detriment, the Audited Party shall pay the amount of the discrepancy within *** after its receipt from the accounting firm of the certificate showing the amount of the discrepancy. The Auditing Party shall pay the full cost of the review unless the underpayment of milestones, royalties and/or Development Costs, is greater than *** of the amount due for the applicable period, in which case the Audited Party shall pay the reasonable costs charged by such accounting firm for such review.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OWNERSHIP OF INTELLECTUAL PROPERTY RIGHTS</w:t>
      </w:r>
    </w:p>
    <w:p>
      <w:pPr>
        <w:spacing w:after="0" w:line="126"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Inventorship</w:t>
      </w:r>
      <w:r>
        <w:rPr>
          <w:rFonts w:ascii="Arial" w:cs="Arial" w:eastAsia="Arial" w:hAnsi="Arial"/>
          <w:sz w:val="14"/>
          <w:szCs w:val="14"/>
          <w:color w:val="auto"/>
        </w:rPr>
        <w:t>. Inventorship for patentable inventions conceived or reduced to practice during the course of the performance of activities pursuant to this Agreement shall be determined in accordance with patent laws where the invention was invented.</w:t>
      </w:r>
    </w:p>
    <w:p>
      <w:pPr>
        <w:spacing w:after="0" w:line="101" w:lineRule="exact"/>
        <w:rPr>
          <w:sz w:val="20"/>
          <w:szCs w:val="20"/>
          <w:color w:val="auto"/>
        </w:rPr>
      </w:pPr>
    </w:p>
    <w:p>
      <w:pPr>
        <w:jc w:val="both"/>
        <w:ind w:right="40" w:firstLine="458"/>
        <w:spacing w:after="0" w:line="255"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Ownership</w:t>
      </w:r>
      <w:r>
        <w:rPr>
          <w:rFonts w:ascii="Arial" w:cs="Arial" w:eastAsia="Arial" w:hAnsi="Arial"/>
          <w:sz w:val="14"/>
          <w:szCs w:val="14"/>
          <w:color w:val="auto"/>
        </w:rPr>
        <w:t>. Subject to the licenses and rights granted to Servier under this Agreement, MacroGenics shall own the entire right, title and interest in and to all inventions and discoveries (and Patents claiming patentable inventions therein) first made or discovered solely by employees or consultants of MacroGenics or acquired solely by MacroGenics in the course of Research, Development, Manufacture or Commercialization of Program DARTs and/or Licensed Products. Subject to the licenses and rights granted to MacroGenics under this Agreement, Servier shall own the entire right, title and interest in and to all inventions and discoveries (and Patents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8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56" w:name="page757"/>
    <w:bookmarkEnd w:id="756"/>
    <w:p>
      <w:pPr>
        <w:ind w:right="7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claiming patentable inventions therein) first made or discovered solely by employees or consultants of Servier or acquired solely by Servier in the course of Research, Development, Manufacture or Commercialization of Program DARTs and/or Licensed Product. The Parties shall jointly own any Joint IP.</w:t>
      </w:r>
    </w:p>
    <w:p>
      <w:pPr>
        <w:spacing w:after="0" w:line="101" w:lineRule="exact"/>
        <w:rPr>
          <w:sz w:val="20"/>
          <w:szCs w:val="20"/>
          <w:color w:val="auto"/>
        </w:rPr>
      </w:pPr>
    </w:p>
    <w:p>
      <w:pPr>
        <w:jc w:val="center"/>
        <w:ind w:right="8040"/>
        <w:spacing w:after="0"/>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Prosecution and Maintenance of Patents</w:t>
      </w:r>
      <w:r>
        <w:rPr>
          <w:rFonts w:ascii="Arial" w:cs="Arial" w:eastAsia="Arial" w:hAnsi="Arial"/>
          <w:sz w:val="14"/>
          <w:szCs w:val="14"/>
          <w:color w:val="auto"/>
        </w:rPr>
        <w:t>.</w:t>
      </w:r>
    </w:p>
    <w:p>
      <w:pPr>
        <w:spacing w:after="0" w:line="132" w:lineRule="exact"/>
        <w:rPr>
          <w:sz w:val="20"/>
          <w:szCs w:val="20"/>
          <w:color w:val="auto"/>
        </w:rPr>
      </w:pPr>
    </w:p>
    <w:p>
      <w:pPr>
        <w:jc w:val="center"/>
        <w:ind w:right="8040"/>
        <w:spacing w:after="0"/>
        <w:rPr>
          <w:sz w:val="20"/>
          <w:szCs w:val="20"/>
          <w:color w:val="auto"/>
        </w:rPr>
      </w:pPr>
      <w:r>
        <w:rPr>
          <w:rFonts w:ascii="Arial" w:cs="Arial" w:eastAsia="Arial" w:hAnsi="Arial"/>
          <w:sz w:val="14"/>
          <w:szCs w:val="14"/>
          <w:color w:val="auto"/>
        </w:rPr>
        <w:t xml:space="preserve">10.3.1 </w:t>
      </w:r>
      <w:r>
        <w:rPr>
          <w:rFonts w:ascii="Arial" w:cs="Arial" w:eastAsia="Arial" w:hAnsi="Arial"/>
          <w:sz w:val="14"/>
          <w:szCs w:val="14"/>
          <w:u w:val="single" w:color="auto"/>
          <w:color w:val="auto"/>
        </w:rPr>
        <w:t>MacroGenics Patents.</w:t>
      </w:r>
    </w:p>
    <w:p>
      <w:pPr>
        <w:spacing w:after="0" w:line="132" w:lineRule="exact"/>
        <w:rPr>
          <w:sz w:val="20"/>
          <w:szCs w:val="20"/>
          <w:color w:val="auto"/>
        </w:rPr>
      </w:pPr>
    </w:p>
    <w:p>
      <w:pPr>
        <w:ind w:right="220" w:firstLine="920"/>
        <w:spacing w:after="0" w:line="302" w:lineRule="auto"/>
        <w:tabs>
          <w:tab w:leader="none" w:pos="1101" w:val="left"/>
        </w:tabs>
        <w:numPr>
          <w:ilvl w:val="0"/>
          <w:numId w:val="883"/>
        </w:numPr>
        <w:rPr>
          <w:rFonts w:ascii="Arial" w:cs="Arial" w:eastAsia="Arial" w:hAnsi="Arial"/>
          <w:sz w:val="12"/>
          <w:szCs w:val="12"/>
          <w:color w:val="auto"/>
        </w:rPr>
      </w:pPr>
      <w:r>
        <w:rPr>
          <w:rFonts w:ascii="Arial" w:cs="Arial" w:eastAsia="Arial" w:hAnsi="Arial"/>
          <w:sz w:val="12"/>
          <w:szCs w:val="12"/>
          <w:color w:val="auto"/>
        </w:rPr>
        <w:t>MacroGenics shall have the sole right to, at MacroGenics’ discretion, file, prosecute, and maintain (including the defense of any interference or opposition proceedings), all MacroGenics Patents. *** MacroGenics shall provide to Servier copies of all prosecution filings related to MacroGenics Patents comprising claims Covering Program DARTs and/or Licensed Products (“</w:t>
      </w:r>
      <w:r>
        <w:rPr>
          <w:rFonts w:ascii="Arial" w:cs="Arial" w:eastAsia="Arial" w:hAnsi="Arial"/>
          <w:sz w:val="12"/>
          <w:szCs w:val="12"/>
          <w:u w:val="single" w:color="auto"/>
          <w:color w:val="auto"/>
        </w:rPr>
        <w:t>MacroGenics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Product Patents</w:t>
      </w:r>
      <w:r>
        <w:rPr>
          <w:rFonts w:ascii="Arial" w:cs="Arial" w:eastAsia="Arial" w:hAnsi="Arial"/>
          <w:sz w:val="12"/>
          <w:szCs w:val="12"/>
          <w:color w:val="auto"/>
        </w:rPr>
        <w:t xml:space="preserve">”) sent to or received from patent offices in the Servier Territory, unless otherwise directed by Servier, and, shall provide Servier with a draft of any filing within thirty (30) days in advance of submission, provide Servier an opportunity to provide comments on and make request of MacroGenics concerning such filings and shall consider in good faith any comments regarding such draft filings that Servier may timely provide. If Servier no longer desires to retain its license under any MacroGenics Patent in the Servier Territory, and desires to ***, it shall have the right to ***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Following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the Patent(s) referenced in such notice shall no longer be deemed a MacroGenics Patent(s) and Servier shall have no rights hereunder with respect to such Patent.</w:t>
      </w:r>
    </w:p>
    <w:p>
      <w:pPr>
        <w:spacing w:after="0" w:line="86" w:lineRule="exact"/>
        <w:rPr>
          <w:rFonts w:ascii="Arial" w:cs="Arial" w:eastAsia="Arial" w:hAnsi="Arial"/>
          <w:sz w:val="12"/>
          <w:szCs w:val="12"/>
          <w:color w:val="auto"/>
        </w:rPr>
      </w:pPr>
    </w:p>
    <w:p>
      <w:pPr>
        <w:ind w:firstLine="920"/>
        <w:spacing w:after="0" w:line="300" w:lineRule="auto"/>
        <w:tabs>
          <w:tab w:leader="none" w:pos="1109" w:val="left"/>
        </w:tabs>
        <w:numPr>
          <w:ilvl w:val="0"/>
          <w:numId w:val="883"/>
        </w:numPr>
        <w:rPr>
          <w:rFonts w:ascii="Arial" w:cs="Arial" w:eastAsia="Arial" w:hAnsi="Arial"/>
          <w:sz w:val="12"/>
          <w:szCs w:val="12"/>
          <w:color w:val="auto"/>
        </w:rPr>
      </w:pPr>
      <w:r>
        <w:rPr>
          <w:rFonts w:ascii="Arial" w:cs="Arial" w:eastAsia="Arial" w:hAnsi="Arial"/>
          <w:sz w:val="12"/>
          <w:szCs w:val="12"/>
          <w:color w:val="auto"/>
        </w:rPr>
        <w:t>Subject to the requirements and limitations of the MacroGenics Third Party Agreements, with respect to the filing, prosecution and maintenance of the MacroGenics IP, including any rights of, and time-frames for, such Third Party licensors to comment on and review any filings and correspondence related thereto, in the event MacroGenics decides not to file a patent application on MacroGenics Know-How specific to Program DARTs and/or Licensed Product in a country of the Servier Territory, or decides to abandon prosecution of any claim of a MacroGenics Product Patent in a country of the Servier Territory or decides to not otherwise maintain or extend any MacroGenics Product Patent in a country of the Servier Territory, MacroGenics shall give Servier written notice sufficiently in advance thereof. Unless MacroGenics’ discontinuation of filing, prosecution or maintenance of such MacroGenics Product Patent is in order to effect a settlement or to avoid an interference, opposition or other proceeding in which the validity of such MacroGenics Product Patent may be determined or because another MacroGenics Product Patent of similar claim scope is being prosecuted or has been issued, Servier shall have the first right to file, prosecute, maintain and extend, as the case may be, such MacroGenics Product Patent, in Servier’s name, in such country.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10.3.2 </w:t>
      </w:r>
      <w:r>
        <w:rPr>
          <w:rFonts w:ascii="Arial" w:cs="Arial" w:eastAsia="Arial" w:hAnsi="Arial"/>
          <w:sz w:val="14"/>
          <w:szCs w:val="14"/>
          <w:u w:val="single" w:color="auto"/>
          <w:color w:val="auto"/>
        </w:rPr>
        <w:t>Servier Collaboration Patents.</w:t>
      </w:r>
    </w:p>
    <w:p>
      <w:pPr>
        <w:spacing w:after="0" w:line="132" w:lineRule="exact"/>
        <w:rPr>
          <w:sz w:val="20"/>
          <w:szCs w:val="20"/>
          <w:color w:val="auto"/>
        </w:rPr>
      </w:pPr>
    </w:p>
    <w:p>
      <w:pPr>
        <w:ind w:right="400" w:firstLine="920"/>
        <w:spacing w:after="0" w:line="351" w:lineRule="auto"/>
        <w:tabs>
          <w:tab w:leader="none" w:pos="1101" w:val="left"/>
        </w:tabs>
        <w:numPr>
          <w:ilvl w:val="0"/>
          <w:numId w:val="884"/>
        </w:numPr>
        <w:rPr>
          <w:rFonts w:ascii="Arial" w:cs="Arial" w:eastAsia="Arial" w:hAnsi="Arial"/>
          <w:sz w:val="12"/>
          <w:szCs w:val="12"/>
          <w:color w:val="auto"/>
        </w:rPr>
      </w:pPr>
      <w:r>
        <w:rPr>
          <w:rFonts w:ascii="Arial" w:cs="Arial" w:eastAsia="Arial" w:hAnsi="Arial"/>
          <w:sz w:val="12"/>
          <w:szCs w:val="12"/>
          <w:color w:val="auto"/>
        </w:rPr>
        <w:t>Servier shall have the sole right to, at Servier’s discretion, file, prosecute, and maintain (including the defense of any interference or opposition proceedings), all Servier Collaboration Patents. MacroGenics shall reimburse Servier for the Out-of-Pocket Costs incurred in the filing, prosecution and maintenance of the Servier Collaboration Patents in the MacroGenics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8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57" w:name="page758"/>
    <w:bookmarkEnd w:id="757"/>
    <w:p>
      <w:pPr>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Territory. Servier shall provide to MacroGenics copies of all prosecution filings related to Servier Collaboration Patents comprising claims Covering Program DARTs and/or Licensed Products (“</w:t>
      </w:r>
      <w:r>
        <w:rPr>
          <w:rFonts w:ascii="Arial" w:cs="Arial" w:eastAsia="Arial" w:hAnsi="Arial"/>
          <w:sz w:val="12"/>
          <w:szCs w:val="12"/>
          <w:u w:val="single" w:color="auto"/>
          <w:color w:val="auto"/>
        </w:rPr>
        <w:t>Servier Product</w:t>
      </w:r>
      <w:r>
        <w:rPr>
          <w:rFonts w:ascii="Arial" w:cs="Arial" w:eastAsia="Arial" w:hAnsi="Arial"/>
          <w:sz w:val="12"/>
          <w:szCs w:val="12"/>
          <w:color w:val="auto"/>
        </w:rPr>
        <w:t xml:space="preserve"> </w:t>
      </w:r>
      <w:r>
        <w:rPr>
          <w:rFonts w:ascii="Arial" w:cs="Arial" w:eastAsia="Arial" w:hAnsi="Arial"/>
          <w:sz w:val="12"/>
          <w:szCs w:val="12"/>
          <w:u w:val="single" w:color="auto"/>
          <w:color w:val="auto"/>
        </w:rPr>
        <w:t>Patents</w:t>
      </w:r>
      <w:r>
        <w:rPr>
          <w:rFonts w:ascii="Arial" w:cs="Arial" w:eastAsia="Arial" w:hAnsi="Arial"/>
          <w:sz w:val="12"/>
          <w:szCs w:val="12"/>
          <w:color w:val="auto"/>
        </w:rPr>
        <w:t xml:space="preserve">”) sent to or received from patent offices in the MacroGenics Territory, unless otherwise directed by MacroGenics, and, with respect to patent applications having information not previously filed that is intended to be submitted to patent offices in the MacroGenics Territory, shall provide MacroGenics with a draft of each such filing </w:t>
      </w:r>
      <w:r>
        <w:rPr>
          <w:rFonts w:ascii="Arial" w:cs="Arial" w:eastAsia="Arial" w:hAnsi="Arial"/>
          <w:sz w:val="12"/>
          <w:szCs w:val="12"/>
          <w:b w:val="1"/>
          <w:bCs w:val="1"/>
          <w:color w:val="auto"/>
        </w:rPr>
        <w:t>***</w:t>
      </w:r>
      <w:r>
        <w:rPr>
          <w:rFonts w:ascii="Arial" w:cs="Arial" w:eastAsia="Arial" w:hAnsi="Arial"/>
          <w:sz w:val="12"/>
          <w:szCs w:val="12"/>
          <w:color w:val="auto"/>
        </w:rPr>
        <w:t xml:space="preserve"> in advance of submission, provide MacroGenics an opportunity to provide comments on and make request of Servier concerning such filings and shall consider in good faith any comments regarding such draft application that MacroGenics may timely provide. In addition, Servier shall provide to MacroGenics such other information related to prosecution of the Servier Collaboration Patents in the MacroGenics Territory as MacroGenics may from time to time reasonably request to allow MacroGenics to track prosecution and maintenance of such Patents. If MacroGenics no longer desires to retain its license under any Servier Collaboration Patent in the MacroGenics Territory, and desires to cease payment of the costs of prosecution and maintenance thereof, it shall have the right to terminate such license to such Patent, and terminate reimbursement to Servier of such costs, upon *** written notice.</w:t>
      </w:r>
    </w:p>
    <w:p>
      <w:pPr>
        <w:spacing w:after="0" w:line="88" w:lineRule="exact"/>
        <w:rPr>
          <w:sz w:val="20"/>
          <w:szCs w:val="20"/>
          <w:color w:val="auto"/>
        </w:rPr>
      </w:pPr>
    </w:p>
    <w:p>
      <w:pPr>
        <w:ind w:right="140" w:firstLine="920"/>
        <w:spacing w:after="0" w:line="305" w:lineRule="auto"/>
        <w:tabs>
          <w:tab w:leader="none" w:pos="1109" w:val="left"/>
        </w:tabs>
        <w:numPr>
          <w:ilvl w:val="0"/>
          <w:numId w:val="886"/>
        </w:numPr>
        <w:rPr>
          <w:rFonts w:ascii="Arial" w:cs="Arial" w:eastAsia="Arial" w:hAnsi="Arial"/>
          <w:sz w:val="12"/>
          <w:szCs w:val="12"/>
          <w:color w:val="auto"/>
        </w:rPr>
      </w:pPr>
      <w:r>
        <w:rPr>
          <w:rFonts w:ascii="Arial" w:cs="Arial" w:eastAsia="Arial" w:hAnsi="Arial"/>
          <w:sz w:val="12"/>
          <w:szCs w:val="12"/>
          <w:color w:val="auto"/>
        </w:rPr>
        <w:t>In the event Servier decides not to file a patent application on Servier Collaboration Know-How specific to Program DARTs and/or Licensed Product, or decides to abandon prosecution of any claim of a Servier Product Patent or decides to not otherwise maintain or extend any Servier Product Patent, Servier shall give MacroGenics written notice sufficiently in advance thereof. Unless Servier’s discontinuation of filing, prosecution or maintenance of such Servier Product Patent is in order to effect a settlement or to avoid an interference, opposition or other proceeding in which the validity of such Servier Product Patent may be determined or because another Servier Product Patent of similar claim scope is being prosecuted or has been issued, MacroGenics shall have the first right to file, prosecute and maintain or extend at its costs, as the case may be, such Servier Product Patent, in MacroGenics’ name, in such country.</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10.3.3 </w:t>
      </w:r>
      <w:r>
        <w:rPr>
          <w:rFonts w:ascii="Arial" w:cs="Arial" w:eastAsia="Arial" w:hAnsi="Arial"/>
          <w:sz w:val="14"/>
          <w:szCs w:val="14"/>
          <w:u w:val="single" w:color="auto"/>
          <w:color w:val="auto"/>
        </w:rPr>
        <w:t>Joint IP.</w:t>
      </w:r>
    </w:p>
    <w:p>
      <w:pPr>
        <w:spacing w:after="0" w:line="132" w:lineRule="exact"/>
        <w:rPr>
          <w:sz w:val="20"/>
          <w:szCs w:val="20"/>
          <w:color w:val="auto"/>
        </w:rPr>
      </w:pPr>
    </w:p>
    <w:p>
      <w:pPr>
        <w:ind w:right="60" w:firstLine="920"/>
        <w:spacing w:after="0" w:line="321" w:lineRule="auto"/>
        <w:tabs>
          <w:tab w:leader="none" w:pos="1101" w:val="left"/>
        </w:tabs>
        <w:numPr>
          <w:ilvl w:val="0"/>
          <w:numId w:val="887"/>
        </w:numPr>
        <w:rPr>
          <w:rFonts w:ascii="Arial" w:cs="Arial" w:eastAsia="Arial" w:hAnsi="Arial"/>
          <w:sz w:val="12"/>
          <w:szCs w:val="12"/>
          <w:color w:val="auto"/>
        </w:rPr>
      </w:pPr>
      <w:r>
        <w:rPr>
          <w:rFonts w:ascii="Arial" w:cs="Arial" w:eastAsia="Arial" w:hAnsi="Arial"/>
          <w:sz w:val="12"/>
          <w:szCs w:val="12"/>
          <w:color w:val="auto"/>
        </w:rPr>
        <w:t>MacroGenics shall have the first right, at MacroGenics’ discretion, to file, prosecute, and maintain (including the defense of any interference or opposition proceedings), all Patents claiming patentable inventions included in the Joint IP (“</w:t>
      </w:r>
      <w:r>
        <w:rPr>
          <w:rFonts w:ascii="Arial" w:cs="Arial" w:eastAsia="Arial" w:hAnsi="Arial"/>
          <w:sz w:val="12"/>
          <w:szCs w:val="12"/>
          <w:u w:val="single" w:color="auto"/>
          <w:color w:val="auto"/>
        </w:rPr>
        <w:t>Joint Patents</w:t>
      </w:r>
      <w:r>
        <w:rPr>
          <w:rFonts w:ascii="Arial" w:cs="Arial" w:eastAsia="Arial" w:hAnsi="Arial"/>
          <w:sz w:val="12"/>
          <w:szCs w:val="12"/>
          <w:color w:val="auto"/>
        </w:rPr>
        <w:t>”) in the MacroGenics Territory, in the names of both MacroGenics and Servier. Servier shall have the first right, at Servier’s discretion, to file, prosecute, and maintain (including the defense of any interference or opposition proceedings), all Joint Patents in the Servier Territory, in the names of both MacroGenics and Servier.</w:t>
      </w:r>
    </w:p>
    <w:p>
      <w:pPr>
        <w:spacing w:after="0" w:line="73" w:lineRule="exact"/>
        <w:rPr>
          <w:rFonts w:ascii="Arial" w:cs="Arial" w:eastAsia="Arial" w:hAnsi="Arial"/>
          <w:sz w:val="12"/>
          <w:szCs w:val="12"/>
          <w:color w:val="auto"/>
        </w:rPr>
      </w:pPr>
    </w:p>
    <w:p>
      <w:pPr>
        <w:ind w:right="60" w:firstLine="920"/>
        <w:spacing w:after="0" w:line="321" w:lineRule="auto"/>
        <w:tabs>
          <w:tab w:leader="none" w:pos="1109" w:val="left"/>
        </w:tabs>
        <w:numPr>
          <w:ilvl w:val="0"/>
          <w:numId w:val="887"/>
        </w:numPr>
        <w:rPr>
          <w:rFonts w:ascii="Arial" w:cs="Arial" w:eastAsia="Arial" w:hAnsi="Arial"/>
          <w:sz w:val="12"/>
          <w:szCs w:val="12"/>
          <w:color w:val="auto"/>
        </w:rPr>
      </w:pPr>
      <w:r>
        <w:rPr>
          <w:rFonts w:ascii="Arial" w:cs="Arial" w:eastAsia="Arial" w:hAnsi="Arial"/>
          <w:sz w:val="12"/>
          <w:szCs w:val="12"/>
          <w:color w:val="auto"/>
        </w:rPr>
        <w:t>With respect to Joint Patents, if the Party with the responsibility for filing, prosecuting and maintaining such Patents in accordance with clause (a) above (the “</w:t>
      </w:r>
      <w:r>
        <w:rPr>
          <w:rFonts w:ascii="Arial" w:cs="Arial" w:eastAsia="Arial" w:hAnsi="Arial"/>
          <w:sz w:val="12"/>
          <w:szCs w:val="12"/>
          <w:u w:val="single" w:color="auto"/>
          <w:color w:val="auto"/>
        </w:rPr>
        <w:t>Responsible Party</w:t>
      </w:r>
      <w:r>
        <w:rPr>
          <w:rFonts w:ascii="Arial" w:cs="Arial" w:eastAsia="Arial" w:hAnsi="Arial"/>
          <w:sz w:val="12"/>
          <w:szCs w:val="12"/>
          <w:color w:val="auto"/>
        </w:rPr>
        <w:t>”) elects not to seek or continue to seek or maintain patent protection on any Joint Patent in its territory, the other Party shall have the right to seek, prosecute and maintain patent protection on such Joint Patent in the other Party’s name and the Responsible Party shall assign its entire right, title and interest in such Joint Patent to the other Party. The Responsible Party shall use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8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58" w:name="page759"/>
    <w:bookmarkEnd w:id="758"/>
    <w:p>
      <w:pPr>
        <w:ind w:right="24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Commercially Reasonable Efforts to make available to the other Party its authorized attorneys, agents or representatives, and to assist the other Party in obtaining and maintaining such patent protection. The Responsible Party shall sign or use Commercially Reasonable Efforts to have signed all legal documents necessary to file and prosecute such patent applications or to obtain or maintain such patents.</w:t>
      </w:r>
    </w:p>
    <w:p>
      <w:pPr>
        <w:spacing w:after="0" w:line="54" w:lineRule="exact"/>
        <w:rPr>
          <w:sz w:val="20"/>
          <w:szCs w:val="20"/>
          <w:color w:val="auto"/>
        </w:rPr>
      </w:pPr>
    </w:p>
    <w:p>
      <w:pPr>
        <w:ind w:left="1100" w:hanging="180"/>
        <w:spacing w:after="0"/>
        <w:tabs>
          <w:tab w:leader="none" w:pos="1100" w:val="left"/>
        </w:tabs>
        <w:numPr>
          <w:ilvl w:val="0"/>
          <w:numId w:val="889"/>
        </w:numPr>
        <w:rPr>
          <w:rFonts w:ascii="Arial" w:cs="Arial" w:eastAsia="Arial" w:hAnsi="Arial"/>
          <w:sz w:val="12"/>
          <w:szCs w:val="12"/>
          <w:color w:val="auto"/>
        </w:rPr>
      </w:pPr>
      <w:r>
        <w:rPr>
          <w:rFonts w:ascii="Arial" w:cs="Arial" w:eastAsia="Arial" w:hAnsi="Arial"/>
          <w:sz w:val="12"/>
          <w:szCs w:val="12"/>
          <w:color w:val="auto"/>
        </w:rPr>
        <w:t xml:space="preserve">The Parties shall establish procedures to coordinate the filing and prosecution of Joint Patents. With respect to Joint Patents, the Responsible Party shall provide the other Party, within </w:t>
      </w:r>
      <w:r>
        <w:rPr>
          <w:rFonts w:ascii="Arial" w:cs="Arial" w:eastAsia="Arial" w:hAnsi="Arial"/>
          <w:sz w:val="12"/>
          <w:szCs w:val="12"/>
          <w:b w:val="1"/>
          <w:bCs w:val="1"/>
          <w:color w:val="auto"/>
        </w:rPr>
        <w:t>***</w:t>
      </w:r>
    </w:p>
    <w:p>
      <w:pPr>
        <w:spacing w:after="0" w:line="37" w:lineRule="exact"/>
        <w:rPr>
          <w:rFonts w:ascii="Arial" w:cs="Arial" w:eastAsia="Arial" w:hAnsi="Arial"/>
          <w:sz w:val="12"/>
          <w:szCs w:val="12"/>
          <w:color w:val="auto"/>
        </w:rPr>
      </w:pPr>
    </w:p>
    <w:p>
      <w:pPr>
        <w:ind w:right="120"/>
        <w:spacing w:after="0" w:line="253" w:lineRule="auto"/>
        <w:rPr>
          <w:rFonts w:ascii="Arial" w:cs="Arial" w:eastAsia="Arial" w:hAnsi="Arial"/>
          <w:sz w:val="12"/>
          <w:szCs w:val="12"/>
          <w:color w:val="auto"/>
        </w:rPr>
      </w:pPr>
      <w:r>
        <w:rPr>
          <w:rFonts w:ascii="Arial" w:cs="Arial" w:eastAsia="Arial" w:hAnsi="Arial"/>
          <w:sz w:val="14"/>
          <w:szCs w:val="14"/>
          <w:color w:val="auto"/>
        </w:rPr>
        <w:t>after submitting or receiving such filings or correspondence, with copies of all filings and correspondence submitted to and received from patent offices and, with respect to substantive filings and correspondence to be submitted to patent offices, shall use reasonable efforts to provide the other Party with drafts of such filings and correspondence reasonably in advance of submission and shall consider in good faith any comments regarding such filings and correspondence that the other Party may timely provide.</w:t>
      </w:r>
    </w:p>
    <w:p>
      <w:pPr>
        <w:spacing w:after="0" w:line="111" w:lineRule="exact"/>
        <w:rPr>
          <w:rFonts w:ascii="Arial" w:cs="Arial" w:eastAsia="Arial" w:hAnsi="Arial"/>
          <w:sz w:val="12"/>
          <w:szCs w:val="12"/>
          <w:color w:val="auto"/>
        </w:rPr>
      </w:pPr>
    </w:p>
    <w:p>
      <w:pPr>
        <w:ind w:left="1120" w:hanging="200"/>
        <w:spacing w:after="0"/>
        <w:tabs>
          <w:tab w:leader="none" w:pos="1120" w:val="left"/>
        </w:tabs>
        <w:numPr>
          <w:ilvl w:val="0"/>
          <w:numId w:val="889"/>
        </w:numPr>
        <w:rPr>
          <w:rFonts w:ascii="Arial" w:cs="Arial" w:eastAsia="Arial" w:hAnsi="Arial"/>
          <w:sz w:val="14"/>
          <w:szCs w:val="14"/>
          <w:color w:val="auto"/>
        </w:rPr>
      </w:pPr>
      <w:r>
        <w:rPr>
          <w:rFonts w:ascii="Arial" w:cs="Arial" w:eastAsia="Arial" w:hAnsi="Arial"/>
          <w:sz w:val="14"/>
          <w:szCs w:val="14"/>
          <w:color w:val="auto"/>
        </w:rPr>
        <w:t>Each Party shall be responsible for the costs and expenses it occurs in connection with the filing, prosecution and maintenance of Joint Patents.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Third Party Infringement.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10.4.1 </w:t>
      </w:r>
      <w:r>
        <w:rPr>
          <w:rFonts w:ascii="Arial" w:cs="Arial" w:eastAsia="Arial" w:hAnsi="Arial"/>
          <w:sz w:val="12"/>
          <w:szCs w:val="12"/>
          <w:u w:val="single" w:color="auto"/>
          <w:color w:val="auto"/>
        </w:rPr>
        <w:t>Notice</w:t>
      </w:r>
      <w:r>
        <w:rPr>
          <w:rFonts w:ascii="Arial" w:cs="Arial" w:eastAsia="Arial" w:hAnsi="Arial"/>
          <w:sz w:val="12"/>
          <w:szCs w:val="12"/>
          <w:color w:val="auto"/>
        </w:rPr>
        <w:t>. Each Party shall promptly report in writing to the other Party any known or suspected (i) infringement of any of the MacroGenics Patents, Servier Patents or Joint Patents,</w:t>
      </w:r>
    </w:p>
    <w:p>
      <w:pPr>
        <w:spacing w:after="0" w:line="35" w:lineRule="exact"/>
        <w:rPr>
          <w:sz w:val="20"/>
          <w:szCs w:val="20"/>
          <w:color w:val="auto"/>
        </w:rPr>
      </w:pPr>
    </w:p>
    <w:p>
      <w:pPr>
        <w:ind w:firstLine="4"/>
        <w:spacing w:after="0" w:line="307" w:lineRule="auto"/>
        <w:tabs>
          <w:tab w:leader="none" w:pos="200" w:val="left"/>
        </w:tabs>
        <w:numPr>
          <w:ilvl w:val="0"/>
          <w:numId w:val="890"/>
        </w:numPr>
        <w:rPr>
          <w:rFonts w:ascii="Arial" w:cs="Arial" w:eastAsia="Arial" w:hAnsi="Arial"/>
          <w:sz w:val="12"/>
          <w:szCs w:val="12"/>
          <w:color w:val="auto"/>
        </w:rPr>
      </w:pPr>
      <w:r>
        <w:rPr>
          <w:rFonts w:ascii="Arial" w:cs="Arial" w:eastAsia="Arial" w:hAnsi="Arial"/>
          <w:sz w:val="12"/>
          <w:szCs w:val="12"/>
          <w:color w:val="auto"/>
        </w:rPr>
        <w:t>unauthorized use or misappropriation of any of the MacroGenics Know-How, Servier Know-How or Joint Know-How of which such Party becomes aware, or (iii) notification under the Biologics Price Competition and Innovation Act of 2009, as amended, or similar law, from a biosimilar applicant arising from the filing of an application for the Regulatory Approval of a Generic Product intending to show that the Generic Product is biosimilar to any Licensed Product that is a reference product for which a claim of infringement of any of the MacroGenics Patents, Joint Patents or Servier Patents by the manufacture or sale of the Generic Product could reasonably be asserted, and shall provide the other Party with all available evidence regarding such known or suspected infringement or unauthorized use.</w:t>
      </w:r>
    </w:p>
    <w:p>
      <w:pPr>
        <w:spacing w:after="0" w:line="82" w:lineRule="exact"/>
        <w:rPr>
          <w:sz w:val="20"/>
          <w:szCs w:val="20"/>
          <w:color w:val="auto"/>
        </w:rPr>
      </w:pPr>
    </w:p>
    <w:p>
      <w:pPr>
        <w:ind w:right="300" w:firstLine="917"/>
        <w:spacing w:after="0" w:line="267" w:lineRule="auto"/>
        <w:rPr>
          <w:sz w:val="20"/>
          <w:szCs w:val="20"/>
          <w:color w:val="auto"/>
        </w:rPr>
      </w:pPr>
      <w:r>
        <w:rPr>
          <w:rFonts w:ascii="Arial" w:cs="Arial" w:eastAsia="Arial" w:hAnsi="Arial"/>
          <w:sz w:val="14"/>
          <w:szCs w:val="14"/>
          <w:color w:val="auto"/>
        </w:rPr>
        <w:t xml:space="preserve">10.4.2 </w:t>
      </w:r>
      <w:r>
        <w:rPr>
          <w:rFonts w:ascii="Arial" w:cs="Arial" w:eastAsia="Arial" w:hAnsi="Arial"/>
          <w:sz w:val="14"/>
          <w:szCs w:val="14"/>
          <w:u w:val="single" w:color="auto"/>
          <w:color w:val="auto"/>
        </w:rPr>
        <w:t>Enforcement Rights</w:t>
      </w:r>
      <w:r>
        <w:rPr>
          <w:rFonts w:ascii="Arial" w:cs="Arial" w:eastAsia="Arial" w:hAnsi="Arial"/>
          <w:sz w:val="14"/>
          <w:szCs w:val="14"/>
          <w:color w:val="auto"/>
        </w:rPr>
        <w:t>. Subject to the requirements and limitations of the MacroGenics Third Party Agreements with respect to the enforcement of Patents, including any rights of, and timeframes for, such Third Party licensors to comment on and review any filings or materials related thereto, the Parties agree:</w:t>
      </w:r>
    </w:p>
    <w:p>
      <w:pPr>
        <w:spacing w:after="0" w:line="101" w:lineRule="exact"/>
        <w:rPr>
          <w:sz w:val="20"/>
          <w:szCs w:val="20"/>
          <w:color w:val="auto"/>
        </w:rPr>
      </w:pPr>
    </w:p>
    <w:p>
      <w:pPr>
        <w:ind w:right="80" w:firstLine="920"/>
        <w:spacing w:after="0" w:line="311" w:lineRule="auto"/>
        <w:tabs>
          <w:tab w:leader="none" w:pos="1101" w:val="left"/>
        </w:tabs>
        <w:numPr>
          <w:ilvl w:val="0"/>
          <w:numId w:val="891"/>
        </w:numPr>
        <w:rPr>
          <w:rFonts w:ascii="Arial" w:cs="Arial" w:eastAsia="Arial" w:hAnsi="Arial"/>
          <w:sz w:val="12"/>
          <w:szCs w:val="12"/>
          <w:color w:val="auto"/>
        </w:rPr>
      </w:pPr>
      <w:r>
        <w:rPr>
          <w:rFonts w:ascii="Arial" w:cs="Arial" w:eastAsia="Arial" w:hAnsi="Arial"/>
          <w:sz w:val="12"/>
          <w:szCs w:val="12"/>
          <w:color w:val="auto"/>
        </w:rPr>
        <w:t>Servier shall have the first right, but not the obligation, to initiate a lawsuit or take other reasonable action to enforce the Joint Patents and MacroGenics Product Patents in the Field in the Servier Territory to the extent such infringement or misappropriation involves the Development, Manufacture, use or Commercialization of a product or product candidate that is or may be competitive with the Program DARTs or Licensed Products being Developed or Commercialized hereunder. Notwithstanding the foregoing sentence, Servier shall not initiate any such lawsuit or other enforcement action asserting any such Joint Patents or MacroGenics Product Patents without first consulting with MacroGenics and giving good faith consideration to any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9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59" w:name="page760"/>
    <w:bookmarkEnd w:id="759"/>
    <w:p>
      <w:pPr>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reasonable objection from MacroGenics regarding Servier’s proposed course of action. MacroGenics shall cooperate in the prosecution of such suit as may be reasonably requested by Servier;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Servier shall promptly reimburse all out-of-pocket expenses (including reasonable counsel fees and expenses) actually incurred by MacroGenics in connection with such cooperation. In connection with any such proceeding, Servier shall not enter into any settlement admitting the invalidity of, or otherwise impairing MacroGenics’ rights in, MacroGenics IP or Joint IP without the prior written consent of MacroGenics. Any recoveries resulting from such an action brought by Servier in accordance with this clause (a) shall be applied as follows:</w:t>
      </w:r>
    </w:p>
    <w:p>
      <w:pPr>
        <w:spacing w:after="0" w:line="79" w:lineRule="exact"/>
        <w:rPr>
          <w:sz w:val="20"/>
          <w:szCs w:val="20"/>
          <w:color w:val="auto"/>
        </w:rPr>
      </w:pPr>
    </w:p>
    <w:p>
      <w:pPr>
        <w:ind w:right="60" w:firstLine="1493"/>
        <w:spacing w:after="0" w:line="267" w:lineRule="auto"/>
        <w:tabs>
          <w:tab w:leader="none" w:pos="1652" w:val="left"/>
        </w:tabs>
        <w:numPr>
          <w:ilvl w:val="1"/>
          <w:numId w:val="893"/>
        </w:numPr>
        <w:rPr>
          <w:rFonts w:ascii="Arial" w:cs="Arial" w:eastAsia="Arial" w:hAnsi="Arial"/>
          <w:sz w:val="14"/>
          <w:szCs w:val="14"/>
          <w:color w:val="auto"/>
        </w:rPr>
      </w:pPr>
      <w:r>
        <w:rPr>
          <w:rFonts w:ascii="Arial" w:cs="Arial" w:eastAsia="Arial" w:hAnsi="Arial"/>
          <w:sz w:val="14"/>
          <w:szCs w:val="14"/>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101" w:lineRule="exact"/>
        <w:rPr>
          <w:rFonts w:ascii="Arial" w:cs="Arial" w:eastAsia="Arial" w:hAnsi="Arial"/>
          <w:sz w:val="14"/>
          <w:szCs w:val="14"/>
          <w:color w:val="auto"/>
        </w:rPr>
      </w:pPr>
    </w:p>
    <w:p>
      <w:pPr>
        <w:ind w:left="1700" w:hanging="207"/>
        <w:spacing w:after="0"/>
        <w:tabs>
          <w:tab w:leader="none" w:pos="1700" w:val="left"/>
        </w:tabs>
        <w:numPr>
          <w:ilvl w:val="1"/>
          <w:numId w:val="893"/>
        </w:numPr>
        <w:rPr>
          <w:rFonts w:ascii="Arial" w:cs="Arial" w:eastAsia="Arial" w:hAnsi="Arial"/>
          <w:sz w:val="14"/>
          <w:szCs w:val="14"/>
          <w:color w:val="auto"/>
        </w:rPr>
      </w:pPr>
      <w:r>
        <w:rPr>
          <w:rFonts w:ascii="Arial" w:cs="Arial" w:eastAsia="Arial" w:hAnsi="Arial"/>
          <w:sz w:val="14"/>
          <w:szCs w:val="14"/>
          <w:color w:val="auto"/>
        </w:rPr>
        <w:t>Second, ***</w:t>
      </w:r>
    </w:p>
    <w:p>
      <w:pPr>
        <w:spacing w:after="0" w:line="131" w:lineRule="exact"/>
        <w:rPr>
          <w:rFonts w:ascii="Arial" w:cs="Arial" w:eastAsia="Arial" w:hAnsi="Arial"/>
          <w:sz w:val="14"/>
          <w:szCs w:val="14"/>
          <w:color w:val="auto"/>
        </w:rPr>
      </w:pPr>
    </w:p>
    <w:p>
      <w:pPr>
        <w:ind w:firstLine="920"/>
        <w:spacing w:after="0" w:line="302" w:lineRule="auto"/>
        <w:tabs>
          <w:tab w:leader="none" w:pos="1109" w:val="left"/>
        </w:tabs>
        <w:numPr>
          <w:ilvl w:val="0"/>
          <w:numId w:val="894"/>
        </w:numPr>
        <w:rPr>
          <w:rFonts w:ascii="Arial" w:cs="Arial" w:eastAsia="Arial" w:hAnsi="Arial"/>
          <w:sz w:val="12"/>
          <w:szCs w:val="12"/>
          <w:color w:val="auto"/>
        </w:rPr>
      </w:pPr>
      <w:r>
        <w:rPr>
          <w:rFonts w:ascii="Arial" w:cs="Arial" w:eastAsia="Arial" w:hAnsi="Arial"/>
          <w:sz w:val="12"/>
          <w:szCs w:val="12"/>
          <w:color w:val="auto"/>
        </w:rPr>
        <w:t xml:space="preserve">MacroGenics shall have the first right, but not the obligation, to initiate a lawsuit or take other reasonable action to enforce the Joint Patents in the Field in the MacroGenics Territory. Notwithstanding the foregoing sentence, MacroGenics shall not initiate any such lawsuit or other enforcement action asserting any such Joint Patents without first consulting with Servier and giving good faith consideration to any reasonable objection from Servier regarding MacroGenics’ proposed course of action. Servier shall cooperate in the prosecution of such suit as may be reasonably requested by MacroGenics;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MacroGenics shall promptly reimburse all out-of-pocket expenses (including reasonable counsel fees and expenses) actually incurred by Servier in connection with such cooperation. In connection with any such proceeding, MacroGenics shall not enter into any settlement admitting the invalidity of, or otherwise impairing the Parties’ rights in Joint IP without the prior written consent of Servier. Any recoveries resulting from such an action brought by MacroGenics in accordance with this clause (b) shall be applied as follows:</w:t>
      </w:r>
    </w:p>
    <w:p>
      <w:pPr>
        <w:spacing w:after="0" w:line="86" w:lineRule="exact"/>
        <w:rPr>
          <w:rFonts w:ascii="Arial" w:cs="Arial" w:eastAsia="Arial" w:hAnsi="Arial"/>
          <w:sz w:val="12"/>
          <w:szCs w:val="12"/>
          <w:color w:val="auto"/>
        </w:rPr>
      </w:pPr>
    </w:p>
    <w:p>
      <w:pPr>
        <w:ind w:right="60" w:firstLine="1493"/>
        <w:spacing w:after="0" w:line="267" w:lineRule="auto"/>
        <w:tabs>
          <w:tab w:leader="none" w:pos="1652" w:val="left"/>
        </w:tabs>
        <w:numPr>
          <w:ilvl w:val="1"/>
          <w:numId w:val="894"/>
        </w:numPr>
        <w:rPr>
          <w:rFonts w:ascii="Arial" w:cs="Arial" w:eastAsia="Arial" w:hAnsi="Arial"/>
          <w:sz w:val="14"/>
          <w:szCs w:val="14"/>
          <w:color w:val="auto"/>
        </w:rPr>
      </w:pPr>
      <w:r>
        <w:rPr>
          <w:rFonts w:ascii="Arial" w:cs="Arial" w:eastAsia="Arial" w:hAnsi="Arial"/>
          <w:sz w:val="14"/>
          <w:szCs w:val="14"/>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101" w:lineRule="exact"/>
        <w:rPr>
          <w:rFonts w:ascii="Arial" w:cs="Arial" w:eastAsia="Arial" w:hAnsi="Arial"/>
          <w:sz w:val="14"/>
          <w:szCs w:val="14"/>
          <w:color w:val="auto"/>
        </w:rPr>
      </w:pPr>
    </w:p>
    <w:p>
      <w:pPr>
        <w:ind w:left="1700" w:hanging="207"/>
        <w:spacing w:after="0"/>
        <w:tabs>
          <w:tab w:leader="none" w:pos="1700" w:val="left"/>
        </w:tabs>
        <w:numPr>
          <w:ilvl w:val="1"/>
          <w:numId w:val="894"/>
        </w:numPr>
        <w:rPr>
          <w:rFonts w:ascii="Arial" w:cs="Arial" w:eastAsia="Arial" w:hAnsi="Arial"/>
          <w:sz w:val="14"/>
          <w:szCs w:val="14"/>
          <w:color w:val="auto"/>
        </w:rPr>
      </w:pPr>
      <w:r>
        <w:rPr>
          <w:rFonts w:ascii="Arial" w:cs="Arial" w:eastAsia="Arial" w:hAnsi="Arial"/>
          <w:sz w:val="14"/>
          <w:szCs w:val="14"/>
          <w:color w:val="auto"/>
        </w:rPr>
        <w:t>Second, ***</w:t>
      </w:r>
    </w:p>
    <w:p>
      <w:pPr>
        <w:spacing w:after="0" w:line="131" w:lineRule="exact"/>
        <w:rPr>
          <w:rFonts w:ascii="Arial" w:cs="Arial" w:eastAsia="Arial" w:hAnsi="Arial"/>
          <w:sz w:val="14"/>
          <w:szCs w:val="14"/>
          <w:color w:val="auto"/>
        </w:rPr>
      </w:pPr>
    </w:p>
    <w:p>
      <w:pPr>
        <w:ind w:firstLine="920"/>
        <w:spacing w:after="0" w:line="305" w:lineRule="auto"/>
        <w:tabs>
          <w:tab w:leader="none" w:pos="1101" w:val="left"/>
        </w:tabs>
        <w:numPr>
          <w:ilvl w:val="0"/>
          <w:numId w:val="894"/>
        </w:numPr>
        <w:rPr>
          <w:rFonts w:ascii="Arial" w:cs="Arial" w:eastAsia="Arial" w:hAnsi="Arial"/>
          <w:sz w:val="12"/>
          <w:szCs w:val="12"/>
          <w:color w:val="auto"/>
        </w:rPr>
      </w:pPr>
      <w:r>
        <w:rPr>
          <w:rFonts w:ascii="Arial" w:cs="Arial" w:eastAsia="Arial" w:hAnsi="Arial"/>
          <w:sz w:val="12"/>
          <w:szCs w:val="12"/>
          <w:color w:val="auto"/>
        </w:rPr>
        <w:t xml:space="preserve">If Servier does not initiate a lawsuit or take other reasonable action pursuant to Section 10.4.2(a) with respect to any Joint Patents or Servier Product Patents (i) if there is no time limit for the filing of such action,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notice of alleged infringement or following a biosimilar applicant’s failure to act or (ii) if there is a time limit for the filing of such action (including those set forth in applicable Laws) within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before the time limit, then MacroGenics shall have the right (in cases where MacroGenics has standing), but not the obligation, to initiate such lawsuit or take such other action, after providing </w:t>
      </w:r>
      <w:r>
        <w:rPr>
          <w:rFonts w:ascii="Arial" w:cs="Arial" w:eastAsia="Arial" w:hAnsi="Arial"/>
          <w:sz w:val="12"/>
          <w:szCs w:val="12"/>
          <w:b w:val="1"/>
          <w:bCs w:val="1"/>
          <w:color w:val="auto"/>
        </w:rPr>
        <w:t>***</w:t>
      </w:r>
      <w:r>
        <w:rPr>
          <w:rFonts w:ascii="Arial" w:cs="Arial" w:eastAsia="Arial" w:hAnsi="Arial"/>
          <w:sz w:val="12"/>
          <w:szCs w:val="12"/>
          <w:color w:val="auto"/>
        </w:rPr>
        <w:t xml:space="preserve"> notice to Servier and giving good faith consideration to Servier’s reason(s) for not initiating a lawsuit or taking other action. For this purpose, Servier shall cooperate in the prosecution of such suit as may be reasonably requested by MacroGenics;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MacroGenics shall promptly reimburse all</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9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60" w:name="page761"/>
    <w:bookmarkEnd w:id="760"/>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out-of-pocket expenses (including reasonable counsel fees and expenses) actually incurred by Servier in connection with such cooperation. Any recoveries resulting from such an action brought by MacroGenics in accordance with this clause (c) will *** after payment of each Party’s costs and expenses.</w:t>
      </w:r>
    </w:p>
    <w:p>
      <w:pPr>
        <w:spacing w:after="0" w:line="101" w:lineRule="exact"/>
        <w:rPr>
          <w:sz w:val="20"/>
          <w:szCs w:val="20"/>
          <w:color w:val="auto"/>
        </w:rPr>
      </w:pPr>
    </w:p>
    <w:p>
      <w:pPr>
        <w:ind w:right="40" w:firstLine="920"/>
        <w:spacing w:after="0" w:line="294" w:lineRule="auto"/>
        <w:tabs>
          <w:tab w:leader="none" w:pos="1109" w:val="left"/>
        </w:tabs>
        <w:numPr>
          <w:ilvl w:val="0"/>
          <w:numId w:val="896"/>
        </w:numPr>
        <w:rPr>
          <w:rFonts w:ascii="Arial" w:cs="Arial" w:eastAsia="Arial" w:hAnsi="Arial"/>
          <w:sz w:val="12"/>
          <w:szCs w:val="12"/>
          <w:color w:val="auto"/>
        </w:rPr>
      </w:pPr>
      <w:r>
        <w:rPr>
          <w:rFonts w:ascii="Arial" w:cs="Arial" w:eastAsia="Arial" w:hAnsi="Arial"/>
          <w:sz w:val="12"/>
          <w:szCs w:val="12"/>
          <w:color w:val="auto"/>
        </w:rPr>
        <w:t xml:space="preserve">If MacroGenics does not initiate a lawsuit or take other reasonable action pursuant to Section 10.4.2(b) with respect to any Joint Patents (i) if there is no time limit for the filing of such action,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notice of alleged infringement or following a biosimilar applicant’s failure to act or (ii) if there is a time limit for the filing of such action (including those set forth in applicable Laws) within at least </w:t>
      </w:r>
      <w:r>
        <w:rPr>
          <w:rFonts w:ascii="Arial" w:cs="Arial" w:eastAsia="Arial" w:hAnsi="Arial"/>
          <w:sz w:val="12"/>
          <w:szCs w:val="12"/>
          <w:b w:val="1"/>
          <w:bCs w:val="1"/>
          <w:color w:val="auto"/>
        </w:rPr>
        <w:t>***</w:t>
      </w:r>
      <w:r>
        <w:rPr>
          <w:rFonts w:ascii="Arial" w:cs="Arial" w:eastAsia="Arial" w:hAnsi="Arial"/>
          <w:sz w:val="12"/>
          <w:szCs w:val="12"/>
          <w:color w:val="auto"/>
        </w:rPr>
        <w:t xml:space="preserve"> before the time limit, then Servier shall have the right (in cases where Servier has standing), but not the obligation, to initiate such lawsuit or take such other action, after providing </w:t>
      </w:r>
      <w:r>
        <w:rPr>
          <w:rFonts w:ascii="Arial" w:cs="Arial" w:eastAsia="Arial" w:hAnsi="Arial"/>
          <w:sz w:val="12"/>
          <w:szCs w:val="12"/>
          <w:b w:val="1"/>
          <w:bCs w:val="1"/>
          <w:color w:val="auto"/>
        </w:rPr>
        <w:t>***</w:t>
      </w:r>
    </w:p>
    <w:p>
      <w:pPr>
        <w:jc w:val="both"/>
        <w:ind w:right="60"/>
        <w:spacing w:after="0" w:line="316" w:lineRule="auto"/>
        <w:rPr>
          <w:rFonts w:ascii="Arial" w:cs="Arial" w:eastAsia="Arial" w:hAnsi="Arial"/>
          <w:sz w:val="12"/>
          <w:szCs w:val="12"/>
          <w:color w:val="auto"/>
        </w:rPr>
      </w:pPr>
      <w:r>
        <w:rPr>
          <w:rFonts w:ascii="Arial" w:cs="Arial" w:eastAsia="Arial" w:hAnsi="Arial"/>
          <w:sz w:val="12"/>
          <w:szCs w:val="12"/>
          <w:color w:val="auto"/>
        </w:rPr>
        <w:t xml:space="preserve">notice to MacroGenics and giving good faith consideration to MacroGenics’ reason(s) for not initiating a lawsuit or taking other action. For this purpose, MacroGenics shall cooperate in the prosecution of such suit as may be reasonably requested by Servier;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Servier shall promptly reimburse all out-of-pocket expenses (including reasonable counsel fees and expenses) actually incurred by MacroGenics in connection with such cooperation. Any recoveries resulting from such an action brought by Servier in accordance with this clause (d) will be *** after payment of each Party’s costs and expenses.</w:t>
      </w:r>
    </w:p>
    <w:p>
      <w:pPr>
        <w:spacing w:after="0" w:line="76" w:lineRule="exact"/>
        <w:rPr>
          <w:sz w:val="20"/>
          <w:szCs w:val="20"/>
          <w:color w:val="auto"/>
        </w:rPr>
      </w:pPr>
    </w:p>
    <w:p>
      <w:pPr>
        <w:jc w:val="both"/>
        <w:ind w:right="40" w:firstLine="917"/>
        <w:spacing w:after="0" w:line="321" w:lineRule="auto"/>
        <w:rPr>
          <w:sz w:val="20"/>
          <w:szCs w:val="20"/>
          <w:color w:val="auto"/>
        </w:rPr>
      </w:pPr>
      <w:r>
        <w:rPr>
          <w:rFonts w:ascii="Arial" w:cs="Arial" w:eastAsia="Arial" w:hAnsi="Arial"/>
          <w:sz w:val="12"/>
          <w:szCs w:val="12"/>
          <w:color w:val="auto"/>
        </w:rPr>
        <w:t xml:space="preserve">10.4.3 </w:t>
      </w:r>
      <w:r>
        <w:rPr>
          <w:rFonts w:ascii="Arial" w:cs="Arial" w:eastAsia="Arial" w:hAnsi="Arial"/>
          <w:sz w:val="12"/>
          <w:szCs w:val="12"/>
          <w:u w:val="single" w:color="auto"/>
          <w:color w:val="auto"/>
        </w:rPr>
        <w:t>Conduct of Certain Actions; Costs</w:t>
      </w:r>
      <w:r>
        <w:rPr>
          <w:rFonts w:ascii="Arial" w:cs="Arial" w:eastAsia="Arial" w:hAnsi="Arial"/>
          <w:sz w:val="12"/>
          <w:szCs w:val="12"/>
          <w:color w:val="auto"/>
        </w:rPr>
        <w:t>. The Party initiating legal action shall have the sole and exclusive right to select counsel for any suit initiated by it pursuant to Section 10.3.2 or 10.3.3 (the “</w:t>
      </w:r>
      <w:r>
        <w:rPr>
          <w:rFonts w:ascii="Arial" w:cs="Arial" w:eastAsia="Arial" w:hAnsi="Arial"/>
          <w:sz w:val="12"/>
          <w:szCs w:val="12"/>
          <w:u w:val="single" w:color="auto"/>
          <w:color w:val="auto"/>
        </w:rPr>
        <w:t>Initiating Party</w:t>
      </w:r>
      <w:r>
        <w:rPr>
          <w:rFonts w:ascii="Arial" w:cs="Arial" w:eastAsia="Arial" w:hAnsi="Arial"/>
          <w:sz w:val="12"/>
          <w:szCs w:val="12"/>
          <w:color w:val="auto"/>
        </w:rPr>
        <w:t>”). Unless otherwise expressly provided, the Initiating Party shall bear its own out-of-pocket costs incurred in any such legal action, including the fees and expenses of the counsel selected by it. The other Party shall have the right to participate and be represented in any such legal action (in cases where such other Party has standing) by its own counsel at its own expense.</w:t>
      </w:r>
    </w:p>
    <w:p>
      <w:pPr>
        <w:spacing w:after="0" w:line="73" w:lineRule="exact"/>
        <w:rPr>
          <w:sz w:val="20"/>
          <w:szCs w:val="20"/>
          <w:color w:val="auto"/>
        </w:rPr>
      </w:pPr>
    </w:p>
    <w:p>
      <w:pPr>
        <w:ind w:right="40" w:firstLine="458"/>
        <w:spacing w:after="0" w:line="253"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Patent Invalidity Claim</w:t>
      </w:r>
      <w:r>
        <w:rPr>
          <w:rFonts w:ascii="Arial" w:cs="Arial" w:eastAsia="Arial" w:hAnsi="Arial"/>
          <w:sz w:val="14"/>
          <w:szCs w:val="14"/>
          <w:color w:val="auto"/>
        </w:rPr>
        <w:t>. Each Party shall promptly notify the other in the event of any legal or administrative action by any Third Party against a Joint Patent, MacroGenics Patent or Servier Patent of which it becomes aware, including any nullity, revocation, reexamination or compulsory license proceeding. Servier shall have the first right, but not the obligation, at its expense, to defend against any such action relating to the Servier Patents. MacroGenics shall have the first right, but not the obligation, at its expense, to defend against any such action relating to the MacroGenics Patents or the Joint Patents. If MacroGenics does not defend against any such action involving a MacroGenics Product Patent or a Joint Patent, then Servier shall have the right, but not the obligation, to defend such action at Servier’s expense.</w:t>
      </w:r>
    </w:p>
    <w:p>
      <w:pPr>
        <w:spacing w:after="0" w:line="113"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Patent Term Extensions</w:t>
      </w:r>
      <w:r>
        <w:rPr>
          <w:rFonts w:ascii="Arial" w:cs="Arial" w:eastAsia="Arial" w:hAnsi="Arial"/>
          <w:sz w:val="14"/>
          <w:szCs w:val="14"/>
          <w:color w:val="auto"/>
        </w:rPr>
        <w:t>. The Parties shall cooperate with each other in obtaining patent term extensions or supplemental protection certificates or their equivalents in any country, where applicable to Joint Patents, MacroGenics Patents and Servier Patents.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Patent Marking</w:t>
      </w:r>
      <w:r>
        <w:rPr>
          <w:rFonts w:ascii="Arial" w:cs="Arial" w:eastAsia="Arial" w:hAnsi="Arial"/>
          <w:sz w:val="14"/>
          <w:szCs w:val="14"/>
          <w:color w:val="auto"/>
        </w:rPr>
        <w:t>. Servier shall comply with the patent marking statutes in each country in which a Licensed Product is sold by Servier, its Affiliates and/or its Sublicensees.</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51</w:t>
      </w:r>
    </w:p>
    <w:p>
      <w:pPr>
        <w:spacing w:after="0" w:line="12" w:lineRule="exact"/>
        <w:rPr>
          <w:sz w:val="20"/>
          <w:szCs w:val="20"/>
          <w:color w:val="auto"/>
        </w:rPr>
      </w:pPr>
    </w:p>
    <w:p>
      <w:pPr>
        <w:ind w:left="3840" w:right="2660" w:hanging="1135"/>
        <w:spacing w:after="0" w:line="341" w:lineRule="auto"/>
        <w:tabs>
          <w:tab w:leader="none" w:pos="2944" w:val="left"/>
        </w:tabs>
        <w:numPr>
          <w:ilvl w:val="0"/>
          <w:numId w:val="89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761" w:name="page762"/>
    <w:bookmarkEnd w:id="76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CONFIDENTIALITY</w:t>
      </w:r>
    </w:p>
    <w:p>
      <w:pPr>
        <w:spacing w:after="0" w:line="126" w:lineRule="exact"/>
        <w:rPr>
          <w:sz w:val="20"/>
          <w:szCs w:val="20"/>
          <w:color w:val="auto"/>
        </w:rPr>
      </w:pPr>
    </w:p>
    <w:p>
      <w:pPr>
        <w:ind w:right="40" w:firstLine="458"/>
        <w:spacing w:after="0" w:line="311"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Confidentiality; Exceptions</w:t>
      </w:r>
      <w:r>
        <w:rPr>
          <w:rFonts w:ascii="Arial" w:cs="Arial" w:eastAsia="Arial" w:hAnsi="Arial"/>
          <w:sz w:val="12"/>
          <w:szCs w:val="12"/>
          <w:color w:val="auto"/>
        </w:rPr>
        <w:t>. Except to the extent expressly authorized by this Agreement or otherwise agreed in writing, the Parties agree that the receiving Party (the “</w:t>
      </w:r>
      <w:r>
        <w:rPr>
          <w:rFonts w:ascii="Arial" w:cs="Arial" w:eastAsia="Arial" w:hAnsi="Arial"/>
          <w:sz w:val="12"/>
          <w:szCs w:val="12"/>
          <w:u w:val="single" w:color="auto"/>
          <w:color w:val="auto"/>
        </w:rPr>
        <w:t>Receiving Party</w:t>
      </w:r>
      <w:r>
        <w:rPr>
          <w:rFonts w:ascii="Arial" w:cs="Arial" w:eastAsia="Arial" w:hAnsi="Arial"/>
          <w:sz w:val="12"/>
          <w:szCs w:val="12"/>
          <w:color w:val="auto"/>
        </w:rPr>
        <w:t>”) shall keep confidential and shall not publish or otherwise disclose or use for any purpose other than as provided for in this Agreement any Know-How in any form (written, oral, photographic, electronic, magnetic, or otherwise) that is disclosed to it by the other Party (the “</w:t>
      </w:r>
      <w:r>
        <w:rPr>
          <w:rFonts w:ascii="Arial" w:cs="Arial" w:eastAsia="Arial" w:hAnsi="Arial"/>
          <w:sz w:val="12"/>
          <w:szCs w:val="12"/>
          <w:u w:val="single" w:color="auto"/>
          <w:color w:val="auto"/>
        </w:rPr>
        <w:t>Disclosing Party</w:t>
      </w:r>
      <w:r>
        <w:rPr>
          <w:rFonts w:ascii="Arial" w:cs="Arial" w:eastAsia="Arial" w:hAnsi="Arial"/>
          <w:sz w:val="12"/>
          <w:szCs w:val="12"/>
          <w:color w:val="auto"/>
        </w:rPr>
        <w:t>”) or otherwise received or accessed by a Receiving Party in the course of performing its obligations or exercising its rights under this Agreement (collectively,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except to the extent that it can be established by the Receiving Party that such Confidential Information:</w:t>
      </w:r>
    </w:p>
    <w:p>
      <w:pPr>
        <w:spacing w:after="0" w:line="79" w:lineRule="exact"/>
        <w:rPr>
          <w:sz w:val="20"/>
          <w:szCs w:val="20"/>
          <w:color w:val="auto"/>
        </w:rPr>
      </w:pPr>
    </w:p>
    <w:p>
      <w:pPr>
        <w:ind w:right="80" w:firstLine="917"/>
        <w:spacing w:after="0" w:line="351" w:lineRule="auto"/>
        <w:rPr>
          <w:sz w:val="20"/>
          <w:szCs w:val="20"/>
          <w:color w:val="auto"/>
        </w:rPr>
      </w:pPr>
      <w:r>
        <w:rPr>
          <w:rFonts w:ascii="Arial" w:cs="Arial" w:eastAsia="Arial" w:hAnsi="Arial"/>
          <w:sz w:val="12"/>
          <w:szCs w:val="12"/>
          <w:color w:val="auto"/>
        </w:rPr>
        <w:t>11.1.1 was in the lawful knowledge and possession of the Receiving Party prior to the time it was disclosed to, or learned by, the Receiving Party, or was otherwise developed independently by the Receiving Party, as evidenced by written records kept in the ordinary course of business, or other documentary proof of actual use by the Receiving Party;</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11.1.2 was generally available to the public or otherwise part of the public domain at the time of its disclosure to the Receiving Party;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11.1.3 became generally available to the public or otherwise part of the public domain after its disclosure and other than through any act or omission of the Receiving Party in breach of this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Agreement; or</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11.1.4 was disclosed to the Receiving Party, other than under an obligation of confidentiality, by a Third Party who had no obligation to the Disclosing Party not to disclose such information to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others.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Authorized Disclosure</w:t>
      </w:r>
      <w:r>
        <w:rPr>
          <w:rFonts w:ascii="Arial" w:cs="Arial" w:eastAsia="Arial" w:hAnsi="Arial"/>
          <w:sz w:val="12"/>
          <w:szCs w:val="12"/>
          <w:color w:val="auto"/>
        </w:rPr>
        <w:t>. Except as expressly provided otherwise in this Agreement, a Receiving Party may use and disclose Confidential Information of the Disclosing Party as follows: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11.2.1 under appropriate confidentiality provisions similar to those in this Agreement, in connection with the performance of its obligations or exercise of rights granted or reserved in this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26"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 xml:space="preserve">11.2.2 to the extent such disclosure is reasonably necessary in filing or prosecuting patent and copyright applications, prosecuting or defending litigation, complying with applicable governmental regulations (including the rules and regulations of any stock exchange or NASDAQ), conducting non-clinical activities and clinical activities, preparing and submitting filings to Regulatory Authorities or is otherwise required by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a Receiving Party is required by Law to make any such disclosure of a Disclosing Party’s Confidential Information (other than a disclosure to a Regulatory Authority in a filing required by Law) it will give reasonable advance notice to the Disclosing Party of such disclosure requirement and shall furnish only that portion of the Disclosing Party’s Confidential Information that the Receiving Party is legally required to furnish;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12" w:lineRule="exact"/>
        <w:rPr>
          <w:sz w:val="20"/>
          <w:szCs w:val="20"/>
          <w:color w:val="auto"/>
        </w:rPr>
      </w:pPr>
    </w:p>
    <w:p>
      <w:pPr>
        <w:ind w:left="3840" w:right="2680" w:hanging="1135"/>
        <w:spacing w:after="0" w:line="341" w:lineRule="auto"/>
        <w:tabs>
          <w:tab w:leader="none" w:pos="2944" w:val="left"/>
        </w:tabs>
        <w:numPr>
          <w:ilvl w:val="0"/>
          <w:numId w:val="89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5" w:right="239" w:bottom="1440" w:gutter="0" w:footer="0" w:header="0"/>
        </w:sectPr>
      </w:pPr>
    </w:p>
    <w:bookmarkStart w:id="762" w:name="page763"/>
    <w:bookmarkEnd w:id="762"/>
    <w:p>
      <w:pPr>
        <w:ind w:right="28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11.2.3 in communications with existing or prospective acquirers, investors, consultants, advisors, licensees or collaborators or others on a need to know basis, in each case under appropriate confidentiality provisions substantially equivalent to those of this Agreement; or</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11.2.4 to the extent mutually agreed to in writing by the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Press Release; Disclosure of Agreement.</w:t>
      </w:r>
    </w:p>
    <w:p>
      <w:pPr>
        <w:spacing w:after="0" w:line="132"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11.3.1 On or promptly after the Effective Date, the Parties shall jointly issue a public announcement of the execution of this Agreement in a form to be mutually agreed to by the Parties (such agreement not to be unreasonably withheld, conditioned or delayed). Neither Party shall issue any subsequent press release or make other disclosures regarding this Agreement or the Parties’ activities hereunder, or any results or data arising hereunder, except (a) with the other Party’s prior written consent; (b) in accordance with Section 11.6; or (c) for any disclosure that is reasonably necessary to comply with applicable securities exchange listing requirements or other applicable Laws. Notwithstanding the foregoing, to the extent information regarding this Agreement has already been publicly disclosed, either Party may subsequently disclose the same information to the public without the consent of the other Party. Each Party shall be permitted to disclose the terms of this Agreement, in each case under appropriate confidentiality provisions substantially equivalent to those of this Agreement, to any actual or potential acquirers, merger partners, licensees, sublicensees, investors and professional advisors on a need to know basis.</w:t>
      </w:r>
    </w:p>
    <w:p>
      <w:pPr>
        <w:spacing w:after="0" w:line="112" w:lineRule="exact"/>
        <w:rPr>
          <w:sz w:val="20"/>
          <w:szCs w:val="20"/>
          <w:color w:val="auto"/>
        </w:rPr>
      </w:pPr>
    </w:p>
    <w:p>
      <w:pPr>
        <w:ind w:right="200" w:firstLine="917"/>
        <w:spacing w:after="0" w:line="255" w:lineRule="auto"/>
        <w:rPr>
          <w:sz w:val="20"/>
          <w:szCs w:val="20"/>
          <w:color w:val="auto"/>
        </w:rPr>
      </w:pPr>
      <w:r>
        <w:rPr>
          <w:rFonts w:ascii="Arial" w:cs="Arial" w:eastAsia="Arial" w:hAnsi="Arial"/>
          <w:sz w:val="14"/>
          <w:szCs w:val="14"/>
          <w:color w:val="auto"/>
        </w:rPr>
        <w:t>11.3.2 Each Party shall, if practicable, give the other Party a reasonable opportunity to review those portions of all filings with the United States Securities and Exchange Commission (or any stock exchange, including Nasdaq, or any similar regulatory agency in any country other than the United States) describing the terms of this Agreement (including any filings of this Agreement) prior to submission of such filings, and shall give due consideration to any reasonable comments by the non-filing Party relating to such filing, including the provisions of this Agreement for which confidential treatment should be sought.</w:t>
      </w:r>
    </w:p>
    <w:p>
      <w:pPr>
        <w:spacing w:after="0" w:line="110" w:lineRule="exact"/>
        <w:rPr>
          <w:sz w:val="20"/>
          <w:szCs w:val="20"/>
          <w:color w:val="auto"/>
        </w:rPr>
      </w:pPr>
    </w:p>
    <w:p>
      <w:pPr>
        <w:ind w:right="480" w:firstLine="458"/>
        <w:spacing w:after="0" w:line="351" w:lineRule="auto"/>
        <w:rPr>
          <w:sz w:val="20"/>
          <w:szCs w:val="20"/>
          <w:color w:val="auto"/>
        </w:rPr>
      </w:pPr>
      <w:r>
        <w:rPr>
          <w:rFonts w:ascii="Arial" w:cs="Arial" w:eastAsia="Arial" w:hAnsi="Arial"/>
          <w:sz w:val="12"/>
          <w:szCs w:val="12"/>
          <w:color w:val="auto"/>
        </w:rPr>
        <w:t xml:space="preserve">11.4 </w:t>
      </w:r>
      <w:r>
        <w:rPr>
          <w:rFonts w:ascii="Arial" w:cs="Arial" w:eastAsia="Arial" w:hAnsi="Arial"/>
          <w:sz w:val="12"/>
          <w:szCs w:val="12"/>
          <w:u w:val="single" w:color="auto"/>
          <w:color w:val="auto"/>
        </w:rPr>
        <w:t>Existing Confidentiality Agreement</w:t>
      </w:r>
      <w:r>
        <w:rPr>
          <w:rFonts w:ascii="Arial" w:cs="Arial" w:eastAsia="Arial" w:hAnsi="Arial"/>
          <w:sz w:val="12"/>
          <w:szCs w:val="12"/>
          <w:color w:val="auto"/>
        </w:rPr>
        <w:t xml:space="preserve">. For the avoidance of doubt, any information disclosed by MacroGenics to Servier prior to the Effective Date pursuant to the Non-Disclosure Disclosure Agreement between MacroGenics and Servier dated </w:t>
      </w:r>
      <w:r>
        <w:rPr>
          <w:rFonts w:ascii="Arial" w:cs="Arial" w:eastAsia="Arial" w:hAnsi="Arial"/>
          <w:sz w:val="12"/>
          <w:szCs w:val="12"/>
          <w:b w:val="1"/>
          <w:bCs w:val="1"/>
          <w:color w:val="auto"/>
        </w:rPr>
        <w:t>***</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Existing Confidentiality Agreement</w:t>
      </w:r>
      <w:r>
        <w:rPr>
          <w:rFonts w:ascii="Arial" w:cs="Arial" w:eastAsia="Arial" w:hAnsi="Arial"/>
          <w:sz w:val="12"/>
          <w:szCs w:val="12"/>
          <w:color w:val="auto"/>
        </w:rPr>
        <w:t>”) shall be treated as Confidential Information for all purposes under this Agreement.</w:t>
      </w:r>
    </w:p>
    <w:p>
      <w:pPr>
        <w:spacing w:after="0" w:line="56" w:lineRule="exact"/>
        <w:rPr>
          <w:sz w:val="20"/>
          <w:szCs w:val="20"/>
          <w:color w:val="auto"/>
        </w:rPr>
      </w:pPr>
    </w:p>
    <w:p>
      <w:pPr>
        <w:ind w:right="60" w:firstLine="458"/>
        <w:spacing w:after="0" w:line="351" w:lineRule="auto"/>
        <w:rPr>
          <w:sz w:val="20"/>
          <w:szCs w:val="20"/>
          <w:color w:val="auto"/>
        </w:rPr>
      </w:pPr>
      <w:r>
        <w:rPr>
          <w:rFonts w:ascii="Arial" w:cs="Arial" w:eastAsia="Arial" w:hAnsi="Arial"/>
          <w:sz w:val="12"/>
          <w:szCs w:val="12"/>
          <w:color w:val="auto"/>
        </w:rPr>
        <w:t xml:space="preserve">11.5 </w:t>
      </w:r>
      <w:r>
        <w:rPr>
          <w:rFonts w:ascii="Arial" w:cs="Arial" w:eastAsia="Arial" w:hAnsi="Arial"/>
          <w:sz w:val="12"/>
          <w:szCs w:val="12"/>
          <w:u w:val="single" w:color="auto"/>
          <w:color w:val="auto"/>
        </w:rPr>
        <w:t>Remedies</w:t>
      </w:r>
      <w:r>
        <w:rPr>
          <w:rFonts w:ascii="Arial" w:cs="Arial" w:eastAsia="Arial" w:hAnsi="Arial"/>
          <w:sz w:val="12"/>
          <w:szCs w:val="12"/>
          <w:color w:val="auto"/>
        </w:rPr>
        <w:t>. In the event a Party breaches the confidentiality obligations set forth in this ARTICLE 11, the other Party shall be entitled to seek, in addition to any other right or remedy it may have, at Law or in equity, a temporary injunction, without the posting of any bond or other security, enjoining or restraining the breaching Party from any violation or threatened violation of this ARTICLE 11.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89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63" w:name="page764"/>
    <w:bookmarkEnd w:id="763"/>
    <w:p>
      <w:pPr>
        <w:ind w:firstLine="458"/>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11.6 </w:t>
      </w:r>
      <w:r>
        <w:rPr>
          <w:rFonts w:ascii="Arial" w:cs="Arial" w:eastAsia="Arial" w:hAnsi="Arial"/>
          <w:sz w:val="12"/>
          <w:szCs w:val="12"/>
          <w:u w:val="single" w:color="auto"/>
          <w:color w:val="auto"/>
        </w:rPr>
        <w:t>Publications</w:t>
      </w:r>
      <w:r>
        <w:rPr>
          <w:rFonts w:ascii="Arial" w:cs="Arial" w:eastAsia="Arial" w:hAnsi="Arial"/>
          <w:sz w:val="12"/>
          <w:szCs w:val="12"/>
          <w:color w:val="auto"/>
        </w:rPr>
        <w:t xml:space="preserve">. Neither Party nor its Affiliates shall publish or publicly disclose the results of any of the Research or Development activities conducted by either Party under this Agreement without the prior written consent of the other Party, except as expressly permitted in this Section 11.6 or otherwise in this Agreement. The Parties recognize that it may be useful or required to publish or publicly disclose the results of Research and Development work on Program DARTs and Licensed Products, and each Party (and its Affiliates) shall be free to publish or publicly disclose such results, subject to the prior review by the other Party for patentability and protection of its Confidential Information as described in this Section 11.6. The Party that desires to publish results hereunder shall provide the other Party with a copy of such proposed abstract, manuscript, or presentation no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its intended submission for publication. The reviewing Party shall respond in writing promptly and in no event later than thirty </w:t>
      </w:r>
      <w:r>
        <w:rPr>
          <w:rFonts w:ascii="Arial" w:cs="Arial" w:eastAsia="Arial" w:hAnsi="Arial"/>
          <w:sz w:val="12"/>
          <w:szCs w:val="12"/>
          <w:b w:val="1"/>
          <w:bCs w:val="1"/>
          <w:color w:val="auto"/>
        </w:rPr>
        <w:t>***</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2"/>
          <w:szCs w:val="12"/>
          <w:color w:val="auto"/>
        </w:rPr>
        <w:t>after receipt of the proposed material, with one or more of the following: (a) comments on the proposed material, which the publishing Party shall consider in good faith, (b) a specific statement of concern, based upon the need to seek patent protection, or (c) an identification of the reviewing Party’s Confidential Information that is contained in the material reviewed. In the event of concern over patent protection, the publishing Party agrees not to submit such publication or to make such presentation that contains such information until the reviewing Party is given a reasonable period of time, and in no event less than</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to seek patent protection for any material in such publication or presentation which it believes is patentable. Any Confidential Information of the reviewing Party shall, if requested by the reviewing Party,</w:t>
      </w:r>
      <w:r>
        <w:rPr>
          <w:rFonts w:ascii="Arial" w:cs="Arial" w:eastAsia="Arial" w:hAnsi="Arial"/>
          <w:sz w:val="14"/>
          <w:szCs w:val="14"/>
          <w:b w:val="1"/>
          <w:bCs w:val="1"/>
          <w:color w:val="auto"/>
        </w:rPr>
        <w:t xml:space="preserve"> </w:t>
      </w:r>
      <w:r>
        <w:rPr>
          <w:rFonts w:ascii="Arial" w:cs="Arial" w:eastAsia="Arial" w:hAnsi="Arial"/>
          <w:sz w:val="14"/>
          <w:szCs w:val="14"/>
          <w:color w:val="auto"/>
        </w:rPr>
        <w:t>be removed by the other Party.</w:t>
      </w:r>
    </w:p>
    <w:p>
      <w:pPr>
        <w:spacing w:after="0" w:line="108" w:lineRule="exact"/>
        <w:rPr>
          <w:sz w:val="20"/>
          <w:szCs w:val="20"/>
          <w:color w:val="auto"/>
        </w:rPr>
      </w:pPr>
    </w:p>
    <w:p>
      <w:pPr>
        <w:ind w:right="40" w:firstLine="458"/>
        <w:spacing w:after="0" w:line="296" w:lineRule="auto"/>
        <w:rPr>
          <w:sz w:val="20"/>
          <w:szCs w:val="20"/>
          <w:color w:val="auto"/>
        </w:rPr>
      </w:pPr>
      <w:r>
        <w:rPr>
          <w:rFonts w:ascii="Arial" w:cs="Arial" w:eastAsia="Arial" w:hAnsi="Arial"/>
          <w:sz w:val="12"/>
          <w:szCs w:val="12"/>
          <w:color w:val="auto"/>
        </w:rPr>
        <w:t xml:space="preserve">11.7 </w:t>
      </w:r>
      <w:r>
        <w:rPr>
          <w:rFonts w:ascii="Arial" w:cs="Arial" w:eastAsia="Arial" w:hAnsi="Arial"/>
          <w:sz w:val="12"/>
          <w:szCs w:val="12"/>
          <w:u w:val="single" w:color="auto"/>
          <w:color w:val="auto"/>
        </w:rPr>
        <w:t>Return of Confidential Information</w:t>
      </w:r>
      <w:r>
        <w:rPr>
          <w:rFonts w:ascii="Arial" w:cs="Arial" w:eastAsia="Arial" w:hAnsi="Arial"/>
          <w:sz w:val="12"/>
          <w:szCs w:val="12"/>
          <w:color w:val="auto"/>
        </w:rPr>
        <w:t>. Upon the expiration or termination of this Agreement, the Receiving Party shall return to the Disclosing Party all Confidential Information received by the Receiving Party from the Disclosing Party (and all copies and reproductions thereof). In addition, the Receiving Party shall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Alternatively, upon written request of the Disclosing Party, the Receiving Party shall destroy all Confidential Information received by the Receiving Party from the Disclosing Party (and all copies and reproductions thereof) and any notes, reports or other documents prepared by the Receiving Party which contain Confidential Information of the Disclosing Party. Nothing in this Section 11.7 shall require the alteration, modification, deletion or destruction of archival tapes or other electronic back-up media made in the ordinary course of business; provided that the Receiving Party shall continue to be bound by its obligations of confidentiality and other obligations under this ARTICLE 11 with respect to any Confidential Information contained in such archival tapes or other electronic back-up media. Any requested destruction of Confidential Information shall be certified in writing to the Disclosing Party by an authorized officer of the Receiving Party supervising such destruction. Notwithstanding the foregoing, (i) the Receiving Party’s legal counsel may retain one copy of the Disclosing Party’s Confidential Information solely for the purpose of determining the Receiving Party’s continuing obligations under this ARTICLE 11 and (ii) the Receiving Party may retain the Disclosing Party’s Confidential Information and its own notes, reports and other documents (A) to the extent reasonably required (i) to comply with applicable Law and regulatory requirements; (ii) to exercise the rights and</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12" w:lineRule="exact"/>
        <w:rPr>
          <w:sz w:val="20"/>
          <w:szCs w:val="20"/>
          <w:color w:val="auto"/>
        </w:rPr>
      </w:pPr>
    </w:p>
    <w:p>
      <w:pPr>
        <w:ind w:left="3840" w:right="2700" w:hanging="1135"/>
        <w:spacing w:after="0" w:line="341" w:lineRule="auto"/>
        <w:tabs>
          <w:tab w:leader="none" w:pos="2944" w:val="left"/>
        </w:tabs>
        <w:numPr>
          <w:ilvl w:val="0"/>
          <w:numId w:val="90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64" w:name="page765"/>
    <w:bookmarkEnd w:id="764"/>
    <w:p>
      <w:pPr>
        <w:jc w:val="both"/>
        <w:ind w:right="1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licenses of the Receiving Party expressly surviving expiration or termination of this Agreement; and (iii) to perform the obligations of the Receiving Party expressly surviving expiration or termination of this Agreement; or (B) to the extent it is impracticable to do so without incurring disproportionate cost. Notwithstanding the return or destruction of the Disclosing Party’s Confidential Information, the Receiving Party shall continue to be bound by its obligations of confidentiality and other obligations under this ARTICLE 11.</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12</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REPRESENTATIONS AND WARRANTIES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Representations and Warranties of Both Parties</w:t>
      </w:r>
      <w:r>
        <w:rPr>
          <w:rFonts w:ascii="Arial" w:cs="Arial" w:eastAsia="Arial" w:hAnsi="Arial"/>
          <w:sz w:val="14"/>
          <w:szCs w:val="14"/>
          <w:color w:val="auto"/>
        </w:rPr>
        <w:t>. Each Party hereby represents and warrants to the other Party, as of the Effective Date, that:</w:t>
      </w:r>
    </w:p>
    <w:p>
      <w:pPr>
        <w:spacing w:after="0" w:line="132" w:lineRule="exact"/>
        <w:rPr>
          <w:sz w:val="20"/>
          <w:szCs w:val="20"/>
          <w:color w:val="auto"/>
        </w:rPr>
      </w:pPr>
    </w:p>
    <w:p>
      <w:pPr>
        <w:ind w:right="280" w:firstLine="917"/>
        <w:spacing w:after="0" w:line="267" w:lineRule="auto"/>
        <w:rPr>
          <w:sz w:val="20"/>
          <w:szCs w:val="20"/>
          <w:color w:val="auto"/>
        </w:rPr>
      </w:pPr>
      <w:r>
        <w:rPr>
          <w:rFonts w:ascii="Arial" w:cs="Arial" w:eastAsia="Arial" w:hAnsi="Arial"/>
          <w:sz w:val="14"/>
          <w:szCs w:val="14"/>
          <w:color w:val="auto"/>
        </w:rPr>
        <w:t>12.1.1 such Party is duly organized, validly existing and in good standing under the Laws of the jurisdiction of its incorporation and has full corporate power and authority to enter into this Agreement and to carry out the provisions hereof;</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12.1.2 such Party has taken all necessary action on its part to authorize the execution and delivery of this Agreement and the performance of its obligations hereunder;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12.1.3 this Agreement has been duly executed and delivered on behalf of such Party, and constitutes a legal, valid, binding obligation, enforceable against it in accordance with the terms hereof;</w:t>
      </w:r>
    </w:p>
    <w:p>
      <w:pPr>
        <w:spacing w:after="0" w:line="155" w:lineRule="exact"/>
        <w:rPr>
          <w:sz w:val="20"/>
          <w:szCs w:val="20"/>
          <w:color w:val="auto"/>
        </w:rPr>
      </w:pPr>
    </w:p>
    <w:p>
      <w:pPr>
        <w:ind w:right="340" w:firstLine="917"/>
        <w:spacing w:after="0" w:line="351" w:lineRule="auto"/>
        <w:rPr>
          <w:sz w:val="20"/>
          <w:szCs w:val="20"/>
          <w:color w:val="auto"/>
        </w:rPr>
      </w:pPr>
      <w:r>
        <w:rPr>
          <w:rFonts w:ascii="Arial" w:cs="Arial" w:eastAsia="Arial" w:hAnsi="Arial"/>
          <w:sz w:val="12"/>
          <w:szCs w:val="12"/>
          <w:color w:val="auto"/>
        </w:rPr>
        <w:t>12.1.4 the execution, delivery and performance of this Agreement by such Party does not conflict with any agreement or any provision thereof, or any instrument or understanding, oral or written, to which it is a party or by which it is bound, nor violate any Law of any court, governmental body or administrative or other agency having jurisdiction over such Party; and</w:t>
      </w:r>
    </w:p>
    <w:p>
      <w:pPr>
        <w:spacing w:after="0" w:line="56"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12.1.5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for the performance by it of its obligations under this Agreement, except as necessary to conduct clinical trials or to seek or obtain Regulatory Approvals.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Representations and Warranties of MacroGenics and its Affiliates</w:t>
      </w:r>
      <w:r>
        <w:rPr>
          <w:rFonts w:ascii="Arial" w:cs="Arial" w:eastAsia="Arial" w:hAnsi="Arial"/>
          <w:sz w:val="14"/>
          <w:szCs w:val="14"/>
          <w:color w:val="auto"/>
        </w:rPr>
        <w:t>. MacroGenics and its Affiliates hereby represent and warrant to Servier that: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12.2.1 As of the Effective Date, MacroGenics is the owner of, or has Control via a license to, the MacroGenics Patents listed on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32" w:lineRule="exact"/>
        <w:rPr>
          <w:sz w:val="20"/>
          <w:szCs w:val="20"/>
          <w:color w:val="auto"/>
        </w:rPr>
      </w:pPr>
    </w:p>
    <w:p>
      <w:pPr>
        <w:ind w:right="240" w:firstLine="917"/>
        <w:spacing w:after="0" w:line="267" w:lineRule="auto"/>
        <w:rPr>
          <w:sz w:val="20"/>
          <w:szCs w:val="20"/>
          <w:color w:val="auto"/>
        </w:rPr>
      </w:pPr>
      <w:r>
        <w:rPr>
          <w:rFonts w:ascii="Arial" w:cs="Arial" w:eastAsia="Arial" w:hAnsi="Arial"/>
          <w:sz w:val="14"/>
          <w:szCs w:val="14"/>
          <w:color w:val="auto"/>
        </w:rPr>
        <w:t>12.2.2 There are not as of the Effective Date, nor have there been over the *** period immediately preceding the Effective Date, any claims, lawsuits, arbitrations, legal or administrative or regulatory proceedings, charges, complaints or investigations by any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12" w:lineRule="exact"/>
        <w:rPr>
          <w:sz w:val="20"/>
          <w:szCs w:val="20"/>
          <w:color w:val="auto"/>
        </w:rPr>
      </w:pPr>
    </w:p>
    <w:p>
      <w:pPr>
        <w:ind w:left="3840" w:right="2640" w:hanging="1135"/>
        <w:spacing w:after="0" w:line="341" w:lineRule="auto"/>
        <w:tabs>
          <w:tab w:leader="none" w:pos="2944" w:val="left"/>
        </w:tabs>
        <w:numPr>
          <w:ilvl w:val="0"/>
          <w:numId w:val="90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765" w:name="page766"/>
    <w:bookmarkEnd w:id="765"/>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Government Authority (except in the ordinary administrative course of the granting of patents and proceedings relating thereto) or by any Third Party relating to the MacroGenics Patents or MacroGenics Know-How;</w:t>
      </w:r>
    </w:p>
    <w:p>
      <w:pPr>
        <w:spacing w:after="0" w:line="101" w:lineRule="exact"/>
        <w:rPr>
          <w:sz w:val="20"/>
          <w:szCs w:val="20"/>
          <w:color w:val="auto"/>
        </w:rPr>
      </w:pPr>
    </w:p>
    <w:p>
      <w:pPr>
        <w:ind w:right="140" w:firstLine="917"/>
        <w:spacing w:after="0" w:line="267" w:lineRule="auto"/>
        <w:rPr>
          <w:sz w:val="20"/>
          <w:szCs w:val="20"/>
          <w:color w:val="auto"/>
        </w:rPr>
      </w:pPr>
      <w:r>
        <w:rPr>
          <w:rFonts w:ascii="Arial" w:cs="Arial" w:eastAsia="Arial" w:hAnsi="Arial"/>
          <w:sz w:val="14"/>
          <w:szCs w:val="14"/>
          <w:color w:val="auto"/>
        </w:rPr>
        <w:t>12.2.3 As of the Effective Date, to MacroGenics’ and its Affiliates knowledge, the exercise by Servier of the rights and licenses granted to Servier by MacroGenics under this Agreement shall not infringe any rights owned or controlled by any Third Party in the Servier Territory;</w:t>
      </w:r>
    </w:p>
    <w:p>
      <w:pPr>
        <w:spacing w:after="0" w:line="101" w:lineRule="exact"/>
        <w:rPr>
          <w:sz w:val="20"/>
          <w:szCs w:val="20"/>
          <w:color w:val="auto"/>
        </w:rPr>
      </w:pPr>
    </w:p>
    <w:p>
      <w:pPr>
        <w:ind w:right="60" w:firstLine="917"/>
        <w:spacing w:after="0" w:line="258" w:lineRule="auto"/>
        <w:rPr>
          <w:sz w:val="20"/>
          <w:szCs w:val="20"/>
          <w:color w:val="auto"/>
        </w:rPr>
      </w:pPr>
      <w:r>
        <w:rPr>
          <w:rFonts w:ascii="Arial" w:cs="Arial" w:eastAsia="Arial" w:hAnsi="Arial"/>
          <w:sz w:val="14"/>
          <w:szCs w:val="14"/>
          <w:color w:val="auto"/>
        </w:rPr>
        <w:t>12.2.4 As to the Effective Date, to MacroGenics’ and its Affiliates knowledge *** it has not (i) employed and has not used a contractor or consultant that has employed, any individual or entity debarred by the FDA (or subject to a similar sanction of EMA), or, (ii) employed any individual who or entity that is the subject of an FDA debarment investigation or proceeding (or similar proceeding of EMA), in the conduct of any pre-clinical activities or clinical studies of Program DARTs;</w:t>
      </w:r>
    </w:p>
    <w:p>
      <w:pPr>
        <w:spacing w:after="0" w:line="108" w:lineRule="exact"/>
        <w:rPr>
          <w:sz w:val="20"/>
          <w:szCs w:val="20"/>
          <w:color w:val="auto"/>
        </w:rPr>
      </w:pPr>
    </w:p>
    <w:p>
      <w:pPr>
        <w:ind w:right="120" w:firstLine="917"/>
        <w:spacing w:after="0" w:line="351" w:lineRule="auto"/>
        <w:rPr>
          <w:sz w:val="20"/>
          <w:szCs w:val="20"/>
          <w:color w:val="auto"/>
        </w:rPr>
      </w:pPr>
      <w:r>
        <w:rPr>
          <w:rFonts w:ascii="Arial" w:cs="Arial" w:eastAsia="Arial" w:hAnsi="Arial"/>
          <w:sz w:val="12"/>
          <w:szCs w:val="12"/>
          <w:color w:val="auto"/>
        </w:rPr>
        <w:t>12.2.5 As to the Effective Date, MacroGenics has the right to grant all rights and licenses it purports to grant to Servier with respect to the MacroGenics IP under this Agreement and it has not granted any license, right or interest in, to or under MacroGenics IP to any Third Party that is inconsistent with the licenses and rights granted to Servier under Section 4.1;</w:t>
      </w:r>
    </w:p>
    <w:p>
      <w:pPr>
        <w:spacing w:after="0" w:line="56" w:lineRule="exact"/>
        <w:rPr>
          <w:sz w:val="20"/>
          <w:szCs w:val="20"/>
          <w:color w:val="auto"/>
        </w:rPr>
      </w:pPr>
    </w:p>
    <w:p>
      <w:pPr>
        <w:ind w:right="140" w:firstLine="917"/>
        <w:spacing w:after="0" w:line="267" w:lineRule="auto"/>
        <w:rPr>
          <w:sz w:val="20"/>
          <w:szCs w:val="20"/>
          <w:color w:val="auto"/>
        </w:rPr>
      </w:pPr>
      <w:r>
        <w:rPr>
          <w:rFonts w:ascii="Arial" w:cs="Arial" w:eastAsia="Arial" w:hAnsi="Arial"/>
          <w:sz w:val="14"/>
          <w:szCs w:val="14"/>
          <w:color w:val="auto"/>
        </w:rPr>
        <w:t>12.2.6 As of the Effective Date, to MacroGenics and its Affiliates’ knowledge the MacroGenics IP are all of the Patents and Know-How Controlled by MacroGenics or its Affiliates which are reasonably necessary for the Development, Manufacture, Commercialization of the Program DART and/or Licensed Products in the Field in the Servier Territory;</w:t>
      </w:r>
    </w:p>
    <w:p>
      <w:pPr>
        <w:spacing w:after="0" w:line="101"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12.2.7 To MacroGenics knowledge, the Research and Development of the Program DART and the Licensed Product prior to the Effective Date by or on behalf of MacroGenics has been carried out without infringing any Patent owned or controlled by a Third Party;</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12.2.8 As of the Effective Date, to MacroGenics’ knowledge, there are no activities by Third Party that would constitute infringement or misappropriation of the MacroGenics IP;</w:t>
      </w:r>
    </w:p>
    <w:p>
      <w:pPr>
        <w:spacing w:after="0" w:line="155" w:lineRule="exact"/>
        <w:rPr>
          <w:sz w:val="20"/>
          <w:szCs w:val="20"/>
          <w:color w:val="auto"/>
        </w:rPr>
      </w:pPr>
    </w:p>
    <w:p>
      <w:pPr>
        <w:jc w:val="both"/>
        <w:ind w:right="160" w:firstLine="917"/>
        <w:spacing w:after="0" w:line="321" w:lineRule="auto"/>
        <w:rPr>
          <w:sz w:val="20"/>
          <w:szCs w:val="20"/>
          <w:color w:val="auto"/>
        </w:rPr>
      </w:pPr>
      <w:r>
        <w:rPr>
          <w:rFonts w:ascii="Arial" w:cs="Arial" w:eastAsia="Arial" w:hAnsi="Arial"/>
          <w:sz w:val="12"/>
          <w:szCs w:val="12"/>
          <w:color w:val="auto"/>
        </w:rPr>
        <w:t>12.2.9 As of the Effective Date, to MacroGenics’ knowledge, there is no reason for MacroGenics or a court of competent jurisdiction to reasonably conclude that the MacroGenics Patents are invalid or unenforceable. To MacroGenics’ knowledge, the claims included in any issued MacroGenics Patent are valid and in full force and effect. All fees required to be paid to the governmental authorities prior to the Effective Date to prosecute or maintain the MacroGenics Patent in the Servier Territory have been filed and have been paid;</w:t>
      </w:r>
    </w:p>
    <w:p>
      <w:pPr>
        <w:spacing w:after="0" w:line="73" w:lineRule="exact"/>
        <w:rPr>
          <w:sz w:val="20"/>
          <w:szCs w:val="20"/>
          <w:color w:val="auto"/>
        </w:rPr>
      </w:pPr>
    </w:p>
    <w:p>
      <w:pPr>
        <w:ind w:right="80" w:firstLine="917"/>
        <w:spacing w:after="0" w:line="267" w:lineRule="auto"/>
        <w:rPr>
          <w:sz w:val="20"/>
          <w:szCs w:val="20"/>
          <w:color w:val="auto"/>
        </w:rPr>
      </w:pPr>
      <w:r>
        <w:rPr>
          <w:rFonts w:ascii="Arial" w:cs="Arial" w:eastAsia="Arial" w:hAnsi="Arial"/>
          <w:sz w:val="14"/>
          <w:szCs w:val="14"/>
          <w:color w:val="auto"/>
        </w:rPr>
        <w:t>12.2.10 MacroGenics has maintained prior to the Effective Date and, unless agreed to otherwise by Servier and except as provided in this Agreement, during the Agreement Term will maintain and keep in full force and effect all agreements and filings (including Patent filings) necessary to perform its obligations hereunder.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12" w:lineRule="exact"/>
        <w:rPr>
          <w:sz w:val="20"/>
          <w:szCs w:val="20"/>
          <w:color w:val="auto"/>
        </w:rPr>
      </w:pPr>
    </w:p>
    <w:p>
      <w:pPr>
        <w:ind w:left="3840" w:right="2680" w:hanging="1135"/>
        <w:spacing w:after="0" w:line="341" w:lineRule="auto"/>
        <w:tabs>
          <w:tab w:leader="none" w:pos="2944" w:val="left"/>
        </w:tabs>
        <w:numPr>
          <w:ilvl w:val="0"/>
          <w:numId w:val="90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66" w:name="page767"/>
    <w:bookmarkEnd w:id="766"/>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12.3 </w:t>
      </w:r>
      <w:r>
        <w:rPr>
          <w:rFonts w:ascii="Arial" w:cs="Arial" w:eastAsia="Arial" w:hAnsi="Arial"/>
          <w:sz w:val="14"/>
          <w:szCs w:val="14"/>
          <w:u w:val="single" w:color="auto"/>
          <w:color w:val="auto"/>
        </w:rPr>
        <w:t>Representation and Warranty of LLS</w:t>
      </w:r>
      <w:r>
        <w:rPr>
          <w:rFonts w:ascii="Arial" w:cs="Arial" w:eastAsia="Arial" w:hAnsi="Arial"/>
          <w:sz w:val="14"/>
          <w:szCs w:val="14"/>
          <w:color w:val="auto"/>
        </w:rPr>
        <w:t>. LLS hereby represents and warrants to MacroGenics that IdRS is an Affiliate of LLS.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u w:val="single" w:color="auto"/>
          <w:color w:val="auto"/>
        </w:rPr>
        <w:t>Mutual Covenants</w:t>
      </w:r>
      <w:r>
        <w:rPr>
          <w:rFonts w:ascii="Arial" w:cs="Arial" w:eastAsia="Arial" w:hAnsi="Arial"/>
          <w:sz w:val="14"/>
          <w:szCs w:val="14"/>
          <w:color w:val="auto"/>
        </w:rPr>
        <w:t>. Each Party hereby covenants to the other Party that: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12.4.1 Such Party shall comply with all applicable Laws in connection with this Agreement and the transactions contemplated hereby.</w:t>
      </w:r>
    </w:p>
    <w:p>
      <w:pPr>
        <w:spacing w:after="0" w:line="132" w:lineRule="exact"/>
        <w:rPr>
          <w:sz w:val="20"/>
          <w:szCs w:val="20"/>
          <w:color w:val="auto"/>
        </w:rPr>
      </w:pPr>
    </w:p>
    <w:p>
      <w:pPr>
        <w:ind w:right="260" w:firstLine="917"/>
        <w:spacing w:after="0" w:line="267" w:lineRule="auto"/>
        <w:rPr>
          <w:sz w:val="20"/>
          <w:szCs w:val="20"/>
          <w:color w:val="auto"/>
        </w:rPr>
      </w:pPr>
      <w:r>
        <w:rPr>
          <w:rFonts w:ascii="Arial" w:cs="Arial" w:eastAsia="Arial" w:hAnsi="Arial"/>
          <w:sz w:val="14"/>
          <w:szCs w:val="14"/>
          <w:color w:val="auto"/>
        </w:rPr>
        <w:t>12.4.2 All employees of such Party or its Affiliates working under this Agreement will be under the obligation to assign all right, title and interest in and to their inventions and discoveries, whether or not patentable, to such Party as the sole owner thereof;</w:t>
      </w:r>
    </w:p>
    <w:p>
      <w:pPr>
        <w:spacing w:after="0" w:line="101" w:lineRule="exact"/>
        <w:rPr>
          <w:sz w:val="20"/>
          <w:szCs w:val="20"/>
          <w:color w:val="auto"/>
        </w:rPr>
      </w:pPr>
    </w:p>
    <w:p>
      <w:pPr>
        <w:ind w:right="200" w:firstLine="917"/>
        <w:spacing w:after="0" w:line="258" w:lineRule="auto"/>
        <w:rPr>
          <w:sz w:val="20"/>
          <w:szCs w:val="20"/>
          <w:color w:val="auto"/>
        </w:rPr>
      </w:pPr>
      <w:r>
        <w:rPr>
          <w:rFonts w:ascii="Arial" w:cs="Arial" w:eastAsia="Arial" w:hAnsi="Arial"/>
          <w:sz w:val="14"/>
          <w:szCs w:val="14"/>
          <w:color w:val="auto"/>
        </w:rPr>
        <w:t>12.4.3 To its knowledge *** such Party will not (a) employ or use any contractor or consultant that employs, any individual or entity debarred by the FDA (or subject to a similar sanction of EMA) or, (b) employ any individual who or entity that is the subject of an FDA debarment investigation or proceeding (or similar proceeding of EMA), in each of clauses (a) and (b) in the conduct of its activities under this Agreement;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12.4.4 Such Party shall perform its activities pursuant to this Agreement in compliance in all material respects with GLP, GCP and cGMP (including those specified by the ICH), in each case 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applicable; and</w:t>
      </w:r>
    </w:p>
    <w:p>
      <w:pPr>
        <w:spacing w:after="0" w:line="126" w:lineRule="exact"/>
        <w:rPr>
          <w:sz w:val="20"/>
          <w:szCs w:val="20"/>
          <w:color w:val="auto"/>
        </w:rPr>
      </w:pPr>
    </w:p>
    <w:p>
      <w:pPr>
        <w:ind w:right="200" w:firstLine="917"/>
        <w:spacing w:after="0" w:line="267" w:lineRule="auto"/>
        <w:rPr>
          <w:sz w:val="20"/>
          <w:szCs w:val="20"/>
          <w:color w:val="auto"/>
        </w:rPr>
      </w:pPr>
      <w:r>
        <w:rPr>
          <w:rFonts w:ascii="Arial" w:cs="Arial" w:eastAsia="Arial" w:hAnsi="Arial"/>
          <w:sz w:val="14"/>
          <w:szCs w:val="14"/>
          <w:color w:val="auto"/>
        </w:rPr>
        <w:t>12.4.5 Neither Party shall, during the Agreement Term grant any right or license to any Third Party relating to any of the intellectual property rights it owns or Controls which would conflict with any of the rights or licenses granted or to be granted to the other Party hereunder pursuant to the provisions of ARTICLE 4.</w:t>
      </w:r>
    </w:p>
    <w:p>
      <w:pPr>
        <w:spacing w:after="0" w:line="10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4"/>
          <w:szCs w:val="14"/>
          <w:color w:val="auto"/>
        </w:rPr>
        <w:t xml:space="preserve">12.5 </w:t>
      </w:r>
      <w:r>
        <w:rPr>
          <w:rFonts w:ascii="Arial" w:cs="Arial" w:eastAsia="Arial" w:hAnsi="Arial"/>
          <w:sz w:val="14"/>
          <w:szCs w:val="14"/>
          <w:u w:val="single" w:color="auto"/>
          <w:color w:val="auto"/>
        </w:rPr>
        <w:t>Disclaimer</w:t>
      </w:r>
      <w:r>
        <w:rPr>
          <w:rFonts w:ascii="Arial" w:cs="Arial" w:eastAsia="Arial" w:hAnsi="Arial"/>
          <w:sz w:val="14"/>
          <w:szCs w:val="14"/>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 Without limiting the generality of the foregoing except as otherwise expressly set forth in this Agreement, each Party disclaims any warranties with regards to: (a) the success of any study or test commenced under this Agreement, (b) the safety or usefulness for any purpose of the technology or materials, including any compounds, it provides or discovers under this Agreement; or (c) the validity, enforceability, or non-infringement of any intellectual property rights or technology it provides or licenses to the other Party under this Agreement.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57</w:t>
      </w:r>
    </w:p>
    <w:p>
      <w:pPr>
        <w:spacing w:after="0" w:line="12" w:lineRule="exact"/>
        <w:rPr>
          <w:sz w:val="20"/>
          <w:szCs w:val="20"/>
          <w:color w:val="auto"/>
        </w:rPr>
      </w:pPr>
    </w:p>
    <w:p>
      <w:pPr>
        <w:ind w:left="3840" w:right="2640" w:hanging="1135"/>
        <w:spacing w:after="0" w:line="341" w:lineRule="auto"/>
        <w:tabs>
          <w:tab w:leader="none" w:pos="2944" w:val="left"/>
        </w:tabs>
        <w:numPr>
          <w:ilvl w:val="0"/>
          <w:numId w:val="90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767" w:name="page768"/>
    <w:bookmarkEnd w:id="76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13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INDEMNIFICATION</w:t>
      </w:r>
    </w:p>
    <w:p>
      <w:pPr>
        <w:spacing w:after="0" w:line="126" w:lineRule="exact"/>
        <w:rPr>
          <w:sz w:val="20"/>
          <w:szCs w:val="20"/>
          <w:color w:val="auto"/>
        </w:rPr>
      </w:pPr>
    </w:p>
    <w:p>
      <w:pPr>
        <w:ind w:firstLine="458"/>
        <w:spacing w:after="0" w:line="298"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u w:val="single" w:color="auto"/>
          <w:color w:val="auto"/>
        </w:rPr>
        <w:t>Indemnification by Servier</w:t>
      </w:r>
      <w:r>
        <w:rPr>
          <w:rFonts w:ascii="Arial" w:cs="Arial" w:eastAsia="Arial" w:hAnsi="Arial"/>
          <w:sz w:val="12"/>
          <w:szCs w:val="12"/>
          <w:color w:val="auto"/>
        </w:rPr>
        <w:t>. Servier shall defend, indemnify and hold harmless the MacroGenics Indemnitees from and against any and all losses, damages, fees, expenses, settlement amounts or costs (including reasonable attorneys’ fees and witness fees) (“</w:t>
      </w:r>
      <w:r>
        <w:rPr>
          <w:rFonts w:ascii="Arial" w:cs="Arial" w:eastAsia="Arial" w:hAnsi="Arial"/>
          <w:sz w:val="12"/>
          <w:szCs w:val="12"/>
          <w:u w:val="single" w:color="auto"/>
          <w:color w:val="auto"/>
        </w:rPr>
        <w:t>Losses</w:t>
      </w:r>
      <w:r>
        <w:rPr>
          <w:rFonts w:ascii="Arial" w:cs="Arial" w:eastAsia="Arial" w:hAnsi="Arial"/>
          <w:sz w:val="12"/>
          <w:szCs w:val="12"/>
          <w:color w:val="auto"/>
        </w:rPr>
        <w:t xml:space="preserve">”) relating to or in connection with a Third Party claim in the Servier Territory arising out of (a) any actual death, personal bodily injury or damage to real or tangible personal property proven to result, directly or indirectly, from the possession, use or consumption of, or treatment with, a Program DART or Licensed Product Researched, Developed, Manufactured or Commercialized in the Servier Territory by or on behalf of Servier or its Affiliates or Sublicensees, including any product liability claims; (b) any breach by Servier of its representations, warranties or covenants made under this Agreement; or (c) any negligent act or omission or willful misconduct of Servier or its Affiliates or Sublicensees or any of their employees, contractors or agents, in performing Servier’s obligations or exercising Servier’s rights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indemnity shall not apply to the extent that any such Losses (i) are attributable to the gross negligence or willful misconduct of the MacroGenics Indemnitees, or (ii) are otherwise subject to an obligation by MacroGenics to indemnify the Servier Indemnitees under Section 13.2. For purposes of clarity, notwithstanding anything to the contrary in this Agreement, Servier shall not be liable for any Losses resulting from any claim in the MacroGenics Territory that results from any acts or omissions of MacroGenics, its Affiliates or Sublicensees, even if Servier had knowledge of, reviewed, commented on, or approved such acts or omissions of MacroGenics’ or its Affiliates’ or Sublicensees’ plans with respect thereto.</w:t>
      </w:r>
    </w:p>
    <w:p>
      <w:pPr>
        <w:spacing w:after="0" w:line="255" w:lineRule="exact"/>
        <w:rPr>
          <w:sz w:val="20"/>
          <w:szCs w:val="20"/>
          <w:color w:val="auto"/>
        </w:rPr>
      </w:pPr>
    </w:p>
    <w:p>
      <w:pPr>
        <w:ind w:right="20" w:firstLine="458"/>
        <w:spacing w:after="0" w:line="292"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Indemnification by MacroGenics</w:t>
      </w:r>
      <w:r>
        <w:rPr>
          <w:rFonts w:ascii="Arial" w:cs="Arial" w:eastAsia="Arial" w:hAnsi="Arial"/>
          <w:sz w:val="12"/>
          <w:szCs w:val="12"/>
          <w:color w:val="auto"/>
        </w:rPr>
        <w:t xml:space="preserve">. MacroGenics shall defend, indemnify and hold harmless the Servier Indemnitees from and against any and all Losses relating to or in connection with a Third Party claim in the MacroGenics Territory arising out of (a) any actual death, personal bodily injury or damage to real or tangible personal property proven to result, directly or indirectly, from the possession, use or consumption of, or treatment with, a Program DART or Licensed Product Researched, Developed, Manufactured or Commercialized in the MacroGenics Territory by or on behalf of MacroGenics or its Affiliates or Sublicensees, including any product liability claims; (b) any breach by MacroGenics of its representations, warranties or covenants made under this Agreement; or (c) any negligent act or omission or willful misconduct of MacroGenics or its Affiliates or Sublicenses or any of their employees, contractors or agents, in performing MacroGenics’ obligations or exercising MacroGenics’ rights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indemnity shall not apply to the extent that any such Losses are attributable to (i) the gross negligence or willful misconduct of the Servier Indemnitees, or</w:t>
      </w:r>
    </w:p>
    <w:p>
      <w:pPr>
        <w:spacing w:after="0" w:line="1" w:lineRule="exact"/>
        <w:rPr>
          <w:sz w:val="20"/>
          <w:szCs w:val="20"/>
          <w:color w:val="auto"/>
        </w:rPr>
      </w:pPr>
    </w:p>
    <w:p>
      <w:pPr>
        <w:ind w:right="480" w:firstLine="4"/>
        <w:spacing w:after="0" w:line="316" w:lineRule="auto"/>
        <w:tabs>
          <w:tab w:leader="none" w:pos="200" w:val="left"/>
        </w:tabs>
        <w:numPr>
          <w:ilvl w:val="0"/>
          <w:numId w:val="904"/>
        </w:numPr>
        <w:rPr>
          <w:rFonts w:ascii="Arial" w:cs="Arial" w:eastAsia="Arial" w:hAnsi="Arial"/>
          <w:sz w:val="12"/>
          <w:szCs w:val="12"/>
          <w:color w:val="auto"/>
        </w:rPr>
      </w:pPr>
      <w:r>
        <w:rPr>
          <w:rFonts w:ascii="Arial" w:cs="Arial" w:eastAsia="Arial" w:hAnsi="Arial"/>
          <w:sz w:val="12"/>
          <w:szCs w:val="12"/>
          <w:color w:val="auto"/>
        </w:rPr>
        <w:t>are otherwise subject to an obligation by Servier to indemnify the MacroGenics Indemnitees under Section 13.1. For purposes of clarity, notwithstanding anything to the contrary in this Agreement, MacroGenics shall not be liable for any Losses resulting from any claim in the Servier Territory that results from any acts or omissions of Servier, its Affiliates or Sublicensees, even if MacroGenics had knowledge of, reviewed, commented on, or approved such acts or omissions of Servier’s or its Affiliates’ or Sublicensees’ plans with respect thereto.</w:t>
      </w:r>
    </w:p>
    <w:p>
      <w:pPr>
        <w:spacing w:after="0" w:line="76" w:lineRule="exact"/>
        <w:rPr>
          <w:sz w:val="20"/>
          <w:szCs w:val="20"/>
          <w:color w:val="auto"/>
        </w:rPr>
      </w:pPr>
    </w:p>
    <w:p>
      <w:pPr>
        <w:ind w:right="320" w:firstLine="458"/>
        <w:spacing w:after="0" w:line="267"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u w:val="single" w:color="auto"/>
          <w:color w:val="auto"/>
        </w:rPr>
        <w:t>Procedure</w:t>
      </w:r>
      <w:r>
        <w:rPr>
          <w:rFonts w:ascii="Arial" w:cs="Arial" w:eastAsia="Arial" w:hAnsi="Arial"/>
          <w:sz w:val="14"/>
          <w:szCs w:val="14"/>
          <w:color w:val="auto"/>
        </w:rPr>
        <w:t>. In the event of a claim by a Third Party against any Person entitled to indemnification under this Agreement, the Party claiming indemnification (in such capacity, the “</w:t>
      </w:r>
      <w:r>
        <w:rPr>
          <w:rFonts w:ascii="Arial" w:cs="Arial" w:eastAsia="Arial" w:hAnsi="Arial"/>
          <w:sz w:val="14"/>
          <w:szCs w:val="14"/>
          <w:u w:val="single" w:color="auto"/>
          <w:color w:val="auto"/>
        </w:rPr>
        <w:t>Indemnified</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Party</w:t>
      </w:r>
      <w:r>
        <w:rPr>
          <w:rFonts w:ascii="Arial" w:cs="Arial" w:eastAsia="Arial" w:hAnsi="Arial"/>
          <w:sz w:val="14"/>
          <w:szCs w:val="14"/>
          <w:color w:val="auto"/>
        </w:rPr>
        <w:t>”) shall promptly notify the other Party (in such capacity, the “</w:t>
      </w:r>
      <w:r>
        <w:rPr>
          <w:rFonts w:ascii="Arial" w:cs="Arial" w:eastAsia="Arial" w:hAnsi="Arial"/>
          <w:sz w:val="14"/>
          <w:szCs w:val="14"/>
          <w:u w:val="single" w:color="auto"/>
          <w:color w:val="auto"/>
        </w:rPr>
        <w:t>Indemnifying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12" w:lineRule="exact"/>
        <w:rPr>
          <w:sz w:val="20"/>
          <w:szCs w:val="20"/>
          <w:color w:val="auto"/>
        </w:rPr>
      </w:pPr>
    </w:p>
    <w:p>
      <w:pPr>
        <w:ind w:left="3840" w:right="2680" w:hanging="1135"/>
        <w:spacing w:after="0" w:line="341" w:lineRule="auto"/>
        <w:tabs>
          <w:tab w:leader="none" w:pos="2944" w:val="left"/>
        </w:tabs>
        <w:numPr>
          <w:ilvl w:val="0"/>
          <w:numId w:val="90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5" w:right="239" w:bottom="1440" w:gutter="0" w:footer="0" w:header="0"/>
        </w:sectPr>
      </w:pPr>
    </w:p>
    <w:bookmarkStart w:id="768" w:name="page769"/>
    <w:bookmarkEnd w:id="768"/>
    <w:p>
      <w:pPr>
        <w:spacing w:after="0" w:line="295"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Party</w:t>
      </w:r>
      <w:r>
        <w:rPr>
          <w:rFonts w:ascii="Arial" w:cs="Arial" w:eastAsia="Arial" w:hAnsi="Arial"/>
          <w:sz w:val="12"/>
          <w:szCs w:val="12"/>
          <w:color w:val="auto"/>
        </w:rPr>
        <w:t xml:space="preserve">”) in writing of the claim (it being understood that the failure by the Indemnified Party to give prompt notice of a Third Party claim as provided in this Section 13.3 shall not relieve the Indemnifying Party of its indemnification obligation under this Agreement except and only to the extent that such Indemnifying Party is actually prejudiced as a result of such failure to give prompt notice).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delivery of such notification, the Indemnifying Party may, upon written notice thereof to the Indemnified Party, undertake and solely manage and control, at its sole expense and with counsel reasonably satisfactory to the Indemnified Party, the defense of the claim. If the Indemnifying Party does not undertake such defense, the Indemnified Party shall control such defense. The Party not controlling such defense shall cooperate with the other Party and may, at its option and expense, participate in such defense with counsel of its choice; </w:t>
      </w:r>
      <w:r>
        <w:rPr>
          <w:rFonts w:ascii="Arial" w:cs="Arial" w:eastAsia="Arial" w:hAnsi="Arial"/>
          <w:sz w:val="12"/>
          <w:szCs w:val="12"/>
          <w:u w:val="single" w:color="auto"/>
          <w:color w:val="auto"/>
        </w:rPr>
        <w:t>provided</w:t>
      </w:r>
      <w:r>
        <w:rPr>
          <w:rFonts w:ascii="Arial" w:cs="Arial" w:eastAsia="Arial" w:hAnsi="Arial"/>
          <w:sz w:val="12"/>
          <w:szCs w:val="12"/>
          <w:color w:val="auto"/>
        </w:rPr>
        <w:t>, that, if the Indemnifying Party assumes control of such defense and the Indemnified Party in good faith concludes, based on advice from counsel, that the Indemnifying Party and the Indemnified Party (or the relevant MacroGenics Indemnitee or Servier Indemnitee seeking indemnification) have conflicting interests with respect to such action, suit, proceeding or claim, the Indemnified Party’s counsels may fully participate in such defense and the Indemnifying Party shall be responsible for the reasonable fees and expenses of one counsel to the indemnified Persons solely in connection therewith. The Party controlling such defense shall keep the other Party advised of the status of such action, suit, proceeding or claim and the defense thereof and shall consider recommendations made by the other Party with respect thereto. Except if the Indemnifying Party did not undertake defense of the claim or if the Indemnifying Party and the Indemnified Party (or the relevant MacroGenics Indemnitee or Servier Indemnitee seeking indemnification) have conflicting interests with respect to such action, suit, proceeding or claim and the Indemnified Party engages separate counsel, as provided above, the Indemnifying Party shall not be liable for any litigation costs or expenses incurred by the Indemnified Party without the Indemnifying Party’s written consent. The Indemnified Party shall not settle any such action, suit, proceeding or claim without the prior written consent of the Indemnifying Party, which shall not be unreasonably withheld, delayed or conditioned. The Indemnifying Party shall not settle, without the prior written consent of the Indemnified Party, any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258" w:lineRule="exact"/>
        <w:rPr>
          <w:sz w:val="20"/>
          <w:szCs w:val="20"/>
          <w:color w:val="auto"/>
        </w:rPr>
      </w:pPr>
    </w:p>
    <w:p>
      <w:pPr>
        <w:ind w:right="140" w:firstLine="458"/>
        <w:spacing w:after="0" w:line="351"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Allocation</w:t>
      </w:r>
      <w:r>
        <w:rPr>
          <w:rFonts w:ascii="Arial" w:cs="Arial" w:eastAsia="Arial" w:hAnsi="Arial"/>
          <w:sz w:val="12"/>
          <w:szCs w:val="12"/>
          <w:color w:val="auto"/>
        </w:rPr>
        <w:t>. In the event a claim is based partially on an indemnified claim and partially on a non-indemnified claim or based partially on a claim indemnified by one Party and partially on a claim indemnified by the other Party, any payments in connection with such claims are to be apportioned between the Parties in accordance with the degree of cause attributable to each Party.</w:t>
      </w:r>
    </w:p>
    <w:p>
      <w:pPr>
        <w:spacing w:after="0" w:line="56" w:lineRule="exact"/>
        <w:rPr>
          <w:sz w:val="20"/>
          <w:szCs w:val="20"/>
          <w:color w:val="auto"/>
        </w:rPr>
      </w:pPr>
    </w:p>
    <w:p>
      <w:pPr>
        <w:ind w:right="660" w:firstLine="458"/>
        <w:spacing w:after="0" w:line="321" w:lineRule="auto"/>
        <w:rPr>
          <w:sz w:val="20"/>
          <w:szCs w:val="20"/>
          <w:color w:val="auto"/>
        </w:rPr>
      </w:pPr>
      <w:r>
        <w:rPr>
          <w:rFonts w:ascii="Arial" w:cs="Arial" w:eastAsia="Arial" w:hAnsi="Arial"/>
          <w:sz w:val="12"/>
          <w:szCs w:val="12"/>
          <w:color w:val="auto"/>
        </w:rPr>
        <w:t xml:space="preserve">13.5 </w:t>
      </w:r>
      <w:r>
        <w:rPr>
          <w:rFonts w:ascii="Arial" w:cs="Arial" w:eastAsia="Arial" w:hAnsi="Arial"/>
          <w:sz w:val="12"/>
          <w:szCs w:val="12"/>
          <w:u w:val="single" w:color="auto"/>
          <w:color w:val="auto"/>
        </w:rPr>
        <w:t>EXCLUSION OF CONSEQUENTIAL DAMAGES</w:t>
      </w:r>
      <w:r>
        <w:rPr>
          <w:rFonts w:ascii="Arial" w:cs="Arial" w:eastAsia="Arial" w:hAnsi="Arial"/>
          <w:sz w:val="12"/>
          <w:szCs w:val="12"/>
          <w:color w:val="auto"/>
        </w:rPr>
        <w:t>. EXCEPT WITH RESPECT TO A BREACH OF ARTICLE 11 OR THIRD PARTY CLAIMS THAT ARE SUBJECT TO INDEMNIFICATION UNDER THIS ARTICLE 13, NEITHER MACROGENICS NOR SERVIER, NOR ANY OF THEIR RESPECTIVE AFFILIATES, WILL BE LIABLE FOR ANY INDIRECT, INCIDENTAL, CONSEQUENTIAL, SPECIAL OR PUNITIVE DAMAGES, WHETHER LIABILITY IS ASSERTED IN CONTRACT, TORT (INCLUDING NEGLIGENCE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90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69" w:name="page770"/>
    <w:bookmarkEnd w:id="769"/>
    <w:p>
      <w:pPr>
        <w:ind w:right="5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AND STRICT PRODUCT LIABILITY), INDEMNITY OR CONTRIBUTION, AND IRRESPECTIVE OF WHETHER SUCH PARTY OR ANY REPRESENTATIVE OF SUCH PARTY HAS BEEN ADVISED OF, OR OTHERWISE MIGHT HAVE ANTICIPATED THE POSSIBILITY OF, ANY SUCH LOSS OR DAMAGE.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 AND TERMINATION</w:t>
      </w:r>
    </w:p>
    <w:p>
      <w:pPr>
        <w:spacing w:after="0" w:line="126" w:lineRule="exact"/>
        <w:rPr>
          <w:sz w:val="20"/>
          <w:szCs w:val="20"/>
          <w:color w:val="auto"/>
        </w:rPr>
      </w:pPr>
    </w:p>
    <w:p>
      <w:pPr>
        <w:ind w:right="100" w:firstLine="458"/>
        <w:spacing w:after="0" w:line="305"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Agreement Term; Expiration</w:t>
      </w:r>
      <w:r>
        <w:rPr>
          <w:rFonts w:ascii="Arial" w:cs="Arial" w:eastAsia="Arial" w:hAnsi="Arial"/>
          <w:sz w:val="12"/>
          <w:szCs w:val="12"/>
          <w:color w:val="auto"/>
        </w:rPr>
        <w:t>. This Agreement shall become effective as of the Effective Date, and, in the event Servier does not exercise a Option by the end of the Option Periods, shall expire in its entirety at the end of the last Option Period to expire, unless earlier terminated in accordance with this ARTICLE 14. In the event Servier exercises an Option in accordance with Section 3.3, this Agreement shall continue in full force with respect to the Licensed Program that was licensed under such Option until the last to expire Royalty Term for a Licensed Product from such Licensed Program in the Servier Territory. After the last to expire Royalty Term for a Licensed Product in a country in the Servier Territory, Servier shall be granted a fully paid-up non-exclusive license to use MacroGenics Know-How to Manufacture and Commercialize such Licensed Product in the Field in such country in the Servier Territory.</w:t>
      </w:r>
    </w:p>
    <w:p>
      <w:pPr>
        <w:spacing w:after="0" w:line="84" w:lineRule="exact"/>
        <w:rPr>
          <w:sz w:val="20"/>
          <w:szCs w:val="20"/>
          <w:color w:val="auto"/>
        </w:rPr>
      </w:pPr>
    </w:p>
    <w:p>
      <w:pPr>
        <w:ind w:firstLine="458"/>
        <w:spacing w:after="0" w:line="299" w:lineRule="auto"/>
        <w:rPr>
          <w:sz w:val="20"/>
          <w:szCs w:val="20"/>
          <w:color w:val="auto"/>
        </w:rPr>
      </w:pPr>
      <w:r>
        <w:rPr>
          <w:rFonts w:ascii="Arial" w:cs="Arial" w:eastAsia="Arial" w:hAnsi="Arial"/>
          <w:sz w:val="12"/>
          <w:szCs w:val="12"/>
          <w:color w:val="auto"/>
        </w:rPr>
        <w:t xml:space="preserve">14.2 </w:t>
      </w:r>
      <w:r>
        <w:rPr>
          <w:rFonts w:ascii="Arial" w:cs="Arial" w:eastAsia="Arial" w:hAnsi="Arial"/>
          <w:sz w:val="12"/>
          <w:szCs w:val="12"/>
          <w:u w:val="single" w:color="auto"/>
          <w:color w:val="auto"/>
        </w:rPr>
        <w:t>Termination for Cause</w:t>
      </w:r>
      <w:r>
        <w:rPr>
          <w:rFonts w:ascii="Arial" w:cs="Arial" w:eastAsia="Arial" w:hAnsi="Arial"/>
          <w:sz w:val="12"/>
          <w:szCs w:val="12"/>
          <w:color w:val="auto"/>
        </w:rPr>
        <w:t>. Either Party (the “</w:t>
      </w:r>
      <w:r>
        <w:rPr>
          <w:rFonts w:ascii="Arial" w:cs="Arial" w:eastAsia="Arial" w:hAnsi="Arial"/>
          <w:sz w:val="12"/>
          <w:szCs w:val="12"/>
          <w:u w:val="single" w:color="auto"/>
          <w:color w:val="auto"/>
        </w:rPr>
        <w:t>Non-Breaching Party</w:t>
      </w:r>
      <w:r>
        <w:rPr>
          <w:rFonts w:ascii="Arial" w:cs="Arial" w:eastAsia="Arial" w:hAnsi="Arial"/>
          <w:sz w:val="12"/>
          <w:szCs w:val="12"/>
          <w:color w:val="auto"/>
        </w:rPr>
        <w:t>”) may, without prejudice to any other remedies available to it under applicable Law or in equity, terminate this Agreement in its entirety or with respect to an Option or Licensed Program if the other Party (the “</w:t>
      </w:r>
      <w:r>
        <w:rPr>
          <w:rFonts w:ascii="Arial" w:cs="Arial" w:eastAsia="Arial" w:hAnsi="Arial"/>
          <w:sz w:val="12"/>
          <w:szCs w:val="12"/>
          <w:u w:val="single" w:color="auto"/>
          <w:color w:val="auto"/>
        </w:rPr>
        <w:t>Breaching Party</w:t>
      </w:r>
      <w:r>
        <w:rPr>
          <w:rFonts w:ascii="Arial" w:cs="Arial" w:eastAsia="Arial" w:hAnsi="Arial"/>
          <w:sz w:val="12"/>
          <w:szCs w:val="12"/>
          <w:color w:val="auto"/>
        </w:rPr>
        <w:t xml:space="preserve">”) shall have materially breached or defaulted in the performance of its obligations hereunder with respect to the Program which is subject to such Option and/or such Licensed Program, and such default shall have continued for </w:t>
      </w:r>
      <w:r>
        <w:rPr>
          <w:rFonts w:ascii="Arial" w:cs="Arial" w:eastAsia="Arial" w:hAnsi="Arial"/>
          <w:sz w:val="12"/>
          <w:szCs w:val="12"/>
          <w:b w:val="1"/>
          <w:bCs w:val="1"/>
          <w:color w:val="auto"/>
        </w:rPr>
        <w:t>***</w:t>
      </w:r>
      <w:r>
        <w:rPr>
          <w:rFonts w:ascii="Arial" w:cs="Arial" w:eastAsia="Arial" w:hAnsi="Arial"/>
          <w:sz w:val="12"/>
          <w:szCs w:val="12"/>
          <w:color w:val="auto"/>
        </w:rPr>
        <w:t xml:space="preserve"> after written notice thereof was provided to the Breaching Party by the Non-Breaching Party, such notice describing the alleged breach. Any such termination of this Agreement under this Section 14.2 shall become effective at the end of such </w:t>
      </w:r>
      <w:r>
        <w:rPr>
          <w:rFonts w:ascii="Arial" w:cs="Arial" w:eastAsia="Arial" w:hAnsi="Arial"/>
          <w:sz w:val="12"/>
          <w:szCs w:val="12"/>
          <w:b w:val="1"/>
          <w:bCs w:val="1"/>
          <w:color w:val="auto"/>
        </w:rPr>
        <w:t>***</w:t>
      </w:r>
      <w:r>
        <w:rPr>
          <w:rFonts w:ascii="Arial" w:cs="Arial" w:eastAsia="Arial" w:hAnsi="Arial"/>
          <w:sz w:val="12"/>
          <w:szCs w:val="12"/>
          <w:color w:val="auto"/>
        </w:rPr>
        <w:t xml:space="preserve"> cure period, unless the Breaching Party has cured such breach or default prior to the expiration of such cure period provided however that if the Breaching Party notifies the Non-Breaching Party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that the Breaching Party disagrees in good faith with such asserted basis for termination, this Agreement shall not terminate unless and until the matter has been finally resolved in accordance with Section 16.2 and the arbitration award rendered in accordance with Section 16.2 specify that the Non-Breaching Party shall have the right to terminate this Agreement based on such asserted Breach. The right of either Party to terminate this Agreement as provided in this Section 14.2 shall not be affected in any way by such Party’s waiver or failure to take action with respect to any previous default.</w:t>
      </w:r>
    </w:p>
    <w:p>
      <w:pPr>
        <w:spacing w:after="0" w:line="87"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 xml:space="preserve">14.3 </w:t>
      </w:r>
      <w:r>
        <w:rPr>
          <w:rFonts w:ascii="Arial" w:cs="Arial" w:eastAsia="Arial" w:hAnsi="Arial"/>
          <w:sz w:val="14"/>
          <w:szCs w:val="14"/>
          <w:u w:val="single" w:color="auto"/>
          <w:color w:val="auto"/>
        </w:rPr>
        <w:t>Termination for Patent Challenge</w:t>
      </w:r>
      <w:r>
        <w:rPr>
          <w:rFonts w:ascii="Arial" w:cs="Arial" w:eastAsia="Arial" w:hAnsi="Arial"/>
          <w:sz w:val="14"/>
          <w:szCs w:val="14"/>
          <w:color w:val="auto"/>
        </w:rPr>
        <w:t>. If either Party or any of its Affiliates or Sublicensees: (a) commences or otherwise voluntarily determines to participate in any action or proceeding (including any patent opposition or re-examination proceeding), challenging or denying the validity of any of the other Party’s Patents or Joint Patents licensed hereunder or any claim thereof, or (b) actively assists any other Person in bringing or prosecuting any action or proceeding (including any patent opposition or re-examination proceeding) challenging or denying the validity of any of such Patents or any claim thereof, the non-challenging Party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12" w:lineRule="exact"/>
        <w:rPr>
          <w:sz w:val="20"/>
          <w:szCs w:val="20"/>
          <w:color w:val="auto"/>
        </w:rPr>
      </w:pPr>
    </w:p>
    <w:p>
      <w:pPr>
        <w:ind w:left="3840" w:right="2680" w:hanging="1135"/>
        <w:spacing w:after="0" w:line="341" w:lineRule="auto"/>
        <w:tabs>
          <w:tab w:leader="none" w:pos="2944" w:val="left"/>
        </w:tabs>
        <w:numPr>
          <w:ilvl w:val="0"/>
          <w:numId w:val="90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70" w:name="page771"/>
    <w:bookmarkEnd w:id="770"/>
    <w:p>
      <w:pPr>
        <w:ind w:right="1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have the right to terminate this Agreement with respect to the Option or Licensed Program to which such Patents are subject upon *** written notice to the other Party. Any such termination shall only become effective if the challenging Party or its Affiliate or Sublicensee, as applicable, has not withdrawn such action before the end of the above notice period.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u w:val="single" w:color="auto"/>
          <w:color w:val="auto"/>
        </w:rPr>
        <w:t>Termination for Convenience.</w:t>
      </w:r>
    </w:p>
    <w:p>
      <w:pPr>
        <w:spacing w:after="0" w:line="130" w:lineRule="exact"/>
        <w:rPr>
          <w:sz w:val="20"/>
          <w:szCs w:val="20"/>
          <w:color w:val="auto"/>
        </w:rPr>
      </w:pPr>
    </w:p>
    <w:p>
      <w:pPr>
        <w:ind w:right="260" w:firstLine="917"/>
        <w:spacing w:after="0" w:line="270" w:lineRule="auto"/>
        <w:rPr>
          <w:sz w:val="20"/>
          <w:szCs w:val="20"/>
          <w:color w:val="auto"/>
        </w:rPr>
      </w:pPr>
      <w:r>
        <w:rPr>
          <w:rFonts w:ascii="Arial" w:cs="Arial" w:eastAsia="Arial" w:hAnsi="Arial"/>
          <w:sz w:val="14"/>
          <w:szCs w:val="14"/>
          <w:color w:val="auto"/>
        </w:rPr>
        <w:t xml:space="preserve">14.4.1 </w:t>
      </w:r>
      <w:r>
        <w:rPr>
          <w:rFonts w:ascii="Arial" w:cs="Arial" w:eastAsia="Arial" w:hAnsi="Arial"/>
          <w:sz w:val="14"/>
          <w:szCs w:val="14"/>
          <w:u w:val="single" w:color="auto"/>
          <w:color w:val="auto"/>
        </w:rPr>
        <w:t>During the Research Term</w:t>
      </w:r>
      <w:r>
        <w:rPr>
          <w:rFonts w:ascii="Arial" w:cs="Arial" w:eastAsia="Arial" w:hAnsi="Arial"/>
          <w:sz w:val="14"/>
          <w:szCs w:val="14"/>
          <w:color w:val="auto"/>
        </w:rPr>
        <w:t xml:space="preserve">. At any time following </w:t>
      </w:r>
      <w:r>
        <w:rPr>
          <w:rFonts w:ascii="Arial" w:cs="Arial" w:eastAsia="Arial" w:hAnsi="Arial"/>
          <w:sz w:val="14"/>
          <w:szCs w:val="14"/>
          <w:b w:val="1"/>
          <w:bCs w:val="1"/>
          <w:color w:val="auto"/>
        </w:rPr>
        <w:t>***</w:t>
      </w:r>
      <w:r>
        <w:rPr>
          <w:rFonts w:ascii="Arial" w:cs="Arial" w:eastAsia="Arial" w:hAnsi="Arial"/>
          <w:sz w:val="14"/>
          <w:szCs w:val="14"/>
          <w:color w:val="auto"/>
        </w:rPr>
        <w:t xml:space="preserve">, Servier shall have the right to terminate this Agreement in its entirety or with respect to an Option upon not less than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written notice thereof to MacroGenics.</w:t>
      </w:r>
    </w:p>
    <w:p>
      <w:pPr>
        <w:spacing w:after="0" w:line="99" w:lineRule="exact"/>
        <w:rPr>
          <w:sz w:val="20"/>
          <w:szCs w:val="20"/>
          <w:color w:val="auto"/>
        </w:rPr>
      </w:pPr>
    </w:p>
    <w:p>
      <w:pPr>
        <w:ind w:right="180" w:firstLine="917"/>
        <w:spacing w:after="0" w:line="351" w:lineRule="auto"/>
        <w:rPr>
          <w:sz w:val="20"/>
          <w:szCs w:val="20"/>
          <w:color w:val="auto"/>
        </w:rPr>
      </w:pPr>
      <w:r>
        <w:rPr>
          <w:rFonts w:ascii="Arial" w:cs="Arial" w:eastAsia="Arial" w:hAnsi="Arial"/>
          <w:sz w:val="12"/>
          <w:szCs w:val="12"/>
          <w:color w:val="auto"/>
        </w:rPr>
        <w:t xml:space="preserve">14.4.2 </w:t>
      </w:r>
      <w:r>
        <w:rPr>
          <w:rFonts w:ascii="Arial" w:cs="Arial" w:eastAsia="Arial" w:hAnsi="Arial"/>
          <w:sz w:val="12"/>
          <w:szCs w:val="12"/>
          <w:u w:val="single" w:color="auto"/>
          <w:color w:val="auto"/>
        </w:rPr>
        <w:t>During a License Term</w:t>
      </w:r>
      <w:r>
        <w:rPr>
          <w:rFonts w:ascii="Arial" w:cs="Arial" w:eastAsia="Arial" w:hAnsi="Arial"/>
          <w:sz w:val="12"/>
          <w:szCs w:val="12"/>
          <w:color w:val="auto"/>
        </w:rPr>
        <w:t xml:space="preserve">. At any time during a License Term, Servier shall have the right to terminate this Agreement in its entirety or to terminate the Licensed Program subject to such License Term or to terminate this Agreement or such Licensed Program on a country-by-country basis upon not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written notice thereof to MacroGenics.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14.5 </w:t>
      </w:r>
      <w:r>
        <w:rPr>
          <w:rFonts w:ascii="Arial" w:cs="Arial" w:eastAsia="Arial" w:hAnsi="Arial"/>
          <w:sz w:val="14"/>
          <w:szCs w:val="14"/>
          <w:u w:val="single" w:color="auto"/>
          <w:color w:val="auto"/>
        </w:rPr>
        <w:t>Termination for Insolvency Event</w:t>
      </w:r>
      <w:r>
        <w:rPr>
          <w:rFonts w:ascii="Arial" w:cs="Arial" w:eastAsia="Arial" w:hAnsi="Arial"/>
          <w:sz w:val="14"/>
          <w:szCs w:val="14"/>
          <w:color w:val="auto"/>
        </w:rPr>
        <w:t>. Either Party may terminate this Agreement upon written notice to the other Party if the other Party suffers an Insolvency Event.</w:t>
      </w:r>
    </w:p>
    <w:p>
      <w:pPr>
        <w:spacing w:after="0" w:line="132"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u w:val="single" w:color="auto"/>
          <w:color w:val="auto"/>
        </w:rPr>
        <w:t>Termination by Servier for Safety or Public Health Reasons</w:t>
      </w:r>
      <w:r>
        <w:rPr>
          <w:rFonts w:ascii="Arial" w:cs="Arial" w:eastAsia="Arial" w:hAnsi="Arial"/>
          <w:sz w:val="14"/>
          <w:szCs w:val="14"/>
          <w:color w:val="auto"/>
        </w:rPr>
        <w:t>. If Servier reasonably determines that a safety or public health issue has arisen which (a) is demonstrated by clinically relevant events which are documented and (b) relates to a Program DART or a Licensed Product, such that the medical risk/benefit of such Program DART of Licensed Product is sufficiently unfavorable as to be incompatible with the welfare of patients to Develop or Commercialize or to continue to Develop or Commercialize such Program DART or Licensed Product, Servier shall immediately notify MacroGenics, and Servier shall be permitted to terminate this Agreement with respect to the Option or Licensed Program to which such Program DART or Licensed Product is subject upon written notice to MacroGenics, but in any event within *** of Servier’s determination of such issue.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14.7 </w:t>
      </w:r>
      <w:r>
        <w:rPr>
          <w:rFonts w:ascii="Arial" w:cs="Arial" w:eastAsia="Arial" w:hAnsi="Arial"/>
          <w:sz w:val="14"/>
          <w:szCs w:val="14"/>
          <w:u w:val="single" w:color="auto"/>
          <w:color w:val="auto"/>
        </w:rPr>
        <w:t>Effect of Expiration or Termination.</w:t>
      </w:r>
    </w:p>
    <w:p>
      <w:pPr>
        <w:spacing w:after="0" w:line="132" w:lineRule="exact"/>
        <w:rPr>
          <w:sz w:val="20"/>
          <w:szCs w:val="20"/>
          <w:color w:val="auto"/>
        </w:rPr>
      </w:pPr>
    </w:p>
    <w:p>
      <w:pPr>
        <w:ind w:right="40" w:firstLine="917"/>
        <w:spacing w:after="0" w:line="351" w:lineRule="auto"/>
        <w:rPr>
          <w:sz w:val="20"/>
          <w:szCs w:val="20"/>
          <w:color w:val="auto"/>
        </w:rPr>
      </w:pPr>
      <w:r>
        <w:rPr>
          <w:rFonts w:ascii="Arial" w:cs="Arial" w:eastAsia="Arial" w:hAnsi="Arial"/>
          <w:sz w:val="12"/>
          <w:szCs w:val="12"/>
          <w:color w:val="auto"/>
        </w:rPr>
        <w:t>14.7.1 Upon termination of this Agreement by MacroGenics in whole or with respect to one or more Terminated Options, Terminated Licensed Programs and/or Terminated Territories pursuant to Section 14.2, 14.3, or 14.5 or by Servier in whole or with respect to one or more Terminated Options, Terminated Licensed Programs or Terminated Territories pursuant to Section 14.4 or 14.6:</w:t>
      </w:r>
    </w:p>
    <w:p>
      <w:pPr>
        <w:spacing w:after="0" w:line="56" w:lineRule="exact"/>
        <w:rPr>
          <w:sz w:val="20"/>
          <w:szCs w:val="20"/>
          <w:color w:val="auto"/>
        </w:rPr>
      </w:pPr>
    </w:p>
    <w:p>
      <w:pPr>
        <w:ind w:right="340" w:firstLine="920"/>
        <w:spacing w:after="0" w:line="351" w:lineRule="auto"/>
        <w:tabs>
          <w:tab w:leader="none" w:pos="1101" w:val="left"/>
        </w:tabs>
        <w:numPr>
          <w:ilvl w:val="0"/>
          <w:numId w:val="908"/>
        </w:numPr>
        <w:rPr>
          <w:rFonts w:ascii="Arial" w:cs="Arial" w:eastAsia="Arial" w:hAnsi="Arial"/>
          <w:sz w:val="12"/>
          <w:szCs w:val="12"/>
          <w:color w:val="auto"/>
        </w:rPr>
      </w:pPr>
      <w:r>
        <w:rPr>
          <w:rFonts w:ascii="Arial" w:cs="Arial" w:eastAsia="Arial" w:hAnsi="Arial"/>
          <w:sz w:val="12"/>
          <w:szCs w:val="12"/>
          <w:color w:val="auto"/>
        </w:rPr>
        <w:t>all rights, licenses and options granted by MacroGenics to Servier with respect to each Terminated Option, Terminated Licensed Program and/or Terminated Territory hereunder shall terminate and Servier shall not have any rights to use or exercise any rights under the MacroGenics IP with respect to any such Terminated Option, Terminated Licensed Program and Terminated Territory;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12" w:lineRule="exact"/>
        <w:rPr>
          <w:sz w:val="20"/>
          <w:szCs w:val="20"/>
          <w:color w:val="auto"/>
        </w:rPr>
      </w:pPr>
    </w:p>
    <w:p>
      <w:pPr>
        <w:ind w:left="3840" w:right="2680" w:hanging="1135"/>
        <w:spacing w:after="0" w:line="341" w:lineRule="auto"/>
        <w:tabs>
          <w:tab w:leader="none" w:pos="2944" w:val="left"/>
        </w:tabs>
        <w:numPr>
          <w:ilvl w:val="0"/>
          <w:numId w:val="90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71" w:name="page772"/>
    <w:bookmarkEnd w:id="771"/>
    <w:p>
      <w:pPr>
        <w:ind w:left="-40" w:firstLine="920"/>
        <w:spacing w:after="0" w:line="258" w:lineRule="auto"/>
        <w:tabs>
          <w:tab w:leader="none" w:pos="1069" w:val="left"/>
        </w:tabs>
        <w:numPr>
          <w:ilvl w:val="0"/>
          <w:numId w:val="9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if such termination occurs during a Research Term, (i) Servier shall Complete any ongoing Clinical Studies in the Servier Territory for Licensed Product that is subject to the Terminated Option where such completion is required by any applicable Law, requested by any Regulatory Authority or would be dictated by any applicable Institutional Review Board with oversight of such Clinical Study in the Servier Territory; and (ii) Servier shall promptly transfer and assign to MacroGenics all Supplemental Data and *** and</w:t>
      </w:r>
    </w:p>
    <w:p>
      <w:pPr>
        <w:spacing w:after="0" w:line="107" w:lineRule="exact"/>
        <w:rPr>
          <w:rFonts w:ascii="Arial" w:cs="Arial" w:eastAsia="Arial" w:hAnsi="Arial"/>
          <w:sz w:val="14"/>
          <w:szCs w:val="14"/>
          <w:color w:val="auto"/>
        </w:rPr>
      </w:pPr>
    </w:p>
    <w:p>
      <w:pPr>
        <w:ind w:left="1060" w:hanging="180"/>
        <w:spacing w:after="0"/>
        <w:tabs>
          <w:tab w:leader="none" w:pos="1060" w:val="left"/>
        </w:tabs>
        <w:numPr>
          <w:ilvl w:val="0"/>
          <w:numId w:val="910"/>
        </w:numPr>
        <w:rPr>
          <w:rFonts w:ascii="Arial" w:cs="Arial" w:eastAsia="Arial" w:hAnsi="Arial"/>
          <w:sz w:val="14"/>
          <w:szCs w:val="14"/>
          <w:color w:val="auto"/>
        </w:rPr>
      </w:pPr>
      <w:r>
        <w:rPr>
          <w:rFonts w:ascii="Arial" w:cs="Arial" w:eastAsia="Arial" w:hAnsi="Arial"/>
          <w:sz w:val="14"/>
          <w:szCs w:val="14"/>
          <w:color w:val="auto"/>
        </w:rPr>
        <w:t>if such termination occurs during a License Term:</w:t>
      </w:r>
    </w:p>
    <w:p>
      <w:pPr>
        <w:spacing w:after="0" w:line="131" w:lineRule="exact"/>
        <w:rPr>
          <w:rFonts w:ascii="Arial" w:cs="Arial" w:eastAsia="Arial" w:hAnsi="Arial"/>
          <w:sz w:val="14"/>
          <w:szCs w:val="14"/>
          <w:color w:val="auto"/>
        </w:rPr>
      </w:pPr>
    </w:p>
    <w:p>
      <w:pPr>
        <w:ind w:left="-40" w:right="40" w:firstLine="1493"/>
        <w:spacing w:after="0" w:line="267" w:lineRule="auto"/>
        <w:tabs>
          <w:tab w:leader="none" w:pos="1612" w:val="left"/>
        </w:tabs>
        <w:numPr>
          <w:ilvl w:val="1"/>
          <w:numId w:val="910"/>
        </w:numPr>
        <w:rPr>
          <w:rFonts w:ascii="Arial" w:cs="Arial" w:eastAsia="Arial" w:hAnsi="Arial"/>
          <w:sz w:val="14"/>
          <w:szCs w:val="14"/>
          <w:color w:val="auto"/>
        </w:rPr>
      </w:pPr>
      <w:r>
        <w:rPr>
          <w:rFonts w:ascii="Arial" w:cs="Arial" w:eastAsia="Arial" w:hAnsi="Arial"/>
          <w:sz w:val="14"/>
          <w:szCs w:val="14"/>
          <w:color w:val="auto"/>
        </w:rPr>
        <w:t xml:space="preserve">Servier shall provide to MacroGenics a fair and accurate detailed written description of the status of the Development and Commercialization of the Program DARTs and Licensed Products subject to such Terminated Licensed Program and/or in the Terminated Territory through the effective date of termination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of such termination;</w:t>
      </w:r>
    </w:p>
    <w:p>
      <w:pPr>
        <w:spacing w:after="0" w:line="101" w:lineRule="exact"/>
        <w:rPr>
          <w:rFonts w:ascii="Arial" w:cs="Arial" w:eastAsia="Arial" w:hAnsi="Arial"/>
          <w:sz w:val="14"/>
          <w:szCs w:val="14"/>
          <w:color w:val="auto"/>
        </w:rPr>
      </w:pPr>
    </w:p>
    <w:p>
      <w:pPr>
        <w:ind w:left="1660" w:hanging="207"/>
        <w:spacing w:after="0"/>
        <w:tabs>
          <w:tab w:leader="none" w:pos="1660" w:val="left"/>
        </w:tabs>
        <w:numPr>
          <w:ilvl w:val="1"/>
          <w:numId w:val="910"/>
        </w:numPr>
        <w:rPr>
          <w:rFonts w:ascii="Arial" w:cs="Arial" w:eastAsia="Arial" w:hAnsi="Arial"/>
          <w:sz w:val="12"/>
          <w:szCs w:val="12"/>
          <w:color w:val="auto"/>
        </w:rPr>
      </w:pPr>
      <w:r>
        <w:rPr>
          <w:rFonts w:ascii="Arial" w:cs="Arial" w:eastAsia="Arial" w:hAnsi="Arial"/>
          <w:sz w:val="12"/>
          <w:szCs w:val="12"/>
          <w:color w:val="auto"/>
        </w:rPr>
        <w:t>the licenses granted to MacroGenics pursuant to Section 4.2 with respect to such Terminated Licensed Program shall remain in effect and shall become irrevocable;</w:t>
      </w:r>
    </w:p>
    <w:p>
      <w:pPr>
        <w:spacing w:after="0" w:line="154" w:lineRule="exact"/>
        <w:rPr>
          <w:rFonts w:ascii="Arial" w:cs="Arial" w:eastAsia="Arial" w:hAnsi="Arial"/>
          <w:sz w:val="12"/>
          <w:szCs w:val="12"/>
          <w:color w:val="auto"/>
        </w:rPr>
      </w:pPr>
    </w:p>
    <w:p>
      <w:pPr>
        <w:ind w:left="1700" w:hanging="247"/>
        <w:spacing w:after="0"/>
        <w:tabs>
          <w:tab w:leader="none" w:pos="1700" w:val="left"/>
        </w:tabs>
        <w:numPr>
          <w:ilvl w:val="1"/>
          <w:numId w:val="910"/>
        </w:numPr>
        <w:rPr>
          <w:rFonts w:ascii="Arial" w:cs="Arial" w:eastAsia="Arial" w:hAnsi="Arial"/>
          <w:sz w:val="14"/>
          <w:szCs w:val="14"/>
          <w:color w:val="auto"/>
        </w:rPr>
      </w:pPr>
      <w:r>
        <w:rPr>
          <w:rFonts w:ascii="Arial" w:cs="Arial" w:eastAsia="Arial" w:hAnsi="Arial"/>
          <w:sz w:val="14"/>
          <w:szCs w:val="14"/>
          <w:color w:val="auto"/>
        </w:rPr>
        <w:t>Servier hereby grants to MacroGenics, effective upon the request of MacroGenics, ***.</w:t>
      </w:r>
    </w:p>
    <w:p>
      <w:pPr>
        <w:spacing w:after="0" w:line="131" w:lineRule="exact"/>
        <w:rPr>
          <w:rFonts w:ascii="Arial" w:cs="Arial" w:eastAsia="Arial" w:hAnsi="Arial"/>
          <w:sz w:val="14"/>
          <w:szCs w:val="14"/>
          <w:color w:val="auto"/>
        </w:rPr>
      </w:pPr>
    </w:p>
    <w:p>
      <w:pPr>
        <w:ind w:left="-40" w:right="340" w:firstLine="1493"/>
        <w:spacing w:after="0" w:line="267" w:lineRule="auto"/>
        <w:tabs>
          <w:tab w:leader="none" w:pos="1680" w:val="left"/>
        </w:tabs>
        <w:numPr>
          <w:ilvl w:val="1"/>
          <w:numId w:val="910"/>
        </w:numPr>
        <w:rPr>
          <w:rFonts w:ascii="Arial" w:cs="Arial" w:eastAsia="Arial" w:hAnsi="Arial"/>
          <w:sz w:val="14"/>
          <w:szCs w:val="14"/>
          <w:color w:val="auto"/>
        </w:rPr>
      </w:pPr>
      <w:r>
        <w:rPr>
          <w:rFonts w:ascii="Arial" w:cs="Arial" w:eastAsia="Arial" w:hAnsi="Arial"/>
          <w:sz w:val="14"/>
          <w:szCs w:val="14"/>
          <w:color w:val="auto"/>
        </w:rPr>
        <w:t xml:space="preserve">In the event that MacroGenics requests a license under clause (iii) above and Servier has previously Completed a Phase 3 Clinical Trial for a Licensed Product subject to the Terminated Licensed Program or such Terminated Territory before the effective date of termination,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left="-40" w:right="260" w:firstLine="1493"/>
        <w:spacing w:after="0" w:line="321" w:lineRule="auto"/>
        <w:tabs>
          <w:tab w:leader="none" w:pos="1642" w:val="left"/>
        </w:tabs>
        <w:numPr>
          <w:ilvl w:val="1"/>
          <w:numId w:val="910"/>
        </w:numPr>
        <w:rPr>
          <w:rFonts w:ascii="Arial" w:cs="Arial" w:eastAsia="Arial" w:hAnsi="Arial"/>
          <w:sz w:val="12"/>
          <w:szCs w:val="12"/>
          <w:color w:val="auto"/>
        </w:rPr>
      </w:pPr>
      <w:r>
        <w:rPr>
          <w:rFonts w:ascii="Arial" w:cs="Arial" w:eastAsia="Arial" w:hAnsi="Arial"/>
          <w:sz w:val="12"/>
          <w:szCs w:val="12"/>
          <w:color w:val="auto"/>
        </w:rPr>
        <w:t xml:space="preserve">Servier shall promptly transfer and assign to MacroGenics all Regulatory Documentation and other technical and other information or materials in Servier’s or its Affiliates’ possession or control which are necessary or useful for the Research, Development or Commercialization of the Program DARTs or Licensed Products in each Terminated Licensed Program and Terminated Territory or, if Licensed Program remains or country remains in the Servier Territory, anywhere in the world; </w:t>
      </w:r>
      <w:r>
        <w:rPr>
          <w:rFonts w:ascii="Arial" w:cs="Arial" w:eastAsia="Arial" w:hAnsi="Arial"/>
          <w:sz w:val="12"/>
          <w:szCs w:val="12"/>
          <w:u w:val="single" w:color="auto"/>
          <w:color w:val="auto"/>
        </w:rPr>
        <w:t>provided</w:t>
      </w:r>
      <w:r>
        <w:rPr>
          <w:rFonts w:ascii="Arial" w:cs="Arial" w:eastAsia="Arial" w:hAnsi="Arial"/>
          <w:sz w:val="12"/>
          <w:szCs w:val="12"/>
          <w:color w:val="auto"/>
        </w:rPr>
        <w:t>, that Servier may retain a single copy of such items for its records;</w:t>
      </w:r>
    </w:p>
    <w:p>
      <w:pPr>
        <w:spacing w:after="0" w:line="71" w:lineRule="exact"/>
        <w:rPr>
          <w:rFonts w:ascii="Arial" w:cs="Arial" w:eastAsia="Arial" w:hAnsi="Arial"/>
          <w:sz w:val="12"/>
          <w:szCs w:val="12"/>
          <w:color w:val="auto"/>
        </w:rPr>
      </w:pPr>
    </w:p>
    <w:p>
      <w:pPr>
        <w:ind w:left="-40" w:right="60" w:firstLine="1493"/>
        <w:spacing w:after="0" w:line="303" w:lineRule="auto"/>
        <w:tabs>
          <w:tab w:leader="none" w:pos="1680" w:val="left"/>
        </w:tabs>
        <w:numPr>
          <w:ilvl w:val="1"/>
          <w:numId w:val="910"/>
        </w:numPr>
        <w:rPr>
          <w:rFonts w:ascii="Arial" w:cs="Arial" w:eastAsia="Arial" w:hAnsi="Arial"/>
          <w:sz w:val="12"/>
          <w:szCs w:val="12"/>
          <w:color w:val="auto"/>
        </w:rPr>
      </w:pPr>
      <w:r>
        <w:rPr>
          <w:rFonts w:ascii="Arial" w:cs="Arial" w:eastAsia="Arial" w:hAnsi="Arial"/>
          <w:sz w:val="12"/>
          <w:szCs w:val="12"/>
          <w:color w:val="auto"/>
        </w:rPr>
        <w:t xml:space="preserve">Promptly upon request by MacroGenics, but in no event commencing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effective date of termination or continuing for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(except to the extent that requirements of a Regulatory Authority necessitate a longer period), Servier shall provide such assistance to MacroGenics as may be reasonably necessary or useful for MacroGenics to commence or continue Developing, Manufacturing or Commercializing Licensed Products under or in the Terminated Licensed Program or Terminated Territory, to the extent Servier is then performing or having performed such activities, including transferring or amending as appropriate, upon request of MacroGenics, any agreements or arrangements with Third Party vendors to Develop, Manufacture or Commercialize Licensed Products under or in such Terminated Licensed Program or Terminated Territory. To the extent that any such contract between Servier and a Third Party is not assignable to MacroGenics, Servier shall reasonably cooperate with MacroGenics to arrange to continue to provide such services for a reasonable time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12" w:lineRule="exact"/>
        <w:rPr>
          <w:sz w:val="20"/>
          <w:szCs w:val="20"/>
          <w:color w:val="auto"/>
        </w:rPr>
      </w:pPr>
    </w:p>
    <w:p>
      <w:pPr>
        <w:ind w:left="3800" w:right="2680" w:hanging="1135"/>
        <w:spacing w:after="0" w:line="341" w:lineRule="auto"/>
        <w:tabs>
          <w:tab w:leader="none" w:pos="2904" w:val="left"/>
        </w:tabs>
        <w:numPr>
          <w:ilvl w:val="0"/>
          <w:numId w:val="91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60" w:top="247" w:right="239" w:bottom="1440" w:gutter="0" w:footer="0" w:header="0"/>
        </w:sectPr>
      </w:pPr>
    </w:p>
    <w:bookmarkStart w:id="772" w:name="page773"/>
    <w:bookmarkEnd w:id="772"/>
    <w:p>
      <w:pPr>
        <w:ind w:right="2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after termination, not exceeding ***. Within *** after MacroGenics’ receipt of a proper invoice therefor, MacroGenics shall reimburse Servier for Servier’s and its Affiliates’ reasonable Out-of-Pocket Costs incurred in connection with any technology transfer conducted pursuant to this clause (vi); and</w:t>
      </w:r>
    </w:p>
    <w:p>
      <w:pPr>
        <w:spacing w:after="0" w:line="101" w:lineRule="exact"/>
        <w:rPr>
          <w:sz w:val="20"/>
          <w:szCs w:val="20"/>
          <w:color w:val="auto"/>
        </w:rPr>
      </w:pPr>
    </w:p>
    <w:p>
      <w:pPr>
        <w:ind w:right="40" w:firstLine="1493"/>
        <w:spacing w:after="0" w:line="305" w:lineRule="auto"/>
        <w:tabs>
          <w:tab w:leader="none" w:pos="1758" w:val="left"/>
        </w:tabs>
        <w:numPr>
          <w:ilvl w:val="0"/>
          <w:numId w:val="912"/>
        </w:numPr>
        <w:rPr>
          <w:rFonts w:ascii="Arial" w:cs="Arial" w:eastAsia="Arial" w:hAnsi="Arial"/>
          <w:sz w:val="12"/>
          <w:szCs w:val="12"/>
          <w:color w:val="auto"/>
        </w:rPr>
      </w:pPr>
      <w:r>
        <w:rPr>
          <w:rFonts w:ascii="Arial" w:cs="Arial" w:eastAsia="Arial" w:hAnsi="Arial"/>
          <w:sz w:val="12"/>
          <w:szCs w:val="12"/>
          <w:color w:val="auto"/>
        </w:rPr>
        <w:t xml:space="preserve">in the event this Agreement is terminated pursuant to Section 14.6, Servier shall reasonably cooperate with MacroGenics to either (A) wind down any ongoing Global Clinical Trial conducted under a Global Development Plan previously approved by Servier or (B) which is conducted by Servier in the Servier Territory for the Licensed Product, and/or diligently perform any follow-up of a clinical trial initiated in Servier Territory requested by any Regulatory Authority or dictated by any applicable Institutional Review Board. </w:t>
      </w:r>
      <w:r>
        <w:rPr>
          <w:rFonts w:ascii="Arial" w:cs="Arial" w:eastAsia="Arial" w:hAnsi="Arial"/>
          <w:sz w:val="12"/>
          <w:szCs w:val="12"/>
          <w:b w:val="1"/>
          <w:bCs w:val="1"/>
          <w:color w:val="auto"/>
        </w:rPr>
        <w:t>***</w:t>
      </w:r>
      <w:r>
        <w:rPr>
          <w:rFonts w:ascii="Arial" w:cs="Arial" w:eastAsia="Arial" w:hAnsi="Arial"/>
          <w:sz w:val="12"/>
          <w:szCs w:val="12"/>
          <w:color w:val="auto"/>
        </w:rPr>
        <w:t xml:space="preserve"> the activities mentioned in (A) above and *** shall entirely fund the activities mentioned in (B) above. Servier and Servier’s Affiliates shall provide MacroGenics written notice of the quantity of Licensed Product that Servier has in inventory for sale under or in each Terminated Licensed Program or Terminated Territory and permit MacroGenics, at MacroGenics’ option, to purchase all or any part of Servier’s worldwide unsold inventory of such Licensed Product ***.</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14.7.2 Upon termination of this Agreement by Servier pursuant to Section 14.2 or 14.3:</w:t>
      </w:r>
    </w:p>
    <w:p>
      <w:pPr>
        <w:spacing w:after="0" w:line="132" w:lineRule="exact"/>
        <w:rPr>
          <w:sz w:val="20"/>
          <w:szCs w:val="20"/>
          <w:color w:val="auto"/>
        </w:rPr>
      </w:pPr>
    </w:p>
    <w:p>
      <w:pPr>
        <w:ind w:left="1100" w:hanging="180"/>
        <w:spacing w:after="0"/>
        <w:tabs>
          <w:tab w:leader="none" w:pos="1100" w:val="left"/>
        </w:tabs>
        <w:numPr>
          <w:ilvl w:val="0"/>
          <w:numId w:val="913"/>
        </w:numPr>
        <w:rPr>
          <w:rFonts w:ascii="Arial" w:cs="Arial" w:eastAsia="Arial" w:hAnsi="Arial"/>
          <w:sz w:val="14"/>
          <w:szCs w:val="14"/>
          <w:color w:val="auto"/>
        </w:rPr>
      </w:pPr>
      <w:r>
        <w:rPr>
          <w:rFonts w:ascii="Arial" w:cs="Arial" w:eastAsia="Arial" w:hAnsi="Arial"/>
          <w:sz w:val="14"/>
          <w:szCs w:val="14"/>
          <w:color w:val="auto"/>
        </w:rPr>
        <w:t>all rights, licenses and options granted to Servier, its Affiliates or Sublicensees pursuant to this Agreement shall remain in effect;</w:t>
      </w:r>
    </w:p>
    <w:p>
      <w:pPr>
        <w:spacing w:after="0" w:line="131" w:lineRule="exact"/>
        <w:rPr>
          <w:rFonts w:ascii="Arial" w:cs="Arial" w:eastAsia="Arial" w:hAnsi="Arial"/>
          <w:sz w:val="14"/>
          <w:szCs w:val="14"/>
          <w:color w:val="auto"/>
        </w:rPr>
      </w:pPr>
    </w:p>
    <w:p>
      <w:pPr>
        <w:ind w:left="1120" w:hanging="200"/>
        <w:spacing w:after="0"/>
        <w:tabs>
          <w:tab w:leader="none" w:pos="1120" w:val="left"/>
        </w:tabs>
        <w:numPr>
          <w:ilvl w:val="0"/>
          <w:numId w:val="913"/>
        </w:numPr>
        <w:rPr>
          <w:rFonts w:ascii="Arial" w:cs="Arial" w:eastAsia="Arial" w:hAnsi="Arial"/>
          <w:sz w:val="14"/>
          <w:szCs w:val="14"/>
          <w:color w:val="auto"/>
        </w:rPr>
      </w:pPr>
      <w:r>
        <w:rPr>
          <w:rFonts w:ascii="Arial" w:cs="Arial" w:eastAsia="Arial" w:hAnsi="Arial"/>
          <w:sz w:val="14"/>
          <w:szCs w:val="14"/>
          <w:color w:val="auto"/>
        </w:rPr>
        <w:t>all payment obligations under ARTICLE 8 shall remain in effect; and</w:t>
      </w:r>
    </w:p>
    <w:p>
      <w:pPr>
        <w:spacing w:after="0" w:line="131" w:lineRule="exact"/>
        <w:rPr>
          <w:rFonts w:ascii="Arial" w:cs="Arial" w:eastAsia="Arial" w:hAnsi="Arial"/>
          <w:sz w:val="14"/>
          <w:szCs w:val="14"/>
          <w:color w:val="auto"/>
        </w:rPr>
      </w:pPr>
    </w:p>
    <w:p>
      <w:pPr>
        <w:ind w:right="160" w:firstLine="920"/>
        <w:spacing w:after="0" w:line="267" w:lineRule="auto"/>
        <w:tabs>
          <w:tab w:leader="none" w:pos="1101" w:val="left"/>
        </w:tabs>
        <w:numPr>
          <w:ilvl w:val="0"/>
          <w:numId w:val="913"/>
        </w:numPr>
        <w:rPr>
          <w:rFonts w:ascii="Arial" w:cs="Arial" w:eastAsia="Arial" w:hAnsi="Arial"/>
          <w:sz w:val="14"/>
          <w:szCs w:val="14"/>
          <w:color w:val="auto"/>
        </w:rPr>
      </w:pPr>
      <w:r>
        <w:rPr>
          <w:rFonts w:ascii="Arial" w:cs="Arial" w:eastAsia="Arial" w:hAnsi="Arial"/>
          <w:sz w:val="14"/>
          <w:szCs w:val="14"/>
          <w:color w:val="auto"/>
        </w:rPr>
        <w:t>all licenses granted by Servier, its Affiliates or Sublicensees pursuant to this Agreement, if this Agreement was terminated in its entirety, or with respect to a Terminated Licensed Program, including pursuant to section 4.2, shall terminate.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14.8 </w:t>
      </w:r>
      <w:r>
        <w:rPr>
          <w:rFonts w:ascii="Arial" w:cs="Arial" w:eastAsia="Arial" w:hAnsi="Arial"/>
          <w:sz w:val="14"/>
          <w:szCs w:val="14"/>
          <w:u w:val="single" w:color="auto"/>
          <w:color w:val="auto"/>
        </w:rPr>
        <w:t>Accrued Rights; Surviving Provisions of the Agreement.</w:t>
      </w:r>
    </w:p>
    <w:p>
      <w:pPr>
        <w:spacing w:after="0" w:line="132" w:lineRule="exact"/>
        <w:rPr>
          <w:sz w:val="20"/>
          <w:szCs w:val="20"/>
          <w:color w:val="auto"/>
        </w:rPr>
      </w:pPr>
    </w:p>
    <w:p>
      <w:pPr>
        <w:jc w:val="both"/>
        <w:ind w:right="100" w:firstLine="917"/>
        <w:spacing w:after="0" w:line="258" w:lineRule="auto"/>
        <w:rPr>
          <w:sz w:val="20"/>
          <w:szCs w:val="20"/>
          <w:color w:val="auto"/>
        </w:rPr>
      </w:pPr>
      <w:r>
        <w:rPr>
          <w:rFonts w:ascii="Arial" w:cs="Arial" w:eastAsia="Arial" w:hAnsi="Arial"/>
          <w:sz w:val="14"/>
          <w:szCs w:val="14"/>
          <w:color w:val="auto"/>
        </w:rPr>
        <w:t xml:space="preserve">14.8.1 </w:t>
      </w:r>
      <w:r>
        <w:rPr>
          <w:rFonts w:ascii="Arial" w:cs="Arial" w:eastAsia="Arial" w:hAnsi="Arial"/>
          <w:sz w:val="14"/>
          <w:szCs w:val="14"/>
          <w:u w:val="single" w:color="auto"/>
          <w:color w:val="auto"/>
        </w:rPr>
        <w:t>Accrued Rights</w:t>
      </w:r>
      <w:r>
        <w:rPr>
          <w:rFonts w:ascii="Arial" w:cs="Arial" w:eastAsia="Arial" w:hAnsi="Arial"/>
          <w:sz w:val="14"/>
          <w:szCs w:val="14"/>
          <w:color w:val="auto"/>
        </w:rPr>
        <w:t>. Termination or expiration of any aspect of this Agreement for any reason shall be without prejudice to any rights that shall have accrued to the benefit of any Party prior to such termination or expiration including the payment obligations under ARTICLE 9 hereof, and any and all damages or remedies arising from any breach hereunder. Such termination or expiration shall not relieve any Party from obligations which are expressly indicated to survive termination of this Agreement.</w:t>
      </w:r>
    </w:p>
    <w:p>
      <w:pPr>
        <w:spacing w:after="0" w:line="108" w:lineRule="exact"/>
        <w:rPr>
          <w:sz w:val="20"/>
          <w:szCs w:val="20"/>
          <w:color w:val="auto"/>
        </w:rPr>
      </w:pPr>
    </w:p>
    <w:p>
      <w:pPr>
        <w:ind w:firstLine="917"/>
        <w:spacing w:after="0" w:line="255" w:lineRule="auto"/>
        <w:rPr>
          <w:sz w:val="20"/>
          <w:szCs w:val="20"/>
          <w:color w:val="auto"/>
        </w:rPr>
      </w:pPr>
      <w:r>
        <w:rPr>
          <w:rFonts w:ascii="Arial" w:cs="Arial" w:eastAsia="Arial" w:hAnsi="Arial"/>
          <w:sz w:val="14"/>
          <w:szCs w:val="14"/>
          <w:color w:val="auto"/>
        </w:rPr>
        <w:t xml:space="preserve">14.8.2 </w:t>
      </w:r>
      <w:r>
        <w:rPr>
          <w:rFonts w:ascii="Arial" w:cs="Arial" w:eastAsia="Arial" w:hAnsi="Arial"/>
          <w:sz w:val="14"/>
          <w:szCs w:val="14"/>
          <w:u w:val="single" w:color="auto"/>
          <w:color w:val="auto"/>
        </w:rPr>
        <w:t>Surviving Provisions of the Agreement</w:t>
      </w:r>
      <w:r>
        <w:rPr>
          <w:rFonts w:ascii="Arial" w:cs="Arial" w:eastAsia="Arial" w:hAnsi="Arial"/>
          <w:sz w:val="14"/>
          <w:szCs w:val="14"/>
          <w:color w:val="auto"/>
        </w:rPr>
        <w:t xml:space="preserve">. The provisions of Sections 3.3.3(c), 6.1.2, 9.6-9.9 (with regard to accrued but unpaid amounts), 9.10, 10.3.3, 12.5, 14.7 and 14.8 and ARTICLE 13 and ARTICLE 16, and any applicable definitions in ARTICLE 1, shall survive any partial or entire termination of this Agreement or partial or entire expiration of this Agreement for any reason, in accordance with their respective terms and conditions, and for the duration stated, and where no duration is stated, shall survive indefinitely. ARTICLE 11 shall survive for a period of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effective date of the entire termination or expiration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91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73" w:name="page774"/>
    <w:bookmarkEnd w:id="773"/>
    <w:p>
      <w:pPr>
        <w:ind w:left="5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15</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STANDSTILL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ARTICLE 16</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MISCELLANEOUS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u w:val="single" w:color="auto"/>
          <w:color w:val="auto"/>
        </w:rPr>
        <w:t>Disputes.</w:t>
      </w:r>
    </w:p>
    <w:p>
      <w:pPr>
        <w:spacing w:after="0" w:line="132" w:lineRule="exact"/>
        <w:rPr>
          <w:sz w:val="20"/>
          <w:szCs w:val="20"/>
          <w:color w:val="auto"/>
        </w:rPr>
      </w:pPr>
    </w:p>
    <w:p>
      <w:pPr>
        <w:ind w:firstLine="917"/>
        <w:spacing w:after="0" w:line="293" w:lineRule="auto"/>
        <w:rPr>
          <w:sz w:val="20"/>
          <w:szCs w:val="20"/>
          <w:color w:val="auto"/>
        </w:rPr>
      </w:pPr>
      <w:r>
        <w:rPr>
          <w:rFonts w:ascii="Arial" w:cs="Arial" w:eastAsia="Arial" w:hAnsi="Arial"/>
          <w:sz w:val="12"/>
          <w:szCs w:val="12"/>
          <w:color w:val="auto"/>
        </w:rPr>
        <w:t xml:space="preserve">16.1.1 In the event any dispute arises out of or in relation to or in connection with this Agreement, including failure to perform under or breach of, this Agreement or any issue relating to the interpretation or application of this Agreement, the Parties shall use good faith efforts to resolve such dispute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 after a Party notifies the other Party of such dispute, whether through the JEC, JSC, JRDC or any subcommittee, as applicable, if the dispute is within the responsibilities of such a committee, or otherwise. If the Parties are unable to resolve such dispute, at the JSC, JRDC or subcommittee level or otherwise,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 period, either Party may, by written notice to the other Party refer such dispute to the JEC for resolution, and the JEC shall attempt in good faith to resolve such dispute within</w:t>
      </w:r>
    </w:p>
    <w:p>
      <w:pPr>
        <w:spacing w:after="0" w:line="1" w:lineRule="exact"/>
        <w:rPr>
          <w:sz w:val="20"/>
          <w:szCs w:val="20"/>
          <w:color w:val="auto"/>
        </w:rPr>
      </w:pPr>
    </w:p>
    <w:p>
      <w:pPr>
        <w:ind w:left="240" w:hanging="236"/>
        <w:spacing w:after="0"/>
        <w:tabs>
          <w:tab w:leader="none" w:pos="240" w:val="left"/>
        </w:tabs>
        <w:numPr>
          <w:ilvl w:val="0"/>
          <w:numId w:val="915"/>
        </w:numPr>
        <w:rPr>
          <w:rFonts w:ascii="Arial" w:cs="Arial" w:eastAsia="Arial" w:hAnsi="Arial"/>
          <w:sz w:val="14"/>
          <w:szCs w:val="14"/>
          <w:b w:val="1"/>
          <w:bCs w:val="1"/>
          <w:color w:val="auto"/>
        </w:rPr>
      </w:pPr>
      <w:r>
        <w:rPr>
          <w:rFonts w:ascii="Arial" w:cs="Arial" w:eastAsia="Arial" w:hAnsi="Arial"/>
          <w:sz w:val="14"/>
          <w:szCs w:val="14"/>
          <w:color w:val="auto"/>
        </w:rPr>
        <w:t>days after such notice.</w:t>
      </w:r>
    </w:p>
    <w:p>
      <w:pPr>
        <w:spacing w:after="0" w:line="126" w:lineRule="exact"/>
        <w:rPr>
          <w:sz w:val="20"/>
          <w:szCs w:val="20"/>
          <w:color w:val="auto"/>
        </w:rPr>
      </w:pPr>
    </w:p>
    <w:p>
      <w:pPr>
        <w:ind w:right="60" w:firstLine="917"/>
        <w:spacing w:after="0" w:line="351" w:lineRule="auto"/>
        <w:rPr>
          <w:sz w:val="20"/>
          <w:szCs w:val="20"/>
          <w:color w:val="auto"/>
        </w:rPr>
      </w:pPr>
      <w:r>
        <w:rPr>
          <w:rFonts w:ascii="Arial" w:cs="Arial" w:eastAsia="Arial" w:hAnsi="Arial"/>
          <w:sz w:val="12"/>
          <w:szCs w:val="12"/>
          <w:color w:val="auto"/>
        </w:rPr>
        <w:t>16.1.2 Any dispute with respect to which a Party has final decision-making authority pursuant to Section 2.9.3 or any dispute between the Parties concerning the validity, scope, enforceability, inventorship, or ownership of intellectual property rights (each, a “</w:t>
      </w:r>
      <w:r>
        <w:rPr>
          <w:rFonts w:ascii="Arial" w:cs="Arial" w:eastAsia="Arial" w:hAnsi="Arial"/>
          <w:sz w:val="12"/>
          <w:szCs w:val="12"/>
          <w:u w:val="single" w:color="auto"/>
          <w:color w:val="auto"/>
        </w:rPr>
        <w:t>Non-Arbitrable Dispute</w:t>
      </w:r>
      <w:r>
        <w:rPr>
          <w:rFonts w:ascii="Arial" w:cs="Arial" w:eastAsia="Arial" w:hAnsi="Arial"/>
          <w:sz w:val="12"/>
          <w:szCs w:val="12"/>
          <w:color w:val="auto"/>
        </w:rPr>
        <w:t>”), shall not be subject to resolution by binding arbitration under 16.2.</w:t>
      </w:r>
    </w:p>
    <w:p>
      <w:pPr>
        <w:spacing w:after="0" w:line="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64</w:t>
      </w:r>
    </w:p>
    <w:p>
      <w:pPr>
        <w:spacing w:after="0" w:line="12" w:lineRule="exact"/>
        <w:rPr>
          <w:sz w:val="20"/>
          <w:szCs w:val="20"/>
          <w:color w:val="auto"/>
        </w:rPr>
      </w:pPr>
    </w:p>
    <w:p>
      <w:pPr>
        <w:ind w:left="3840" w:right="2620" w:hanging="1135"/>
        <w:spacing w:after="0" w:line="341" w:lineRule="auto"/>
        <w:tabs>
          <w:tab w:leader="none" w:pos="2944" w:val="left"/>
        </w:tabs>
        <w:numPr>
          <w:ilvl w:val="0"/>
          <w:numId w:val="91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20" w:top="245" w:right="299" w:bottom="1440" w:gutter="0" w:footer="0" w:header="0"/>
        </w:sectPr>
      </w:pPr>
    </w:p>
    <w:bookmarkStart w:id="774" w:name="page775"/>
    <w:bookmarkEnd w:id="774"/>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16.2 </w:t>
      </w:r>
      <w:r>
        <w:rPr>
          <w:rFonts w:ascii="Arial" w:cs="Arial" w:eastAsia="Arial" w:hAnsi="Arial"/>
          <w:sz w:val="12"/>
          <w:szCs w:val="12"/>
          <w:u w:val="single" w:color="auto"/>
          <w:color w:val="auto"/>
        </w:rPr>
        <w:t>Arbitration</w:t>
      </w:r>
      <w:r>
        <w:rPr>
          <w:rFonts w:ascii="Arial" w:cs="Arial" w:eastAsia="Arial" w:hAnsi="Arial"/>
          <w:sz w:val="12"/>
          <w:szCs w:val="12"/>
          <w:color w:val="auto"/>
        </w:rPr>
        <w:t xml:space="preserve">. If the JEC is unable to resolve a given dispute referred to it pursuant to Section 2.9.3 or 16.1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 following such referral of such dispute to the JEC, except for any Non-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Arbitrable Disputes, either Party may have the given dispute settled by binding arbitration in the manner described below:</w:t>
      </w:r>
    </w:p>
    <w:p>
      <w:pPr>
        <w:spacing w:after="0" w:line="126" w:lineRule="exact"/>
        <w:rPr>
          <w:sz w:val="20"/>
          <w:szCs w:val="20"/>
          <w:color w:val="auto"/>
        </w:rPr>
      </w:pPr>
    </w:p>
    <w:p>
      <w:pPr>
        <w:ind w:right="140" w:firstLine="917"/>
        <w:spacing w:after="0" w:line="267" w:lineRule="auto"/>
        <w:rPr>
          <w:sz w:val="20"/>
          <w:szCs w:val="20"/>
          <w:color w:val="auto"/>
        </w:rPr>
      </w:pPr>
      <w:r>
        <w:rPr>
          <w:rFonts w:ascii="Arial" w:cs="Arial" w:eastAsia="Arial" w:hAnsi="Arial"/>
          <w:sz w:val="14"/>
          <w:szCs w:val="14"/>
          <w:color w:val="auto"/>
        </w:rPr>
        <w:t xml:space="preserve">16.2.1 </w:t>
      </w:r>
      <w:r>
        <w:rPr>
          <w:rFonts w:ascii="Arial" w:cs="Arial" w:eastAsia="Arial" w:hAnsi="Arial"/>
          <w:sz w:val="14"/>
          <w:szCs w:val="14"/>
          <w:u w:val="single" w:color="auto"/>
          <w:color w:val="auto"/>
        </w:rPr>
        <w:t>Arbitration Request</w:t>
      </w:r>
      <w:r>
        <w:rPr>
          <w:rFonts w:ascii="Arial" w:cs="Arial" w:eastAsia="Arial" w:hAnsi="Arial"/>
          <w:sz w:val="14"/>
          <w:szCs w:val="14"/>
          <w:color w:val="auto"/>
        </w:rPr>
        <w:t>. If a Party intends to begin an arbitration to resolve a dispute arising under this Agreement, such Party shall provide written notice (the “</w:t>
      </w:r>
      <w:r>
        <w:rPr>
          <w:rFonts w:ascii="Arial" w:cs="Arial" w:eastAsia="Arial" w:hAnsi="Arial"/>
          <w:sz w:val="14"/>
          <w:szCs w:val="14"/>
          <w:u w:val="single" w:color="auto"/>
          <w:color w:val="auto"/>
        </w:rPr>
        <w:t>Arbitration Request</w:t>
      </w:r>
      <w:r>
        <w:rPr>
          <w:rFonts w:ascii="Arial" w:cs="Arial" w:eastAsia="Arial" w:hAnsi="Arial"/>
          <w:sz w:val="14"/>
          <w:szCs w:val="14"/>
          <w:color w:val="auto"/>
        </w:rPr>
        <w:t>”) to the other Party of such intention and the issues for resolution.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16.2.2 </w:t>
      </w:r>
      <w:r>
        <w:rPr>
          <w:rFonts w:ascii="Arial" w:cs="Arial" w:eastAsia="Arial" w:hAnsi="Arial"/>
          <w:sz w:val="14"/>
          <w:szCs w:val="14"/>
          <w:u w:val="single" w:color="auto"/>
          <w:color w:val="auto"/>
        </w:rPr>
        <w:t>Additional Issues</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 after the receipt of the Arbitration Request, the other Party may, by written notice, add additional issues for resolution.</w:t>
      </w:r>
    </w:p>
    <w:p>
      <w:pPr>
        <w:spacing w:after="0" w:line="134" w:lineRule="exact"/>
        <w:rPr>
          <w:sz w:val="20"/>
          <w:szCs w:val="20"/>
          <w:color w:val="auto"/>
        </w:rPr>
      </w:pPr>
    </w:p>
    <w:p>
      <w:pPr>
        <w:ind w:right="20" w:firstLine="917"/>
        <w:spacing w:after="0" w:line="302" w:lineRule="auto"/>
        <w:rPr>
          <w:sz w:val="20"/>
          <w:szCs w:val="20"/>
          <w:color w:val="auto"/>
        </w:rPr>
      </w:pPr>
      <w:r>
        <w:rPr>
          <w:rFonts w:ascii="Arial" w:cs="Arial" w:eastAsia="Arial" w:hAnsi="Arial"/>
          <w:sz w:val="12"/>
          <w:szCs w:val="12"/>
          <w:color w:val="auto"/>
        </w:rPr>
        <w:t xml:space="preserve">16.2.3 </w:t>
      </w:r>
      <w:r>
        <w:rPr>
          <w:rFonts w:ascii="Arial" w:cs="Arial" w:eastAsia="Arial" w:hAnsi="Arial"/>
          <w:sz w:val="12"/>
          <w:szCs w:val="12"/>
          <w:u w:val="single" w:color="auto"/>
          <w:color w:val="auto"/>
        </w:rPr>
        <w:t>Arbitration Rules; Location</w:t>
      </w:r>
      <w:r>
        <w:rPr>
          <w:rFonts w:ascii="Arial" w:cs="Arial" w:eastAsia="Arial" w:hAnsi="Arial"/>
          <w:sz w:val="12"/>
          <w:szCs w:val="12"/>
          <w:color w:val="auto"/>
        </w:rPr>
        <w:t xml:space="preserve">. Except as expressly provided herein, the sole mechanism for resolution of any claim, dispute or controversy arising out of or in connection with or relating to this Agreement or the breach or alleged breach thereof shall be arbitration by the </w:t>
      </w:r>
      <w:r>
        <w:rPr>
          <w:rFonts w:ascii="Arial" w:cs="Arial" w:eastAsia="Arial" w:hAnsi="Arial"/>
          <w:sz w:val="12"/>
          <w:szCs w:val="12"/>
          <w:b w:val="1"/>
          <w:bCs w:val="1"/>
          <w:color w:val="auto"/>
        </w:rPr>
        <w:t>***</w:t>
      </w:r>
      <w:r>
        <w:rPr>
          <w:rFonts w:ascii="Arial" w:cs="Arial" w:eastAsia="Arial" w:hAnsi="Arial"/>
          <w:sz w:val="12"/>
          <w:szCs w:val="12"/>
          <w:color w:val="auto"/>
        </w:rPr>
        <w:t xml:space="preserve"> then in effect except as provided herein. Neither Party shall be required to give general discovery of documents, but may be required to produce documents or testimony which are considered relevant by the arbitrators to the dispute. The production of electronic documents shall be limited to those located in sources that are used in the ordinary course of business. Neither Party shall be ordered to restore backup tapes; erased, damaged or fragmented data, or data normally deleted in the ordinary course of business. When the cost and burden of discovery are disproportionate to the likely importance of the requested materials, the arbitrator may deny the requests or require that the requesting party advance the reasonable cost of production to the other Party. The Parties can further agree to limit the extent of discovery in any arbitration undertaken pursuant to this Agreement. The arbitration shall take place in ***</w:t>
      </w:r>
    </w:p>
    <w:p>
      <w:pPr>
        <w:spacing w:after="0" w:line="86"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 xml:space="preserve">16.2.4 </w:t>
      </w:r>
      <w:r>
        <w:rPr>
          <w:rFonts w:ascii="Arial" w:cs="Arial" w:eastAsia="Arial" w:hAnsi="Arial"/>
          <w:sz w:val="14"/>
          <w:szCs w:val="14"/>
          <w:u w:val="single" w:color="auto"/>
          <w:color w:val="auto"/>
        </w:rPr>
        <w:t>Privileges</w:t>
      </w:r>
      <w:r>
        <w:rPr>
          <w:rFonts w:ascii="Arial" w:cs="Arial" w:eastAsia="Arial" w:hAnsi="Arial"/>
          <w:sz w:val="14"/>
          <w:szCs w:val="14"/>
          <w:color w:val="auto"/>
        </w:rPr>
        <w:t>. If a Party is entitled to attorney-client or attorney work product privileges from disclosure established under public policy provisions, such privileges shall apply and may be invoked by the other Party.</w:t>
      </w:r>
    </w:p>
    <w:p>
      <w:pPr>
        <w:spacing w:after="0" w:line="101"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16.2.5 </w:t>
      </w:r>
      <w:r>
        <w:rPr>
          <w:rFonts w:ascii="Arial" w:cs="Arial" w:eastAsia="Arial" w:hAnsi="Arial"/>
          <w:sz w:val="14"/>
          <w:szCs w:val="14"/>
          <w:u w:val="single" w:color="auto"/>
          <w:color w:val="auto"/>
        </w:rPr>
        <w:t>English Language</w:t>
      </w:r>
      <w:r>
        <w:rPr>
          <w:rFonts w:ascii="Arial" w:cs="Arial" w:eastAsia="Arial" w:hAnsi="Arial"/>
          <w:sz w:val="14"/>
          <w:szCs w:val="14"/>
          <w:color w:val="auto"/>
        </w:rPr>
        <w:t>. All proceedings shall be held in English and a transcribed record prepared in English. Documents submitted in the arbitration (the originals of which are not in English) shall be submitted together with a reasonably complete and accurate English translation.</w:t>
      </w:r>
    </w:p>
    <w:p>
      <w:pPr>
        <w:spacing w:after="0" w:line="99" w:lineRule="exact"/>
        <w:rPr>
          <w:sz w:val="20"/>
          <w:szCs w:val="20"/>
          <w:color w:val="auto"/>
        </w:rPr>
      </w:pPr>
    </w:p>
    <w:p>
      <w:pPr>
        <w:ind w:right="140" w:firstLine="917"/>
        <w:spacing w:after="0" w:line="256" w:lineRule="auto"/>
        <w:rPr>
          <w:sz w:val="20"/>
          <w:szCs w:val="20"/>
          <w:color w:val="auto"/>
        </w:rPr>
      </w:pPr>
      <w:r>
        <w:rPr>
          <w:rFonts w:ascii="Arial" w:cs="Arial" w:eastAsia="Arial" w:hAnsi="Arial"/>
          <w:sz w:val="14"/>
          <w:szCs w:val="14"/>
          <w:color w:val="auto"/>
        </w:rPr>
        <w:t xml:space="preserve">16.2.6 </w:t>
      </w:r>
      <w:r>
        <w:rPr>
          <w:rFonts w:ascii="Arial" w:cs="Arial" w:eastAsia="Arial" w:hAnsi="Arial"/>
          <w:sz w:val="14"/>
          <w:szCs w:val="14"/>
          <w:u w:val="single" w:color="auto"/>
          <w:color w:val="auto"/>
        </w:rPr>
        <w:t>Selection of Arbitrators</w:t>
      </w:r>
      <w:r>
        <w:rPr>
          <w:rFonts w:ascii="Arial" w:cs="Arial" w:eastAsia="Arial" w:hAnsi="Arial"/>
          <w:sz w:val="14"/>
          <w:szCs w:val="14"/>
          <w:color w:val="auto"/>
        </w:rPr>
        <w:t xml:space="preserve">. The Parties shall each choose one arbitrator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receipt of notice of the intent to arbitrate and the said two arbitrators shall select by mutual agreement a third arbitrator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they have been selected as arbitrators. If no arbitrator is appointed within the times herein provided or any extension of time that is mutually agreed on, </w:t>
      </w:r>
      <w:r>
        <w:rPr>
          <w:rFonts w:ascii="Arial" w:cs="Arial" w:eastAsia="Arial" w:hAnsi="Arial"/>
          <w:sz w:val="14"/>
          <w:szCs w:val="14"/>
          <w:b w:val="1"/>
          <w:bCs w:val="1"/>
          <w:color w:val="auto"/>
        </w:rPr>
        <w:t>***</w:t>
      </w:r>
      <w:r>
        <w:rPr>
          <w:rFonts w:ascii="Arial" w:cs="Arial" w:eastAsia="Arial" w:hAnsi="Arial"/>
          <w:sz w:val="14"/>
          <w:szCs w:val="14"/>
          <w:color w:val="auto"/>
        </w:rPr>
        <w:t xml:space="preserve"> shall make such appointment (i.e. shall appoint three arbitrators)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such failure. Additionally, if the two arbitrators selected by the Parties fail to appoint a third arbitrator within the time provided, *** shall appoint the third arbitrator.</w:t>
      </w:r>
    </w:p>
    <w:p>
      <w:pPr>
        <w:spacing w:after="0" w:line="109" w:lineRule="exact"/>
        <w:rPr>
          <w:sz w:val="20"/>
          <w:szCs w:val="20"/>
          <w:color w:val="auto"/>
        </w:rPr>
      </w:pPr>
    </w:p>
    <w:p>
      <w:pPr>
        <w:ind w:right="400" w:firstLine="917"/>
        <w:spacing w:after="0" w:line="267" w:lineRule="auto"/>
        <w:rPr>
          <w:sz w:val="20"/>
          <w:szCs w:val="20"/>
          <w:color w:val="auto"/>
        </w:rPr>
      </w:pPr>
      <w:r>
        <w:rPr>
          <w:rFonts w:ascii="Arial" w:cs="Arial" w:eastAsia="Arial" w:hAnsi="Arial"/>
          <w:sz w:val="14"/>
          <w:szCs w:val="14"/>
          <w:color w:val="auto"/>
        </w:rPr>
        <w:t xml:space="preserve">16.2.7 </w:t>
      </w:r>
      <w:r>
        <w:rPr>
          <w:rFonts w:ascii="Arial" w:cs="Arial" w:eastAsia="Arial" w:hAnsi="Arial"/>
          <w:sz w:val="14"/>
          <w:szCs w:val="14"/>
          <w:u w:val="single" w:color="auto"/>
          <w:color w:val="auto"/>
        </w:rPr>
        <w:t>Experience</w:t>
      </w:r>
      <w:r>
        <w:rPr>
          <w:rFonts w:ascii="Arial" w:cs="Arial" w:eastAsia="Arial" w:hAnsi="Arial"/>
          <w:sz w:val="14"/>
          <w:szCs w:val="14"/>
          <w:color w:val="auto"/>
        </w:rPr>
        <w:t>. If the issues in dispute involve scientific or technical matters, any arbitrators chosen hereunder shall have educational training or experience sufficient to demonstrate a reasonable level of knowledge in the pharmaceutical and biotechnology fields.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91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775" w:name="page776"/>
    <w:bookmarkEnd w:id="775"/>
    <w:p>
      <w:pPr>
        <w:ind w:right="12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16.2.8 </w:t>
      </w:r>
      <w:r>
        <w:rPr>
          <w:rFonts w:ascii="Arial" w:cs="Arial" w:eastAsia="Arial" w:hAnsi="Arial"/>
          <w:sz w:val="14"/>
          <w:szCs w:val="14"/>
          <w:u w:val="single" w:color="auto"/>
          <w:color w:val="auto"/>
        </w:rPr>
        <w:t>Powers of Arbitrators</w:t>
      </w:r>
      <w:r>
        <w:rPr>
          <w:rFonts w:ascii="Arial" w:cs="Arial" w:eastAsia="Arial" w:hAnsi="Arial"/>
          <w:sz w:val="14"/>
          <w:szCs w:val="14"/>
          <w:color w:val="auto"/>
        </w:rPr>
        <w:t>. The arbitrators shall be limited in the scope of their authority to resolving only the specific matter which the Parties have referred to arbitration for resolution and shall not have authority to render any decision or award on any other issues. Without limiting the foregoing, the arbitrators:</w:t>
      </w:r>
    </w:p>
    <w:p>
      <w:pPr>
        <w:spacing w:after="0" w:line="101" w:lineRule="exact"/>
        <w:rPr>
          <w:sz w:val="20"/>
          <w:szCs w:val="20"/>
          <w:color w:val="auto"/>
        </w:rPr>
      </w:pPr>
    </w:p>
    <w:p>
      <w:pPr>
        <w:ind w:left="1100" w:hanging="180"/>
        <w:spacing w:after="0"/>
        <w:tabs>
          <w:tab w:leader="none" w:pos="1100" w:val="left"/>
        </w:tabs>
        <w:numPr>
          <w:ilvl w:val="0"/>
          <w:numId w:val="918"/>
        </w:numPr>
        <w:rPr>
          <w:rFonts w:ascii="Arial" w:cs="Arial" w:eastAsia="Arial" w:hAnsi="Arial"/>
          <w:sz w:val="12"/>
          <w:szCs w:val="12"/>
          <w:color w:val="auto"/>
        </w:rPr>
      </w:pPr>
      <w:r>
        <w:rPr>
          <w:rFonts w:ascii="Arial" w:cs="Arial" w:eastAsia="Arial" w:hAnsi="Arial"/>
          <w:sz w:val="12"/>
          <w:szCs w:val="12"/>
          <w:color w:val="auto"/>
        </w:rPr>
        <w:t>shall not have any power or authority to add to, alter, amend or modify the terms of this Agreement but shall specify rules sufficient to allow reasonable discovery by the Parties;</w:t>
      </w:r>
    </w:p>
    <w:p>
      <w:pPr>
        <w:spacing w:after="0" w:line="154" w:lineRule="exact"/>
        <w:rPr>
          <w:rFonts w:ascii="Arial" w:cs="Arial" w:eastAsia="Arial" w:hAnsi="Arial"/>
          <w:sz w:val="12"/>
          <w:szCs w:val="12"/>
          <w:color w:val="auto"/>
        </w:rPr>
      </w:pPr>
    </w:p>
    <w:p>
      <w:pPr>
        <w:ind w:right="640" w:firstLine="920"/>
        <w:spacing w:after="0" w:line="267" w:lineRule="auto"/>
        <w:tabs>
          <w:tab w:leader="none" w:pos="1109" w:val="left"/>
        </w:tabs>
        <w:numPr>
          <w:ilvl w:val="0"/>
          <w:numId w:val="918"/>
        </w:numPr>
        <w:rPr>
          <w:rFonts w:ascii="Arial" w:cs="Arial" w:eastAsia="Arial" w:hAnsi="Arial"/>
          <w:sz w:val="14"/>
          <w:szCs w:val="14"/>
          <w:color w:val="auto"/>
        </w:rPr>
      </w:pPr>
      <w:r>
        <w:rPr>
          <w:rFonts w:ascii="Arial" w:cs="Arial" w:eastAsia="Arial" w:hAnsi="Arial"/>
          <w:sz w:val="14"/>
          <w:szCs w:val="14"/>
          <w:color w:val="auto"/>
        </w:rPr>
        <w:t>shall establish and enforce appropriate rules to ensure that the proceedings, including the decision, be kept confidential and that all Confidential Information of the Parties be kept confidential and be used for no purpose other than the arbitration; and</w:t>
      </w:r>
    </w:p>
    <w:p>
      <w:pPr>
        <w:spacing w:after="0" w:line="101" w:lineRule="exact"/>
        <w:rPr>
          <w:rFonts w:ascii="Arial" w:cs="Arial" w:eastAsia="Arial" w:hAnsi="Arial"/>
          <w:sz w:val="14"/>
          <w:szCs w:val="14"/>
          <w:color w:val="auto"/>
        </w:rPr>
      </w:pPr>
    </w:p>
    <w:p>
      <w:pPr>
        <w:ind w:left="1100" w:hanging="180"/>
        <w:spacing w:after="0"/>
        <w:tabs>
          <w:tab w:leader="none" w:pos="1100" w:val="left"/>
        </w:tabs>
        <w:numPr>
          <w:ilvl w:val="0"/>
          <w:numId w:val="918"/>
        </w:numPr>
        <w:rPr>
          <w:rFonts w:ascii="Arial" w:cs="Arial" w:eastAsia="Arial" w:hAnsi="Arial"/>
          <w:sz w:val="14"/>
          <w:szCs w:val="14"/>
          <w:color w:val="auto"/>
        </w:rPr>
      </w:pPr>
      <w:r>
        <w:rPr>
          <w:rFonts w:ascii="Arial" w:cs="Arial" w:eastAsia="Arial" w:hAnsi="Arial"/>
          <w:sz w:val="14"/>
          <w:szCs w:val="14"/>
          <w:color w:val="auto"/>
        </w:rPr>
        <w:t>shall issue all preliminary awards and the final award in writing.</w:t>
      </w:r>
    </w:p>
    <w:p>
      <w:pPr>
        <w:spacing w:after="0" w:line="132" w:lineRule="exact"/>
        <w:rPr>
          <w:sz w:val="20"/>
          <w:szCs w:val="20"/>
          <w:color w:val="auto"/>
        </w:rPr>
      </w:pPr>
    </w:p>
    <w:p>
      <w:pPr>
        <w:ind w:right="60" w:firstLine="917"/>
        <w:spacing w:after="0" w:line="255" w:lineRule="auto"/>
        <w:rPr>
          <w:sz w:val="20"/>
          <w:szCs w:val="20"/>
          <w:color w:val="auto"/>
        </w:rPr>
      </w:pPr>
      <w:r>
        <w:rPr>
          <w:rFonts w:ascii="Arial" w:cs="Arial" w:eastAsia="Arial" w:hAnsi="Arial"/>
          <w:sz w:val="14"/>
          <w:szCs w:val="14"/>
          <w:color w:val="auto"/>
        </w:rPr>
        <w:t xml:space="preserve">16.2.9 </w:t>
      </w:r>
      <w:r>
        <w:rPr>
          <w:rFonts w:ascii="Arial" w:cs="Arial" w:eastAsia="Arial" w:hAnsi="Arial"/>
          <w:sz w:val="14"/>
          <w:szCs w:val="14"/>
          <w:u w:val="single" w:color="auto"/>
          <w:color w:val="auto"/>
        </w:rPr>
        <w:t>Injunctive Relief</w:t>
      </w:r>
      <w:r>
        <w:rPr>
          <w:rFonts w:ascii="Arial" w:cs="Arial" w:eastAsia="Arial" w:hAnsi="Arial"/>
          <w:sz w:val="14"/>
          <w:szCs w:val="14"/>
          <w:color w:val="auto"/>
        </w:rPr>
        <w:t>. Nothing in this Agreement shall be deemed as preventing either Party from seeking injunctive relief (or any other provisional remedy such as temporary restraining order, preliminary injunction or other interim equitable relief) from the arbitrators or from any court having jurisdiction over the Parties (and prior to or during any arbitration if necessary to protect the interests of such Party in avoiding irreparable harm or to preserve the status quo pending the arbitration proceeding) and the subject matter of the dispute as necessary to protect either Party’s name, proprietary information, Know-How or any other proprietary right or otherwise to avoid irreparable harm.</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16.2.10 </w:t>
      </w:r>
      <w:r>
        <w:rPr>
          <w:rFonts w:ascii="Arial" w:cs="Arial" w:eastAsia="Arial" w:hAnsi="Arial"/>
          <w:sz w:val="14"/>
          <w:szCs w:val="14"/>
          <w:u w:val="single" w:color="auto"/>
          <w:color w:val="auto"/>
        </w:rPr>
        <w:t>Costs; Exclusion from Award</w:t>
      </w:r>
      <w:r>
        <w:rPr>
          <w:rFonts w:ascii="Arial" w:cs="Arial" w:eastAsia="Arial" w:hAnsi="Arial"/>
          <w:sz w:val="14"/>
          <w:szCs w:val="14"/>
          <w:color w:val="auto"/>
        </w:rPr>
        <w:t xml:space="preserve">. The award rendered by the arbitrators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16.2.11 </w:t>
      </w:r>
      <w:r>
        <w:rPr>
          <w:rFonts w:ascii="Arial" w:cs="Arial" w:eastAsia="Arial" w:hAnsi="Arial"/>
          <w:sz w:val="14"/>
          <w:szCs w:val="14"/>
          <w:u w:val="single" w:color="auto"/>
          <w:color w:val="auto"/>
        </w:rPr>
        <w:t>Survivability</w:t>
      </w:r>
      <w:r>
        <w:rPr>
          <w:rFonts w:ascii="Arial" w:cs="Arial" w:eastAsia="Arial" w:hAnsi="Arial"/>
          <w:sz w:val="14"/>
          <w:szCs w:val="14"/>
          <w:color w:val="auto"/>
        </w:rPr>
        <w:t>. Any duty to arbitrate under this Agreement shall remain in effect and be enforceable after termination of this Agreement.</w:t>
      </w:r>
    </w:p>
    <w:p>
      <w:pPr>
        <w:spacing w:after="0" w:line="130"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u w:val="single" w:color="auto"/>
          <w:color w:val="auto"/>
        </w:rPr>
        <w:t>Governing Law</w:t>
      </w:r>
      <w:r>
        <w:rPr>
          <w:rFonts w:ascii="Arial" w:cs="Arial" w:eastAsia="Arial" w:hAnsi="Arial"/>
          <w:sz w:val="14"/>
          <w:szCs w:val="14"/>
          <w:color w:val="auto"/>
        </w:rPr>
        <w:t xml:space="preserve">. This Agreement and any dispute arising from the performance or breach hereof shall be governed by and construed and enforced in accordance with the </w:t>
      </w:r>
      <w:r>
        <w:rPr>
          <w:rFonts w:ascii="Arial" w:cs="Arial" w:eastAsia="Arial" w:hAnsi="Arial"/>
          <w:sz w:val="14"/>
          <w:szCs w:val="14"/>
          <w:b w:val="1"/>
          <w:bCs w:val="1"/>
          <w:color w:val="auto"/>
        </w:rPr>
        <w:t>***</w:t>
      </w:r>
      <w:r>
        <w:rPr>
          <w:rFonts w:ascii="Arial" w:cs="Arial" w:eastAsia="Arial" w:hAnsi="Arial"/>
          <w:sz w:val="14"/>
          <w:szCs w:val="14"/>
          <w:color w:val="auto"/>
        </w:rPr>
        <w:t xml:space="preserve"> without reference to conflicts of laws principles. </w:t>
      </w:r>
      <w:r>
        <w:rPr>
          <w:rFonts w:ascii="Arial" w:cs="Arial" w:eastAsia="Arial" w:hAnsi="Arial"/>
          <w:sz w:val="14"/>
          <w:szCs w:val="14"/>
          <w:b w:val="1"/>
          <w:bCs w:val="1"/>
          <w:color w:val="auto"/>
        </w:rPr>
        <w:t>***</w:t>
      </w:r>
    </w:p>
    <w:p>
      <w:pPr>
        <w:spacing w:after="0" w:line="99" w:lineRule="exact"/>
        <w:rPr>
          <w:sz w:val="20"/>
          <w:szCs w:val="20"/>
          <w:color w:val="auto"/>
        </w:rPr>
      </w:pPr>
    </w:p>
    <w:p>
      <w:pPr>
        <w:ind w:firstLine="458"/>
        <w:spacing w:after="0" w:line="252" w:lineRule="auto"/>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Neither this Agreement nor any right or obligation hereunder may be assigned or otherwise transferred by any Party without the consent of the other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any Party may, without such consent, assign this Agreement, in whole or in part: (a) to any of its respective Affiliates;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assigning Party shall remain jointly and severally liable with such Affiliate in respect of all obligations so assigned, or (b) to any successor in interest by way of merger, acquisition or sale of all or substantially all of its assets to which this Agreement relates (an “</w:t>
      </w:r>
      <w:r>
        <w:rPr>
          <w:rFonts w:ascii="Arial" w:cs="Arial" w:eastAsia="Arial" w:hAnsi="Arial"/>
          <w:sz w:val="14"/>
          <w:szCs w:val="14"/>
          <w:u w:val="single" w:color="auto"/>
          <w:color w:val="auto"/>
        </w:rPr>
        <w:t>M&amp;A Event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successor agrees in writing to be bound by the terms of this Agreement as if it were the assigning party. Any assignment not in accordance with this Section 16.4 shall be void. Each Party agrees that, notwithstanding any provisions of this Agreement to the contrary, if this Agreement is assigned by a Party in connection with an M&amp;A Event, such assignment shall not provide the non-assigning Party with rights or access to 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12" w:lineRule="exact"/>
        <w:rPr>
          <w:sz w:val="20"/>
          <w:szCs w:val="20"/>
          <w:color w:val="auto"/>
        </w:rPr>
      </w:pPr>
    </w:p>
    <w:p>
      <w:pPr>
        <w:ind w:left="3840" w:right="2660" w:hanging="1135"/>
        <w:spacing w:after="0" w:line="341" w:lineRule="auto"/>
        <w:tabs>
          <w:tab w:leader="none" w:pos="2944" w:val="left"/>
        </w:tabs>
        <w:numPr>
          <w:ilvl w:val="0"/>
          <w:numId w:val="91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776" w:name="page777"/>
    <w:bookmarkEnd w:id="77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intellectual property or technology of the acquirer of the assigning Party. ***</w:t>
      </w:r>
    </w:p>
    <w:p>
      <w:pPr>
        <w:spacing w:after="0" w:line="132" w:lineRule="exact"/>
        <w:rPr>
          <w:sz w:val="20"/>
          <w:szCs w:val="20"/>
          <w:color w:val="auto"/>
        </w:rPr>
      </w:pPr>
    </w:p>
    <w:p>
      <w:pPr>
        <w:ind w:right="80" w:firstLine="458"/>
        <w:spacing w:after="0" w:line="297" w:lineRule="auto"/>
        <w:rPr>
          <w:sz w:val="20"/>
          <w:szCs w:val="20"/>
          <w:color w:val="auto"/>
        </w:rPr>
      </w:pPr>
      <w:r>
        <w:rPr>
          <w:rFonts w:ascii="Arial" w:cs="Arial" w:eastAsia="Arial" w:hAnsi="Arial"/>
          <w:sz w:val="12"/>
          <w:szCs w:val="12"/>
          <w:color w:val="auto"/>
        </w:rPr>
        <w:t xml:space="preserve">16.5 </w:t>
      </w:r>
      <w:r>
        <w:rPr>
          <w:rFonts w:ascii="Arial" w:cs="Arial" w:eastAsia="Arial" w:hAnsi="Arial"/>
          <w:sz w:val="12"/>
          <w:szCs w:val="12"/>
          <w:u w:val="single" w:color="auto"/>
          <w:color w:val="auto"/>
        </w:rPr>
        <w:t>Force Majeure</w:t>
      </w:r>
      <w:r>
        <w:rPr>
          <w:rFonts w:ascii="Arial" w:cs="Arial" w:eastAsia="Arial" w:hAnsi="Arial"/>
          <w:sz w:val="12"/>
          <w:szCs w:val="12"/>
          <w:color w:val="auto"/>
        </w:rPr>
        <w:t xml:space="preserve">. No Party shall be held liable or responsible to the other Party nor be deemed to be in default under, or in breach of any provision of, this Agreement for failure or delay in fulfilling or performing any obligation (other than a payment obligation) of this Agreement when such failure or delay is due to force majeure, and without the fault or negligence of the Party so failing or delaying. For purposes of this Agreement, force majeure is defined as causes beyond the control of the Party, including acts of God; war; civil commotion; destruction of production facilities or materials by fire, flood, earthquake, explosion or storm; external labor disturbances; epidemic; and failure of public utilities or common carriers. In such event MacroGenics or Servier,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 </w:t>
      </w:r>
      <w:r>
        <w:rPr>
          <w:rFonts w:ascii="Arial" w:cs="Arial" w:eastAsia="Arial" w:hAnsi="Arial"/>
          <w:sz w:val="12"/>
          <w:szCs w:val="12"/>
          <w:b w:val="1"/>
          <w:bCs w:val="1"/>
          <w:color w:val="auto"/>
        </w:rPr>
        <w:t>***</w:t>
      </w:r>
      <w:r>
        <w:rPr>
          <w:rFonts w:ascii="Arial" w:cs="Arial" w:eastAsia="Arial" w:hAnsi="Arial"/>
          <w:sz w:val="12"/>
          <w:szCs w:val="12"/>
          <w:color w:val="auto"/>
        </w:rPr>
        <w:t>, after which time MacroGenics and Servier shall promptly meet to discuss in good faith how to best proceed in a manner that maintains and abides by this Agreement. To the extent possible, each Party shall use reasonable efforts to minimize the duration of any force majeure. If a force majeure event prevents a Party from performing any of its Development obligations for a Global Clinical Trial or Manufacturing obligations hereunder that would delay the Development or Manufacture of Licensed Product in the non-affected Party’s Territory, then, if the Parties can not agree on how to best proceed following such discussions, then, notwithstanding the exclusive license grants hereunder, the Party not affected by the force majeure event shall be permitted to either perform directly or engage a Third Party clinical research organization or contract manufacturing organization to perform such Development and/or Manufacturing obligations for the duration of such force majeure event.</w:t>
      </w:r>
    </w:p>
    <w:p>
      <w:pPr>
        <w:spacing w:after="0" w:line="256"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4"/>
          <w:szCs w:val="14"/>
          <w:color w:val="auto"/>
        </w:rPr>
        <w:t xml:space="preserve">16.6 </w:t>
      </w:r>
      <w:r>
        <w:rPr>
          <w:rFonts w:ascii="Arial" w:cs="Arial" w:eastAsia="Arial" w:hAnsi="Arial"/>
          <w:sz w:val="14"/>
          <w:szCs w:val="14"/>
          <w:u w:val="single" w:color="auto"/>
          <w:color w:val="auto"/>
        </w:rPr>
        <w:t>Notices</w:t>
      </w:r>
      <w:r>
        <w:rPr>
          <w:rFonts w:ascii="Arial" w:cs="Arial" w:eastAsia="Arial" w:hAnsi="Arial"/>
          <w:sz w:val="14"/>
          <w:szCs w:val="14"/>
          <w:color w:val="auto"/>
        </w:rPr>
        <w:t>. Any notice or request required or permitted to be given under or in connection with this Agreement shall be deemed to have been sufficiently given if in writing and personally delivered or sent by certified mail (return receipt requested), facsimile transmission (receipt verified), or reputable international business courier (signature required), prepaid, to the Party for which such notice is intended, at the address set forth for such Party below:</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to MacroGenics,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addressed to:</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MacroGenics, Inc.</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9640 Medical Center Drive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Rockville, MD 20850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Attention: Chief Executive Officer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12" w:lineRule="exact"/>
        <w:rPr>
          <w:sz w:val="20"/>
          <w:szCs w:val="20"/>
          <w:color w:val="auto"/>
        </w:rPr>
      </w:pPr>
    </w:p>
    <w:p>
      <w:pPr>
        <w:ind w:left="3840" w:right="2680" w:hanging="1135"/>
        <w:spacing w:after="0" w:line="341" w:lineRule="auto"/>
        <w:tabs>
          <w:tab w:leader="none" w:pos="2944" w:val="left"/>
        </w:tabs>
        <w:numPr>
          <w:ilvl w:val="0"/>
          <w:numId w:val="92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77" w:name="page778"/>
    <w:bookmarkEnd w:id="77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If to Servier,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addressed to:</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Les Laboratoires Servier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50 rue Carnot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92284 Suresnes Cedex</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France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Attention: ***</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Facsimile: ***</w:t>
      </w:r>
    </w:p>
    <w:p>
      <w:pPr>
        <w:spacing w:after="0" w:line="126" w:lineRule="exact"/>
        <w:rPr>
          <w:sz w:val="20"/>
          <w:szCs w:val="20"/>
          <w:color w:val="auto"/>
        </w:rPr>
      </w:pPr>
    </w:p>
    <w:p>
      <w:pPr>
        <w:jc w:val="both"/>
        <w:ind w:right="60" w:firstLine="458"/>
        <w:spacing w:after="0" w:line="267" w:lineRule="auto"/>
        <w:rPr>
          <w:sz w:val="20"/>
          <w:szCs w:val="20"/>
          <w:color w:val="auto"/>
        </w:rPr>
      </w:pPr>
      <w:r>
        <w:rPr>
          <w:rFonts w:ascii="Arial" w:cs="Arial" w:eastAsia="Arial" w:hAnsi="Arial"/>
          <w:sz w:val="14"/>
          <w:szCs w:val="14"/>
          <w:color w:val="auto"/>
        </w:rPr>
        <w:t xml:space="preserve">or to such other address for such Party as it shall have specified by like notice to the other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notices of a change of address shall be effective only upon receipt thereof. The effective date of any notice shall be the actual date of receipt by the Party receiving the same.</w:t>
      </w:r>
    </w:p>
    <w:p>
      <w:pPr>
        <w:spacing w:after="0" w:line="101"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 xml:space="preserve">16.7 </w:t>
      </w:r>
      <w:r>
        <w:rPr>
          <w:rFonts w:ascii="Arial" w:cs="Arial" w:eastAsia="Arial" w:hAnsi="Arial"/>
          <w:sz w:val="14"/>
          <w:szCs w:val="14"/>
          <w:u w:val="single" w:color="auto"/>
          <w:color w:val="auto"/>
        </w:rPr>
        <w:t>Export Clause</w:t>
      </w:r>
      <w:r>
        <w:rPr>
          <w:rFonts w:ascii="Arial" w:cs="Arial" w:eastAsia="Arial" w:hAnsi="Arial"/>
          <w:sz w:val="14"/>
          <w:szCs w:val="14"/>
          <w:color w:val="auto"/>
        </w:rPr>
        <w:t>. Each Party agrees that, as of the Effective Date, it will not export or re-export restricted commodities or the technical data of the other Party in any form without the appropriate United States and non-United States government licenses.</w:t>
      </w:r>
    </w:p>
    <w:p>
      <w:pPr>
        <w:spacing w:after="0" w:line="101" w:lineRule="exact"/>
        <w:rPr>
          <w:sz w:val="20"/>
          <w:szCs w:val="20"/>
          <w:color w:val="auto"/>
        </w:rPr>
      </w:pPr>
    </w:p>
    <w:p>
      <w:pPr>
        <w:jc w:val="both"/>
        <w:ind w:right="40" w:firstLine="458"/>
        <w:spacing w:after="0" w:line="258" w:lineRule="auto"/>
        <w:rPr>
          <w:sz w:val="20"/>
          <w:szCs w:val="20"/>
          <w:color w:val="auto"/>
        </w:rPr>
      </w:pPr>
      <w:r>
        <w:rPr>
          <w:rFonts w:ascii="Arial" w:cs="Arial" w:eastAsia="Arial" w:hAnsi="Arial"/>
          <w:sz w:val="14"/>
          <w:szCs w:val="14"/>
          <w:color w:val="auto"/>
        </w:rPr>
        <w:t xml:space="preserve">16.8 </w:t>
      </w:r>
      <w:r>
        <w:rPr>
          <w:rFonts w:ascii="Arial" w:cs="Arial" w:eastAsia="Arial" w:hAnsi="Arial"/>
          <w:sz w:val="14"/>
          <w:szCs w:val="14"/>
          <w:u w:val="single" w:color="auto"/>
          <w:color w:val="auto"/>
        </w:rPr>
        <w:t>Waiver</w:t>
      </w:r>
      <w:r>
        <w:rPr>
          <w:rFonts w:ascii="Arial" w:cs="Arial" w:eastAsia="Arial" w:hAnsi="Arial"/>
          <w:sz w:val="14"/>
          <w:szCs w:val="14"/>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08"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 xml:space="preserve">16.9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73" w:lineRule="exact"/>
        <w:rPr>
          <w:sz w:val="20"/>
          <w:szCs w:val="20"/>
          <w:color w:val="auto"/>
        </w:rPr>
      </w:pPr>
    </w:p>
    <w:p>
      <w:pPr>
        <w:ind w:right="20" w:firstLine="458"/>
        <w:spacing w:after="0" w:line="302" w:lineRule="auto"/>
        <w:rPr>
          <w:sz w:val="20"/>
          <w:szCs w:val="20"/>
          <w:color w:val="auto"/>
        </w:rPr>
      </w:pPr>
      <w:r>
        <w:rPr>
          <w:rFonts w:ascii="Arial" w:cs="Arial" w:eastAsia="Arial" w:hAnsi="Arial"/>
          <w:sz w:val="12"/>
          <w:szCs w:val="12"/>
          <w:color w:val="auto"/>
        </w:rPr>
        <w:t xml:space="preserve">16.10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together with the Schedules and Exhibits hereto, set forth all the covenants, promises, agreements, warranties, representations, conditions and understandings between the Parties as to the subject matter of this Agreement and supersedes and terminates all prior agreements and understanding between the Parties with respect to the subject matter hereof.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as to the subject matter of this Agreement other than as set forth herein and therein. No subsequent alteration, amendment, change or addition to this Agreement shall be binding upon the Parties hereto unless reduced to writing and signed by the respective authorized officers of the Parties.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12" w:lineRule="exact"/>
        <w:rPr>
          <w:sz w:val="20"/>
          <w:szCs w:val="20"/>
          <w:color w:val="auto"/>
        </w:rPr>
      </w:pPr>
    </w:p>
    <w:p>
      <w:pPr>
        <w:ind w:left="3840" w:right="2640" w:hanging="1135"/>
        <w:spacing w:after="0" w:line="341" w:lineRule="auto"/>
        <w:tabs>
          <w:tab w:leader="none" w:pos="2944" w:val="left"/>
        </w:tabs>
        <w:numPr>
          <w:ilvl w:val="0"/>
          <w:numId w:val="92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778" w:name="page779"/>
    <w:bookmarkEnd w:id="778"/>
    <w:p>
      <w:pPr>
        <w:jc w:val="both"/>
        <w:ind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16.11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08" w:lineRule="exact"/>
        <w:rPr>
          <w:sz w:val="20"/>
          <w:szCs w:val="20"/>
          <w:color w:val="auto"/>
        </w:rPr>
      </w:pPr>
    </w:p>
    <w:p>
      <w:pPr>
        <w:ind w:right="20" w:firstLine="458"/>
        <w:spacing w:after="0" w:line="297" w:lineRule="auto"/>
        <w:rPr>
          <w:sz w:val="20"/>
          <w:szCs w:val="20"/>
          <w:color w:val="auto"/>
        </w:rPr>
      </w:pPr>
      <w:r>
        <w:rPr>
          <w:rFonts w:ascii="Arial" w:cs="Arial" w:eastAsia="Arial" w:hAnsi="Arial"/>
          <w:sz w:val="12"/>
          <w:szCs w:val="12"/>
          <w:color w:val="auto"/>
        </w:rPr>
        <w:t xml:space="preserve">16.12 </w:t>
      </w:r>
      <w:r>
        <w:rPr>
          <w:rFonts w:ascii="Arial" w:cs="Arial" w:eastAsia="Arial" w:hAnsi="Arial"/>
          <w:sz w:val="12"/>
          <w:szCs w:val="12"/>
          <w:u w:val="single" w:color="auto"/>
          <w:color w:val="auto"/>
        </w:rPr>
        <w:t>Headings; Construction; Interpretation</w:t>
      </w:r>
      <w:r>
        <w:rPr>
          <w:rFonts w:ascii="Arial" w:cs="Arial" w:eastAsia="Arial" w:hAnsi="Arial"/>
          <w:sz w:val="12"/>
          <w:szCs w:val="12"/>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as from time to time enacted, repealed or amended, (c) the words “herein,” “hereof” and “hereunder,” and words of similar import, refer to this Agreement in its entirety and not to any particular provision hereof, (d) the words “include,” “includes,” “including,” “exclude,” “excludes,” and “excluding,” shall be deemed to be followed by the phrase “but not limited to,” “without limitation” or words of similar import.</w:t>
      </w:r>
    </w:p>
    <w:p>
      <w:pPr>
        <w:spacing w:after="0" w:line="256" w:lineRule="exact"/>
        <w:rPr>
          <w:sz w:val="20"/>
          <w:szCs w:val="20"/>
          <w:color w:val="auto"/>
        </w:rPr>
      </w:pPr>
    </w:p>
    <w:p>
      <w:pPr>
        <w:ind w:right="340" w:firstLine="458"/>
        <w:spacing w:after="0" w:line="267" w:lineRule="auto"/>
        <w:rPr>
          <w:sz w:val="20"/>
          <w:szCs w:val="20"/>
          <w:color w:val="auto"/>
        </w:rPr>
      </w:pPr>
      <w:r>
        <w:rPr>
          <w:rFonts w:ascii="Arial" w:cs="Arial" w:eastAsia="Arial" w:hAnsi="Arial"/>
          <w:sz w:val="14"/>
          <w:szCs w:val="14"/>
          <w:color w:val="auto"/>
        </w:rPr>
        <w:t xml:space="preserve">16.13 </w:t>
      </w:r>
      <w:r>
        <w:rPr>
          <w:rFonts w:ascii="Arial" w:cs="Arial" w:eastAsia="Arial" w:hAnsi="Arial"/>
          <w:sz w:val="14"/>
          <w:szCs w:val="14"/>
          <w:u w:val="single" w:color="auto"/>
          <w:color w:val="auto"/>
        </w:rPr>
        <w:t>Further Actions</w:t>
      </w:r>
      <w:r>
        <w:rPr>
          <w:rFonts w:ascii="Arial" w:cs="Arial" w:eastAsia="Arial" w:hAnsi="Arial"/>
          <w:sz w:val="14"/>
          <w:szCs w:val="14"/>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101"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 xml:space="preserve">16.14 </w:t>
      </w:r>
      <w:r>
        <w:rPr>
          <w:rFonts w:ascii="Arial" w:cs="Arial" w:eastAsia="Arial" w:hAnsi="Arial"/>
          <w:sz w:val="14"/>
          <w:szCs w:val="14"/>
          <w:u w:val="single" w:color="auto"/>
          <w:color w:val="auto"/>
        </w:rPr>
        <w:t>Parties in Interest</w:t>
      </w:r>
      <w:r>
        <w:rPr>
          <w:rFonts w:ascii="Arial" w:cs="Arial" w:eastAsia="Arial" w:hAnsi="Arial"/>
          <w:sz w:val="14"/>
          <w:szCs w:val="14"/>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16.15 </w:t>
      </w:r>
      <w:r>
        <w:rPr>
          <w:rFonts w:ascii="Arial" w:cs="Arial" w:eastAsia="Arial" w:hAnsi="Arial"/>
          <w:sz w:val="12"/>
          <w:szCs w:val="12"/>
          <w:u w:val="single" w:color="auto"/>
          <w:color w:val="auto"/>
        </w:rPr>
        <w:t>Performance by Affiliates</w:t>
      </w:r>
      <w:r>
        <w:rPr>
          <w:rFonts w:ascii="Arial" w:cs="Arial" w:eastAsia="Arial" w:hAnsi="Arial"/>
          <w:sz w:val="12"/>
          <w:szCs w:val="12"/>
          <w:color w:val="auto"/>
        </w:rPr>
        <w:t>. To the extent that this Agreement imposes obligations on Affiliates of a Party, such Party agrees to cause its Affiliates to perform such obligations.</w:t>
      </w:r>
    </w:p>
    <w:p>
      <w:pPr>
        <w:spacing w:after="0" w:line="155" w:lineRule="exact"/>
        <w:rPr>
          <w:sz w:val="20"/>
          <w:szCs w:val="20"/>
          <w:color w:val="auto"/>
        </w:rPr>
      </w:pPr>
    </w:p>
    <w:p>
      <w:pPr>
        <w:ind w:right="160" w:firstLine="458"/>
        <w:spacing w:after="0" w:line="258" w:lineRule="auto"/>
        <w:rPr>
          <w:sz w:val="20"/>
          <w:szCs w:val="20"/>
          <w:color w:val="auto"/>
        </w:rPr>
      </w:pPr>
      <w:r>
        <w:rPr>
          <w:rFonts w:ascii="Arial" w:cs="Arial" w:eastAsia="Arial" w:hAnsi="Arial"/>
          <w:sz w:val="14"/>
          <w:szCs w:val="14"/>
          <w:color w:val="auto"/>
        </w:rPr>
        <w:t xml:space="preserve">16.16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portable document format (PDF) shall be treated as original signatures.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12" w:lineRule="exact"/>
        <w:rPr>
          <w:sz w:val="20"/>
          <w:szCs w:val="20"/>
          <w:color w:val="auto"/>
        </w:rPr>
      </w:pPr>
    </w:p>
    <w:p>
      <w:pPr>
        <w:ind w:left="3840" w:right="2700" w:hanging="1135"/>
        <w:spacing w:after="0" w:line="341" w:lineRule="auto"/>
        <w:tabs>
          <w:tab w:leader="none" w:pos="2944" w:val="left"/>
        </w:tabs>
        <w:numPr>
          <w:ilvl w:val="0"/>
          <w:numId w:val="92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79" w:name="page780"/>
    <w:bookmarkEnd w:id="779"/>
    <w:p>
      <w:pPr>
        <w:jc w:val="cente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w:t>
      </w:r>
      <w:r>
        <w:rPr>
          <w:rFonts w:ascii="Arial" w:cs="Arial" w:eastAsia="Arial" w:hAnsi="Arial"/>
          <w:sz w:val="14"/>
          <w:szCs w:val="14"/>
          <w:i w:val="1"/>
          <w:iCs w:val="1"/>
          <w:color w:val="auto"/>
        </w:rPr>
        <w:t>Signature page to follow</w:t>
      </w:r>
      <w:r>
        <w:rPr>
          <w:rFonts w:ascii="Arial" w:cs="Arial" w:eastAsia="Arial" w:hAnsi="Arial"/>
          <w:sz w:val="14"/>
          <w:szCs w:val="14"/>
          <w:b w:val="1"/>
          <w:bCs w:val="1"/>
          <w:i w:val="1"/>
          <w:i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12" w:lineRule="exact"/>
        <w:rPr>
          <w:sz w:val="20"/>
          <w:szCs w:val="20"/>
          <w:color w:val="auto"/>
        </w:rPr>
      </w:pPr>
    </w:p>
    <w:p>
      <w:pPr>
        <w:ind w:left="2620" w:right="1479" w:hanging="1135"/>
        <w:spacing w:after="0" w:line="341" w:lineRule="auto"/>
        <w:tabs>
          <w:tab w:leader="none" w:pos="1724" w:val="left"/>
        </w:tabs>
        <w:numPr>
          <w:ilvl w:val="0"/>
          <w:numId w:val="92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7" w:right="1440" w:bottom="1440" w:gutter="0" w:footer="0" w:header="0"/>
        </w:sectPr>
      </w:pPr>
    </w:p>
    <w:bookmarkStart w:id="780" w:name="page781"/>
    <w:bookmarkEnd w:id="78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 and intending to be legally bound hereby, the Parties have caused this Agreement to be executed by their duly authorized representatives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Scott Koenig</w:t>
            </w:r>
          </w:p>
        </w:tc>
      </w:tr>
      <w:tr>
        <w:trPr>
          <w:trHeight w:val="141"/>
        </w:trPr>
        <w:tc>
          <w:tcPr>
            <w:tcW w:w="600" w:type="dxa"/>
            <w:vAlign w:val="bottom"/>
          </w:tcPr>
          <w:p>
            <w:pPr>
              <w:spacing w:after="0" w:line="141" w:lineRule="exact"/>
              <w:rPr>
                <w:sz w:val="20"/>
                <w:szCs w:val="20"/>
                <w:color w:val="auto"/>
              </w:rPr>
            </w:pPr>
            <w:r>
              <w:rPr>
                <w:rFonts w:ascii="Arial" w:cs="Arial" w:eastAsia="Arial" w:hAnsi="Arial"/>
                <w:sz w:val="14"/>
                <w:szCs w:val="14"/>
                <w:color w:val="auto"/>
              </w:rPr>
              <w:t>Name:</w:t>
            </w:r>
          </w:p>
        </w:tc>
        <w:tc>
          <w:tcPr>
            <w:tcW w:w="3980" w:type="dxa"/>
            <w:vAlign w:val="bottom"/>
          </w:tcPr>
          <w:p>
            <w:pPr>
              <w:ind w:left="60"/>
              <w:spacing w:after="0" w:line="141" w:lineRule="exact"/>
              <w:rPr>
                <w:sz w:val="20"/>
                <w:szCs w:val="20"/>
                <w:color w:val="auto"/>
              </w:rPr>
            </w:pPr>
            <w:r>
              <w:rPr>
                <w:rFonts w:ascii="Arial" w:cs="Arial" w:eastAsia="Arial" w:hAnsi="Arial"/>
                <w:sz w:val="14"/>
                <w:szCs w:val="14"/>
                <w:color w:val="auto"/>
              </w:rPr>
              <w:t>Scott Koenig</w:t>
            </w:r>
          </w:p>
        </w:tc>
      </w:tr>
      <w:tr>
        <w:trPr>
          <w:trHeight w:val="183"/>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ind w:left="60"/>
              <w:spacing w:after="0"/>
              <w:rPr>
                <w:sz w:val="20"/>
                <w:szCs w:val="20"/>
                <w:color w:val="auto"/>
              </w:rPr>
            </w:pPr>
            <w:r>
              <w:rPr>
                <w:rFonts w:ascii="Arial" w:cs="Arial" w:eastAsia="Arial" w:hAnsi="Arial"/>
                <w:sz w:val="14"/>
                <w:szCs w:val="14"/>
                <w:color w:val="auto"/>
              </w:rPr>
              <w:t>CEO</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LES LABORATOIRES SERVIER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wp:posOffset>
            </wp:positionV>
            <wp:extent cx="2494280"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b w:val="1"/>
          <w:b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2494280" cy="63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b w:val="1"/>
          <w:b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INSTITUT DE RECHERCHES SERVIER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wp:posOffset>
            </wp:positionV>
            <wp:extent cx="2494280" cy="63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49428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b w:val="1"/>
          <w:bCs w:val="1"/>
          <w:color w:val="auto"/>
        </w:rPr>
        <w:t>***</w:t>
      </w:r>
    </w:p>
    <w:p>
      <w:pPr>
        <w:spacing w:after="0" w:line="12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71</w:t>
      </w:r>
    </w:p>
    <w:p>
      <w:pPr>
        <w:spacing w:after="0" w:line="12" w:lineRule="exact"/>
        <w:rPr>
          <w:sz w:val="20"/>
          <w:szCs w:val="20"/>
          <w:color w:val="auto"/>
        </w:rPr>
      </w:pPr>
    </w:p>
    <w:p>
      <w:pPr>
        <w:ind w:left="3840" w:right="1520" w:hanging="1135"/>
        <w:spacing w:after="0" w:line="341" w:lineRule="auto"/>
        <w:tabs>
          <w:tab w:leader="none" w:pos="2944" w:val="left"/>
        </w:tabs>
        <w:numPr>
          <w:ilvl w:val="0"/>
          <w:numId w:val="92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80"/>
          </w:cols>
          <w:pgMar w:left="220" w:top="246" w:right="1399" w:bottom="1440" w:gutter="0" w:footer="0" w:header="0"/>
        </w:sectPr>
      </w:pPr>
    </w:p>
    <w:bookmarkStart w:id="781" w:name="page782"/>
    <w:bookmarkEnd w:id="781"/>
    <w:p>
      <w:pPr>
        <w:jc w:val="center"/>
        <w:ind w:right="-7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A</w:t>
      </w:r>
    </w:p>
    <w:p>
      <w:pPr>
        <w:spacing w:after="0" w:line="132"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DART Platform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1</w:t>
      </w:r>
    </w:p>
    <w:p>
      <w:pPr>
        <w:spacing w:after="0" w:line="12" w:lineRule="exact"/>
        <w:rPr>
          <w:sz w:val="20"/>
          <w:szCs w:val="20"/>
          <w:color w:val="auto"/>
        </w:rPr>
      </w:pPr>
    </w:p>
    <w:p>
      <w:pPr>
        <w:ind w:left="3380" w:right="1479" w:hanging="1135"/>
        <w:spacing w:after="0" w:line="341" w:lineRule="auto"/>
        <w:tabs>
          <w:tab w:leader="none" w:pos="2484" w:val="left"/>
        </w:tabs>
        <w:numPr>
          <w:ilvl w:val="0"/>
          <w:numId w:val="92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779"/>
          </w:cols>
          <w:pgMar w:left="680" w:top="245" w:right="1440" w:bottom="1440" w:gutter="0" w:footer="0" w:header="0"/>
        </w:sectPr>
      </w:pPr>
    </w:p>
    <w:bookmarkStart w:id="782" w:name="page783"/>
    <w:bookmarkEnd w:id="782"/>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B</w:t>
      </w:r>
    </w:p>
    <w:p>
      <w:pPr>
        <w:spacing w:after="0" w:line="13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MacroGenics Patents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9140" w:type="dxa"/>
            <w:vAlign w:val="bottom"/>
            <w:gridSpan w:val="3"/>
          </w:tcPr>
          <w:p>
            <w:pPr>
              <w:jc w:val="center"/>
              <w:ind w:left="2295"/>
              <w:spacing w:after="0"/>
              <w:rPr>
                <w:sz w:val="20"/>
                <w:szCs w:val="20"/>
                <w:color w:val="auto"/>
              </w:rPr>
            </w:pPr>
            <w:r>
              <w:rPr>
                <w:rFonts w:ascii="Arial" w:cs="Arial" w:eastAsia="Arial" w:hAnsi="Arial"/>
                <w:sz w:val="10"/>
                <w:szCs w:val="10"/>
                <w:color w:val="auto"/>
                <w:w w:val="97"/>
              </w:rPr>
              <w:t>Pending Application</w:t>
            </w:r>
          </w:p>
        </w:tc>
        <w:tc>
          <w:tcPr>
            <w:tcW w:w="660" w:type="dxa"/>
            <w:vAlign w:val="bottom"/>
          </w:tcPr>
          <w:p>
            <w:pPr>
              <w:spacing w:after="0"/>
              <w:rPr>
                <w:sz w:val="10"/>
                <w:szCs w:val="10"/>
                <w:color w:val="auto"/>
              </w:rPr>
            </w:pPr>
          </w:p>
        </w:tc>
      </w:tr>
      <w:tr>
        <w:trPr>
          <w:trHeight w:val="123"/>
        </w:trPr>
        <w:tc>
          <w:tcPr>
            <w:tcW w:w="220" w:type="dxa"/>
            <w:vAlign w:val="bottom"/>
          </w:tcPr>
          <w:p>
            <w:pPr>
              <w:spacing w:after="0"/>
              <w:rPr>
                <w:sz w:val="20"/>
                <w:szCs w:val="20"/>
                <w:color w:val="auto"/>
              </w:rPr>
            </w:pPr>
            <w:r>
              <w:rPr>
                <w:rFonts w:ascii="Arial" w:cs="Arial" w:eastAsia="Arial" w:hAnsi="Arial"/>
                <w:sz w:val="10"/>
                <w:szCs w:val="10"/>
                <w:color w:val="auto"/>
              </w:rPr>
              <w:t>Title</w:t>
            </w:r>
          </w:p>
        </w:tc>
        <w:tc>
          <w:tcPr>
            <w:tcW w:w="5580" w:type="dxa"/>
            <w:vAlign w:val="bottom"/>
          </w:tcPr>
          <w:p>
            <w:pPr>
              <w:spacing w:after="0"/>
              <w:rPr>
                <w:sz w:val="10"/>
                <w:szCs w:val="10"/>
                <w:color w:val="auto"/>
              </w:rPr>
            </w:pPr>
          </w:p>
        </w:tc>
        <w:tc>
          <w:tcPr>
            <w:tcW w:w="3560" w:type="dxa"/>
            <w:vAlign w:val="bottom"/>
            <w:gridSpan w:val="2"/>
          </w:tcPr>
          <w:p>
            <w:pPr>
              <w:jc w:val="center"/>
              <w:ind w:right="3220"/>
              <w:spacing w:after="0"/>
              <w:rPr>
                <w:sz w:val="20"/>
                <w:szCs w:val="20"/>
                <w:color w:val="auto"/>
              </w:rPr>
            </w:pPr>
            <w:r>
              <w:rPr>
                <w:rFonts w:ascii="Arial" w:cs="Arial" w:eastAsia="Arial" w:hAnsi="Arial"/>
                <w:sz w:val="10"/>
                <w:szCs w:val="10"/>
                <w:color w:val="auto"/>
                <w:w w:val="95"/>
              </w:rPr>
              <w:t>Number</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Foreign Rights</w:t>
            </w:r>
          </w:p>
        </w:tc>
      </w:tr>
      <w:tr>
        <w:trPr>
          <w:trHeight w:val="249"/>
        </w:trPr>
        <w:tc>
          <w:tcPr>
            <w:tcW w:w="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580" w:type="dxa"/>
            <w:vAlign w:val="bottom"/>
          </w:tcPr>
          <w:p>
            <w:pPr>
              <w:spacing w:after="0"/>
              <w:rPr>
                <w:sz w:val="21"/>
                <w:szCs w:val="21"/>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220" w:type="dxa"/>
            <w:vAlign w:val="bottom"/>
          </w:tcPr>
          <w:p>
            <w:pPr>
              <w:spacing w:after="0"/>
              <w:rPr>
                <w:sz w:val="21"/>
                <w:szCs w:val="21"/>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5920" w:type="dxa"/>
            <w:vAlign w:val="bottom"/>
            <w:gridSpan w:val="2"/>
          </w:tcPr>
          <w:p>
            <w:pPr>
              <w:jc w:val="center"/>
              <w:ind w:left="5515"/>
              <w:spacing w:after="0"/>
              <w:rPr>
                <w:sz w:val="20"/>
                <w:szCs w:val="20"/>
                <w:color w:val="auto"/>
              </w:rPr>
            </w:pPr>
            <w:r>
              <w:rPr>
                <w:rFonts w:ascii="Arial" w:cs="Arial" w:eastAsia="Arial" w:hAnsi="Arial"/>
                <w:sz w:val="14"/>
                <w:szCs w:val="14"/>
                <w:color w:val="auto"/>
              </w:rPr>
              <w:t>***</w:t>
            </w:r>
          </w:p>
        </w:tc>
        <w:tc>
          <w:tcPr>
            <w:tcW w:w="32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5920" w:type="dxa"/>
            <w:vAlign w:val="bottom"/>
            <w:gridSpan w:val="2"/>
          </w:tcPr>
          <w:p>
            <w:pPr>
              <w:jc w:val="center"/>
              <w:ind w:left="5515"/>
              <w:spacing w:after="0"/>
              <w:rPr>
                <w:sz w:val="20"/>
                <w:szCs w:val="20"/>
                <w:color w:val="auto"/>
              </w:rPr>
            </w:pPr>
            <w:r>
              <w:rPr>
                <w:rFonts w:ascii="Arial" w:cs="Arial" w:eastAsia="Arial" w:hAnsi="Arial"/>
                <w:sz w:val="14"/>
                <w:szCs w:val="14"/>
                <w:color w:val="auto"/>
              </w:rPr>
              <w:t>***</w:t>
            </w:r>
          </w:p>
        </w:tc>
        <w:tc>
          <w:tcPr>
            <w:tcW w:w="32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5920" w:type="dxa"/>
            <w:vAlign w:val="bottom"/>
            <w:gridSpan w:val="2"/>
          </w:tcPr>
          <w:p>
            <w:pPr>
              <w:jc w:val="center"/>
              <w:ind w:left="5515"/>
              <w:spacing w:after="0"/>
              <w:rPr>
                <w:sz w:val="20"/>
                <w:szCs w:val="20"/>
                <w:color w:val="auto"/>
              </w:rPr>
            </w:pPr>
            <w:r>
              <w:rPr>
                <w:rFonts w:ascii="Arial" w:cs="Arial" w:eastAsia="Arial" w:hAnsi="Arial"/>
                <w:sz w:val="14"/>
                <w:szCs w:val="14"/>
                <w:color w:val="auto"/>
              </w:rPr>
              <w:t>***</w:t>
            </w:r>
          </w:p>
        </w:tc>
        <w:tc>
          <w:tcPr>
            <w:tcW w:w="32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5920" w:type="dxa"/>
            <w:vAlign w:val="bottom"/>
            <w:gridSpan w:val="2"/>
          </w:tcPr>
          <w:p>
            <w:pPr>
              <w:jc w:val="center"/>
              <w:ind w:left="5515"/>
              <w:spacing w:after="0"/>
              <w:rPr>
                <w:sz w:val="20"/>
                <w:szCs w:val="20"/>
                <w:color w:val="auto"/>
              </w:rPr>
            </w:pPr>
            <w:r>
              <w:rPr>
                <w:rFonts w:ascii="Arial" w:cs="Arial" w:eastAsia="Arial" w:hAnsi="Arial"/>
                <w:sz w:val="14"/>
                <w:szCs w:val="14"/>
                <w:color w:val="auto"/>
              </w:rPr>
              <w:t>***</w:t>
            </w:r>
          </w:p>
        </w:tc>
        <w:tc>
          <w:tcPr>
            <w:tcW w:w="32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51"/>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5920" w:type="dxa"/>
            <w:vAlign w:val="bottom"/>
            <w:gridSpan w:val="2"/>
          </w:tcPr>
          <w:p>
            <w:pPr>
              <w:jc w:val="center"/>
              <w:ind w:left="5515"/>
              <w:spacing w:after="0"/>
              <w:rPr>
                <w:sz w:val="20"/>
                <w:szCs w:val="20"/>
                <w:color w:val="auto"/>
              </w:rPr>
            </w:pPr>
            <w:r>
              <w:rPr>
                <w:rFonts w:ascii="Arial" w:cs="Arial" w:eastAsia="Arial" w:hAnsi="Arial"/>
                <w:sz w:val="14"/>
                <w:szCs w:val="14"/>
                <w:color w:val="auto"/>
              </w:rPr>
              <w:t>***</w:t>
            </w:r>
          </w:p>
        </w:tc>
        <w:tc>
          <w:tcPr>
            <w:tcW w:w="32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1</w:t>
      </w:r>
    </w:p>
    <w:p>
      <w:pPr>
        <w:spacing w:after="0" w:line="12" w:lineRule="exact"/>
        <w:rPr>
          <w:sz w:val="20"/>
          <w:szCs w:val="20"/>
          <w:color w:val="auto"/>
        </w:rPr>
      </w:pPr>
    </w:p>
    <w:p>
      <w:pPr>
        <w:ind w:left="3840" w:right="1479" w:hanging="1135"/>
        <w:spacing w:after="0" w:line="341" w:lineRule="auto"/>
        <w:tabs>
          <w:tab w:leader="none" w:pos="2944" w:val="left"/>
        </w:tabs>
        <w:numPr>
          <w:ilvl w:val="0"/>
          <w:numId w:val="92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783" w:name="page784"/>
    <w:bookmarkEnd w:id="783"/>
    <w:p>
      <w:pPr>
        <w:jc w:val="center"/>
        <w:ind w:right="-121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C</w:t>
      </w:r>
    </w:p>
    <w:p>
      <w:pPr>
        <w:spacing w:after="0" w:line="132" w:lineRule="exact"/>
        <w:rPr>
          <w:sz w:val="20"/>
          <w:szCs w:val="20"/>
          <w:color w:val="auto"/>
        </w:rPr>
      </w:pPr>
    </w:p>
    <w:p>
      <w:pPr>
        <w:jc w:val="center"/>
        <w:ind w:right="-1216"/>
        <w:spacing w:after="0"/>
        <w:rPr>
          <w:sz w:val="20"/>
          <w:szCs w:val="20"/>
          <w:color w:val="auto"/>
        </w:rPr>
      </w:pPr>
      <w:r>
        <w:rPr>
          <w:rFonts w:ascii="Arial" w:cs="Arial" w:eastAsia="Arial" w:hAnsi="Arial"/>
          <w:sz w:val="14"/>
          <w:szCs w:val="14"/>
          <w:b w:val="1"/>
          <w:bCs w:val="1"/>
          <w:color w:val="auto"/>
        </w:rPr>
        <w:t>MacroGenics Third Party Agreements</w:t>
      </w:r>
    </w:p>
    <w:p>
      <w:pPr>
        <w:spacing w:after="0" w:line="165" w:lineRule="exact"/>
        <w:rPr>
          <w:sz w:val="20"/>
          <w:szCs w:val="20"/>
          <w:color w:val="auto"/>
        </w:rPr>
      </w:pPr>
    </w:p>
    <w:p>
      <w:pPr>
        <w:ind w:left="456" w:hanging="456"/>
        <w:spacing w:after="0"/>
        <w:tabs>
          <w:tab w:leader="none" w:pos="456" w:val="left"/>
        </w:tabs>
        <w:numPr>
          <w:ilvl w:val="0"/>
          <w:numId w:val="927"/>
        </w:numPr>
        <w:rPr>
          <w:rFonts w:ascii="Arial" w:cs="Arial" w:eastAsia="Arial" w:hAnsi="Arial"/>
          <w:sz w:val="14"/>
          <w:szCs w:val="14"/>
          <w:color w:val="auto"/>
        </w:rPr>
      </w:pPr>
      <w:r>
        <w:rPr>
          <w:rFonts w:ascii="Arial" w:cs="Arial" w:eastAsia="Arial" w:hAnsi="Arial"/>
          <w:sz w:val="14"/>
          <w:szCs w:val="14"/>
          <w:color w:val="auto"/>
        </w:rPr>
        <w:t>***</w:t>
      </w:r>
    </w:p>
    <w:p>
      <w:pPr>
        <w:spacing w:after="0" w:line="121" w:lineRule="exact"/>
        <w:rPr>
          <w:sz w:val="20"/>
          <w:szCs w:val="20"/>
          <w:color w:val="auto"/>
        </w:rPr>
      </w:pPr>
    </w:p>
    <w:p>
      <w:pPr>
        <w:ind w:left="3836" w:right="1479" w:hanging="1135"/>
        <w:spacing w:after="0" w:line="351" w:lineRule="auto"/>
        <w:tabs>
          <w:tab w:leader="none" w:pos="2940" w:val="left"/>
        </w:tabs>
        <w:numPr>
          <w:ilvl w:val="0"/>
          <w:numId w:val="92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6"/>
          </w:cols>
          <w:pgMar w:left="224" w:top="246" w:right="1440" w:bottom="1440" w:gutter="0" w:footer="0" w:header="0"/>
        </w:sectPr>
      </w:pPr>
    </w:p>
    <w:bookmarkStart w:id="784" w:name="page785"/>
    <w:bookmarkEnd w:id="784"/>
    <w:p>
      <w:pPr>
        <w:jc w:val="right"/>
        <w:spacing w:after="0"/>
        <w:rPr>
          <w:sz w:val="20"/>
          <w:szCs w:val="20"/>
          <w:color w:val="auto"/>
        </w:rPr>
      </w:pPr>
      <w:r>
        <w:rPr>
          <w:rFonts w:ascii="Arial" w:cs="Arial" w:eastAsia="Arial" w:hAnsi="Arial"/>
          <w:sz w:val="14"/>
          <w:szCs w:val="14"/>
          <w:b w:val="1"/>
          <w:bCs w:val="1"/>
          <w:color w:val="auto"/>
        </w:rPr>
        <w:t>Exhibit 10.21</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Execution Version</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1"/>
          <w:szCs w:val="11"/>
          <w:b w:val="1"/>
          <w:bCs w:val="1"/>
          <w:i w:val="1"/>
          <w:iCs w:val="1"/>
          <w:color w:val="auto"/>
        </w:rPr>
        <w:t>Confidential Materials omitted and filed separately with the Securities and Exchange Commission.</w:t>
      </w:r>
    </w:p>
    <w:p>
      <w:pPr>
        <w:spacing w:after="0" w:line="4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OPTION FOR A LICENSE AGREEMENT</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BY AND BETWEEN</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MACROGENICS, INC.</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LES LABORATOIRES SERVIER</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INSTITUT DE RECHERCHES SERVIER</w:t>
      </w:r>
    </w:p>
    <w:p>
      <w:pPr>
        <w:sectPr>
          <w:pgSz w:w="11900" w:h="16838" w:orient="portrait"/>
          <w:cols w:equalWidth="0" w:num="1">
            <w:col w:w="10240"/>
          </w:cols>
          <w:pgMar w:left="1440" w:top="131" w:right="219" w:bottom="1440" w:gutter="0" w:footer="0" w:header="0"/>
        </w:sectPr>
      </w:pPr>
    </w:p>
    <w:bookmarkStart w:id="785" w:name="page786"/>
    <w:bookmarkEnd w:id="785"/>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8180" w:type="dxa"/>
            <w:vAlign w:val="bottom"/>
          </w:tcPr>
          <w:p>
            <w:pPr>
              <w:ind w:left="4360"/>
              <w:spacing w:after="0"/>
              <w:rPr>
                <w:sz w:val="20"/>
                <w:szCs w:val="20"/>
                <w:color w:val="auto"/>
              </w:rPr>
            </w:pPr>
            <w:r>
              <w:rPr>
                <w:rFonts w:ascii="Arial" w:cs="Arial" w:eastAsia="Arial" w:hAnsi="Arial"/>
                <w:sz w:val="14"/>
                <w:szCs w:val="14"/>
                <w:color w:val="auto"/>
              </w:rPr>
              <w:t>Table of Contents</w:t>
            </w:r>
          </w:p>
        </w:tc>
        <w:tc>
          <w:tcPr>
            <w:tcW w:w="2320" w:type="dxa"/>
            <w:vAlign w:val="bottom"/>
          </w:tcPr>
          <w:p>
            <w:pPr>
              <w:spacing w:after="0"/>
              <w:rPr>
                <w:sz w:val="15"/>
                <w:szCs w:val="15"/>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4"/>
                <w:szCs w:val="14"/>
                <w:color w:val="auto"/>
              </w:rPr>
              <w:t>ARTICLE 1</w:t>
            </w:r>
          </w:p>
        </w:tc>
        <w:tc>
          <w:tcPr>
            <w:tcW w:w="8180" w:type="dxa"/>
            <w:vAlign w:val="bottom"/>
          </w:tcPr>
          <w:p>
            <w:pPr>
              <w:ind w:left="220"/>
              <w:spacing w:after="0"/>
              <w:rPr>
                <w:sz w:val="20"/>
                <w:szCs w:val="20"/>
                <w:color w:val="auto"/>
              </w:rPr>
            </w:pPr>
            <w:r>
              <w:rPr>
                <w:rFonts w:ascii="Arial" w:cs="Arial" w:eastAsia="Arial" w:hAnsi="Arial"/>
                <w:sz w:val="14"/>
                <w:szCs w:val="14"/>
                <w:color w:val="auto"/>
              </w:rPr>
              <w:t>DEFINITIONS</w:t>
            </w:r>
          </w:p>
        </w:tc>
        <w:tc>
          <w:tcPr>
            <w:tcW w:w="23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34"/>
        </w:trPr>
        <w:tc>
          <w:tcPr>
            <w:tcW w:w="900" w:type="dxa"/>
            <w:vAlign w:val="bottom"/>
          </w:tcPr>
          <w:p>
            <w:pPr>
              <w:spacing w:after="0"/>
              <w:rPr>
                <w:sz w:val="20"/>
                <w:szCs w:val="20"/>
                <w:color w:val="auto"/>
              </w:rPr>
            </w:pPr>
            <w:r>
              <w:rPr>
                <w:rFonts w:ascii="Arial" w:cs="Arial" w:eastAsia="Arial" w:hAnsi="Arial"/>
                <w:sz w:val="14"/>
                <w:szCs w:val="14"/>
                <w:color w:val="auto"/>
              </w:rPr>
              <w:t>ARTICLE 2</w:t>
            </w:r>
          </w:p>
        </w:tc>
        <w:tc>
          <w:tcPr>
            <w:tcW w:w="8180" w:type="dxa"/>
            <w:vAlign w:val="bottom"/>
          </w:tcPr>
          <w:p>
            <w:pPr>
              <w:ind w:left="220"/>
              <w:spacing w:after="0"/>
              <w:rPr>
                <w:sz w:val="20"/>
                <w:szCs w:val="20"/>
                <w:color w:val="auto"/>
              </w:rPr>
            </w:pPr>
            <w:r>
              <w:rPr>
                <w:rFonts w:ascii="Arial" w:cs="Arial" w:eastAsia="Arial" w:hAnsi="Arial"/>
                <w:sz w:val="14"/>
                <w:szCs w:val="14"/>
                <w:color w:val="auto"/>
              </w:rPr>
              <w:t>GOVERNANCE</w:t>
            </w:r>
          </w:p>
        </w:tc>
        <w:tc>
          <w:tcPr>
            <w:tcW w:w="2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28"/>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2.1</w:t>
            </w:r>
          </w:p>
        </w:tc>
        <w:tc>
          <w:tcPr>
            <w:tcW w:w="8180" w:type="dxa"/>
            <w:vAlign w:val="bottom"/>
          </w:tcPr>
          <w:p>
            <w:pPr>
              <w:ind w:left="220"/>
              <w:spacing w:after="0"/>
              <w:rPr>
                <w:sz w:val="20"/>
                <w:szCs w:val="20"/>
                <w:color w:val="auto"/>
              </w:rPr>
            </w:pPr>
            <w:r>
              <w:rPr>
                <w:rFonts w:ascii="Arial" w:cs="Arial" w:eastAsia="Arial" w:hAnsi="Arial"/>
                <w:sz w:val="14"/>
                <w:szCs w:val="14"/>
                <w:color w:val="auto"/>
              </w:rPr>
              <w:t>Alliance Business-Development Managers</w:t>
            </w:r>
          </w:p>
        </w:tc>
        <w:tc>
          <w:tcPr>
            <w:tcW w:w="2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2.2</w:t>
            </w:r>
          </w:p>
        </w:tc>
        <w:tc>
          <w:tcPr>
            <w:tcW w:w="8180" w:type="dxa"/>
            <w:vAlign w:val="bottom"/>
          </w:tcPr>
          <w:p>
            <w:pPr>
              <w:ind w:left="220"/>
              <w:spacing w:after="0"/>
              <w:rPr>
                <w:sz w:val="20"/>
                <w:szCs w:val="20"/>
                <w:color w:val="auto"/>
              </w:rPr>
            </w:pPr>
            <w:r>
              <w:rPr>
                <w:rFonts w:ascii="Arial" w:cs="Arial" w:eastAsia="Arial" w:hAnsi="Arial"/>
                <w:sz w:val="14"/>
                <w:szCs w:val="14"/>
                <w:color w:val="auto"/>
              </w:rPr>
              <w:t>Alliance R&amp;D Managers</w:t>
            </w:r>
          </w:p>
        </w:tc>
        <w:tc>
          <w:tcPr>
            <w:tcW w:w="2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2.3</w:t>
            </w:r>
          </w:p>
        </w:tc>
        <w:tc>
          <w:tcPr>
            <w:tcW w:w="8180" w:type="dxa"/>
            <w:vAlign w:val="bottom"/>
          </w:tcPr>
          <w:p>
            <w:pPr>
              <w:ind w:left="220"/>
              <w:spacing w:after="0"/>
              <w:rPr>
                <w:sz w:val="20"/>
                <w:szCs w:val="20"/>
                <w:color w:val="auto"/>
              </w:rPr>
            </w:pPr>
            <w:r>
              <w:rPr>
                <w:rFonts w:ascii="Arial" w:cs="Arial" w:eastAsia="Arial" w:hAnsi="Arial"/>
                <w:sz w:val="14"/>
                <w:szCs w:val="14"/>
                <w:color w:val="auto"/>
              </w:rPr>
              <w:t>Project Directors</w:t>
            </w:r>
          </w:p>
        </w:tc>
        <w:tc>
          <w:tcPr>
            <w:tcW w:w="2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2.4</w:t>
            </w:r>
          </w:p>
        </w:tc>
        <w:tc>
          <w:tcPr>
            <w:tcW w:w="8180" w:type="dxa"/>
            <w:vAlign w:val="bottom"/>
          </w:tcPr>
          <w:p>
            <w:pPr>
              <w:ind w:left="220"/>
              <w:spacing w:after="0"/>
              <w:rPr>
                <w:sz w:val="20"/>
                <w:szCs w:val="20"/>
                <w:color w:val="auto"/>
              </w:rPr>
            </w:pPr>
            <w:r>
              <w:rPr>
                <w:rFonts w:ascii="Arial" w:cs="Arial" w:eastAsia="Arial" w:hAnsi="Arial"/>
                <w:sz w:val="14"/>
                <w:szCs w:val="14"/>
                <w:color w:val="auto"/>
              </w:rPr>
              <w:t>Joint Executive Committee</w:t>
            </w:r>
          </w:p>
        </w:tc>
        <w:tc>
          <w:tcPr>
            <w:tcW w:w="2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2.5</w:t>
            </w:r>
          </w:p>
        </w:tc>
        <w:tc>
          <w:tcPr>
            <w:tcW w:w="8180" w:type="dxa"/>
            <w:vAlign w:val="bottom"/>
          </w:tcPr>
          <w:p>
            <w:pPr>
              <w:ind w:left="220"/>
              <w:spacing w:after="0"/>
              <w:rPr>
                <w:sz w:val="20"/>
                <w:szCs w:val="20"/>
                <w:color w:val="auto"/>
              </w:rPr>
            </w:pPr>
            <w:r>
              <w:rPr>
                <w:rFonts w:ascii="Arial" w:cs="Arial" w:eastAsia="Arial" w:hAnsi="Arial"/>
                <w:sz w:val="14"/>
                <w:szCs w:val="14"/>
                <w:color w:val="auto"/>
              </w:rPr>
              <w:t>Joint Steering Committee</w:t>
            </w:r>
          </w:p>
        </w:tc>
        <w:tc>
          <w:tcPr>
            <w:tcW w:w="2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2.6</w:t>
            </w:r>
          </w:p>
        </w:tc>
        <w:tc>
          <w:tcPr>
            <w:tcW w:w="8180" w:type="dxa"/>
            <w:vAlign w:val="bottom"/>
          </w:tcPr>
          <w:p>
            <w:pPr>
              <w:ind w:left="220"/>
              <w:spacing w:after="0"/>
              <w:rPr>
                <w:sz w:val="20"/>
                <w:szCs w:val="20"/>
                <w:color w:val="auto"/>
              </w:rPr>
            </w:pPr>
            <w:r>
              <w:rPr>
                <w:rFonts w:ascii="Arial" w:cs="Arial" w:eastAsia="Arial" w:hAnsi="Arial"/>
                <w:sz w:val="14"/>
                <w:szCs w:val="14"/>
                <w:color w:val="auto"/>
              </w:rPr>
              <w:t>Joint Research and Development Committee and Subcommittees</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2.7</w:t>
            </w:r>
          </w:p>
        </w:tc>
        <w:tc>
          <w:tcPr>
            <w:tcW w:w="8180" w:type="dxa"/>
            <w:vAlign w:val="bottom"/>
          </w:tcPr>
          <w:p>
            <w:pPr>
              <w:ind w:left="220"/>
              <w:spacing w:after="0"/>
              <w:rPr>
                <w:sz w:val="20"/>
                <w:szCs w:val="20"/>
                <w:color w:val="auto"/>
              </w:rPr>
            </w:pPr>
            <w:r>
              <w:rPr>
                <w:rFonts w:ascii="Arial" w:cs="Arial" w:eastAsia="Arial" w:hAnsi="Arial"/>
                <w:sz w:val="14"/>
                <w:szCs w:val="14"/>
                <w:color w:val="auto"/>
              </w:rPr>
              <w:t>Co-Chairpersons</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2.8</w:t>
            </w:r>
          </w:p>
        </w:tc>
        <w:tc>
          <w:tcPr>
            <w:tcW w:w="8180" w:type="dxa"/>
            <w:vAlign w:val="bottom"/>
          </w:tcPr>
          <w:p>
            <w:pPr>
              <w:ind w:left="220"/>
              <w:spacing w:after="0"/>
              <w:rPr>
                <w:sz w:val="20"/>
                <w:szCs w:val="20"/>
                <w:color w:val="auto"/>
              </w:rPr>
            </w:pPr>
            <w:r>
              <w:rPr>
                <w:rFonts w:ascii="Arial" w:cs="Arial" w:eastAsia="Arial" w:hAnsi="Arial"/>
                <w:sz w:val="14"/>
                <w:szCs w:val="14"/>
                <w:color w:val="auto"/>
              </w:rPr>
              <w:t>Committee Meetings</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2.9</w:t>
            </w:r>
          </w:p>
        </w:tc>
        <w:tc>
          <w:tcPr>
            <w:tcW w:w="8180" w:type="dxa"/>
            <w:vAlign w:val="bottom"/>
          </w:tcPr>
          <w:p>
            <w:pPr>
              <w:ind w:left="220"/>
              <w:spacing w:after="0"/>
              <w:rPr>
                <w:sz w:val="20"/>
                <w:szCs w:val="20"/>
                <w:color w:val="auto"/>
              </w:rPr>
            </w:pPr>
            <w:r>
              <w:rPr>
                <w:rFonts w:ascii="Arial" w:cs="Arial" w:eastAsia="Arial" w:hAnsi="Arial"/>
                <w:sz w:val="14"/>
                <w:szCs w:val="14"/>
                <w:color w:val="auto"/>
              </w:rPr>
              <w:t>Decisions</w:t>
            </w:r>
          </w:p>
        </w:tc>
        <w:tc>
          <w:tcPr>
            <w:tcW w:w="23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80"/>
              </w:rPr>
              <w:t>2.10</w:t>
            </w:r>
          </w:p>
        </w:tc>
        <w:tc>
          <w:tcPr>
            <w:tcW w:w="8180" w:type="dxa"/>
            <w:vAlign w:val="bottom"/>
          </w:tcPr>
          <w:p>
            <w:pPr>
              <w:ind w:left="220"/>
              <w:spacing w:after="0"/>
              <w:rPr>
                <w:sz w:val="20"/>
                <w:szCs w:val="20"/>
                <w:color w:val="auto"/>
              </w:rPr>
            </w:pPr>
            <w:r>
              <w:rPr>
                <w:rFonts w:ascii="Arial" w:cs="Arial" w:eastAsia="Arial" w:hAnsi="Arial"/>
                <w:sz w:val="14"/>
                <w:szCs w:val="14"/>
                <w:color w:val="auto"/>
              </w:rPr>
              <w:t>Authority</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73"/>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80"/>
              </w:rPr>
              <w:t>2.11</w:t>
            </w:r>
          </w:p>
        </w:tc>
        <w:tc>
          <w:tcPr>
            <w:tcW w:w="8180" w:type="dxa"/>
            <w:vAlign w:val="bottom"/>
          </w:tcPr>
          <w:p>
            <w:pPr>
              <w:ind w:left="220"/>
              <w:spacing w:after="0"/>
              <w:rPr>
                <w:sz w:val="20"/>
                <w:szCs w:val="20"/>
                <w:color w:val="auto"/>
              </w:rPr>
            </w:pPr>
            <w:r>
              <w:rPr>
                <w:rFonts w:ascii="Arial" w:cs="Arial" w:eastAsia="Arial" w:hAnsi="Arial"/>
                <w:sz w:val="14"/>
                <w:szCs w:val="14"/>
                <w:color w:val="auto"/>
              </w:rPr>
              <w:t>Representatives</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34"/>
        </w:trPr>
        <w:tc>
          <w:tcPr>
            <w:tcW w:w="900" w:type="dxa"/>
            <w:vAlign w:val="bottom"/>
          </w:tcPr>
          <w:p>
            <w:pPr>
              <w:spacing w:after="0"/>
              <w:rPr>
                <w:sz w:val="20"/>
                <w:szCs w:val="20"/>
                <w:color w:val="auto"/>
              </w:rPr>
            </w:pPr>
            <w:r>
              <w:rPr>
                <w:rFonts w:ascii="Arial" w:cs="Arial" w:eastAsia="Arial" w:hAnsi="Arial"/>
                <w:sz w:val="14"/>
                <w:szCs w:val="14"/>
                <w:color w:val="auto"/>
              </w:rPr>
              <w:t>ARTICLE 3</w:t>
            </w:r>
          </w:p>
        </w:tc>
        <w:tc>
          <w:tcPr>
            <w:tcW w:w="8180" w:type="dxa"/>
            <w:vAlign w:val="bottom"/>
          </w:tcPr>
          <w:p>
            <w:pPr>
              <w:ind w:left="220"/>
              <w:spacing w:after="0"/>
              <w:rPr>
                <w:sz w:val="20"/>
                <w:szCs w:val="20"/>
                <w:color w:val="auto"/>
              </w:rPr>
            </w:pPr>
            <w:r>
              <w:rPr>
                <w:rFonts w:ascii="Arial" w:cs="Arial" w:eastAsia="Arial" w:hAnsi="Arial"/>
                <w:sz w:val="14"/>
                <w:szCs w:val="14"/>
                <w:color w:val="auto"/>
              </w:rPr>
              <w:t>RESEARCH AND DEVELOPMENT; EXCLUSIVE OPTION</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28"/>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3.1</w:t>
            </w:r>
          </w:p>
        </w:tc>
        <w:tc>
          <w:tcPr>
            <w:tcW w:w="8180" w:type="dxa"/>
            <w:vAlign w:val="bottom"/>
          </w:tcPr>
          <w:p>
            <w:pPr>
              <w:ind w:left="220"/>
              <w:spacing w:after="0"/>
              <w:rPr>
                <w:sz w:val="20"/>
                <w:szCs w:val="20"/>
                <w:color w:val="auto"/>
              </w:rPr>
            </w:pPr>
            <w:r>
              <w:rPr>
                <w:rFonts w:ascii="Arial" w:cs="Arial" w:eastAsia="Arial" w:hAnsi="Arial"/>
                <w:sz w:val="14"/>
                <w:szCs w:val="14"/>
                <w:color w:val="auto"/>
              </w:rPr>
              <w:t>Research Overview</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3.2</w:t>
            </w:r>
          </w:p>
        </w:tc>
        <w:tc>
          <w:tcPr>
            <w:tcW w:w="8180" w:type="dxa"/>
            <w:vAlign w:val="bottom"/>
          </w:tcPr>
          <w:p>
            <w:pPr>
              <w:ind w:left="220"/>
              <w:spacing w:after="0"/>
              <w:rPr>
                <w:sz w:val="20"/>
                <w:szCs w:val="20"/>
                <w:color w:val="auto"/>
              </w:rPr>
            </w:pPr>
            <w:r>
              <w:rPr>
                <w:rFonts w:ascii="Arial" w:cs="Arial" w:eastAsia="Arial" w:hAnsi="Arial"/>
                <w:sz w:val="14"/>
                <w:szCs w:val="14"/>
                <w:color w:val="auto"/>
              </w:rPr>
              <w:t>Conduct of the Research Program</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73"/>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3.3</w:t>
            </w:r>
          </w:p>
        </w:tc>
        <w:tc>
          <w:tcPr>
            <w:tcW w:w="8180" w:type="dxa"/>
            <w:vAlign w:val="bottom"/>
          </w:tcPr>
          <w:p>
            <w:pPr>
              <w:ind w:left="220"/>
              <w:spacing w:after="0"/>
              <w:rPr>
                <w:sz w:val="20"/>
                <w:szCs w:val="20"/>
                <w:color w:val="auto"/>
              </w:rPr>
            </w:pPr>
            <w:r>
              <w:rPr>
                <w:rFonts w:ascii="Arial" w:cs="Arial" w:eastAsia="Arial" w:hAnsi="Arial"/>
                <w:sz w:val="14"/>
                <w:szCs w:val="14"/>
                <w:color w:val="auto"/>
              </w:rPr>
              <w:t>Evaluation of Option Trigger Data Package; Option Exercise</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34"/>
        </w:trPr>
        <w:tc>
          <w:tcPr>
            <w:tcW w:w="900" w:type="dxa"/>
            <w:vAlign w:val="bottom"/>
          </w:tcPr>
          <w:p>
            <w:pPr>
              <w:spacing w:after="0"/>
              <w:rPr>
                <w:sz w:val="20"/>
                <w:szCs w:val="20"/>
                <w:color w:val="auto"/>
              </w:rPr>
            </w:pPr>
            <w:r>
              <w:rPr>
                <w:rFonts w:ascii="Arial" w:cs="Arial" w:eastAsia="Arial" w:hAnsi="Arial"/>
                <w:sz w:val="14"/>
                <w:szCs w:val="14"/>
                <w:color w:val="auto"/>
              </w:rPr>
              <w:t>ARTICLE 4</w:t>
            </w:r>
          </w:p>
        </w:tc>
        <w:tc>
          <w:tcPr>
            <w:tcW w:w="8180" w:type="dxa"/>
            <w:vAlign w:val="bottom"/>
          </w:tcPr>
          <w:p>
            <w:pPr>
              <w:ind w:left="220"/>
              <w:spacing w:after="0"/>
              <w:rPr>
                <w:sz w:val="20"/>
                <w:szCs w:val="20"/>
                <w:color w:val="auto"/>
              </w:rPr>
            </w:pPr>
            <w:r>
              <w:rPr>
                <w:rFonts w:ascii="Arial" w:cs="Arial" w:eastAsia="Arial" w:hAnsi="Arial"/>
                <w:sz w:val="14"/>
                <w:szCs w:val="14"/>
                <w:color w:val="auto"/>
              </w:rPr>
              <w:t>GRANT OF RIGHTS; EXCLUSIVITY</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328"/>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4.1</w:t>
            </w:r>
          </w:p>
        </w:tc>
        <w:tc>
          <w:tcPr>
            <w:tcW w:w="8180" w:type="dxa"/>
            <w:vAlign w:val="bottom"/>
          </w:tcPr>
          <w:p>
            <w:pPr>
              <w:ind w:left="220"/>
              <w:spacing w:after="0"/>
              <w:rPr>
                <w:sz w:val="20"/>
                <w:szCs w:val="20"/>
                <w:color w:val="auto"/>
              </w:rPr>
            </w:pPr>
            <w:r>
              <w:rPr>
                <w:rFonts w:ascii="Arial" w:cs="Arial" w:eastAsia="Arial" w:hAnsi="Arial"/>
                <w:sz w:val="14"/>
                <w:szCs w:val="14"/>
                <w:color w:val="auto"/>
              </w:rPr>
              <w:t>License Grant to Servier</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4.2</w:t>
            </w:r>
          </w:p>
        </w:tc>
        <w:tc>
          <w:tcPr>
            <w:tcW w:w="8180" w:type="dxa"/>
            <w:vAlign w:val="bottom"/>
          </w:tcPr>
          <w:p>
            <w:pPr>
              <w:ind w:left="220"/>
              <w:spacing w:after="0"/>
              <w:rPr>
                <w:sz w:val="20"/>
                <w:szCs w:val="20"/>
                <w:color w:val="auto"/>
              </w:rPr>
            </w:pPr>
            <w:r>
              <w:rPr>
                <w:rFonts w:ascii="Arial" w:cs="Arial" w:eastAsia="Arial" w:hAnsi="Arial"/>
                <w:sz w:val="14"/>
                <w:szCs w:val="14"/>
                <w:color w:val="auto"/>
              </w:rPr>
              <w:t>License Grant to MacroGenics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4.3</w:t>
            </w:r>
          </w:p>
        </w:tc>
        <w:tc>
          <w:tcPr>
            <w:tcW w:w="8180" w:type="dxa"/>
            <w:vAlign w:val="bottom"/>
          </w:tcPr>
          <w:p>
            <w:pPr>
              <w:ind w:left="220"/>
              <w:spacing w:after="0"/>
              <w:rPr>
                <w:sz w:val="20"/>
                <w:szCs w:val="20"/>
                <w:color w:val="auto"/>
              </w:rPr>
            </w:pPr>
            <w:r>
              <w:rPr>
                <w:rFonts w:ascii="Arial" w:cs="Arial" w:eastAsia="Arial" w:hAnsi="Arial"/>
                <w:sz w:val="14"/>
                <w:szCs w:val="14"/>
                <w:color w:val="auto"/>
              </w:rPr>
              <w:t>Sublicenses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4.4</w:t>
            </w:r>
          </w:p>
        </w:tc>
        <w:tc>
          <w:tcPr>
            <w:tcW w:w="8180" w:type="dxa"/>
            <w:vAlign w:val="bottom"/>
          </w:tcPr>
          <w:p>
            <w:pPr>
              <w:ind w:left="220"/>
              <w:spacing w:after="0"/>
              <w:rPr>
                <w:sz w:val="20"/>
                <w:szCs w:val="20"/>
                <w:color w:val="auto"/>
              </w:rPr>
            </w:pPr>
            <w:r>
              <w:rPr>
                <w:rFonts w:ascii="Arial" w:cs="Arial" w:eastAsia="Arial" w:hAnsi="Arial"/>
                <w:sz w:val="14"/>
                <w:szCs w:val="14"/>
                <w:color w:val="auto"/>
              </w:rPr>
              <w:t>Subcontracting</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4.5</w:t>
            </w:r>
          </w:p>
        </w:tc>
        <w:tc>
          <w:tcPr>
            <w:tcW w:w="8180" w:type="dxa"/>
            <w:vAlign w:val="bottom"/>
          </w:tcPr>
          <w:p>
            <w:pPr>
              <w:ind w:left="220"/>
              <w:spacing w:after="0"/>
              <w:rPr>
                <w:sz w:val="20"/>
                <w:szCs w:val="20"/>
                <w:color w:val="auto"/>
              </w:rPr>
            </w:pPr>
            <w:r>
              <w:rPr>
                <w:rFonts w:ascii="Arial" w:cs="Arial" w:eastAsia="Arial" w:hAnsi="Arial"/>
                <w:sz w:val="14"/>
                <w:szCs w:val="14"/>
                <w:color w:val="auto"/>
              </w:rPr>
              <w:t>MacroGenics Third Party Agreements</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4.6</w:t>
            </w:r>
          </w:p>
        </w:tc>
        <w:tc>
          <w:tcPr>
            <w:tcW w:w="8180" w:type="dxa"/>
            <w:vAlign w:val="bottom"/>
          </w:tcPr>
          <w:p>
            <w:pPr>
              <w:ind w:left="220"/>
              <w:spacing w:after="0"/>
              <w:rPr>
                <w:sz w:val="20"/>
                <w:szCs w:val="20"/>
                <w:color w:val="auto"/>
              </w:rPr>
            </w:pPr>
            <w:r>
              <w:rPr>
                <w:rFonts w:ascii="Arial" w:cs="Arial" w:eastAsia="Arial" w:hAnsi="Arial"/>
                <w:sz w:val="14"/>
                <w:szCs w:val="14"/>
                <w:color w:val="auto"/>
              </w:rPr>
              <w:t>Right of First Negotiation for Bi-Specific DARTs</w:t>
            </w:r>
          </w:p>
        </w:tc>
        <w:tc>
          <w:tcPr>
            <w:tcW w:w="23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4.7</w:t>
            </w:r>
          </w:p>
        </w:tc>
        <w:tc>
          <w:tcPr>
            <w:tcW w:w="8180" w:type="dxa"/>
            <w:vAlign w:val="bottom"/>
          </w:tcPr>
          <w:p>
            <w:pPr>
              <w:ind w:left="220"/>
              <w:spacing w:after="0"/>
              <w:rPr>
                <w:sz w:val="20"/>
                <w:szCs w:val="20"/>
                <w:color w:val="auto"/>
              </w:rPr>
            </w:pPr>
            <w:r>
              <w:rPr>
                <w:rFonts w:ascii="Arial" w:cs="Arial" w:eastAsia="Arial" w:hAnsi="Arial"/>
                <w:sz w:val="14"/>
                <w:szCs w:val="14"/>
                <w:color w:val="auto"/>
              </w:rPr>
              <w:t>Rights Retained by the Parties</w:t>
            </w:r>
          </w:p>
        </w:tc>
        <w:tc>
          <w:tcPr>
            <w:tcW w:w="23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4.8</w:t>
            </w:r>
          </w:p>
        </w:tc>
        <w:tc>
          <w:tcPr>
            <w:tcW w:w="8180" w:type="dxa"/>
            <w:vAlign w:val="bottom"/>
          </w:tcPr>
          <w:p>
            <w:pPr>
              <w:ind w:left="220"/>
              <w:spacing w:after="0"/>
              <w:rPr>
                <w:sz w:val="20"/>
                <w:szCs w:val="20"/>
                <w:color w:val="auto"/>
              </w:rPr>
            </w:pPr>
            <w:r>
              <w:rPr>
                <w:rFonts w:ascii="Arial" w:cs="Arial" w:eastAsia="Arial" w:hAnsi="Arial"/>
                <w:sz w:val="14"/>
                <w:szCs w:val="14"/>
                <w:color w:val="auto"/>
              </w:rPr>
              <w:t>Section 365(n) of the Bankruptcy Code</w:t>
            </w:r>
          </w:p>
        </w:tc>
        <w:tc>
          <w:tcPr>
            <w:tcW w:w="23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4.9</w:t>
            </w:r>
          </w:p>
        </w:tc>
        <w:tc>
          <w:tcPr>
            <w:tcW w:w="8180" w:type="dxa"/>
            <w:vAlign w:val="bottom"/>
          </w:tcPr>
          <w:p>
            <w:pPr>
              <w:ind w:left="220"/>
              <w:spacing w:after="0"/>
              <w:rPr>
                <w:sz w:val="20"/>
                <w:szCs w:val="20"/>
                <w:color w:val="auto"/>
              </w:rPr>
            </w:pPr>
            <w:r>
              <w:rPr>
                <w:rFonts w:ascii="Arial" w:cs="Arial" w:eastAsia="Arial" w:hAnsi="Arial"/>
                <w:sz w:val="14"/>
                <w:szCs w:val="14"/>
                <w:color w:val="auto"/>
              </w:rPr>
              <w:t>Exclusivity</w:t>
            </w:r>
          </w:p>
        </w:tc>
        <w:tc>
          <w:tcPr>
            <w:tcW w:w="2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80"/>
              </w:rPr>
              <w:t>4.10</w:t>
            </w:r>
          </w:p>
        </w:tc>
        <w:tc>
          <w:tcPr>
            <w:tcW w:w="8180" w:type="dxa"/>
            <w:vAlign w:val="bottom"/>
          </w:tcPr>
          <w:p>
            <w:pPr>
              <w:ind w:left="220"/>
              <w:spacing w:after="0"/>
              <w:rPr>
                <w:sz w:val="20"/>
                <w:szCs w:val="20"/>
                <w:color w:val="auto"/>
              </w:rPr>
            </w:pPr>
            <w:r>
              <w:rPr>
                <w:rFonts w:ascii="Arial" w:cs="Arial" w:eastAsia="Arial" w:hAnsi="Arial"/>
                <w:sz w:val="14"/>
                <w:szCs w:val="14"/>
                <w:color w:val="auto"/>
              </w:rPr>
              <w:t>Consequences of Development and Commercialization of Competing Products</w:t>
            </w:r>
          </w:p>
        </w:tc>
        <w:tc>
          <w:tcPr>
            <w:tcW w:w="2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80"/>
              </w:rPr>
              <w:t>4.11</w:t>
            </w:r>
          </w:p>
        </w:tc>
        <w:tc>
          <w:tcPr>
            <w:tcW w:w="8180" w:type="dxa"/>
            <w:vAlign w:val="bottom"/>
          </w:tcPr>
          <w:p>
            <w:pPr>
              <w:ind w:left="220"/>
              <w:spacing w:after="0"/>
              <w:rPr>
                <w:sz w:val="20"/>
                <w:szCs w:val="20"/>
                <w:color w:val="auto"/>
              </w:rPr>
            </w:pPr>
            <w:r>
              <w:rPr>
                <w:rFonts w:ascii="Arial" w:cs="Arial" w:eastAsia="Arial" w:hAnsi="Arial"/>
                <w:sz w:val="14"/>
                <w:szCs w:val="14"/>
                <w:color w:val="auto"/>
              </w:rPr>
              <w:t>Diagnostics</w:t>
            </w:r>
          </w:p>
        </w:tc>
        <w:tc>
          <w:tcPr>
            <w:tcW w:w="2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4"/>
        </w:trPr>
        <w:tc>
          <w:tcPr>
            <w:tcW w:w="900" w:type="dxa"/>
            <w:vAlign w:val="bottom"/>
          </w:tcPr>
          <w:p>
            <w:pPr>
              <w:spacing w:after="0"/>
              <w:rPr>
                <w:sz w:val="20"/>
                <w:szCs w:val="20"/>
                <w:color w:val="auto"/>
              </w:rPr>
            </w:pPr>
            <w:r>
              <w:rPr>
                <w:rFonts w:ascii="Arial" w:cs="Arial" w:eastAsia="Arial" w:hAnsi="Arial"/>
                <w:sz w:val="14"/>
                <w:szCs w:val="14"/>
                <w:color w:val="auto"/>
              </w:rPr>
              <w:t>ARTICLE 5</w:t>
            </w:r>
          </w:p>
        </w:tc>
        <w:tc>
          <w:tcPr>
            <w:tcW w:w="8180" w:type="dxa"/>
            <w:vAlign w:val="bottom"/>
          </w:tcPr>
          <w:p>
            <w:pPr>
              <w:ind w:left="220"/>
              <w:spacing w:after="0"/>
              <w:rPr>
                <w:sz w:val="20"/>
                <w:szCs w:val="20"/>
                <w:color w:val="auto"/>
              </w:rPr>
            </w:pPr>
            <w:r>
              <w:rPr>
                <w:rFonts w:ascii="Arial" w:cs="Arial" w:eastAsia="Arial" w:hAnsi="Arial"/>
                <w:sz w:val="14"/>
                <w:szCs w:val="14"/>
                <w:color w:val="auto"/>
              </w:rPr>
              <w:t>DEVELOPMENT DURING THE LICENSE TERM</w:t>
            </w:r>
          </w:p>
        </w:tc>
        <w:tc>
          <w:tcPr>
            <w:tcW w:w="2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8"/>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5.1</w:t>
            </w:r>
          </w:p>
        </w:tc>
        <w:tc>
          <w:tcPr>
            <w:tcW w:w="8180" w:type="dxa"/>
            <w:vAlign w:val="bottom"/>
          </w:tcPr>
          <w:p>
            <w:pPr>
              <w:ind w:left="220"/>
              <w:spacing w:after="0"/>
              <w:rPr>
                <w:sz w:val="20"/>
                <w:szCs w:val="20"/>
                <w:color w:val="auto"/>
              </w:rPr>
            </w:pPr>
            <w:r>
              <w:rPr>
                <w:rFonts w:ascii="Arial" w:cs="Arial" w:eastAsia="Arial" w:hAnsi="Arial"/>
                <w:sz w:val="14"/>
                <w:szCs w:val="14"/>
                <w:color w:val="auto"/>
              </w:rPr>
              <w:t>Overview</w:t>
            </w:r>
          </w:p>
        </w:tc>
        <w:tc>
          <w:tcPr>
            <w:tcW w:w="2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5.2</w:t>
            </w:r>
          </w:p>
        </w:tc>
        <w:tc>
          <w:tcPr>
            <w:tcW w:w="8180" w:type="dxa"/>
            <w:vAlign w:val="bottom"/>
          </w:tcPr>
          <w:p>
            <w:pPr>
              <w:ind w:left="220"/>
              <w:spacing w:after="0"/>
              <w:rPr>
                <w:sz w:val="20"/>
                <w:szCs w:val="20"/>
                <w:color w:val="auto"/>
              </w:rPr>
            </w:pPr>
            <w:r>
              <w:rPr>
                <w:rFonts w:ascii="Arial" w:cs="Arial" w:eastAsia="Arial" w:hAnsi="Arial"/>
                <w:sz w:val="14"/>
                <w:szCs w:val="14"/>
                <w:color w:val="auto"/>
              </w:rPr>
              <w:t>Servier Obligations</w:t>
            </w:r>
          </w:p>
        </w:tc>
        <w:tc>
          <w:tcPr>
            <w:tcW w:w="23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5.3</w:t>
            </w:r>
          </w:p>
        </w:tc>
        <w:tc>
          <w:tcPr>
            <w:tcW w:w="8180" w:type="dxa"/>
            <w:vAlign w:val="bottom"/>
          </w:tcPr>
          <w:p>
            <w:pPr>
              <w:ind w:left="220"/>
              <w:spacing w:after="0"/>
              <w:rPr>
                <w:sz w:val="20"/>
                <w:szCs w:val="20"/>
                <w:color w:val="auto"/>
              </w:rPr>
            </w:pPr>
            <w:r>
              <w:rPr>
                <w:rFonts w:ascii="Arial" w:cs="Arial" w:eastAsia="Arial" w:hAnsi="Arial"/>
                <w:sz w:val="14"/>
                <w:szCs w:val="14"/>
                <w:color w:val="auto"/>
              </w:rPr>
              <w:t>Development Activities</w:t>
            </w:r>
          </w:p>
        </w:tc>
        <w:tc>
          <w:tcPr>
            <w:tcW w:w="23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5.4</w:t>
            </w:r>
          </w:p>
        </w:tc>
        <w:tc>
          <w:tcPr>
            <w:tcW w:w="8180" w:type="dxa"/>
            <w:vAlign w:val="bottom"/>
          </w:tcPr>
          <w:p>
            <w:pPr>
              <w:ind w:left="220"/>
              <w:spacing w:after="0"/>
              <w:rPr>
                <w:sz w:val="20"/>
                <w:szCs w:val="20"/>
                <w:color w:val="auto"/>
              </w:rPr>
            </w:pPr>
            <w:r>
              <w:rPr>
                <w:rFonts w:ascii="Arial" w:cs="Arial" w:eastAsia="Arial" w:hAnsi="Arial"/>
                <w:sz w:val="14"/>
                <w:szCs w:val="14"/>
                <w:color w:val="auto"/>
              </w:rPr>
              <w:t>Updating and Amending Development Plan and Development Budget; Additional Development Activities</w:t>
            </w:r>
          </w:p>
        </w:tc>
        <w:tc>
          <w:tcPr>
            <w:tcW w:w="23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5.5</w:t>
            </w:r>
          </w:p>
        </w:tc>
        <w:tc>
          <w:tcPr>
            <w:tcW w:w="8180" w:type="dxa"/>
            <w:vAlign w:val="bottom"/>
          </w:tcPr>
          <w:p>
            <w:pPr>
              <w:ind w:left="220"/>
              <w:spacing w:after="0"/>
              <w:rPr>
                <w:sz w:val="20"/>
                <w:szCs w:val="20"/>
                <w:color w:val="auto"/>
              </w:rPr>
            </w:pPr>
            <w:r>
              <w:rPr>
                <w:rFonts w:ascii="Arial" w:cs="Arial" w:eastAsia="Arial" w:hAnsi="Arial"/>
                <w:sz w:val="14"/>
                <w:szCs w:val="14"/>
                <w:color w:val="auto"/>
              </w:rPr>
              <w:t>Development Activities</w:t>
            </w:r>
          </w:p>
        </w:tc>
        <w:tc>
          <w:tcPr>
            <w:tcW w:w="23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73"/>
        </w:trPr>
        <w:tc>
          <w:tcPr>
            <w:tcW w:w="900" w:type="dxa"/>
            <w:vAlign w:val="bottom"/>
          </w:tcPr>
          <w:p>
            <w:pPr>
              <w:jc w:val="center"/>
              <w:ind w:left="52"/>
              <w:spacing w:after="0"/>
              <w:rPr>
                <w:sz w:val="20"/>
                <w:szCs w:val="20"/>
                <w:color w:val="auto"/>
              </w:rPr>
            </w:pPr>
            <w:r>
              <w:rPr>
                <w:rFonts w:ascii="Arial" w:cs="Arial" w:eastAsia="Arial" w:hAnsi="Arial"/>
                <w:sz w:val="14"/>
                <w:szCs w:val="14"/>
                <w:color w:val="auto"/>
                <w:w w:val="92"/>
              </w:rPr>
              <w:t>5.6</w:t>
            </w:r>
          </w:p>
        </w:tc>
        <w:tc>
          <w:tcPr>
            <w:tcW w:w="8180" w:type="dxa"/>
            <w:vAlign w:val="bottom"/>
          </w:tcPr>
          <w:p>
            <w:pPr>
              <w:ind w:left="220"/>
              <w:spacing w:after="0"/>
              <w:rPr>
                <w:sz w:val="20"/>
                <w:szCs w:val="20"/>
                <w:color w:val="auto"/>
              </w:rPr>
            </w:pPr>
            <w:r>
              <w:rPr>
                <w:rFonts w:ascii="Arial" w:cs="Arial" w:eastAsia="Arial" w:hAnsi="Arial"/>
                <w:sz w:val="14"/>
                <w:szCs w:val="14"/>
                <w:color w:val="auto"/>
              </w:rPr>
              <w:t>Exchange of Data</w:t>
            </w:r>
          </w:p>
        </w:tc>
        <w:tc>
          <w:tcPr>
            <w:tcW w:w="232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786" w:name="page787"/>
    <w:bookmarkEnd w:id="786"/>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20"/>
                <w:szCs w:val="20"/>
                <w:color w:val="auto"/>
              </w:rPr>
            </w:pPr>
            <w:r>
              <w:rPr>
                <w:rFonts w:ascii="Arial" w:cs="Arial" w:eastAsia="Arial" w:hAnsi="Arial"/>
                <w:sz w:val="14"/>
                <w:szCs w:val="14"/>
                <w:color w:val="auto"/>
              </w:rPr>
              <w:t>ARTICLE 6</w:t>
            </w:r>
          </w:p>
        </w:tc>
        <w:tc>
          <w:tcPr>
            <w:tcW w:w="6920" w:type="dxa"/>
            <w:vAlign w:val="bottom"/>
          </w:tcPr>
          <w:p>
            <w:pPr>
              <w:ind w:left="240"/>
              <w:spacing w:after="0"/>
              <w:rPr>
                <w:sz w:val="20"/>
                <w:szCs w:val="20"/>
                <w:color w:val="auto"/>
              </w:rPr>
            </w:pPr>
            <w:r>
              <w:rPr>
                <w:rFonts w:ascii="Arial" w:cs="Arial" w:eastAsia="Arial" w:hAnsi="Arial"/>
                <w:sz w:val="14"/>
                <w:szCs w:val="14"/>
                <w:color w:val="auto"/>
              </w:rPr>
              <w:t>REGULATORY MATTERS</w:t>
            </w:r>
          </w:p>
        </w:tc>
        <w:tc>
          <w:tcPr>
            <w:tcW w:w="35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28"/>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6.1</w:t>
            </w:r>
          </w:p>
        </w:tc>
        <w:tc>
          <w:tcPr>
            <w:tcW w:w="6920" w:type="dxa"/>
            <w:vAlign w:val="bottom"/>
          </w:tcPr>
          <w:p>
            <w:pPr>
              <w:ind w:left="240"/>
              <w:spacing w:after="0"/>
              <w:rPr>
                <w:sz w:val="20"/>
                <w:szCs w:val="20"/>
                <w:color w:val="auto"/>
              </w:rPr>
            </w:pPr>
            <w:r>
              <w:rPr>
                <w:rFonts w:ascii="Arial" w:cs="Arial" w:eastAsia="Arial" w:hAnsi="Arial"/>
                <w:sz w:val="14"/>
                <w:szCs w:val="14"/>
                <w:color w:val="auto"/>
              </w:rPr>
              <w:t>Servier Regulatory Responsibility</w:t>
            </w:r>
          </w:p>
        </w:tc>
        <w:tc>
          <w:tcPr>
            <w:tcW w:w="35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6.2</w:t>
            </w:r>
          </w:p>
        </w:tc>
        <w:tc>
          <w:tcPr>
            <w:tcW w:w="6920" w:type="dxa"/>
            <w:vAlign w:val="bottom"/>
          </w:tcPr>
          <w:p>
            <w:pPr>
              <w:ind w:left="240"/>
              <w:spacing w:after="0"/>
              <w:rPr>
                <w:sz w:val="20"/>
                <w:szCs w:val="20"/>
                <w:color w:val="auto"/>
              </w:rPr>
            </w:pPr>
            <w:r>
              <w:rPr>
                <w:rFonts w:ascii="Arial" w:cs="Arial" w:eastAsia="Arial" w:hAnsi="Arial"/>
                <w:sz w:val="14"/>
                <w:szCs w:val="14"/>
                <w:color w:val="auto"/>
              </w:rPr>
              <w:t>MacroGenics Regulatory Responsibility</w:t>
            </w:r>
          </w:p>
        </w:tc>
        <w:tc>
          <w:tcPr>
            <w:tcW w:w="35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6.3</w:t>
            </w:r>
          </w:p>
        </w:tc>
        <w:tc>
          <w:tcPr>
            <w:tcW w:w="6920" w:type="dxa"/>
            <w:vAlign w:val="bottom"/>
          </w:tcPr>
          <w:p>
            <w:pPr>
              <w:ind w:left="240"/>
              <w:spacing w:after="0"/>
              <w:rPr>
                <w:sz w:val="20"/>
                <w:szCs w:val="20"/>
                <w:color w:val="auto"/>
              </w:rPr>
            </w:pPr>
            <w:r>
              <w:rPr>
                <w:rFonts w:ascii="Arial" w:cs="Arial" w:eastAsia="Arial" w:hAnsi="Arial"/>
                <w:sz w:val="14"/>
                <w:szCs w:val="14"/>
                <w:color w:val="auto"/>
              </w:rPr>
              <w:t>Communications with Regulatory Authorities</w:t>
            </w:r>
          </w:p>
        </w:tc>
        <w:tc>
          <w:tcPr>
            <w:tcW w:w="35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6.4</w:t>
            </w:r>
          </w:p>
        </w:tc>
        <w:tc>
          <w:tcPr>
            <w:tcW w:w="6920" w:type="dxa"/>
            <w:vAlign w:val="bottom"/>
          </w:tcPr>
          <w:p>
            <w:pPr>
              <w:ind w:left="240"/>
              <w:spacing w:after="0"/>
              <w:rPr>
                <w:sz w:val="20"/>
                <w:szCs w:val="20"/>
                <w:color w:val="auto"/>
              </w:rPr>
            </w:pPr>
            <w:r>
              <w:rPr>
                <w:rFonts w:ascii="Arial" w:cs="Arial" w:eastAsia="Arial" w:hAnsi="Arial"/>
                <w:sz w:val="14"/>
                <w:szCs w:val="14"/>
                <w:color w:val="auto"/>
              </w:rPr>
              <w:t>Product Withdrawals and Recalls</w:t>
            </w:r>
          </w:p>
        </w:tc>
        <w:tc>
          <w:tcPr>
            <w:tcW w:w="35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73"/>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6.5</w:t>
            </w:r>
          </w:p>
        </w:tc>
        <w:tc>
          <w:tcPr>
            <w:tcW w:w="6920" w:type="dxa"/>
            <w:vAlign w:val="bottom"/>
          </w:tcPr>
          <w:p>
            <w:pPr>
              <w:ind w:left="240"/>
              <w:spacing w:after="0"/>
              <w:rPr>
                <w:sz w:val="20"/>
                <w:szCs w:val="20"/>
                <w:color w:val="auto"/>
              </w:rPr>
            </w:pPr>
            <w:r>
              <w:rPr>
                <w:rFonts w:ascii="Arial" w:cs="Arial" w:eastAsia="Arial" w:hAnsi="Arial"/>
                <w:sz w:val="14"/>
                <w:szCs w:val="14"/>
                <w:color w:val="auto"/>
              </w:rPr>
              <w:t>Pharmacovigilance; Safety Data Reporting</w:t>
            </w:r>
          </w:p>
        </w:tc>
        <w:tc>
          <w:tcPr>
            <w:tcW w:w="35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4"/>
        </w:trPr>
        <w:tc>
          <w:tcPr>
            <w:tcW w:w="1000" w:type="dxa"/>
            <w:vAlign w:val="bottom"/>
          </w:tcPr>
          <w:p>
            <w:pPr>
              <w:spacing w:after="0"/>
              <w:rPr>
                <w:sz w:val="20"/>
                <w:szCs w:val="20"/>
                <w:color w:val="auto"/>
              </w:rPr>
            </w:pPr>
            <w:r>
              <w:rPr>
                <w:rFonts w:ascii="Arial" w:cs="Arial" w:eastAsia="Arial" w:hAnsi="Arial"/>
                <w:sz w:val="14"/>
                <w:szCs w:val="14"/>
                <w:color w:val="auto"/>
              </w:rPr>
              <w:t>ARTICLE 7</w:t>
            </w:r>
          </w:p>
        </w:tc>
        <w:tc>
          <w:tcPr>
            <w:tcW w:w="6920" w:type="dxa"/>
            <w:vAlign w:val="bottom"/>
          </w:tcPr>
          <w:p>
            <w:pPr>
              <w:ind w:left="240"/>
              <w:spacing w:after="0"/>
              <w:rPr>
                <w:sz w:val="20"/>
                <w:szCs w:val="20"/>
                <w:color w:val="auto"/>
              </w:rPr>
            </w:pPr>
            <w:r>
              <w:rPr>
                <w:rFonts w:ascii="Arial" w:cs="Arial" w:eastAsia="Arial" w:hAnsi="Arial"/>
                <w:sz w:val="14"/>
                <w:szCs w:val="14"/>
                <w:color w:val="auto"/>
              </w:rPr>
              <w:t>MANUFACTURING</w:t>
            </w:r>
          </w:p>
        </w:tc>
        <w:tc>
          <w:tcPr>
            <w:tcW w:w="35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28"/>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7.1</w:t>
            </w:r>
          </w:p>
        </w:tc>
        <w:tc>
          <w:tcPr>
            <w:tcW w:w="6920" w:type="dxa"/>
            <w:vAlign w:val="bottom"/>
          </w:tcPr>
          <w:p>
            <w:pPr>
              <w:ind w:left="240"/>
              <w:spacing w:after="0"/>
              <w:rPr>
                <w:sz w:val="20"/>
                <w:szCs w:val="20"/>
                <w:color w:val="auto"/>
              </w:rPr>
            </w:pPr>
            <w:r>
              <w:rPr>
                <w:rFonts w:ascii="Arial" w:cs="Arial" w:eastAsia="Arial" w:hAnsi="Arial"/>
                <w:sz w:val="14"/>
                <w:szCs w:val="14"/>
                <w:color w:val="auto"/>
              </w:rPr>
              <w:t>Transfer of MacroGenics Manufacturing Know-How</w:t>
            </w:r>
          </w:p>
        </w:tc>
        <w:tc>
          <w:tcPr>
            <w:tcW w:w="35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73"/>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7.2</w:t>
            </w:r>
          </w:p>
        </w:tc>
        <w:tc>
          <w:tcPr>
            <w:tcW w:w="6920" w:type="dxa"/>
            <w:vAlign w:val="bottom"/>
          </w:tcPr>
          <w:p>
            <w:pPr>
              <w:ind w:left="240"/>
              <w:spacing w:after="0"/>
              <w:rPr>
                <w:sz w:val="20"/>
                <w:szCs w:val="20"/>
                <w:color w:val="auto"/>
              </w:rPr>
            </w:pPr>
            <w:r>
              <w:rPr>
                <w:rFonts w:ascii="Arial" w:cs="Arial" w:eastAsia="Arial" w:hAnsi="Arial"/>
                <w:sz w:val="14"/>
                <w:szCs w:val="14"/>
                <w:color w:val="auto"/>
              </w:rPr>
              <w:t>Supply Agreements</w:t>
            </w:r>
          </w:p>
        </w:tc>
        <w:tc>
          <w:tcPr>
            <w:tcW w:w="35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34"/>
        </w:trPr>
        <w:tc>
          <w:tcPr>
            <w:tcW w:w="1000" w:type="dxa"/>
            <w:vAlign w:val="bottom"/>
          </w:tcPr>
          <w:p>
            <w:pPr>
              <w:spacing w:after="0"/>
              <w:rPr>
                <w:sz w:val="20"/>
                <w:szCs w:val="20"/>
                <w:color w:val="auto"/>
              </w:rPr>
            </w:pPr>
            <w:r>
              <w:rPr>
                <w:rFonts w:ascii="Arial" w:cs="Arial" w:eastAsia="Arial" w:hAnsi="Arial"/>
                <w:sz w:val="14"/>
                <w:szCs w:val="14"/>
                <w:color w:val="auto"/>
              </w:rPr>
              <w:t>ARTICLE 8</w:t>
            </w:r>
          </w:p>
        </w:tc>
        <w:tc>
          <w:tcPr>
            <w:tcW w:w="6920" w:type="dxa"/>
            <w:vAlign w:val="bottom"/>
          </w:tcPr>
          <w:p>
            <w:pPr>
              <w:ind w:left="240"/>
              <w:spacing w:after="0"/>
              <w:rPr>
                <w:sz w:val="20"/>
                <w:szCs w:val="20"/>
                <w:color w:val="auto"/>
              </w:rPr>
            </w:pPr>
            <w:r>
              <w:rPr>
                <w:rFonts w:ascii="Arial" w:cs="Arial" w:eastAsia="Arial" w:hAnsi="Arial"/>
                <w:sz w:val="14"/>
                <w:szCs w:val="14"/>
                <w:color w:val="auto"/>
              </w:rPr>
              <w:t>COMMERCIALIZATION</w:t>
            </w:r>
          </w:p>
        </w:tc>
        <w:tc>
          <w:tcPr>
            <w:tcW w:w="3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8"/>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8.1</w:t>
            </w:r>
          </w:p>
        </w:tc>
        <w:tc>
          <w:tcPr>
            <w:tcW w:w="6920" w:type="dxa"/>
            <w:vAlign w:val="bottom"/>
          </w:tcPr>
          <w:p>
            <w:pPr>
              <w:ind w:left="240"/>
              <w:spacing w:after="0"/>
              <w:rPr>
                <w:sz w:val="20"/>
                <w:szCs w:val="20"/>
                <w:color w:val="auto"/>
              </w:rPr>
            </w:pPr>
            <w:r>
              <w:rPr>
                <w:rFonts w:ascii="Arial" w:cs="Arial" w:eastAsia="Arial" w:hAnsi="Arial"/>
                <w:sz w:val="14"/>
                <w:szCs w:val="14"/>
                <w:color w:val="auto"/>
              </w:rPr>
              <w:t>Overview</w:t>
            </w:r>
          </w:p>
        </w:tc>
        <w:tc>
          <w:tcPr>
            <w:tcW w:w="3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8.2</w:t>
            </w:r>
          </w:p>
        </w:tc>
        <w:tc>
          <w:tcPr>
            <w:tcW w:w="6920" w:type="dxa"/>
            <w:vAlign w:val="bottom"/>
          </w:tcPr>
          <w:p>
            <w:pPr>
              <w:ind w:left="240"/>
              <w:spacing w:after="0"/>
              <w:rPr>
                <w:sz w:val="20"/>
                <w:szCs w:val="20"/>
                <w:color w:val="auto"/>
              </w:rPr>
            </w:pPr>
            <w:r>
              <w:rPr>
                <w:rFonts w:ascii="Arial" w:cs="Arial" w:eastAsia="Arial" w:hAnsi="Arial"/>
                <w:sz w:val="14"/>
                <w:szCs w:val="14"/>
                <w:color w:val="auto"/>
              </w:rPr>
              <w:t>Sales and Distribution</w:t>
            </w:r>
          </w:p>
        </w:tc>
        <w:tc>
          <w:tcPr>
            <w:tcW w:w="3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8.3</w:t>
            </w:r>
          </w:p>
        </w:tc>
        <w:tc>
          <w:tcPr>
            <w:tcW w:w="6920" w:type="dxa"/>
            <w:vAlign w:val="bottom"/>
          </w:tcPr>
          <w:p>
            <w:pPr>
              <w:ind w:left="240"/>
              <w:spacing w:after="0"/>
              <w:rPr>
                <w:sz w:val="20"/>
                <w:szCs w:val="20"/>
                <w:color w:val="auto"/>
              </w:rPr>
            </w:pPr>
            <w:r>
              <w:rPr>
                <w:rFonts w:ascii="Arial" w:cs="Arial" w:eastAsia="Arial" w:hAnsi="Arial"/>
                <w:sz w:val="14"/>
                <w:szCs w:val="14"/>
                <w:color w:val="auto"/>
              </w:rPr>
              <w:t>Ex-Territory Sales</w:t>
            </w:r>
          </w:p>
        </w:tc>
        <w:tc>
          <w:tcPr>
            <w:tcW w:w="3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8.4</w:t>
            </w:r>
          </w:p>
        </w:tc>
        <w:tc>
          <w:tcPr>
            <w:tcW w:w="6920" w:type="dxa"/>
            <w:vAlign w:val="bottom"/>
          </w:tcPr>
          <w:p>
            <w:pPr>
              <w:ind w:left="240"/>
              <w:spacing w:after="0"/>
              <w:rPr>
                <w:sz w:val="20"/>
                <w:szCs w:val="20"/>
                <w:color w:val="auto"/>
              </w:rPr>
            </w:pPr>
            <w:r>
              <w:rPr>
                <w:rFonts w:ascii="Arial" w:cs="Arial" w:eastAsia="Arial" w:hAnsi="Arial"/>
                <w:sz w:val="14"/>
                <w:szCs w:val="14"/>
                <w:color w:val="auto"/>
              </w:rPr>
              <w:t>Commercialization Plan for Licensed Territory</w:t>
            </w:r>
          </w:p>
        </w:tc>
        <w:tc>
          <w:tcPr>
            <w:tcW w:w="3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8.5</w:t>
            </w:r>
          </w:p>
        </w:tc>
        <w:tc>
          <w:tcPr>
            <w:tcW w:w="6920" w:type="dxa"/>
            <w:vAlign w:val="bottom"/>
          </w:tcPr>
          <w:p>
            <w:pPr>
              <w:ind w:left="240"/>
              <w:spacing w:after="0"/>
              <w:rPr>
                <w:sz w:val="20"/>
                <w:szCs w:val="20"/>
                <w:color w:val="auto"/>
              </w:rPr>
            </w:pPr>
            <w:r>
              <w:rPr>
                <w:rFonts w:ascii="Arial" w:cs="Arial" w:eastAsia="Arial" w:hAnsi="Arial"/>
                <w:sz w:val="14"/>
                <w:szCs w:val="14"/>
                <w:color w:val="auto"/>
              </w:rPr>
              <w:t>Trademarks.</w:t>
            </w:r>
          </w:p>
        </w:tc>
        <w:tc>
          <w:tcPr>
            <w:tcW w:w="3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8.6</w:t>
            </w:r>
          </w:p>
        </w:tc>
        <w:tc>
          <w:tcPr>
            <w:tcW w:w="6920" w:type="dxa"/>
            <w:vAlign w:val="bottom"/>
          </w:tcPr>
          <w:p>
            <w:pPr>
              <w:ind w:left="240"/>
              <w:spacing w:after="0"/>
              <w:rPr>
                <w:sz w:val="20"/>
                <w:szCs w:val="20"/>
                <w:color w:val="auto"/>
              </w:rPr>
            </w:pPr>
            <w:r>
              <w:rPr>
                <w:rFonts w:ascii="Arial" w:cs="Arial" w:eastAsia="Arial" w:hAnsi="Arial"/>
                <w:sz w:val="14"/>
                <w:szCs w:val="14"/>
                <w:color w:val="auto"/>
              </w:rPr>
              <w:t>Commercial Diligence</w:t>
            </w:r>
          </w:p>
        </w:tc>
        <w:tc>
          <w:tcPr>
            <w:tcW w:w="35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73"/>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8.7</w:t>
            </w:r>
          </w:p>
        </w:tc>
        <w:tc>
          <w:tcPr>
            <w:tcW w:w="6920" w:type="dxa"/>
            <w:vAlign w:val="bottom"/>
          </w:tcPr>
          <w:p>
            <w:pPr>
              <w:ind w:left="240"/>
              <w:spacing w:after="0"/>
              <w:rPr>
                <w:sz w:val="20"/>
                <w:szCs w:val="20"/>
                <w:color w:val="auto"/>
              </w:rPr>
            </w:pPr>
            <w:r>
              <w:rPr>
                <w:rFonts w:ascii="Arial" w:cs="Arial" w:eastAsia="Arial" w:hAnsi="Arial"/>
                <w:sz w:val="14"/>
                <w:szCs w:val="14"/>
                <w:color w:val="auto"/>
              </w:rPr>
              <w:t>Standards of Conduct</w:t>
            </w:r>
          </w:p>
        </w:tc>
        <w:tc>
          <w:tcPr>
            <w:tcW w:w="35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34"/>
        </w:trPr>
        <w:tc>
          <w:tcPr>
            <w:tcW w:w="1000" w:type="dxa"/>
            <w:vAlign w:val="bottom"/>
          </w:tcPr>
          <w:p>
            <w:pPr>
              <w:spacing w:after="0"/>
              <w:rPr>
                <w:sz w:val="20"/>
                <w:szCs w:val="20"/>
                <w:color w:val="auto"/>
              </w:rPr>
            </w:pPr>
            <w:r>
              <w:rPr>
                <w:rFonts w:ascii="Arial" w:cs="Arial" w:eastAsia="Arial" w:hAnsi="Arial"/>
                <w:sz w:val="14"/>
                <w:szCs w:val="14"/>
                <w:color w:val="auto"/>
              </w:rPr>
              <w:t>ARTICLE 9</w:t>
            </w:r>
          </w:p>
        </w:tc>
        <w:tc>
          <w:tcPr>
            <w:tcW w:w="6920" w:type="dxa"/>
            <w:vAlign w:val="bottom"/>
          </w:tcPr>
          <w:p>
            <w:pPr>
              <w:ind w:left="240"/>
              <w:spacing w:after="0"/>
              <w:rPr>
                <w:sz w:val="20"/>
                <w:szCs w:val="20"/>
                <w:color w:val="auto"/>
              </w:rPr>
            </w:pPr>
            <w:r>
              <w:rPr>
                <w:rFonts w:ascii="Arial" w:cs="Arial" w:eastAsia="Arial" w:hAnsi="Arial"/>
                <w:sz w:val="14"/>
                <w:szCs w:val="14"/>
                <w:color w:val="auto"/>
              </w:rPr>
              <w:t>PAYMENTS</w:t>
            </w:r>
          </w:p>
        </w:tc>
        <w:tc>
          <w:tcPr>
            <w:tcW w:w="35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8"/>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9.1</w:t>
            </w:r>
          </w:p>
        </w:tc>
        <w:tc>
          <w:tcPr>
            <w:tcW w:w="6920" w:type="dxa"/>
            <w:vAlign w:val="bottom"/>
          </w:tcPr>
          <w:p>
            <w:pPr>
              <w:ind w:left="240"/>
              <w:spacing w:after="0"/>
              <w:rPr>
                <w:sz w:val="20"/>
                <w:szCs w:val="20"/>
                <w:color w:val="auto"/>
              </w:rPr>
            </w:pPr>
            <w:r>
              <w:rPr>
                <w:rFonts w:ascii="Arial" w:cs="Arial" w:eastAsia="Arial" w:hAnsi="Arial"/>
                <w:sz w:val="14"/>
                <w:szCs w:val="14"/>
                <w:color w:val="auto"/>
              </w:rPr>
              <w:t>Option Grant Fee</w:t>
            </w:r>
          </w:p>
        </w:tc>
        <w:tc>
          <w:tcPr>
            <w:tcW w:w="35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9.2</w:t>
            </w:r>
          </w:p>
        </w:tc>
        <w:tc>
          <w:tcPr>
            <w:tcW w:w="6920" w:type="dxa"/>
            <w:vAlign w:val="bottom"/>
          </w:tcPr>
          <w:p>
            <w:pPr>
              <w:ind w:left="240"/>
              <w:spacing w:after="0"/>
              <w:rPr>
                <w:sz w:val="20"/>
                <w:szCs w:val="20"/>
                <w:color w:val="auto"/>
              </w:rPr>
            </w:pPr>
            <w:r>
              <w:rPr>
                <w:rFonts w:ascii="Arial" w:cs="Arial" w:eastAsia="Arial" w:hAnsi="Arial"/>
                <w:sz w:val="14"/>
                <w:szCs w:val="14"/>
                <w:color w:val="auto"/>
              </w:rPr>
              <w:t>License Grant Fee</w:t>
            </w:r>
          </w:p>
        </w:tc>
        <w:tc>
          <w:tcPr>
            <w:tcW w:w="35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9.3</w:t>
            </w:r>
          </w:p>
        </w:tc>
        <w:tc>
          <w:tcPr>
            <w:tcW w:w="6920" w:type="dxa"/>
            <w:vAlign w:val="bottom"/>
          </w:tcPr>
          <w:p>
            <w:pPr>
              <w:ind w:left="240"/>
              <w:spacing w:after="0"/>
              <w:rPr>
                <w:sz w:val="20"/>
                <w:szCs w:val="20"/>
                <w:color w:val="auto"/>
              </w:rPr>
            </w:pPr>
            <w:r>
              <w:rPr>
                <w:rFonts w:ascii="Arial" w:cs="Arial" w:eastAsia="Arial" w:hAnsi="Arial"/>
                <w:sz w:val="14"/>
                <w:szCs w:val="14"/>
                <w:color w:val="auto"/>
              </w:rPr>
              <w:t>Development and Regulatory Milestones</w:t>
            </w:r>
          </w:p>
        </w:tc>
        <w:tc>
          <w:tcPr>
            <w:tcW w:w="35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9.4</w:t>
            </w:r>
          </w:p>
        </w:tc>
        <w:tc>
          <w:tcPr>
            <w:tcW w:w="6920" w:type="dxa"/>
            <w:vAlign w:val="bottom"/>
          </w:tcPr>
          <w:p>
            <w:pPr>
              <w:ind w:left="240"/>
              <w:spacing w:after="0"/>
              <w:rPr>
                <w:sz w:val="20"/>
                <w:szCs w:val="20"/>
                <w:color w:val="auto"/>
              </w:rPr>
            </w:pPr>
            <w:r>
              <w:rPr>
                <w:rFonts w:ascii="Arial" w:cs="Arial" w:eastAsia="Arial" w:hAnsi="Arial"/>
                <w:sz w:val="14"/>
                <w:szCs w:val="14"/>
                <w:color w:val="auto"/>
              </w:rPr>
              <w:t>Sales Milestones</w:t>
            </w:r>
          </w:p>
        </w:tc>
        <w:tc>
          <w:tcPr>
            <w:tcW w:w="35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9.5</w:t>
            </w:r>
          </w:p>
        </w:tc>
        <w:tc>
          <w:tcPr>
            <w:tcW w:w="6920" w:type="dxa"/>
            <w:vAlign w:val="bottom"/>
          </w:tcPr>
          <w:p>
            <w:pPr>
              <w:ind w:left="240"/>
              <w:spacing w:after="0"/>
              <w:rPr>
                <w:sz w:val="20"/>
                <w:szCs w:val="20"/>
                <w:color w:val="auto"/>
              </w:rPr>
            </w:pPr>
            <w:r>
              <w:rPr>
                <w:rFonts w:ascii="Arial" w:cs="Arial" w:eastAsia="Arial" w:hAnsi="Arial"/>
                <w:sz w:val="14"/>
                <w:szCs w:val="14"/>
                <w:color w:val="auto"/>
              </w:rPr>
              <w:t>Royalties</w:t>
            </w:r>
          </w:p>
        </w:tc>
        <w:tc>
          <w:tcPr>
            <w:tcW w:w="35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9.6</w:t>
            </w:r>
          </w:p>
        </w:tc>
        <w:tc>
          <w:tcPr>
            <w:tcW w:w="6920" w:type="dxa"/>
            <w:vAlign w:val="bottom"/>
          </w:tcPr>
          <w:p>
            <w:pPr>
              <w:ind w:left="240"/>
              <w:spacing w:after="0"/>
              <w:rPr>
                <w:sz w:val="20"/>
                <w:szCs w:val="20"/>
                <w:color w:val="auto"/>
              </w:rPr>
            </w:pPr>
            <w:r>
              <w:rPr>
                <w:rFonts w:ascii="Arial" w:cs="Arial" w:eastAsia="Arial" w:hAnsi="Arial"/>
                <w:sz w:val="14"/>
                <w:szCs w:val="14"/>
                <w:color w:val="auto"/>
              </w:rPr>
              <w:t>Reports; Payments</w:t>
            </w:r>
          </w:p>
        </w:tc>
        <w:tc>
          <w:tcPr>
            <w:tcW w:w="35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9.7</w:t>
            </w:r>
          </w:p>
        </w:tc>
        <w:tc>
          <w:tcPr>
            <w:tcW w:w="6920" w:type="dxa"/>
            <w:vAlign w:val="bottom"/>
          </w:tcPr>
          <w:p>
            <w:pPr>
              <w:ind w:left="240"/>
              <w:spacing w:after="0"/>
              <w:rPr>
                <w:sz w:val="20"/>
                <w:szCs w:val="20"/>
                <w:color w:val="auto"/>
              </w:rPr>
            </w:pPr>
            <w:r>
              <w:rPr>
                <w:rFonts w:ascii="Arial" w:cs="Arial" w:eastAsia="Arial" w:hAnsi="Arial"/>
                <w:sz w:val="14"/>
                <w:szCs w:val="14"/>
                <w:color w:val="auto"/>
              </w:rPr>
              <w:t>Methods of Payments</w:t>
            </w:r>
          </w:p>
        </w:tc>
        <w:tc>
          <w:tcPr>
            <w:tcW w:w="35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9.8</w:t>
            </w:r>
          </w:p>
        </w:tc>
        <w:tc>
          <w:tcPr>
            <w:tcW w:w="6920" w:type="dxa"/>
            <w:vAlign w:val="bottom"/>
          </w:tcPr>
          <w:p>
            <w:pPr>
              <w:ind w:left="240"/>
              <w:spacing w:after="0"/>
              <w:rPr>
                <w:sz w:val="20"/>
                <w:szCs w:val="20"/>
                <w:color w:val="auto"/>
              </w:rPr>
            </w:pPr>
            <w:r>
              <w:rPr>
                <w:rFonts w:ascii="Arial" w:cs="Arial" w:eastAsia="Arial" w:hAnsi="Arial"/>
                <w:sz w:val="14"/>
                <w:szCs w:val="14"/>
                <w:color w:val="auto"/>
              </w:rPr>
              <w:t>Late Payments</w:t>
            </w:r>
          </w:p>
        </w:tc>
        <w:tc>
          <w:tcPr>
            <w:tcW w:w="35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7"/>
        </w:trPr>
        <w:tc>
          <w:tcPr>
            <w:tcW w:w="1000" w:type="dxa"/>
            <w:vAlign w:val="bottom"/>
          </w:tcPr>
          <w:p>
            <w:pPr>
              <w:jc w:val="center"/>
              <w:ind w:left="72"/>
              <w:spacing w:after="0"/>
              <w:rPr>
                <w:sz w:val="20"/>
                <w:szCs w:val="20"/>
                <w:color w:val="auto"/>
              </w:rPr>
            </w:pPr>
            <w:r>
              <w:rPr>
                <w:rFonts w:ascii="Arial" w:cs="Arial" w:eastAsia="Arial" w:hAnsi="Arial"/>
                <w:sz w:val="14"/>
                <w:szCs w:val="14"/>
                <w:color w:val="auto"/>
                <w:w w:val="92"/>
              </w:rPr>
              <w:t>9.9</w:t>
            </w:r>
          </w:p>
        </w:tc>
        <w:tc>
          <w:tcPr>
            <w:tcW w:w="6920" w:type="dxa"/>
            <w:vAlign w:val="bottom"/>
          </w:tcPr>
          <w:p>
            <w:pPr>
              <w:ind w:left="240"/>
              <w:spacing w:after="0"/>
              <w:rPr>
                <w:sz w:val="20"/>
                <w:szCs w:val="20"/>
                <w:color w:val="auto"/>
              </w:rPr>
            </w:pPr>
            <w:r>
              <w:rPr>
                <w:rFonts w:ascii="Arial" w:cs="Arial" w:eastAsia="Arial" w:hAnsi="Arial"/>
                <w:sz w:val="14"/>
                <w:szCs w:val="14"/>
                <w:color w:val="auto"/>
              </w:rPr>
              <w:t>Taxes</w:t>
            </w:r>
          </w:p>
        </w:tc>
        <w:tc>
          <w:tcPr>
            <w:tcW w:w="35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73"/>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9.10</w:t>
            </w:r>
          </w:p>
        </w:tc>
        <w:tc>
          <w:tcPr>
            <w:tcW w:w="6920" w:type="dxa"/>
            <w:vAlign w:val="bottom"/>
          </w:tcPr>
          <w:p>
            <w:pPr>
              <w:ind w:left="240"/>
              <w:spacing w:after="0"/>
              <w:rPr>
                <w:sz w:val="20"/>
                <w:szCs w:val="20"/>
                <w:color w:val="auto"/>
              </w:rPr>
            </w:pPr>
            <w:r>
              <w:rPr>
                <w:rFonts w:ascii="Arial" w:cs="Arial" w:eastAsia="Arial" w:hAnsi="Arial"/>
                <w:sz w:val="14"/>
                <w:szCs w:val="14"/>
                <w:color w:val="auto"/>
              </w:rPr>
              <w:t>Books and Records; Audit Rights</w:t>
            </w:r>
          </w:p>
        </w:tc>
        <w:tc>
          <w:tcPr>
            <w:tcW w:w="35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34"/>
        </w:trPr>
        <w:tc>
          <w:tcPr>
            <w:tcW w:w="1000" w:type="dxa"/>
            <w:vAlign w:val="bottom"/>
          </w:tcPr>
          <w:p>
            <w:pPr>
              <w:spacing w:after="0"/>
              <w:rPr>
                <w:sz w:val="20"/>
                <w:szCs w:val="20"/>
                <w:color w:val="auto"/>
              </w:rPr>
            </w:pPr>
            <w:r>
              <w:rPr>
                <w:rFonts w:ascii="Arial" w:cs="Arial" w:eastAsia="Arial" w:hAnsi="Arial"/>
                <w:sz w:val="14"/>
                <w:szCs w:val="14"/>
                <w:color w:val="auto"/>
              </w:rPr>
              <w:t>ARTICLE 10</w:t>
            </w:r>
          </w:p>
        </w:tc>
        <w:tc>
          <w:tcPr>
            <w:tcW w:w="6920" w:type="dxa"/>
            <w:vAlign w:val="bottom"/>
          </w:tcPr>
          <w:p>
            <w:pPr>
              <w:ind w:left="240"/>
              <w:spacing w:after="0"/>
              <w:rPr>
                <w:sz w:val="20"/>
                <w:szCs w:val="20"/>
                <w:color w:val="auto"/>
              </w:rPr>
            </w:pPr>
            <w:r>
              <w:rPr>
                <w:rFonts w:ascii="Arial" w:cs="Arial" w:eastAsia="Arial" w:hAnsi="Arial"/>
                <w:sz w:val="14"/>
                <w:szCs w:val="14"/>
                <w:color w:val="auto"/>
              </w:rPr>
              <w:t>OWNERSHIP OF INTELLECTUAL PROPERTY RIGHTS</w:t>
            </w:r>
          </w:p>
        </w:tc>
        <w:tc>
          <w:tcPr>
            <w:tcW w:w="35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28"/>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10.1</w:t>
            </w:r>
          </w:p>
        </w:tc>
        <w:tc>
          <w:tcPr>
            <w:tcW w:w="6920" w:type="dxa"/>
            <w:vAlign w:val="bottom"/>
          </w:tcPr>
          <w:p>
            <w:pPr>
              <w:ind w:left="240"/>
              <w:spacing w:after="0"/>
              <w:rPr>
                <w:sz w:val="20"/>
                <w:szCs w:val="20"/>
                <w:color w:val="auto"/>
              </w:rPr>
            </w:pPr>
            <w:r>
              <w:rPr>
                <w:rFonts w:ascii="Arial" w:cs="Arial" w:eastAsia="Arial" w:hAnsi="Arial"/>
                <w:sz w:val="14"/>
                <w:szCs w:val="14"/>
                <w:color w:val="auto"/>
              </w:rPr>
              <w:t>Inventorship</w:t>
            </w:r>
          </w:p>
        </w:tc>
        <w:tc>
          <w:tcPr>
            <w:tcW w:w="35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7"/>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10.2</w:t>
            </w:r>
          </w:p>
        </w:tc>
        <w:tc>
          <w:tcPr>
            <w:tcW w:w="6920" w:type="dxa"/>
            <w:vAlign w:val="bottom"/>
          </w:tcPr>
          <w:p>
            <w:pPr>
              <w:ind w:left="240"/>
              <w:spacing w:after="0"/>
              <w:rPr>
                <w:sz w:val="20"/>
                <w:szCs w:val="20"/>
                <w:color w:val="auto"/>
              </w:rPr>
            </w:pPr>
            <w:r>
              <w:rPr>
                <w:rFonts w:ascii="Arial" w:cs="Arial" w:eastAsia="Arial" w:hAnsi="Arial"/>
                <w:sz w:val="14"/>
                <w:szCs w:val="14"/>
                <w:color w:val="auto"/>
              </w:rPr>
              <w:t>Ownership</w:t>
            </w:r>
          </w:p>
        </w:tc>
        <w:tc>
          <w:tcPr>
            <w:tcW w:w="35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7"/>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10.3</w:t>
            </w:r>
          </w:p>
        </w:tc>
        <w:tc>
          <w:tcPr>
            <w:tcW w:w="6920" w:type="dxa"/>
            <w:vAlign w:val="bottom"/>
          </w:tcPr>
          <w:p>
            <w:pPr>
              <w:ind w:left="240"/>
              <w:spacing w:after="0"/>
              <w:rPr>
                <w:sz w:val="20"/>
                <w:szCs w:val="20"/>
                <w:color w:val="auto"/>
              </w:rPr>
            </w:pPr>
            <w:r>
              <w:rPr>
                <w:rFonts w:ascii="Arial" w:cs="Arial" w:eastAsia="Arial" w:hAnsi="Arial"/>
                <w:sz w:val="14"/>
                <w:szCs w:val="14"/>
                <w:color w:val="auto"/>
              </w:rPr>
              <w:t>Prosecution and Maintenance of Patents</w:t>
            </w:r>
          </w:p>
        </w:tc>
        <w:tc>
          <w:tcPr>
            <w:tcW w:w="35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7"/>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10.4</w:t>
            </w:r>
          </w:p>
        </w:tc>
        <w:tc>
          <w:tcPr>
            <w:tcW w:w="6920" w:type="dxa"/>
            <w:vAlign w:val="bottom"/>
          </w:tcPr>
          <w:p>
            <w:pPr>
              <w:ind w:left="240"/>
              <w:spacing w:after="0"/>
              <w:rPr>
                <w:sz w:val="20"/>
                <w:szCs w:val="20"/>
                <w:color w:val="auto"/>
              </w:rPr>
            </w:pPr>
            <w:r>
              <w:rPr>
                <w:rFonts w:ascii="Arial" w:cs="Arial" w:eastAsia="Arial" w:hAnsi="Arial"/>
                <w:sz w:val="14"/>
                <w:szCs w:val="14"/>
                <w:color w:val="auto"/>
              </w:rPr>
              <w:t>Third Party Infringement</w:t>
            </w:r>
          </w:p>
        </w:tc>
        <w:tc>
          <w:tcPr>
            <w:tcW w:w="35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10.5</w:t>
            </w:r>
          </w:p>
        </w:tc>
        <w:tc>
          <w:tcPr>
            <w:tcW w:w="6920" w:type="dxa"/>
            <w:vAlign w:val="bottom"/>
          </w:tcPr>
          <w:p>
            <w:pPr>
              <w:ind w:left="240"/>
              <w:spacing w:after="0"/>
              <w:rPr>
                <w:sz w:val="20"/>
                <w:szCs w:val="20"/>
                <w:color w:val="auto"/>
              </w:rPr>
            </w:pPr>
            <w:r>
              <w:rPr>
                <w:rFonts w:ascii="Arial" w:cs="Arial" w:eastAsia="Arial" w:hAnsi="Arial"/>
                <w:sz w:val="14"/>
                <w:szCs w:val="14"/>
                <w:color w:val="auto"/>
              </w:rPr>
              <w:t>Patent Invalidity Claim</w:t>
            </w:r>
          </w:p>
        </w:tc>
        <w:tc>
          <w:tcPr>
            <w:tcW w:w="35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7"/>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10.6</w:t>
            </w:r>
          </w:p>
        </w:tc>
        <w:tc>
          <w:tcPr>
            <w:tcW w:w="6920" w:type="dxa"/>
            <w:vAlign w:val="bottom"/>
          </w:tcPr>
          <w:p>
            <w:pPr>
              <w:ind w:left="240"/>
              <w:spacing w:after="0"/>
              <w:rPr>
                <w:sz w:val="20"/>
                <w:szCs w:val="20"/>
                <w:color w:val="auto"/>
              </w:rPr>
            </w:pPr>
            <w:r>
              <w:rPr>
                <w:rFonts w:ascii="Arial" w:cs="Arial" w:eastAsia="Arial" w:hAnsi="Arial"/>
                <w:sz w:val="14"/>
                <w:szCs w:val="14"/>
                <w:color w:val="auto"/>
              </w:rPr>
              <w:t>Patent Term Extensions</w:t>
            </w:r>
          </w:p>
        </w:tc>
        <w:tc>
          <w:tcPr>
            <w:tcW w:w="35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73"/>
        </w:trPr>
        <w:tc>
          <w:tcPr>
            <w:tcW w:w="1000" w:type="dxa"/>
            <w:vAlign w:val="bottom"/>
          </w:tcPr>
          <w:p>
            <w:pPr>
              <w:jc w:val="center"/>
              <w:ind w:left="92"/>
              <w:spacing w:after="0"/>
              <w:rPr>
                <w:sz w:val="20"/>
                <w:szCs w:val="20"/>
                <w:color w:val="auto"/>
              </w:rPr>
            </w:pPr>
            <w:r>
              <w:rPr>
                <w:rFonts w:ascii="Arial" w:cs="Arial" w:eastAsia="Arial" w:hAnsi="Arial"/>
                <w:sz w:val="14"/>
                <w:szCs w:val="14"/>
                <w:color w:val="auto"/>
                <w:w w:val="87"/>
              </w:rPr>
              <w:t>10.7</w:t>
            </w:r>
          </w:p>
        </w:tc>
        <w:tc>
          <w:tcPr>
            <w:tcW w:w="6920" w:type="dxa"/>
            <w:vAlign w:val="bottom"/>
          </w:tcPr>
          <w:p>
            <w:pPr>
              <w:ind w:left="240"/>
              <w:spacing w:after="0"/>
              <w:rPr>
                <w:sz w:val="20"/>
                <w:szCs w:val="20"/>
                <w:color w:val="auto"/>
              </w:rPr>
            </w:pPr>
            <w:r>
              <w:rPr>
                <w:rFonts w:ascii="Arial" w:cs="Arial" w:eastAsia="Arial" w:hAnsi="Arial"/>
                <w:sz w:val="14"/>
                <w:szCs w:val="14"/>
                <w:color w:val="auto"/>
              </w:rPr>
              <w:t>Patent Marking</w:t>
            </w:r>
          </w:p>
        </w:tc>
        <w:tc>
          <w:tcPr>
            <w:tcW w:w="3540" w:type="dxa"/>
            <w:vAlign w:val="bottom"/>
          </w:tcPr>
          <w:p>
            <w:pPr>
              <w:jc w:val="right"/>
              <w:spacing w:after="0"/>
              <w:rPr>
                <w:sz w:val="20"/>
                <w:szCs w:val="20"/>
                <w:color w:val="auto"/>
              </w:rPr>
            </w:pPr>
            <w:r>
              <w:rPr>
                <w:rFonts w:ascii="Arial" w:cs="Arial" w:eastAsia="Arial" w:hAnsi="Arial"/>
                <w:sz w:val="14"/>
                <w:szCs w:val="14"/>
                <w:color w:val="auto"/>
              </w:rPr>
              <w:t>50</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ii -</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2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87" w:name="page788"/>
    <w:bookmarkEnd w:id="787"/>
    <w:tbl>
      <w:tblPr>
        <w:tblLayout w:type="fixed"/>
        <w:tblInd w:w="0" w:type="dxa"/>
        <w:tblCellMar>
          <w:top w:w="0" w:type="dxa"/>
          <w:left w:w="0" w:type="dxa"/>
          <w:bottom w:w="0" w:type="dxa"/>
          <w:right w:w="0" w:type="dxa"/>
        </w:tblCellMar>
      </w:tblPr>
      <w:tr>
        <w:trPr>
          <w:trHeight w:val="173"/>
        </w:trPr>
        <w:tc>
          <w:tcPr>
            <w:tcW w:w="1000" w:type="dxa"/>
            <w:vAlign w:val="bottom"/>
          </w:tcPr>
          <w:p>
            <w:pPr>
              <w:jc w:val="right"/>
              <w:ind w:right="192"/>
              <w:spacing w:after="0"/>
              <w:rPr>
                <w:sz w:val="20"/>
                <w:szCs w:val="20"/>
                <w:color w:val="auto"/>
              </w:rPr>
            </w:pPr>
            <w:r>
              <w:rPr>
                <w:rFonts w:ascii="Arial" w:cs="Arial" w:eastAsia="Arial" w:hAnsi="Arial"/>
                <w:sz w:val="14"/>
                <w:szCs w:val="14"/>
                <w:color w:val="auto"/>
                <w:w w:val="91"/>
              </w:rPr>
              <w:t>ARTICLE 11</w:t>
            </w:r>
          </w:p>
        </w:tc>
        <w:tc>
          <w:tcPr>
            <w:tcW w:w="7060" w:type="dxa"/>
            <w:vAlign w:val="bottom"/>
          </w:tcPr>
          <w:p>
            <w:pPr>
              <w:ind w:left="240"/>
              <w:spacing w:after="0"/>
              <w:rPr>
                <w:sz w:val="20"/>
                <w:szCs w:val="20"/>
                <w:color w:val="auto"/>
              </w:rPr>
            </w:pPr>
            <w:r>
              <w:rPr>
                <w:rFonts w:ascii="Arial" w:cs="Arial" w:eastAsia="Arial" w:hAnsi="Arial"/>
                <w:sz w:val="14"/>
                <w:szCs w:val="14"/>
                <w:color w:val="auto"/>
              </w:rPr>
              <w:t>CONFIDENTIALITY</w:t>
            </w:r>
          </w:p>
        </w:tc>
        <w:tc>
          <w:tcPr>
            <w:tcW w:w="34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28"/>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11.1</w:t>
            </w:r>
          </w:p>
        </w:tc>
        <w:tc>
          <w:tcPr>
            <w:tcW w:w="7060" w:type="dxa"/>
            <w:vAlign w:val="bottom"/>
          </w:tcPr>
          <w:p>
            <w:pPr>
              <w:ind w:left="240"/>
              <w:spacing w:after="0"/>
              <w:rPr>
                <w:sz w:val="20"/>
                <w:szCs w:val="20"/>
                <w:color w:val="auto"/>
              </w:rPr>
            </w:pPr>
            <w:r>
              <w:rPr>
                <w:rFonts w:ascii="Arial" w:cs="Arial" w:eastAsia="Arial" w:hAnsi="Arial"/>
                <w:sz w:val="14"/>
                <w:szCs w:val="14"/>
                <w:color w:val="auto"/>
              </w:rPr>
              <w:t>Confidentiality; Exceptions</w:t>
            </w:r>
          </w:p>
        </w:tc>
        <w:tc>
          <w:tcPr>
            <w:tcW w:w="34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7"/>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11.2</w:t>
            </w:r>
          </w:p>
        </w:tc>
        <w:tc>
          <w:tcPr>
            <w:tcW w:w="7060" w:type="dxa"/>
            <w:vAlign w:val="bottom"/>
          </w:tcPr>
          <w:p>
            <w:pPr>
              <w:ind w:left="240"/>
              <w:spacing w:after="0"/>
              <w:rPr>
                <w:sz w:val="20"/>
                <w:szCs w:val="20"/>
                <w:color w:val="auto"/>
              </w:rPr>
            </w:pPr>
            <w:r>
              <w:rPr>
                <w:rFonts w:ascii="Arial" w:cs="Arial" w:eastAsia="Arial" w:hAnsi="Arial"/>
                <w:sz w:val="14"/>
                <w:szCs w:val="14"/>
                <w:color w:val="auto"/>
              </w:rPr>
              <w:t>Authorized Disclosure</w:t>
            </w:r>
          </w:p>
        </w:tc>
        <w:tc>
          <w:tcPr>
            <w:tcW w:w="34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7"/>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11.3</w:t>
            </w:r>
          </w:p>
        </w:tc>
        <w:tc>
          <w:tcPr>
            <w:tcW w:w="7060" w:type="dxa"/>
            <w:vAlign w:val="bottom"/>
          </w:tcPr>
          <w:p>
            <w:pPr>
              <w:ind w:left="240"/>
              <w:spacing w:after="0"/>
              <w:rPr>
                <w:sz w:val="20"/>
                <w:szCs w:val="20"/>
                <w:color w:val="auto"/>
              </w:rPr>
            </w:pPr>
            <w:r>
              <w:rPr>
                <w:rFonts w:ascii="Arial" w:cs="Arial" w:eastAsia="Arial" w:hAnsi="Arial"/>
                <w:sz w:val="14"/>
                <w:szCs w:val="14"/>
                <w:color w:val="auto"/>
              </w:rPr>
              <w:t>Press Release; Disclosure of Agreement</w:t>
            </w:r>
          </w:p>
        </w:tc>
        <w:tc>
          <w:tcPr>
            <w:tcW w:w="34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7"/>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11.4</w:t>
            </w:r>
          </w:p>
        </w:tc>
        <w:tc>
          <w:tcPr>
            <w:tcW w:w="7060" w:type="dxa"/>
            <w:vAlign w:val="bottom"/>
          </w:tcPr>
          <w:p>
            <w:pPr>
              <w:ind w:left="240"/>
              <w:spacing w:after="0"/>
              <w:rPr>
                <w:sz w:val="20"/>
                <w:szCs w:val="20"/>
                <w:color w:val="auto"/>
              </w:rPr>
            </w:pPr>
            <w:r>
              <w:rPr>
                <w:rFonts w:ascii="Arial" w:cs="Arial" w:eastAsia="Arial" w:hAnsi="Arial"/>
                <w:sz w:val="14"/>
                <w:szCs w:val="14"/>
                <w:color w:val="auto"/>
              </w:rPr>
              <w:t>Existing Confidentiality Agreement</w:t>
            </w:r>
          </w:p>
        </w:tc>
        <w:tc>
          <w:tcPr>
            <w:tcW w:w="34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7"/>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11.5</w:t>
            </w:r>
          </w:p>
        </w:tc>
        <w:tc>
          <w:tcPr>
            <w:tcW w:w="7060" w:type="dxa"/>
            <w:vAlign w:val="bottom"/>
          </w:tcPr>
          <w:p>
            <w:pPr>
              <w:ind w:left="240"/>
              <w:spacing w:after="0"/>
              <w:rPr>
                <w:sz w:val="20"/>
                <w:szCs w:val="20"/>
                <w:color w:val="auto"/>
              </w:rPr>
            </w:pPr>
            <w:r>
              <w:rPr>
                <w:rFonts w:ascii="Arial" w:cs="Arial" w:eastAsia="Arial" w:hAnsi="Arial"/>
                <w:sz w:val="14"/>
                <w:szCs w:val="14"/>
                <w:color w:val="auto"/>
              </w:rPr>
              <w:t>Remedies</w:t>
            </w:r>
          </w:p>
        </w:tc>
        <w:tc>
          <w:tcPr>
            <w:tcW w:w="34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7"/>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11.6</w:t>
            </w:r>
          </w:p>
        </w:tc>
        <w:tc>
          <w:tcPr>
            <w:tcW w:w="7060" w:type="dxa"/>
            <w:vAlign w:val="bottom"/>
          </w:tcPr>
          <w:p>
            <w:pPr>
              <w:ind w:left="240"/>
              <w:spacing w:after="0"/>
              <w:rPr>
                <w:sz w:val="20"/>
                <w:szCs w:val="20"/>
                <w:color w:val="auto"/>
              </w:rPr>
            </w:pPr>
            <w:r>
              <w:rPr>
                <w:rFonts w:ascii="Arial" w:cs="Arial" w:eastAsia="Arial" w:hAnsi="Arial"/>
                <w:sz w:val="14"/>
                <w:szCs w:val="14"/>
                <w:color w:val="auto"/>
              </w:rPr>
              <w:t>Publications</w:t>
            </w:r>
          </w:p>
        </w:tc>
        <w:tc>
          <w:tcPr>
            <w:tcW w:w="34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73"/>
        </w:trPr>
        <w:tc>
          <w:tcPr>
            <w:tcW w:w="1000" w:type="dxa"/>
            <w:vAlign w:val="bottom"/>
          </w:tcPr>
          <w:p>
            <w:pPr>
              <w:jc w:val="right"/>
              <w:ind w:right="252"/>
              <w:spacing w:after="0"/>
              <w:rPr>
                <w:sz w:val="20"/>
                <w:szCs w:val="20"/>
                <w:color w:val="auto"/>
              </w:rPr>
            </w:pPr>
            <w:r>
              <w:rPr>
                <w:rFonts w:ascii="Arial" w:cs="Arial" w:eastAsia="Arial" w:hAnsi="Arial"/>
                <w:sz w:val="14"/>
                <w:szCs w:val="14"/>
                <w:color w:val="auto"/>
              </w:rPr>
              <w:t>11.7</w:t>
            </w:r>
          </w:p>
        </w:tc>
        <w:tc>
          <w:tcPr>
            <w:tcW w:w="7060" w:type="dxa"/>
            <w:vAlign w:val="bottom"/>
          </w:tcPr>
          <w:p>
            <w:pPr>
              <w:ind w:left="240"/>
              <w:spacing w:after="0"/>
              <w:rPr>
                <w:sz w:val="20"/>
                <w:szCs w:val="20"/>
                <w:color w:val="auto"/>
              </w:rPr>
            </w:pPr>
            <w:r>
              <w:rPr>
                <w:rFonts w:ascii="Arial" w:cs="Arial" w:eastAsia="Arial" w:hAnsi="Arial"/>
                <w:sz w:val="14"/>
                <w:szCs w:val="14"/>
                <w:color w:val="auto"/>
              </w:rPr>
              <w:t>Return of Confidential Information</w:t>
            </w:r>
          </w:p>
        </w:tc>
        <w:tc>
          <w:tcPr>
            <w:tcW w:w="34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34"/>
        </w:trPr>
        <w:tc>
          <w:tcPr>
            <w:tcW w:w="1000" w:type="dxa"/>
            <w:vAlign w:val="bottom"/>
          </w:tcPr>
          <w:p>
            <w:pPr>
              <w:jc w:val="right"/>
              <w:ind w:right="192"/>
              <w:spacing w:after="0"/>
              <w:rPr>
                <w:sz w:val="20"/>
                <w:szCs w:val="20"/>
                <w:color w:val="auto"/>
              </w:rPr>
            </w:pPr>
            <w:r>
              <w:rPr>
                <w:rFonts w:ascii="Arial" w:cs="Arial" w:eastAsia="Arial" w:hAnsi="Arial"/>
                <w:sz w:val="14"/>
                <w:szCs w:val="14"/>
                <w:color w:val="auto"/>
                <w:w w:val="91"/>
              </w:rPr>
              <w:t>ARTICLE 12</w:t>
            </w:r>
          </w:p>
        </w:tc>
        <w:tc>
          <w:tcPr>
            <w:tcW w:w="7060" w:type="dxa"/>
            <w:vAlign w:val="bottom"/>
          </w:tcPr>
          <w:p>
            <w:pPr>
              <w:ind w:left="240"/>
              <w:spacing w:after="0"/>
              <w:rPr>
                <w:sz w:val="20"/>
                <w:szCs w:val="20"/>
                <w:color w:val="auto"/>
              </w:rPr>
            </w:pPr>
            <w:r>
              <w:rPr>
                <w:rFonts w:ascii="Arial" w:cs="Arial" w:eastAsia="Arial" w:hAnsi="Arial"/>
                <w:sz w:val="14"/>
                <w:szCs w:val="14"/>
                <w:color w:val="auto"/>
              </w:rPr>
              <w:t>REPRESENTATIONS AND WARRANTIES</w:t>
            </w:r>
          </w:p>
        </w:tc>
        <w:tc>
          <w:tcPr>
            <w:tcW w:w="34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28"/>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12.1</w:t>
            </w:r>
          </w:p>
        </w:tc>
        <w:tc>
          <w:tcPr>
            <w:tcW w:w="7060" w:type="dxa"/>
            <w:vAlign w:val="bottom"/>
          </w:tcPr>
          <w:p>
            <w:pPr>
              <w:ind w:left="240"/>
              <w:spacing w:after="0"/>
              <w:rPr>
                <w:sz w:val="20"/>
                <w:szCs w:val="20"/>
                <w:color w:val="auto"/>
              </w:rPr>
            </w:pPr>
            <w:r>
              <w:rPr>
                <w:rFonts w:ascii="Arial" w:cs="Arial" w:eastAsia="Arial" w:hAnsi="Arial"/>
                <w:sz w:val="14"/>
                <w:szCs w:val="14"/>
                <w:color w:val="auto"/>
              </w:rPr>
              <w:t>Representations and Warranties of Both Parties</w:t>
            </w:r>
          </w:p>
        </w:tc>
        <w:tc>
          <w:tcPr>
            <w:tcW w:w="34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12.2</w:t>
            </w:r>
          </w:p>
        </w:tc>
        <w:tc>
          <w:tcPr>
            <w:tcW w:w="7060" w:type="dxa"/>
            <w:vAlign w:val="bottom"/>
          </w:tcPr>
          <w:p>
            <w:pPr>
              <w:ind w:left="240"/>
              <w:spacing w:after="0"/>
              <w:rPr>
                <w:sz w:val="20"/>
                <w:szCs w:val="20"/>
                <w:color w:val="auto"/>
              </w:rPr>
            </w:pPr>
            <w:r>
              <w:rPr>
                <w:rFonts w:ascii="Arial" w:cs="Arial" w:eastAsia="Arial" w:hAnsi="Arial"/>
                <w:sz w:val="14"/>
                <w:szCs w:val="14"/>
                <w:color w:val="auto"/>
              </w:rPr>
              <w:t>Representations and Warranties of MacroGenics and its Affiliates</w:t>
            </w:r>
          </w:p>
        </w:tc>
        <w:tc>
          <w:tcPr>
            <w:tcW w:w="34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12.3</w:t>
            </w:r>
          </w:p>
        </w:tc>
        <w:tc>
          <w:tcPr>
            <w:tcW w:w="7060" w:type="dxa"/>
            <w:vAlign w:val="bottom"/>
          </w:tcPr>
          <w:p>
            <w:pPr>
              <w:ind w:left="240"/>
              <w:spacing w:after="0"/>
              <w:rPr>
                <w:sz w:val="20"/>
                <w:szCs w:val="20"/>
                <w:color w:val="auto"/>
              </w:rPr>
            </w:pPr>
            <w:r>
              <w:rPr>
                <w:rFonts w:ascii="Arial" w:cs="Arial" w:eastAsia="Arial" w:hAnsi="Arial"/>
                <w:sz w:val="14"/>
                <w:szCs w:val="14"/>
                <w:color w:val="auto"/>
              </w:rPr>
              <w:t>Representation and Warranty of LLS</w:t>
            </w:r>
          </w:p>
        </w:tc>
        <w:tc>
          <w:tcPr>
            <w:tcW w:w="34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12.4</w:t>
            </w:r>
          </w:p>
        </w:tc>
        <w:tc>
          <w:tcPr>
            <w:tcW w:w="7060" w:type="dxa"/>
            <w:vAlign w:val="bottom"/>
          </w:tcPr>
          <w:p>
            <w:pPr>
              <w:ind w:left="240"/>
              <w:spacing w:after="0"/>
              <w:rPr>
                <w:sz w:val="20"/>
                <w:szCs w:val="20"/>
                <w:color w:val="auto"/>
              </w:rPr>
            </w:pPr>
            <w:r>
              <w:rPr>
                <w:rFonts w:ascii="Arial" w:cs="Arial" w:eastAsia="Arial" w:hAnsi="Arial"/>
                <w:sz w:val="14"/>
                <w:szCs w:val="14"/>
                <w:color w:val="auto"/>
              </w:rPr>
              <w:t>Mutual Covenants</w:t>
            </w:r>
          </w:p>
        </w:tc>
        <w:tc>
          <w:tcPr>
            <w:tcW w:w="34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73"/>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12.5</w:t>
            </w:r>
          </w:p>
        </w:tc>
        <w:tc>
          <w:tcPr>
            <w:tcW w:w="7060" w:type="dxa"/>
            <w:vAlign w:val="bottom"/>
          </w:tcPr>
          <w:p>
            <w:pPr>
              <w:ind w:left="240"/>
              <w:spacing w:after="0"/>
              <w:rPr>
                <w:sz w:val="20"/>
                <w:szCs w:val="20"/>
                <w:color w:val="auto"/>
              </w:rPr>
            </w:pPr>
            <w:r>
              <w:rPr>
                <w:rFonts w:ascii="Arial" w:cs="Arial" w:eastAsia="Arial" w:hAnsi="Arial"/>
                <w:sz w:val="14"/>
                <w:szCs w:val="14"/>
                <w:color w:val="auto"/>
              </w:rPr>
              <w:t>Disclaimer</w:t>
            </w:r>
          </w:p>
        </w:tc>
        <w:tc>
          <w:tcPr>
            <w:tcW w:w="34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334"/>
        </w:trPr>
        <w:tc>
          <w:tcPr>
            <w:tcW w:w="1000" w:type="dxa"/>
            <w:vAlign w:val="bottom"/>
          </w:tcPr>
          <w:p>
            <w:pPr>
              <w:jc w:val="right"/>
              <w:ind w:right="192"/>
              <w:spacing w:after="0"/>
              <w:rPr>
                <w:sz w:val="20"/>
                <w:szCs w:val="20"/>
                <w:color w:val="auto"/>
              </w:rPr>
            </w:pPr>
            <w:r>
              <w:rPr>
                <w:rFonts w:ascii="Arial" w:cs="Arial" w:eastAsia="Arial" w:hAnsi="Arial"/>
                <w:sz w:val="14"/>
                <w:szCs w:val="14"/>
                <w:color w:val="auto"/>
                <w:w w:val="91"/>
              </w:rPr>
              <w:t>ARTICLE 13</w:t>
            </w:r>
          </w:p>
        </w:tc>
        <w:tc>
          <w:tcPr>
            <w:tcW w:w="7060" w:type="dxa"/>
            <w:vAlign w:val="bottom"/>
          </w:tcPr>
          <w:p>
            <w:pPr>
              <w:ind w:left="240"/>
              <w:spacing w:after="0"/>
              <w:rPr>
                <w:sz w:val="20"/>
                <w:szCs w:val="20"/>
                <w:color w:val="auto"/>
              </w:rPr>
            </w:pPr>
            <w:r>
              <w:rPr>
                <w:rFonts w:ascii="Arial" w:cs="Arial" w:eastAsia="Arial" w:hAnsi="Arial"/>
                <w:sz w:val="14"/>
                <w:szCs w:val="14"/>
                <w:color w:val="auto"/>
              </w:rPr>
              <w:t>INDEMNIFICATION</w:t>
            </w:r>
          </w:p>
        </w:tc>
        <w:tc>
          <w:tcPr>
            <w:tcW w:w="34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328"/>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13.1</w:t>
            </w:r>
          </w:p>
        </w:tc>
        <w:tc>
          <w:tcPr>
            <w:tcW w:w="7060" w:type="dxa"/>
            <w:vAlign w:val="bottom"/>
          </w:tcPr>
          <w:p>
            <w:pPr>
              <w:ind w:left="240"/>
              <w:spacing w:after="0"/>
              <w:rPr>
                <w:sz w:val="20"/>
                <w:szCs w:val="20"/>
                <w:color w:val="auto"/>
              </w:rPr>
            </w:pPr>
            <w:r>
              <w:rPr>
                <w:rFonts w:ascii="Arial" w:cs="Arial" w:eastAsia="Arial" w:hAnsi="Arial"/>
                <w:sz w:val="14"/>
                <w:szCs w:val="14"/>
                <w:color w:val="auto"/>
              </w:rPr>
              <w:t>Indemnification by Servier</w:t>
            </w:r>
          </w:p>
        </w:tc>
        <w:tc>
          <w:tcPr>
            <w:tcW w:w="34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13.2</w:t>
            </w:r>
          </w:p>
        </w:tc>
        <w:tc>
          <w:tcPr>
            <w:tcW w:w="7060" w:type="dxa"/>
            <w:vAlign w:val="bottom"/>
          </w:tcPr>
          <w:p>
            <w:pPr>
              <w:ind w:left="240"/>
              <w:spacing w:after="0"/>
              <w:rPr>
                <w:sz w:val="20"/>
                <w:szCs w:val="20"/>
                <w:color w:val="auto"/>
              </w:rPr>
            </w:pPr>
            <w:r>
              <w:rPr>
                <w:rFonts w:ascii="Arial" w:cs="Arial" w:eastAsia="Arial" w:hAnsi="Arial"/>
                <w:sz w:val="14"/>
                <w:szCs w:val="14"/>
                <w:color w:val="auto"/>
              </w:rPr>
              <w:t>Indemnification by MacroGenics</w:t>
            </w:r>
          </w:p>
        </w:tc>
        <w:tc>
          <w:tcPr>
            <w:tcW w:w="34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13.3</w:t>
            </w:r>
          </w:p>
        </w:tc>
        <w:tc>
          <w:tcPr>
            <w:tcW w:w="7060" w:type="dxa"/>
            <w:vAlign w:val="bottom"/>
          </w:tcPr>
          <w:p>
            <w:pPr>
              <w:ind w:left="240"/>
              <w:spacing w:after="0"/>
              <w:rPr>
                <w:sz w:val="20"/>
                <w:szCs w:val="20"/>
                <w:color w:val="auto"/>
              </w:rPr>
            </w:pPr>
            <w:r>
              <w:rPr>
                <w:rFonts w:ascii="Arial" w:cs="Arial" w:eastAsia="Arial" w:hAnsi="Arial"/>
                <w:sz w:val="14"/>
                <w:szCs w:val="14"/>
                <w:color w:val="auto"/>
              </w:rPr>
              <w:t>Procedure</w:t>
            </w:r>
          </w:p>
        </w:tc>
        <w:tc>
          <w:tcPr>
            <w:tcW w:w="34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13.4</w:t>
            </w:r>
          </w:p>
        </w:tc>
        <w:tc>
          <w:tcPr>
            <w:tcW w:w="7060" w:type="dxa"/>
            <w:vAlign w:val="bottom"/>
          </w:tcPr>
          <w:p>
            <w:pPr>
              <w:ind w:left="240"/>
              <w:spacing w:after="0"/>
              <w:rPr>
                <w:sz w:val="20"/>
                <w:szCs w:val="20"/>
                <w:color w:val="auto"/>
              </w:rPr>
            </w:pPr>
            <w:r>
              <w:rPr>
                <w:rFonts w:ascii="Arial" w:cs="Arial" w:eastAsia="Arial" w:hAnsi="Arial"/>
                <w:sz w:val="14"/>
                <w:szCs w:val="14"/>
                <w:color w:val="auto"/>
              </w:rPr>
              <w:t>Allocation</w:t>
            </w:r>
          </w:p>
        </w:tc>
        <w:tc>
          <w:tcPr>
            <w:tcW w:w="34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3"/>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13.5</w:t>
            </w:r>
          </w:p>
        </w:tc>
        <w:tc>
          <w:tcPr>
            <w:tcW w:w="7060" w:type="dxa"/>
            <w:vAlign w:val="bottom"/>
          </w:tcPr>
          <w:p>
            <w:pPr>
              <w:ind w:left="240"/>
              <w:spacing w:after="0"/>
              <w:rPr>
                <w:sz w:val="20"/>
                <w:szCs w:val="20"/>
                <w:color w:val="auto"/>
              </w:rPr>
            </w:pPr>
            <w:r>
              <w:rPr>
                <w:rFonts w:ascii="Arial" w:cs="Arial" w:eastAsia="Arial" w:hAnsi="Arial"/>
                <w:sz w:val="14"/>
                <w:szCs w:val="14"/>
                <w:color w:val="auto"/>
              </w:rPr>
              <w:t>***</w:t>
            </w:r>
          </w:p>
        </w:tc>
        <w:tc>
          <w:tcPr>
            <w:tcW w:w="34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34"/>
        </w:trPr>
        <w:tc>
          <w:tcPr>
            <w:tcW w:w="1000" w:type="dxa"/>
            <w:vAlign w:val="bottom"/>
          </w:tcPr>
          <w:p>
            <w:pPr>
              <w:jc w:val="right"/>
              <w:ind w:right="192"/>
              <w:spacing w:after="0"/>
              <w:rPr>
                <w:sz w:val="20"/>
                <w:szCs w:val="20"/>
                <w:color w:val="auto"/>
              </w:rPr>
            </w:pPr>
            <w:r>
              <w:rPr>
                <w:rFonts w:ascii="Arial" w:cs="Arial" w:eastAsia="Arial" w:hAnsi="Arial"/>
                <w:sz w:val="14"/>
                <w:szCs w:val="14"/>
                <w:color w:val="auto"/>
                <w:w w:val="91"/>
              </w:rPr>
              <w:t>ARTICLE 14</w:t>
            </w:r>
          </w:p>
        </w:tc>
        <w:tc>
          <w:tcPr>
            <w:tcW w:w="7060" w:type="dxa"/>
            <w:vAlign w:val="bottom"/>
          </w:tcPr>
          <w:p>
            <w:pPr>
              <w:ind w:left="240"/>
              <w:spacing w:after="0"/>
              <w:rPr>
                <w:sz w:val="20"/>
                <w:szCs w:val="20"/>
                <w:color w:val="auto"/>
              </w:rPr>
            </w:pPr>
            <w:r>
              <w:rPr>
                <w:rFonts w:ascii="Arial" w:cs="Arial" w:eastAsia="Arial" w:hAnsi="Arial"/>
                <w:sz w:val="14"/>
                <w:szCs w:val="14"/>
                <w:color w:val="auto"/>
              </w:rPr>
              <w:t>TERM AND TERMINATION</w:t>
            </w:r>
          </w:p>
        </w:tc>
        <w:tc>
          <w:tcPr>
            <w:tcW w:w="34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8"/>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14.1</w:t>
            </w:r>
          </w:p>
        </w:tc>
        <w:tc>
          <w:tcPr>
            <w:tcW w:w="7060" w:type="dxa"/>
            <w:vAlign w:val="bottom"/>
          </w:tcPr>
          <w:p>
            <w:pPr>
              <w:ind w:left="240"/>
              <w:spacing w:after="0"/>
              <w:rPr>
                <w:sz w:val="20"/>
                <w:szCs w:val="20"/>
                <w:color w:val="auto"/>
              </w:rPr>
            </w:pPr>
            <w:r>
              <w:rPr>
                <w:rFonts w:ascii="Arial" w:cs="Arial" w:eastAsia="Arial" w:hAnsi="Arial"/>
                <w:sz w:val="14"/>
                <w:szCs w:val="14"/>
                <w:color w:val="auto"/>
              </w:rPr>
              <w:t>Agreement Term; Expiration</w:t>
            </w:r>
          </w:p>
        </w:tc>
        <w:tc>
          <w:tcPr>
            <w:tcW w:w="34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14.2</w:t>
            </w:r>
          </w:p>
        </w:tc>
        <w:tc>
          <w:tcPr>
            <w:tcW w:w="7060" w:type="dxa"/>
            <w:vAlign w:val="bottom"/>
          </w:tcPr>
          <w:p>
            <w:pPr>
              <w:ind w:left="240"/>
              <w:spacing w:after="0"/>
              <w:rPr>
                <w:sz w:val="20"/>
                <w:szCs w:val="20"/>
                <w:color w:val="auto"/>
              </w:rPr>
            </w:pPr>
            <w:r>
              <w:rPr>
                <w:rFonts w:ascii="Arial" w:cs="Arial" w:eastAsia="Arial" w:hAnsi="Arial"/>
                <w:sz w:val="14"/>
                <w:szCs w:val="14"/>
                <w:color w:val="auto"/>
              </w:rPr>
              <w:t>Termination for Cause</w:t>
            </w:r>
          </w:p>
        </w:tc>
        <w:tc>
          <w:tcPr>
            <w:tcW w:w="34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14.3</w:t>
            </w:r>
          </w:p>
        </w:tc>
        <w:tc>
          <w:tcPr>
            <w:tcW w:w="7060" w:type="dxa"/>
            <w:vAlign w:val="bottom"/>
          </w:tcPr>
          <w:p>
            <w:pPr>
              <w:ind w:left="240"/>
              <w:spacing w:after="0"/>
              <w:rPr>
                <w:sz w:val="20"/>
                <w:szCs w:val="20"/>
                <w:color w:val="auto"/>
              </w:rPr>
            </w:pPr>
            <w:r>
              <w:rPr>
                <w:rFonts w:ascii="Arial" w:cs="Arial" w:eastAsia="Arial" w:hAnsi="Arial"/>
                <w:sz w:val="14"/>
                <w:szCs w:val="14"/>
                <w:color w:val="auto"/>
              </w:rPr>
              <w:t>Termination for Patent Challenge</w:t>
            </w:r>
          </w:p>
        </w:tc>
        <w:tc>
          <w:tcPr>
            <w:tcW w:w="34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14.4</w:t>
            </w:r>
          </w:p>
        </w:tc>
        <w:tc>
          <w:tcPr>
            <w:tcW w:w="7060" w:type="dxa"/>
            <w:vAlign w:val="bottom"/>
          </w:tcPr>
          <w:p>
            <w:pPr>
              <w:ind w:left="240"/>
              <w:spacing w:after="0"/>
              <w:rPr>
                <w:sz w:val="20"/>
                <w:szCs w:val="20"/>
                <w:color w:val="auto"/>
              </w:rPr>
            </w:pPr>
            <w:r>
              <w:rPr>
                <w:rFonts w:ascii="Arial" w:cs="Arial" w:eastAsia="Arial" w:hAnsi="Arial"/>
                <w:sz w:val="14"/>
                <w:szCs w:val="14"/>
                <w:color w:val="auto"/>
              </w:rPr>
              <w:t>Termination for Convenience</w:t>
            </w:r>
          </w:p>
        </w:tc>
        <w:tc>
          <w:tcPr>
            <w:tcW w:w="34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14.5</w:t>
            </w:r>
          </w:p>
        </w:tc>
        <w:tc>
          <w:tcPr>
            <w:tcW w:w="7060" w:type="dxa"/>
            <w:vAlign w:val="bottom"/>
          </w:tcPr>
          <w:p>
            <w:pPr>
              <w:ind w:left="240"/>
              <w:spacing w:after="0"/>
              <w:rPr>
                <w:sz w:val="20"/>
                <w:szCs w:val="20"/>
                <w:color w:val="auto"/>
              </w:rPr>
            </w:pPr>
            <w:r>
              <w:rPr>
                <w:rFonts w:ascii="Arial" w:cs="Arial" w:eastAsia="Arial" w:hAnsi="Arial"/>
                <w:sz w:val="14"/>
                <w:szCs w:val="14"/>
                <w:color w:val="auto"/>
              </w:rPr>
              <w:t>Termination for Insolvency Event</w:t>
            </w:r>
          </w:p>
        </w:tc>
        <w:tc>
          <w:tcPr>
            <w:tcW w:w="34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14.6</w:t>
            </w:r>
          </w:p>
        </w:tc>
        <w:tc>
          <w:tcPr>
            <w:tcW w:w="7060" w:type="dxa"/>
            <w:vAlign w:val="bottom"/>
          </w:tcPr>
          <w:p>
            <w:pPr>
              <w:ind w:left="240"/>
              <w:spacing w:after="0"/>
              <w:rPr>
                <w:sz w:val="20"/>
                <w:szCs w:val="20"/>
                <w:color w:val="auto"/>
              </w:rPr>
            </w:pPr>
            <w:r>
              <w:rPr>
                <w:rFonts w:ascii="Arial" w:cs="Arial" w:eastAsia="Arial" w:hAnsi="Arial"/>
                <w:sz w:val="14"/>
                <w:szCs w:val="14"/>
                <w:color w:val="auto"/>
              </w:rPr>
              <w:t>Termination by Servier for Safety or Public Health Reasons</w:t>
            </w:r>
          </w:p>
        </w:tc>
        <w:tc>
          <w:tcPr>
            <w:tcW w:w="34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7"/>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14.7</w:t>
            </w:r>
          </w:p>
        </w:tc>
        <w:tc>
          <w:tcPr>
            <w:tcW w:w="7060" w:type="dxa"/>
            <w:vAlign w:val="bottom"/>
          </w:tcPr>
          <w:p>
            <w:pPr>
              <w:ind w:left="240"/>
              <w:spacing w:after="0"/>
              <w:rPr>
                <w:sz w:val="20"/>
                <w:szCs w:val="20"/>
                <w:color w:val="auto"/>
              </w:rPr>
            </w:pPr>
            <w:r>
              <w:rPr>
                <w:rFonts w:ascii="Arial" w:cs="Arial" w:eastAsia="Arial" w:hAnsi="Arial"/>
                <w:sz w:val="14"/>
                <w:szCs w:val="14"/>
                <w:color w:val="auto"/>
              </w:rPr>
              <w:t>Effect of Expiration or Termination</w:t>
            </w:r>
          </w:p>
        </w:tc>
        <w:tc>
          <w:tcPr>
            <w:tcW w:w="34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73"/>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14.8</w:t>
            </w:r>
          </w:p>
        </w:tc>
        <w:tc>
          <w:tcPr>
            <w:tcW w:w="7060" w:type="dxa"/>
            <w:vAlign w:val="bottom"/>
          </w:tcPr>
          <w:p>
            <w:pPr>
              <w:ind w:left="240"/>
              <w:spacing w:after="0"/>
              <w:rPr>
                <w:sz w:val="20"/>
                <w:szCs w:val="20"/>
                <w:color w:val="auto"/>
              </w:rPr>
            </w:pPr>
            <w:r>
              <w:rPr>
                <w:rFonts w:ascii="Arial" w:cs="Arial" w:eastAsia="Arial" w:hAnsi="Arial"/>
                <w:sz w:val="14"/>
                <w:szCs w:val="14"/>
                <w:color w:val="auto"/>
              </w:rPr>
              <w:t>Accrued Rights; Surviving Provisions of the Agreement</w:t>
            </w:r>
          </w:p>
        </w:tc>
        <w:tc>
          <w:tcPr>
            <w:tcW w:w="340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334"/>
        </w:trPr>
        <w:tc>
          <w:tcPr>
            <w:tcW w:w="1000" w:type="dxa"/>
            <w:vAlign w:val="bottom"/>
          </w:tcPr>
          <w:p>
            <w:pPr>
              <w:jc w:val="right"/>
              <w:ind w:right="192"/>
              <w:spacing w:after="0"/>
              <w:rPr>
                <w:sz w:val="20"/>
                <w:szCs w:val="20"/>
                <w:color w:val="auto"/>
              </w:rPr>
            </w:pPr>
            <w:r>
              <w:rPr>
                <w:rFonts w:ascii="Arial" w:cs="Arial" w:eastAsia="Arial" w:hAnsi="Arial"/>
                <w:sz w:val="14"/>
                <w:szCs w:val="14"/>
                <w:color w:val="auto"/>
                <w:w w:val="91"/>
              </w:rPr>
              <w:t>ARTICLE 15</w:t>
            </w:r>
          </w:p>
        </w:tc>
        <w:tc>
          <w:tcPr>
            <w:tcW w:w="7060" w:type="dxa"/>
            <w:vAlign w:val="bottom"/>
          </w:tcPr>
          <w:p>
            <w:pPr>
              <w:ind w:left="240"/>
              <w:spacing w:after="0"/>
              <w:rPr>
                <w:sz w:val="20"/>
                <w:szCs w:val="20"/>
                <w:color w:val="auto"/>
              </w:rPr>
            </w:pPr>
            <w:r>
              <w:rPr>
                <w:rFonts w:ascii="Arial" w:cs="Arial" w:eastAsia="Arial" w:hAnsi="Arial"/>
                <w:sz w:val="14"/>
                <w:szCs w:val="14"/>
                <w:color w:val="auto"/>
              </w:rPr>
              <w:t>STANDSTILL</w:t>
            </w:r>
          </w:p>
        </w:tc>
        <w:tc>
          <w:tcPr>
            <w:tcW w:w="3400" w:type="dxa"/>
            <w:vAlign w:val="bottom"/>
          </w:tcPr>
          <w:p>
            <w:pPr>
              <w:spacing w:after="0"/>
              <w:rPr>
                <w:sz w:val="24"/>
                <w:szCs w:val="24"/>
                <w:color w:val="auto"/>
              </w:rPr>
            </w:pPr>
          </w:p>
        </w:tc>
      </w:tr>
      <w:tr>
        <w:trPr>
          <w:trHeight w:val="345"/>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15.1</w:t>
            </w:r>
          </w:p>
        </w:tc>
        <w:tc>
          <w:tcPr>
            <w:tcW w:w="7060" w:type="dxa"/>
            <w:vAlign w:val="bottom"/>
          </w:tcPr>
          <w:p>
            <w:pPr>
              <w:ind w:left="240"/>
              <w:spacing w:after="0"/>
              <w:rPr>
                <w:sz w:val="20"/>
                <w:szCs w:val="20"/>
                <w:color w:val="auto"/>
              </w:rPr>
            </w:pPr>
            <w:r>
              <w:rPr>
                <w:rFonts w:ascii="Arial" w:cs="Arial" w:eastAsia="Arial" w:hAnsi="Arial"/>
                <w:sz w:val="14"/>
                <w:szCs w:val="14"/>
                <w:color w:val="auto"/>
              </w:rPr>
              <w:t>Standstill</w:t>
            </w:r>
          </w:p>
        </w:tc>
        <w:tc>
          <w:tcPr>
            <w:tcW w:w="3400" w:type="dxa"/>
            <w:vAlign w:val="bottom"/>
          </w:tcPr>
          <w:p>
            <w:pPr>
              <w:spacing w:after="0"/>
              <w:rPr>
                <w:sz w:val="24"/>
                <w:szCs w:val="24"/>
                <w:color w:val="auto"/>
              </w:rPr>
            </w:pPr>
          </w:p>
        </w:tc>
      </w:tr>
      <w:tr>
        <w:trPr>
          <w:trHeight w:val="345"/>
        </w:trPr>
        <w:tc>
          <w:tcPr>
            <w:tcW w:w="1000" w:type="dxa"/>
            <w:vAlign w:val="bottom"/>
          </w:tcPr>
          <w:p>
            <w:pPr>
              <w:jc w:val="right"/>
              <w:ind w:right="192"/>
              <w:spacing w:after="0"/>
              <w:rPr>
                <w:sz w:val="20"/>
                <w:szCs w:val="20"/>
                <w:color w:val="auto"/>
              </w:rPr>
            </w:pPr>
            <w:r>
              <w:rPr>
                <w:rFonts w:ascii="Arial" w:cs="Arial" w:eastAsia="Arial" w:hAnsi="Arial"/>
                <w:sz w:val="14"/>
                <w:szCs w:val="14"/>
                <w:color w:val="auto"/>
                <w:w w:val="91"/>
              </w:rPr>
              <w:t>ARTICLE 16</w:t>
            </w:r>
          </w:p>
        </w:tc>
        <w:tc>
          <w:tcPr>
            <w:tcW w:w="7060" w:type="dxa"/>
            <w:vAlign w:val="bottom"/>
          </w:tcPr>
          <w:p>
            <w:pPr>
              <w:ind w:left="240"/>
              <w:spacing w:after="0"/>
              <w:rPr>
                <w:sz w:val="20"/>
                <w:szCs w:val="20"/>
                <w:color w:val="auto"/>
              </w:rPr>
            </w:pPr>
            <w:r>
              <w:rPr>
                <w:rFonts w:ascii="Arial" w:cs="Arial" w:eastAsia="Arial" w:hAnsi="Arial"/>
                <w:sz w:val="14"/>
                <w:szCs w:val="14"/>
                <w:color w:val="auto"/>
              </w:rPr>
              <w:t>MISCELLANEOUS</w:t>
            </w:r>
          </w:p>
        </w:tc>
        <w:tc>
          <w:tcPr>
            <w:tcW w:w="34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328"/>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16.1</w:t>
            </w:r>
          </w:p>
        </w:tc>
        <w:tc>
          <w:tcPr>
            <w:tcW w:w="7060" w:type="dxa"/>
            <w:vAlign w:val="bottom"/>
          </w:tcPr>
          <w:p>
            <w:pPr>
              <w:ind w:left="240"/>
              <w:spacing w:after="0"/>
              <w:rPr>
                <w:sz w:val="20"/>
                <w:szCs w:val="20"/>
                <w:color w:val="auto"/>
              </w:rPr>
            </w:pPr>
            <w:r>
              <w:rPr>
                <w:rFonts w:ascii="Arial" w:cs="Arial" w:eastAsia="Arial" w:hAnsi="Arial"/>
                <w:sz w:val="14"/>
                <w:szCs w:val="14"/>
                <w:color w:val="auto"/>
              </w:rPr>
              <w:t>Disputes</w:t>
            </w:r>
          </w:p>
        </w:tc>
        <w:tc>
          <w:tcPr>
            <w:tcW w:w="34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73"/>
        </w:trPr>
        <w:tc>
          <w:tcPr>
            <w:tcW w:w="1000" w:type="dxa"/>
            <w:vAlign w:val="bottom"/>
          </w:tcPr>
          <w:p>
            <w:pPr>
              <w:jc w:val="right"/>
              <w:ind w:right="232"/>
              <w:spacing w:after="0"/>
              <w:rPr>
                <w:sz w:val="20"/>
                <w:szCs w:val="20"/>
                <w:color w:val="auto"/>
              </w:rPr>
            </w:pPr>
            <w:r>
              <w:rPr>
                <w:rFonts w:ascii="Arial" w:cs="Arial" w:eastAsia="Arial" w:hAnsi="Arial"/>
                <w:sz w:val="14"/>
                <w:szCs w:val="14"/>
                <w:color w:val="auto"/>
              </w:rPr>
              <w:t>16.2</w:t>
            </w:r>
          </w:p>
        </w:tc>
        <w:tc>
          <w:tcPr>
            <w:tcW w:w="7060" w:type="dxa"/>
            <w:vAlign w:val="bottom"/>
          </w:tcPr>
          <w:p>
            <w:pPr>
              <w:ind w:left="240"/>
              <w:spacing w:after="0"/>
              <w:rPr>
                <w:sz w:val="20"/>
                <w:szCs w:val="20"/>
                <w:color w:val="auto"/>
              </w:rPr>
            </w:pPr>
            <w:r>
              <w:rPr>
                <w:rFonts w:ascii="Arial" w:cs="Arial" w:eastAsia="Arial" w:hAnsi="Arial"/>
                <w:sz w:val="14"/>
                <w:szCs w:val="14"/>
                <w:color w:val="auto"/>
              </w:rPr>
              <w:t>Arbitration Disputes</w:t>
            </w:r>
          </w:p>
        </w:tc>
        <w:tc>
          <w:tcPr>
            <w:tcW w:w="3400" w:type="dxa"/>
            <w:vAlign w:val="bottom"/>
          </w:tcPr>
          <w:p>
            <w:pPr>
              <w:jc w:val="right"/>
              <w:spacing w:after="0"/>
              <w:rPr>
                <w:sz w:val="20"/>
                <w:szCs w:val="20"/>
                <w:color w:val="auto"/>
              </w:rPr>
            </w:pPr>
            <w:r>
              <w:rPr>
                <w:rFonts w:ascii="Arial" w:cs="Arial" w:eastAsia="Arial" w:hAnsi="Arial"/>
                <w:sz w:val="14"/>
                <w:szCs w:val="14"/>
                <w:color w:val="auto"/>
              </w:rPr>
              <w:t>62</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iii -</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3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88" w:name="page789"/>
    <w:bookmarkEnd w:id="788"/>
    <w:tbl>
      <w:tblPr>
        <w:tblLayout w:type="fixed"/>
        <w:tblInd w:w="480" w:type="dxa"/>
        <w:tblCellMar>
          <w:top w:w="0" w:type="dxa"/>
          <w:left w:w="0" w:type="dxa"/>
          <w:bottom w:w="0" w:type="dxa"/>
          <w:right w:w="0" w:type="dxa"/>
        </w:tblCellMar>
      </w:tblP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16.3</w:t>
            </w:r>
          </w:p>
        </w:tc>
        <w:tc>
          <w:tcPr>
            <w:tcW w:w="6300" w:type="dxa"/>
            <w:vAlign w:val="bottom"/>
          </w:tcPr>
          <w:p>
            <w:pPr>
              <w:ind w:left="280"/>
              <w:spacing w:after="0"/>
              <w:rPr>
                <w:sz w:val="20"/>
                <w:szCs w:val="20"/>
                <w:color w:val="auto"/>
              </w:rPr>
            </w:pPr>
            <w:r>
              <w:rPr>
                <w:rFonts w:ascii="Arial" w:cs="Arial" w:eastAsia="Arial" w:hAnsi="Arial"/>
                <w:sz w:val="14"/>
                <w:szCs w:val="14"/>
                <w:color w:val="auto"/>
              </w:rPr>
              <w:t>Governing Law</w:t>
            </w:r>
          </w:p>
        </w:tc>
        <w:tc>
          <w:tcPr>
            <w:tcW w:w="4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16.4</w:t>
            </w:r>
          </w:p>
        </w:tc>
        <w:tc>
          <w:tcPr>
            <w:tcW w:w="6300" w:type="dxa"/>
            <w:vAlign w:val="bottom"/>
          </w:tcPr>
          <w:p>
            <w:pPr>
              <w:ind w:left="280"/>
              <w:spacing w:after="0"/>
              <w:rPr>
                <w:sz w:val="20"/>
                <w:szCs w:val="20"/>
                <w:color w:val="auto"/>
              </w:rPr>
            </w:pPr>
            <w:r>
              <w:rPr>
                <w:rFonts w:ascii="Arial" w:cs="Arial" w:eastAsia="Arial" w:hAnsi="Arial"/>
                <w:sz w:val="14"/>
                <w:szCs w:val="14"/>
                <w:color w:val="auto"/>
              </w:rPr>
              <w:t>Assignment</w:t>
            </w:r>
          </w:p>
        </w:tc>
        <w:tc>
          <w:tcPr>
            <w:tcW w:w="4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16.5</w:t>
            </w:r>
          </w:p>
        </w:tc>
        <w:tc>
          <w:tcPr>
            <w:tcW w:w="6300" w:type="dxa"/>
            <w:vAlign w:val="bottom"/>
          </w:tcPr>
          <w:p>
            <w:pPr>
              <w:ind w:left="280"/>
              <w:spacing w:after="0"/>
              <w:rPr>
                <w:sz w:val="20"/>
                <w:szCs w:val="20"/>
                <w:color w:val="auto"/>
              </w:rPr>
            </w:pPr>
            <w:r>
              <w:rPr>
                <w:rFonts w:ascii="Arial" w:cs="Arial" w:eastAsia="Arial" w:hAnsi="Arial"/>
                <w:sz w:val="14"/>
                <w:szCs w:val="14"/>
                <w:color w:val="auto"/>
              </w:rPr>
              <w:t>Force Majeure</w:t>
            </w:r>
          </w:p>
        </w:tc>
        <w:tc>
          <w:tcPr>
            <w:tcW w:w="4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16.6</w:t>
            </w:r>
          </w:p>
        </w:tc>
        <w:tc>
          <w:tcPr>
            <w:tcW w:w="6300" w:type="dxa"/>
            <w:vAlign w:val="bottom"/>
          </w:tcPr>
          <w:p>
            <w:pPr>
              <w:ind w:left="280"/>
              <w:spacing w:after="0"/>
              <w:rPr>
                <w:sz w:val="20"/>
                <w:szCs w:val="20"/>
                <w:color w:val="auto"/>
              </w:rPr>
            </w:pPr>
            <w:r>
              <w:rPr>
                <w:rFonts w:ascii="Arial" w:cs="Arial" w:eastAsia="Arial" w:hAnsi="Arial"/>
                <w:sz w:val="14"/>
                <w:szCs w:val="14"/>
                <w:color w:val="auto"/>
              </w:rPr>
              <w:t>Notices</w:t>
            </w:r>
          </w:p>
        </w:tc>
        <w:tc>
          <w:tcPr>
            <w:tcW w:w="40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16.7</w:t>
            </w:r>
          </w:p>
        </w:tc>
        <w:tc>
          <w:tcPr>
            <w:tcW w:w="6300" w:type="dxa"/>
            <w:vAlign w:val="bottom"/>
          </w:tcPr>
          <w:p>
            <w:pPr>
              <w:ind w:left="280"/>
              <w:spacing w:after="0"/>
              <w:rPr>
                <w:sz w:val="20"/>
                <w:szCs w:val="20"/>
                <w:color w:val="auto"/>
              </w:rPr>
            </w:pPr>
            <w:r>
              <w:rPr>
                <w:rFonts w:ascii="Arial" w:cs="Arial" w:eastAsia="Arial" w:hAnsi="Arial"/>
                <w:sz w:val="14"/>
                <w:szCs w:val="14"/>
                <w:color w:val="auto"/>
              </w:rPr>
              <w:t>Export Clause</w:t>
            </w:r>
          </w:p>
        </w:tc>
        <w:tc>
          <w:tcPr>
            <w:tcW w:w="40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16.8</w:t>
            </w:r>
          </w:p>
        </w:tc>
        <w:tc>
          <w:tcPr>
            <w:tcW w:w="6300" w:type="dxa"/>
            <w:vAlign w:val="bottom"/>
          </w:tcPr>
          <w:p>
            <w:pPr>
              <w:ind w:left="280"/>
              <w:spacing w:after="0"/>
              <w:rPr>
                <w:sz w:val="20"/>
                <w:szCs w:val="20"/>
                <w:color w:val="auto"/>
              </w:rPr>
            </w:pPr>
            <w:r>
              <w:rPr>
                <w:rFonts w:ascii="Arial" w:cs="Arial" w:eastAsia="Arial" w:hAnsi="Arial"/>
                <w:sz w:val="14"/>
                <w:szCs w:val="14"/>
                <w:color w:val="auto"/>
              </w:rPr>
              <w:t>Waiver</w:t>
            </w:r>
          </w:p>
        </w:tc>
        <w:tc>
          <w:tcPr>
            <w:tcW w:w="40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0"/>
              </w:rPr>
              <w:t>16.9</w:t>
            </w:r>
          </w:p>
        </w:tc>
        <w:tc>
          <w:tcPr>
            <w:tcW w:w="6300" w:type="dxa"/>
            <w:vAlign w:val="bottom"/>
          </w:tcPr>
          <w:p>
            <w:pPr>
              <w:ind w:left="280"/>
              <w:spacing w:after="0"/>
              <w:rPr>
                <w:sz w:val="20"/>
                <w:szCs w:val="20"/>
                <w:color w:val="auto"/>
              </w:rPr>
            </w:pPr>
            <w:r>
              <w:rPr>
                <w:rFonts w:ascii="Arial" w:cs="Arial" w:eastAsia="Arial" w:hAnsi="Arial"/>
                <w:sz w:val="14"/>
                <w:szCs w:val="14"/>
                <w:color w:val="auto"/>
              </w:rPr>
              <w:t>Severability</w:t>
            </w:r>
          </w:p>
        </w:tc>
        <w:tc>
          <w:tcPr>
            <w:tcW w:w="40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16.10</w:t>
            </w:r>
          </w:p>
        </w:tc>
        <w:tc>
          <w:tcPr>
            <w:tcW w:w="6300" w:type="dxa"/>
            <w:vAlign w:val="bottom"/>
          </w:tcPr>
          <w:p>
            <w:pPr>
              <w:ind w:left="280"/>
              <w:spacing w:after="0"/>
              <w:rPr>
                <w:sz w:val="20"/>
                <w:szCs w:val="20"/>
                <w:color w:val="auto"/>
              </w:rPr>
            </w:pPr>
            <w:r>
              <w:rPr>
                <w:rFonts w:ascii="Arial" w:cs="Arial" w:eastAsia="Arial" w:hAnsi="Arial"/>
                <w:sz w:val="14"/>
                <w:szCs w:val="14"/>
                <w:color w:val="auto"/>
              </w:rPr>
              <w:t>Entire Agreement</w:t>
            </w:r>
          </w:p>
        </w:tc>
        <w:tc>
          <w:tcPr>
            <w:tcW w:w="40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16.11</w:t>
            </w:r>
          </w:p>
        </w:tc>
        <w:tc>
          <w:tcPr>
            <w:tcW w:w="6300" w:type="dxa"/>
            <w:vAlign w:val="bottom"/>
          </w:tcPr>
          <w:p>
            <w:pPr>
              <w:ind w:left="280"/>
              <w:spacing w:after="0"/>
              <w:rPr>
                <w:sz w:val="20"/>
                <w:szCs w:val="20"/>
                <w:color w:val="auto"/>
              </w:rPr>
            </w:pPr>
            <w:r>
              <w:rPr>
                <w:rFonts w:ascii="Arial" w:cs="Arial" w:eastAsia="Arial" w:hAnsi="Arial"/>
                <w:sz w:val="14"/>
                <w:szCs w:val="14"/>
                <w:color w:val="auto"/>
              </w:rPr>
              <w:t>Independent Contractors</w:t>
            </w:r>
          </w:p>
        </w:tc>
        <w:tc>
          <w:tcPr>
            <w:tcW w:w="40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16.12</w:t>
            </w:r>
          </w:p>
        </w:tc>
        <w:tc>
          <w:tcPr>
            <w:tcW w:w="6300" w:type="dxa"/>
            <w:vAlign w:val="bottom"/>
          </w:tcPr>
          <w:p>
            <w:pPr>
              <w:ind w:left="280"/>
              <w:spacing w:after="0"/>
              <w:rPr>
                <w:sz w:val="20"/>
                <w:szCs w:val="20"/>
                <w:color w:val="auto"/>
              </w:rPr>
            </w:pPr>
            <w:r>
              <w:rPr>
                <w:rFonts w:ascii="Arial" w:cs="Arial" w:eastAsia="Arial" w:hAnsi="Arial"/>
                <w:sz w:val="14"/>
                <w:szCs w:val="14"/>
                <w:color w:val="auto"/>
              </w:rPr>
              <w:t>Headings; Construction; Interpretation</w:t>
            </w:r>
          </w:p>
        </w:tc>
        <w:tc>
          <w:tcPr>
            <w:tcW w:w="40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16.13</w:t>
            </w:r>
          </w:p>
        </w:tc>
        <w:tc>
          <w:tcPr>
            <w:tcW w:w="6300" w:type="dxa"/>
            <w:vAlign w:val="bottom"/>
          </w:tcPr>
          <w:p>
            <w:pPr>
              <w:ind w:left="280"/>
              <w:spacing w:after="0"/>
              <w:rPr>
                <w:sz w:val="20"/>
                <w:szCs w:val="20"/>
                <w:color w:val="auto"/>
              </w:rPr>
            </w:pPr>
            <w:r>
              <w:rPr>
                <w:rFonts w:ascii="Arial" w:cs="Arial" w:eastAsia="Arial" w:hAnsi="Arial"/>
                <w:sz w:val="14"/>
                <w:szCs w:val="14"/>
                <w:color w:val="auto"/>
              </w:rPr>
              <w:t>Further Actions</w:t>
            </w:r>
          </w:p>
        </w:tc>
        <w:tc>
          <w:tcPr>
            <w:tcW w:w="40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16.14</w:t>
            </w:r>
          </w:p>
        </w:tc>
        <w:tc>
          <w:tcPr>
            <w:tcW w:w="6300" w:type="dxa"/>
            <w:vAlign w:val="bottom"/>
          </w:tcPr>
          <w:p>
            <w:pPr>
              <w:ind w:left="280"/>
              <w:spacing w:after="0"/>
              <w:rPr>
                <w:sz w:val="20"/>
                <w:szCs w:val="20"/>
                <w:color w:val="auto"/>
              </w:rPr>
            </w:pPr>
            <w:r>
              <w:rPr>
                <w:rFonts w:ascii="Arial" w:cs="Arial" w:eastAsia="Arial" w:hAnsi="Arial"/>
                <w:sz w:val="14"/>
                <w:szCs w:val="14"/>
                <w:color w:val="auto"/>
              </w:rPr>
              <w:t>Parties in Interest</w:t>
            </w:r>
          </w:p>
        </w:tc>
        <w:tc>
          <w:tcPr>
            <w:tcW w:w="40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7"/>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16.15</w:t>
            </w:r>
          </w:p>
        </w:tc>
        <w:tc>
          <w:tcPr>
            <w:tcW w:w="6300" w:type="dxa"/>
            <w:vAlign w:val="bottom"/>
          </w:tcPr>
          <w:p>
            <w:pPr>
              <w:ind w:left="280"/>
              <w:spacing w:after="0"/>
              <w:rPr>
                <w:sz w:val="20"/>
                <w:szCs w:val="20"/>
                <w:color w:val="auto"/>
              </w:rPr>
            </w:pPr>
            <w:r>
              <w:rPr>
                <w:rFonts w:ascii="Arial" w:cs="Arial" w:eastAsia="Arial" w:hAnsi="Arial"/>
                <w:sz w:val="14"/>
                <w:szCs w:val="14"/>
                <w:color w:val="auto"/>
              </w:rPr>
              <w:t>Performance by Affiliates</w:t>
            </w:r>
          </w:p>
        </w:tc>
        <w:tc>
          <w:tcPr>
            <w:tcW w:w="40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73"/>
        </w:trPr>
        <w:tc>
          <w:tcPr>
            <w:tcW w:w="600" w:type="dxa"/>
            <w:vAlign w:val="bottom"/>
          </w:tcPr>
          <w:p>
            <w:pPr>
              <w:jc w:val="center"/>
              <w:ind w:right="232"/>
              <w:spacing w:after="0"/>
              <w:rPr>
                <w:sz w:val="20"/>
                <w:szCs w:val="20"/>
                <w:color w:val="auto"/>
              </w:rPr>
            </w:pPr>
            <w:r>
              <w:rPr>
                <w:rFonts w:ascii="Arial" w:cs="Arial" w:eastAsia="Arial" w:hAnsi="Arial"/>
                <w:sz w:val="14"/>
                <w:szCs w:val="14"/>
                <w:color w:val="auto"/>
                <w:w w:val="85"/>
              </w:rPr>
              <w:t>16.16</w:t>
            </w:r>
          </w:p>
        </w:tc>
        <w:tc>
          <w:tcPr>
            <w:tcW w:w="6300" w:type="dxa"/>
            <w:vAlign w:val="bottom"/>
          </w:tcPr>
          <w:p>
            <w:pPr>
              <w:ind w:left="280"/>
              <w:spacing w:after="0"/>
              <w:rPr>
                <w:sz w:val="20"/>
                <w:szCs w:val="20"/>
                <w:color w:val="auto"/>
              </w:rPr>
            </w:pPr>
            <w:r>
              <w:rPr>
                <w:rFonts w:ascii="Arial" w:cs="Arial" w:eastAsia="Arial" w:hAnsi="Arial"/>
                <w:sz w:val="14"/>
                <w:szCs w:val="14"/>
                <w:color w:val="auto"/>
              </w:rPr>
              <w:t>Counterparts</w:t>
            </w:r>
          </w:p>
        </w:tc>
        <w:tc>
          <w:tcPr>
            <w:tcW w:w="4080" w:type="dxa"/>
            <w:vAlign w:val="bottom"/>
          </w:tcPr>
          <w:p>
            <w:pPr>
              <w:jc w:val="right"/>
              <w:spacing w:after="0"/>
              <w:rPr>
                <w:sz w:val="20"/>
                <w:szCs w:val="20"/>
                <w:color w:val="auto"/>
              </w:rPr>
            </w:pPr>
            <w:r>
              <w:rPr>
                <w:rFonts w:ascii="Arial" w:cs="Arial" w:eastAsia="Arial" w:hAnsi="Arial"/>
                <w:sz w:val="14"/>
                <w:szCs w:val="14"/>
                <w:color w:val="auto"/>
              </w:rPr>
              <w:t>67</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Exhibit A-1: Back-Up Program Antibodies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Exhibit A-2: MGA271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Exhibit B: MacroGenics Patents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Exhibit C: MacroGenics Third Party Agreements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Exhibit D: Press Release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iv -</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3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89" w:name="page790"/>
    <w:bookmarkEnd w:id="789"/>
    <w:p>
      <w:pPr>
        <w:jc w:val="center"/>
        <w:ind w:right="-3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OPTION FOR A LICENSE AGREEMENT</w:t>
      </w:r>
    </w:p>
    <w:p>
      <w:pPr>
        <w:spacing w:after="0" w:line="132"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color w:val="auto"/>
        </w:rPr>
        <w:t>This Option for a License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and made effective as of the 24</w:t>
      </w:r>
      <w:r>
        <w:rPr>
          <w:rFonts w:ascii="Arial" w:cs="Arial" w:eastAsia="Arial" w:hAnsi="Arial"/>
          <w:sz w:val="8"/>
          <w:szCs w:val="8"/>
          <w:color w:val="auto"/>
        </w:rPr>
        <w:t>th</w:t>
      </w:r>
      <w:r>
        <w:rPr>
          <w:rFonts w:ascii="Arial" w:cs="Arial" w:eastAsia="Arial" w:hAnsi="Arial"/>
          <w:sz w:val="14"/>
          <w:szCs w:val="14"/>
          <w:color w:val="auto"/>
        </w:rPr>
        <w:t xml:space="preserve"> day of November, 2011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MacroGenics, Inc. a corporation organized and existing under the laws of the State of Delaware and having a principal office located at 1500 East Gude Drive Rockville, MD 20850, USA (“</w:t>
      </w:r>
      <w:r>
        <w:rPr>
          <w:rFonts w:ascii="Arial" w:cs="Arial" w:eastAsia="Arial" w:hAnsi="Arial"/>
          <w:sz w:val="14"/>
          <w:szCs w:val="14"/>
          <w:u w:val="single" w:color="auto"/>
          <w:color w:val="auto"/>
        </w:rPr>
        <w:t>MacroGenics</w:t>
      </w:r>
      <w:r>
        <w:rPr>
          <w:rFonts w:ascii="Arial" w:cs="Arial" w:eastAsia="Arial" w:hAnsi="Arial"/>
          <w:sz w:val="14"/>
          <w:szCs w:val="14"/>
          <w:color w:val="auto"/>
        </w:rPr>
        <w:t>”), and Les Laboratoires Servier, a company organized and existing under the laws of France, having a principal office located at 50 rue Carnot 92284 Suresnes (“</w:t>
      </w:r>
      <w:r>
        <w:rPr>
          <w:rFonts w:ascii="Arial" w:cs="Arial" w:eastAsia="Arial" w:hAnsi="Arial"/>
          <w:sz w:val="14"/>
          <w:szCs w:val="14"/>
          <w:u w:val="single" w:color="auto"/>
          <w:color w:val="auto"/>
        </w:rPr>
        <w:t>LLS</w:t>
      </w:r>
      <w:r>
        <w:rPr>
          <w:rFonts w:ascii="Arial" w:cs="Arial" w:eastAsia="Arial" w:hAnsi="Arial"/>
          <w:sz w:val="14"/>
          <w:szCs w:val="14"/>
          <w:color w:val="auto"/>
        </w:rPr>
        <w:t>”) and Institut de Recherches Servier, a company organized and existing under the laws of France, having a principal office located at 3 rue de la République – 92150 Suresnes - France (“</w:t>
      </w:r>
      <w:r>
        <w:rPr>
          <w:rFonts w:ascii="Arial" w:cs="Arial" w:eastAsia="Arial" w:hAnsi="Arial"/>
          <w:sz w:val="14"/>
          <w:szCs w:val="14"/>
          <w:u w:val="single" w:color="auto"/>
          <w:color w:val="auto"/>
        </w:rPr>
        <w:t>IdRS</w:t>
      </w:r>
      <w:r>
        <w:rPr>
          <w:rFonts w:ascii="Arial" w:cs="Arial" w:eastAsia="Arial" w:hAnsi="Arial"/>
          <w:sz w:val="14"/>
          <w:szCs w:val="14"/>
          <w:color w:val="auto"/>
        </w:rPr>
        <w:t>” and LLS and IdRS hereinafter collectively referred to as “</w:t>
      </w:r>
      <w:r>
        <w:rPr>
          <w:rFonts w:ascii="Arial" w:cs="Arial" w:eastAsia="Arial" w:hAnsi="Arial"/>
          <w:sz w:val="14"/>
          <w:szCs w:val="14"/>
          <w:u w:val="single" w:color="auto"/>
          <w:color w:val="auto"/>
        </w:rPr>
        <w:t>Servier</w:t>
      </w:r>
      <w:r>
        <w:rPr>
          <w:rFonts w:ascii="Arial" w:cs="Arial" w:eastAsia="Arial" w:hAnsi="Arial"/>
          <w:sz w:val="14"/>
          <w:szCs w:val="14"/>
          <w:color w:val="auto"/>
        </w:rPr>
        <w:t>”). MacroGenics and Servier are each referred to herein by name or as a “</w:t>
      </w:r>
      <w:r>
        <w:rPr>
          <w:rFonts w:ascii="Arial" w:cs="Arial" w:eastAsia="Arial" w:hAnsi="Arial"/>
          <w:sz w:val="14"/>
          <w:szCs w:val="14"/>
          <w:u w:val="single" w:color="auto"/>
          <w:color w:val="auto"/>
        </w:rPr>
        <w:t>Party</w:t>
      </w:r>
      <w:r>
        <w:rPr>
          <w:rFonts w:ascii="Arial" w:cs="Arial" w:eastAsia="Arial" w:hAnsi="Arial"/>
          <w:sz w:val="14"/>
          <w:szCs w:val="14"/>
          <w:color w:val="auto"/>
        </w:rPr>
        <w:t>” or, collectively, as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236"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RECITALS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Servier possesses expertise in the Research, Development, Manufacturing and Commercialization (each as defined below) of pharmaceutical products;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MacroGenics controls certain intellectual property related to certain antibodies targeting B7-H3, including the antibody known as MGA271;</w:t>
      </w:r>
    </w:p>
    <w:p>
      <w:pPr>
        <w:spacing w:after="0" w:line="132" w:lineRule="exact"/>
        <w:rPr>
          <w:sz w:val="20"/>
          <w:szCs w:val="20"/>
          <w:color w:val="auto"/>
        </w:rPr>
      </w:pPr>
    </w:p>
    <w:p>
      <w:pPr>
        <w:ind w:right="140" w:firstLine="458"/>
        <w:spacing w:after="0" w:line="351" w:lineRule="auto"/>
        <w:rPr>
          <w:sz w:val="20"/>
          <w:szCs w:val="20"/>
          <w:color w:val="auto"/>
        </w:rPr>
      </w:pPr>
      <w:r>
        <w:rPr>
          <w:rFonts w:ascii="Arial" w:cs="Arial" w:eastAsia="Arial" w:hAnsi="Arial"/>
          <w:sz w:val="12"/>
          <w:szCs w:val="12"/>
          <w:color w:val="auto"/>
        </w:rPr>
        <w:t>WHEREAS, Servier is interested in receiving an exclusive option to obtain a future license under which it may further research, develop and commercialize such antibodies in the Servier Territory (as defined below), and MacroGenics is willing to grant Servier such an option to obtain a future license on the terms and conditions set forth in this Agreement; and</w:t>
      </w:r>
    </w:p>
    <w:p>
      <w:pPr>
        <w:spacing w:after="0" w:line="56" w:lineRule="exact"/>
        <w:rPr>
          <w:sz w:val="20"/>
          <w:szCs w:val="20"/>
          <w:color w:val="auto"/>
        </w:rPr>
      </w:pPr>
    </w:p>
    <w:p>
      <w:pPr>
        <w:ind w:right="460" w:firstLine="458"/>
        <w:spacing w:after="0" w:line="267" w:lineRule="auto"/>
        <w:rPr>
          <w:sz w:val="20"/>
          <w:szCs w:val="20"/>
          <w:color w:val="auto"/>
        </w:rPr>
      </w:pPr>
      <w:r>
        <w:rPr>
          <w:rFonts w:ascii="Arial" w:cs="Arial" w:eastAsia="Arial" w:hAnsi="Arial"/>
          <w:sz w:val="14"/>
          <w:szCs w:val="14"/>
          <w:color w:val="auto"/>
        </w:rPr>
        <w:t>WHEREAS the Parties are willing to set forth the terms and conditions of an option grant and an exclusive license to enable Servier to research, develop and commercialize the above mentioned antibodies as further defined hereafter, upon exercise of the exclusive option by Servier.</w:t>
      </w:r>
    </w:p>
    <w:p>
      <w:pPr>
        <w:spacing w:after="0" w:line="101" w:lineRule="exact"/>
        <w:rPr>
          <w:sz w:val="20"/>
          <w:szCs w:val="20"/>
          <w:color w:val="auto"/>
        </w:rPr>
      </w:pPr>
    </w:p>
    <w:p>
      <w:pPr>
        <w:ind w:right="680" w:firstLine="458"/>
        <w:spacing w:after="0" w:line="267" w:lineRule="auto"/>
        <w:rPr>
          <w:sz w:val="20"/>
          <w:szCs w:val="20"/>
          <w:color w:val="auto"/>
        </w:rPr>
      </w:pPr>
      <w:r>
        <w:rPr>
          <w:rFonts w:ascii="Arial" w:cs="Arial" w:eastAsia="Arial" w:hAnsi="Arial"/>
          <w:sz w:val="14"/>
          <w:szCs w:val="14"/>
          <w:color w:val="auto"/>
        </w:rPr>
        <w:t>NOW, THEREFORE, in consideration of the premises and mutual covenants herein contained, and for other good and valuable consideration, the receipt and sufficiency of which are hereby acknowledged, the Parties hereto agree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DEFINITIONS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used in this Agreement, the following terms will have the meanings set forth in this ARTICLE 1 unless context dictates otherwise:</w:t>
      </w:r>
    </w:p>
    <w:p>
      <w:pPr>
        <w:spacing w:after="0" w:line="132" w:lineRule="exact"/>
        <w:rPr>
          <w:sz w:val="20"/>
          <w:szCs w:val="20"/>
          <w:color w:val="auto"/>
        </w:rPr>
      </w:pPr>
    </w:p>
    <w:p>
      <w:pPr>
        <w:ind w:right="500" w:firstLine="458"/>
        <w:spacing w:after="0" w:line="267" w:lineRule="auto"/>
        <w:rPr>
          <w:sz w:val="20"/>
          <w:szCs w:val="20"/>
          <w:color w:val="auto"/>
        </w:rPr>
      </w:pPr>
      <w:r>
        <w:rPr>
          <w:rFonts w:ascii="Arial" w:cs="Arial" w:eastAsia="Arial" w:hAnsi="Arial"/>
          <w:sz w:val="14"/>
          <w:szCs w:val="14"/>
          <w:color w:val="auto"/>
        </w:rPr>
        <w:t>1.1 “</w:t>
      </w:r>
      <w:r>
        <w:rPr>
          <w:rFonts w:ascii="Arial" w:cs="Arial" w:eastAsia="Arial" w:hAnsi="Arial"/>
          <w:sz w:val="14"/>
          <w:szCs w:val="14"/>
          <w:u w:val="single" w:color="auto"/>
          <w:color w:val="auto"/>
        </w:rPr>
        <w:t>Accounting Standards</w:t>
      </w:r>
      <w:r>
        <w:rPr>
          <w:rFonts w:ascii="Arial" w:cs="Arial" w:eastAsia="Arial" w:hAnsi="Arial"/>
          <w:sz w:val="14"/>
          <w:szCs w:val="14"/>
          <w:color w:val="auto"/>
        </w:rPr>
        <w:t>” means, with respect to a Person, generally accepted accounting principles as practiced in the United States or, to the extent applicable, IFRS (International Financial Reporting Standards).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3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90" w:name="page791"/>
    <w:bookmarkEnd w:id="790"/>
    <w:p>
      <w:pPr>
        <w:ind w:firstLine="458"/>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1.2 “</w:t>
      </w:r>
      <w:r>
        <w:rPr>
          <w:rFonts w:ascii="Arial" w:cs="Arial" w:eastAsia="Arial" w:hAnsi="Arial"/>
          <w:sz w:val="14"/>
          <w:szCs w:val="14"/>
          <w:u w:val="single" w:color="auto"/>
          <w:color w:val="auto"/>
        </w:rPr>
        <w:t>Affiliate</w:t>
      </w:r>
      <w:r>
        <w:rPr>
          <w:rFonts w:ascii="Arial" w:cs="Arial" w:eastAsia="Arial" w:hAnsi="Arial"/>
          <w:sz w:val="14"/>
          <w:szCs w:val="14"/>
          <w:color w:val="auto"/>
        </w:rPr>
        <w:t>” means, as to a Person, any other Person that, directly or indirectly through one or more intermediaries, controls, is controlled by or is under common control with said first Person, regardless of whether such Affiliate is an Affiliate on the Effective Date or becomes an Affiliate after the Effective Date. A Person shall be deemed to “control” another Person if it (a) owns, directly or indirectly, beneficially or legally, more than fifty percent (50%) of the outstanding voting securities or capital stock (or such lesser percentage which is the maximum allowed to be owned by a Person in a particular jurisdiction) of such other Person, or has other comparable ownership interest with respect to any Person other than a corporation; or (b) has the power, whether pursuant to contract, ownership of securities or otherwise, to direct the management and policies of the Person.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 “</w:t>
      </w:r>
      <w:r>
        <w:rPr>
          <w:rFonts w:ascii="Arial" w:cs="Arial" w:eastAsia="Arial" w:hAnsi="Arial"/>
          <w:sz w:val="14"/>
          <w:szCs w:val="14"/>
          <w:u w:val="single" w:color="auto"/>
          <w:color w:val="auto"/>
        </w:rPr>
        <w:t>Agreement Term</w:t>
      </w:r>
      <w:r>
        <w:rPr>
          <w:rFonts w:ascii="Arial" w:cs="Arial" w:eastAsia="Arial" w:hAnsi="Arial"/>
          <w:sz w:val="14"/>
          <w:szCs w:val="14"/>
          <w:color w:val="auto"/>
        </w:rPr>
        <w:t>” means the period commencing on the Effective Date and ending on the expiration of this Agreement in accordance with the provisions of Section 14.1.</w:t>
      </w:r>
    </w:p>
    <w:p>
      <w:pPr>
        <w:spacing w:after="0" w:line="13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1.4 “</w:t>
      </w:r>
      <w:r>
        <w:rPr>
          <w:rFonts w:ascii="Arial" w:cs="Arial" w:eastAsia="Arial" w:hAnsi="Arial"/>
          <w:sz w:val="14"/>
          <w:szCs w:val="14"/>
          <w:u w:val="single" w:color="auto"/>
          <w:color w:val="auto"/>
        </w:rPr>
        <w:t>Annual Net Sales</w:t>
      </w:r>
      <w:r>
        <w:rPr>
          <w:rFonts w:ascii="Arial" w:cs="Arial" w:eastAsia="Arial" w:hAnsi="Arial"/>
          <w:sz w:val="14"/>
          <w:szCs w:val="14"/>
          <w:color w:val="auto"/>
        </w:rPr>
        <w:t>” means aggregate Net Sales of Licensed Products by Servier or its Affiliates or Sublicensees in any Calendar Year, or in the first year and last year of the Royalty Term, the portion of such Calendar Year during which the Royalty Term is in effect.</w:t>
      </w:r>
    </w:p>
    <w:p>
      <w:pPr>
        <w:spacing w:after="0" w:line="101" w:lineRule="exact"/>
        <w:rPr>
          <w:sz w:val="20"/>
          <w:szCs w:val="20"/>
          <w:color w:val="auto"/>
        </w:rPr>
      </w:pPr>
    </w:p>
    <w:p>
      <w:pPr>
        <w:ind w:right="440" w:firstLine="458"/>
        <w:spacing w:after="0" w:line="351" w:lineRule="auto"/>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Antibody(ies)</w:t>
      </w:r>
      <w:r>
        <w:rPr>
          <w:rFonts w:ascii="Arial" w:cs="Arial" w:eastAsia="Arial" w:hAnsi="Arial"/>
          <w:sz w:val="12"/>
          <w:szCs w:val="12"/>
          <w:color w:val="auto"/>
        </w:rPr>
        <w:t>” means a monospecific molecule which comprises or contains: (a) at least one immunoglobulin variable domain or parts of such domain, variants, modifications or derivatives thereof; or (b) the nucleic acid consisting of a sequence of nucleotides encoding (or complementary to a nucleic acid encoding) the foregoing molecules in (a).</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 “</w:t>
      </w:r>
      <w:r>
        <w:rPr>
          <w:rFonts w:ascii="Arial" w:cs="Arial" w:eastAsia="Arial" w:hAnsi="Arial"/>
          <w:sz w:val="14"/>
          <w:szCs w:val="14"/>
          <w:u w:val="single" w:color="auto"/>
          <w:color w:val="auto"/>
        </w:rPr>
        <w:t>B7-H3</w:t>
      </w:r>
      <w:r>
        <w:rPr>
          <w:rFonts w:ascii="Arial" w:cs="Arial" w:eastAsia="Arial" w:hAnsi="Arial"/>
          <w:sz w:val="14"/>
          <w:szCs w:val="14"/>
          <w:color w:val="auto"/>
        </w:rPr>
        <w:t>” means the Target referred to as B7-H3, B7H3; 4Ig-B7-H3 or CD276 that is identified by Entrez Gene ID 80381.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 “</w:t>
      </w:r>
      <w:r>
        <w:rPr>
          <w:rFonts w:ascii="Arial" w:cs="Arial" w:eastAsia="Arial" w:hAnsi="Arial"/>
          <w:sz w:val="14"/>
          <w:szCs w:val="14"/>
          <w:u w:val="single" w:color="auto"/>
          <w:color w:val="auto"/>
        </w:rPr>
        <w:t>Back-Up Program Antibody(ies)</w:t>
      </w:r>
      <w:r>
        <w:rPr>
          <w:rFonts w:ascii="Arial" w:cs="Arial" w:eastAsia="Arial" w:hAnsi="Arial"/>
          <w:sz w:val="14"/>
          <w:szCs w:val="14"/>
          <w:color w:val="auto"/>
        </w:rPr>
        <w:t xml:space="preserve">” means the Antibodies identified in </w:t>
      </w:r>
      <w:r>
        <w:rPr>
          <w:rFonts w:ascii="Arial" w:cs="Arial" w:eastAsia="Arial" w:hAnsi="Arial"/>
          <w:sz w:val="14"/>
          <w:szCs w:val="14"/>
          <w:u w:val="single" w:color="auto"/>
          <w:color w:val="auto"/>
        </w:rPr>
        <w:t>Exhibit A-1</w:t>
      </w:r>
      <w:r>
        <w:rPr>
          <w:rFonts w:ascii="Arial" w:cs="Arial" w:eastAsia="Arial" w:hAnsi="Arial"/>
          <w:sz w:val="14"/>
          <w:szCs w:val="14"/>
          <w:color w:val="auto"/>
        </w:rPr>
        <w: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 “</w:t>
      </w:r>
      <w:r>
        <w:rPr>
          <w:rFonts w:ascii="Arial" w:cs="Arial" w:eastAsia="Arial" w:hAnsi="Arial"/>
          <w:sz w:val="14"/>
          <w:szCs w:val="14"/>
          <w:u w:val="single" w:color="auto"/>
          <w:color w:val="auto"/>
        </w:rPr>
        <w:t>Bi-Specific DART</w:t>
      </w:r>
      <w:r>
        <w:rPr>
          <w:rFonts w:ascii="Arial" w:cs="Arial" w:eastAsia="Arial" w:hAnsi="Arial"/>
          <w:sz w:val="14"/>
          <w:szCs w:val="14"/>
          <w:color w:val="auto"/>
        </w:rPr>
        <w:t xml:space="preserve">” means a dual affinity re-targeting molecule that binds to </w:t>
      </w:r>
      <w:r>
        <w:rPr>
          <w:rFonts w:ascii="Arial" w:cs="Arial" w:eastAsia="Arial" w:hAnsi="Arial"/>
          <w:sz w:val="14"/>
          <w:szCs w:val="14"/>
          <w:b w:val="1"/>
          <w:bCs w:val="1"/>
          <w:color w:val="auto"/>
        </w:rPr>
        <w:t>***</w:t>
      </w:r>
      <w:r>
        <w:rPr>
          <w:rFonts w:ascii="Arial" w:cs="Arial" w:eastAsia="Arial" w:hAnsi="Arial"/>
          <w:sz w:val="14"/>
          <w:szCs w:val="14"/>
          <w:color w:val="auto"/>
        </w:rPr>
        <w:t xml:space="preserve"> Targets, of which at least one of such Targets is B7-H3.</w:t>
      </w:r>
    </w:p>
    <w:p>
      <w:pPr>
        <w:spacing w:after="0" w:line="134" w:lineRule="exact"/>
        <w:rPr>
          <w:sz w:val="20"/>
          <w:szCs w:val="20"/>
          <w:color w:val="auto"/>
        </w:rPr>
      </w:pPr>
    </w:p>
    <w:p>
      <w:pPr>
        <w:ind w:right="220" w:firstLine="458"/>
        <w:spacing w:after="0" w:line="258" w:lineRule="auto"/>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BLA</w:t>
      </w:r>
      <w:r>
        <w:rPr>
          <w:rFonts w:ascii="Arial" w:cs="Arial" w:eastAsia="Arial" w:hAnsi="Arial"/>
          <w:sz w:val="14"/>
          <w:szCs w:val="14"/>
          <w:color w:val="auto"/>
        </w:rPr>
        <w:t>” means a Biologics License Application and any amendments or supplements thereto filed with the FDA pursuant to 21 C.F.R. Part 601 or any other application required for the purpose of marketing and selling a biological product filed with a Regulatory Authority outside the United States, including with respect to the EU a Product License Application, Marketing Authorization Application and/or manufacturing and importation license.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1.10 “</w:t>
      </w:r>
      <w:r>
        <w:rPr>
          <w:rFonts w:ascii="Arial" w:cs="Arial" w:eastAsia="Arial" w:hAnsi="Arial"/>
          <w:sz w:val="14"/>
          <w:szCs w:val="14"/>
          <w:u w:val="single" w:color="auto"/>
          <w:color w:val="auto"/>
        </w:rPr>
        <w:t>Business Day</w:t>
      </w:r>
      <w:r>
        <w:rPr>
          <w:rFonts w:ascii="Arial" w:cs="Arial" w:eastAsia="Arial" w:hAnsi="Arial"/>
          <w:sz w:val="14"/>
          <w:szCs w:val="14"/>
          <w:color w:val="auto"/>
        </w:rPr>
        <w:t>” means a day on which banking institutions in Washington, DC, USA and Paris, France are open for business, excluding any Saturday or Sunday.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1.11 “</w:t>
      </w:r>
      <w:r>
        <w:rPr>
          <w:rFonts w:ascii="Arial" w:cs="Arial" w:eastAsia="Arial" w:hAnsi="Arial"/>
          <w:sz w:val="14"/>
          <w:szCs w:val="14"/>
          <w:u w:val="single" w:color="auto"/>
          <w:color w:val="auto"/>
        </w:rPr>
        <w:t>Calendar Quarter</w:t>
      </w:r>
      <w:r>
        <w:rPr>
          <w:rFonts w:ascii="Arial" w:cs="Arial" w:eastAsia="Arial" w:hAnsi="Arial"/>
          <w:sz w:val="14"/>
          <w:szCs w:val="14"/>
          <w:color w:val="auto"/>
        </w:rPr>
        <w:t>” means a period of three (3) consecutive months ending on the last day of March, June, September, or December,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1.12 “</w:t>
      </w:r>
      <w:r>
        <w:rPr>
          <w:rFonts w:ascii="Arial" w:cs="Arial" w:eastAsia="Arial" w:hAnsi="Arial"/>
          <w:sz w:val="14"/>
          <w:szCs w:val="14"/>
          <w:u w:val="single" w:color="auto"/>
          <w:color w:val="auto"/>
        </w:rPr>
        <w:t>Calendar Year</w:t>
      </w:r>
      <w:r>
        <w:rPr>
          <w:rFonts w:ascii="Arial" w:cs="Arial" w:eastAsia="Arial" w:hAnsi="Arial"/>
          <w:sz w:val="14"/>
          <w:szCs w:val="14"/>
          <w:color w:val="auto"/>
        </w:rPr>
        <w:t>” means a period of time commencing on January 1 and ending on the following December 31.</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3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791" w:name="page792"/>
    <w:bookmarkEnd w:id="791"/>
    <w:p>
      <w:pPr>
        <w:ind w:right="10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1.13 “</w:t>
      </w:r>
      <w:r>
        <w:rPr>
          <w:rFonts w:ascii="Arial" w:cs="Arial" w:eastAsia="Arial" w:hAnsi="Arial"/>
          <w:sz w:val="14"/>
          <w:szCs w:val="14"/>
          <w:u w:val="single" w:color="auto"/>
          <w:color w:val="auto"/>
        </w:rPr>
        <w:t>Commercialization</w:t>
      </w:r>
      <w:r>
        <w:rPr>
          <w:rFonts w:ascii="Arial" w:cs="Arial" w:eastAsia="Arial" w:hAnsi="Arial"/>
          <w:sz w:val="14"/>
          <w:szCs w:val="14"/>
          <w:color w:val="auto"/>
        </w:rPr>
        <w:t>” or “</w:t>
      </w:r>
      <w:r>
        <w:rPr>
          <w:rFonts w:ascii="Arial" w:cs="Arial" w:eastAsia="Arial" w:hAnsi="Arial"/>
          <w:sz w:val="14"/>
          <w:szCs w:val="14"/>
          <w:u w:val="single" w:color="auto"/>
          <w:color w:val="auto"/>
        </w:rPr>
        <w:t>Commercialize</w:t>
      </w:r>
      <w:r>
        <w:rPr>
          <w:rFonts w:ascii="Arial" w:cs="Arial" w:eastAsia="Arial" w:hAnsi="Arial"/>
          <w:sz w:val="14"/>
          <w:szCs w:val="14"/>
          <w:color w:val="auto"/>
        </w:rPr>
        <w:t>” means any activities directed to obtaining pricing and/or reimbursement approvals, marketing, promoting, distributing, importing, offering to sell, and/or selling a product (including establishing the price for such product).</w:t>
      </w:r>
    </w:p>
    <w:p>
      <w:pPr>
        <w:spacing w:after="0" w:line="99" w:lineRule="exact"/>
        <w:rPr>
          <w:sz w:val="20"/>
          <w:szCs w:val="20"/>
          <w:color w:val="auto"/>
        </w:rPr>
      </w:pPr>
    </w:p>
    <w:p>
      <w:pPr>
        <w:ind w:firstLine="458"/>
        <w:spacing w:after="0" w:line="301" w:lineRule="auto"/>
        <w:rPr>
          <w:sz w:val="20"/>
          <w:szCs w:val="20"/>
          <w:color w:val="auto"/>
        </w:rPr>
      </w:pPr>
      <w:r>
        <w:rPr>
          <w:rFonts w:ascii="Arial" w:cs="Arial" w:eastAsia="Arial" w:hAnsi="Arial"/>
          <w:sz w:val="12"/>
          <w:szCs w:val="12"/>
          <w:color w:val="auto"/>
        </w:rPr>
        <w:t>1.14 “</w:t>
      </w:r>
      <w:r>
        <w:rPr>
          <w:rFonts w:ascii="Arial" w:cs="Arial" w:eastAsia="Arial" w:hAnsi="Arial"/>
          <w:sz w:val="12"/>
          <w:szCs w:val="12"/>
          <w:u w:val="single" w:color="auto"/>
          <w:color w:val="auto"/>
        </w:rPr>
        <w:t>Commercially Reasonable Efforts</w:t>
      </w:r>
      <w:r>
        <w:rPr>
          <w:rFonts w:ascii="Arial" w:cs="Arial" w:eastAsia="Arial" w:hAnsi="Arial"/>
          <w:sz w:val="12"/>
          <w:szCs w:val="12"/>
          <w:color w:val="auto"/>
        </w:rPr>
        <w:t xml:space="preserve">” means with respect to a Party, such efforts that are consistent with the efforts and resources normally used by </w:t>
      </w:r>
      <w:r>
        <w:rPr>
          <w:rFonts w:ascii="Arial" w:cs="Arial" w:eastAsia="Arial" w:hAnsi="Arial"/>
          <w:sz w:val="12"/>
          <w:szCs w:val="12"/>
          <w:b w:val="1"/>
          <w:bCs w:val="1"/>
          <w:color w:val="auto"/>
        </w:rPr>
        <w:t>***</w:t>
      </w:r>
      <w:r>
        <w:rPr>
          <w:rFonts w:ascii="Arial" w:cs="Arial" w:eastAsia="Arial" w:hAnsi="Arial"/>
          <w:sz w:val="12"/>
          <w:szCs w:val="12"/>
          <w:color w:val="auto"/>
        </w:rPr>
        <w:t xml:space="preserve"> relating to the Research, Development and Commercialization of products (a) that have scientific attributes similar to those of the relevant Program Antibody or Licensed Product in oncology, (b) that are at a similar stage in their Research, Development, Commercialization or product life as the relevant Program Antibody or Licensed Product, and (c) that have commercial and market potential similar to the relevant Program Antibody or Licensed Product, taking into account issues of intellectual property scope, subject matter and coverage, safety and efficacy, product profile, competitiveness with respect to Third Party products in the marketplace, proprietary position and profitability (including pricing and reimbursement status achieved or likely to be achieved), and (d) solely owned by them or to which they have exclusive rights. If either Party grants a sublicense to an Affiliate or Third Party as permitted under this Agreement, then, with respect to such sublicensee Commercially Reasonable Efforts shall mean the efforts and resources (as defined above in this Section 1.14) normally used by the Party granting the sublicense, qualified by the items in clauses (a) – (d) inclusive.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1.15 “</w:t>
      </w:r>
      <w:r>
        <w:rPr>
          <w:rFonts w:ascii="Arial" w:cs="Arial" w:eastAsia="Arial" w:hAnsi="Arial"/>
          <w:sz w:val="14"/>
          <w:szCs w:val="14"/>
          <w:u w:val="single" w:color="auto"/>
          <w:color w:val="auto"/>
        </w:rPr>
        <w:t>Competing Product</w:t>
      </w:r>
      <w:r>
        <w:rPr>
          <w:rFonts w:ascii="Arial" w:cs="Arial" w:eastAsia="Arial" w:hAnsi="Arial"/>
          <w:sz w:val="14"/>
          <w:szCs w:val="14"/>
          <w:color w:val="auto"/>
        </w:rPr>
        <w:t xml:space="preserve">” means (a) any product that </w:t>
      </w:r>
      <w:r>
        <w:rPr>
          <w:rFonts w:ascii="Arial" w:cs="Arial" w:eastAsia="Arial" w:hAnsi="Arial"/>
          <w:sz w:val="14"/>
          <w:szCs w:val="14"/>
          <w:b w:val="1"/>
          <w:bCs w:val="1"/>
          <w:color w:val="auto"/>
        </w:rPr>
        <w:t>***</w:t>
      </w:r>
      <w:r>
        <w:rPr>
          <w:rFonts w:ascii="Arial" w:cs="Arial" w:eastAsia="Arial" w:hAnsi="Arial"/>
          <w:sz w:val="14"/>
          <w:szCs w:val="14"/>
          <w:color w:val="auto"/>
        </w:rPr>
        <w:t xml:space="preserve"> and is specifically indicated or developed for patients that </w:t>
      </w:r>
      <w:r>
        <w:rPr>
          <w:rFonts w:ascii="Arial" w:cs="Arial" w:eastAsia="Arial" w:hAnsi="Arial"/>
          <w:sz w:val="14"/>
          <w:szCs w:val="14"/>
          <w:b w:val="1"/>
          <w:bCs w:val="1"/>
          <w:color w:val="auto"/>
        </w:rPr>
        <w:t>***</w:t>
      </w:r>
      <w:r>
        <w:rPr>
          <w:rFonts w:ascii="Arial" w:cs="Arial" w:eastAsia="Arial" w:hAnsi="Arial"/>
          <w:sz w:val="14"/>
          <w:szCs w:val="14"/>
          <w:color w:val="auto"/>
        </w:rPr>
        <w:t>; and (b) any Bi-Specific DART.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1.16 “</w:t>
      </w:r>
      <w:r>
        <w:rPr>
          <w:rFonts w:ascii="Arial" w:cs="Arial" w:eastAsia="Arial" w:hAnsi="Arial"/>
          <w:sz w:val="12"/>
          <w:szCs w:val="12"/>
          <w:u w:val="single" w:color="auto"/>
          <w:color w:val="auto"/>
        </w:rPr>
        <w:t>Complete</w:t>
      </w:r>
      <w:r>
        <w:rPr>
          <w:rFonts w:ascii="Arial" w:cs="Arial" w:eastAsia="Arial" w:hAnsi="Arial"/>
          <w:sz w:val="12"/>
          <w:szCs w:val="12"/>
          <w:color w:val="auto"/>
        </w:rPr>
        <w:t>” or “</w:t>
      </w:r>
      <w:r>
        <w:rPr>
          <w:rFonts w:ascii="Arial" w:cs="Arial" w:eastAsia="Arial" w:hAnsi="Arial"/>
          <w:sz w:val="12"/>
          <w:szCs w:val="12"/>
          <w:u w:val="single" w:color="auto"/>
          <w:color w:val="auto"/>
        </w:rPr>
        <w:t>Completing</w:t>
      </w:r>
      <w:r>
        <w:rPr>
          <w:rFonts w:ascii="Arial" w:cs="Arial" w:eastAsia="Arial" w:hAnsi="Arial"/>
          <w:sz w:val="12"/>
          <w:szCs w:val="12"/>
          <w:color w:val="auto"/>
        </w:rPr>
        <w:t>” means, for a clinical trial, the date upon which all patients have completed protocol-defined drug administration and study database lock has occurred.</w:t>
      </w:r>
    </w:p>
    <w:p>
      <w:pPr>
        <w:spacing w:after="0" w:line="155" w:lineRule="exact"/>
        <w:rPr>
          <w:sz w:val="20"/>
          <w:szCs w:val="20"/>
          <w:color w:val="auto"/>
        </w:rPr>
      </w:pPr>
    </w:p>
    <w:p>
      <w:pPr>
        <w:ind w:right="80" w:firstLine="458"/>
        <w:spacing w:after="0" w:line="302"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Control</w:t>
      </w:r>
      <w:r>
        <w:rPr>
          <w:rFonts w:ascii="Arial" w:cs="Arial" w:eastAsia="Arial" w:hAnsi="Arial"/>
          <w:sz w:val="12"/>
          <w:szCs w:val="12"/>
          <w:color w:val="auto"/>
        </w:rPr>
        <w:t>,” “</w:t>
      </w:r>
      <w:r>
        <w:rPr>
          <w:rFonts w:ascii="Arial" w:cs="Arial" w:eastAsia="Arial" w:hAnsi="Arial"/>
          <w:sz w:val="12"/>
          <w:szCs w:val="12"/>
          <w:u w:val="single" w:color="auto"/>
          <w:color w:val="auto"/>
        </w:rPr>
        <w:t>Controls</w:t>
      </w:r>
      <w:r>
        <w:rPr>
          <w:rFonts w:ascii="Arial" w:cs="Arial" w:eastAsia="Arial" w:hAnsi="Arial"/>
          <w:sz w:val="12"/>
          <w:szCs w:val="12"/>
          <w:color w:val="auto"/>
        </w:rPr>
        <w:t>,” “</w:t>
      </w:r>
      <w:r>
        <w:rPr>
          <w:rFonts w:ascii="Arial" w:cs="Arial" w:eastAsia="Arial" w:hAnsi="Arial"/>
          <w:sz w:val="12"/>
          <w:szCs w:val="12"/>
          <w:u w:val="single" w:color="auto"/>
          <w:color w:val="auto"/>
        </w:rPr>
        <w:t>Controlled</w:t>
      </w:r>
      <w:r>
        <w:rPr>
          <w:rFonts w:ascii="Arial" w:cs="Arial" w:eastAsia="Arial" w:hAnsi="Arial"/>
          <w:sz w:val="12"/>
          <w:szCs w:val="12"/>
          <w:color w:val="auto"/>
        </w:rPr>
        <w:t>” or “</w:t>
      </w:r>
      <w:r>
        <w:rPr>
          <w:rFonts w:ascii="Arial" w:cs="Arial" w:eastAsia="Arial" w:hAnsi="Arial"/>
          <w:sz w:val="12"/>
          <w:szCs w:val="12"/>
          <w:u w:val="single" w:color="auto"/>
          <w:color w:val="auto"/>
        </w:rPr>
        <w:t>Controlling</w:t>
      </w:r>
      <w:r>
        <w:rPr>
          <w:rFonts w:ascii="Arial" w:cs="Arial" w:eastAsia="Arial" w:hAnsi="Arial"/>
          <w:sz w:val="12"/>
          <w:szCs w:val="12"/>
          <w:color w:val="auto"/>
        </w:rPr>
        <w:t xml:space="preserve">” means, with respect to any item of or right under an intellectual property right, the possession (whether by ownership or license, other than pursuant to this Agreement) of the ability of a Party to grant access to, or a license or sublicense of, such items or right as provided for herein without violating the terms of any agreement or other arrangement with any Third Party existing at the time such Party would be required hereunder to grant the other Party such access or license or sublicense;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intellectual property right that is licensed or acquired by a Party after the Effective Date </w:t>
      </w:r>
      <w:r>
        <w:rPr>
          <w:rFonts w:ascii="Arial" w:cs="Arial" w:eastAsia="Arial" w:hAnsi="Arial"/>
          <w:sz w:val="12"/>
          <w:szCs w:val="12"/>
          <w:b w:val="1"/>
          <w:bCs w:val="1"/>
          <w:color w:val="auto"/>
        </w:rPr>
        <w:t>***</w:t>
      </w:r>
      <w:r>
        <w:rPr>
          <w:rFonts w:ascii="Arial" w:cs="Arial" w:eastAsia="Arial" w:hAnsi="Arial"/>
          <w:sz w:val="12"/>
          <w:szCs w:val="12"/>
          <w:color w:val="auto"/>
        </w:rPr>
        <w:t xml:space="preserve"> and that would otherwise be considered to be under the Control of such Party shall not be deemed to be under the Control of such Party if the application of such definition in the context of any licenses or sublicenses granted to the other Party under this Agreement would require the granting Party to make any additional payments or royalties to a Third Party in connection with such license or sublicense grants, unless the other Party agrees to pay the additional payments or royalties to the Third Party.</w:t>
      </w:r>
    </w:p>
    <w:p>
      <w:pPr>
        <w:spacing w:after="0" w:line="86" w:lineRule="exact"/>
        <w:rPr>
          <w:sz w:val="20"/>
          <w:szCs w:val="20"/>
          <w:color w:val="auto"/>
        </w:rPr>
      </w:pPr>
    </w:p>
    <w:p>
      <w:pPr>
        <w:ind w:right="140" w:firstLine="458"/>
        <w:spacing w:after="0" w:line="258" w:lineRule="auto"/>
        <w:rPr>
          <w:sz w:val="20"/>
          <w:szCs w:val="20"/>
          <w:color w:val="auto"/>
        </w:rPr>
      </w:pPr>
      <w:r>
        <w:rPr>
          <w:rFonts w:ascii="Arial" w:cs="Arial" w:eastAsia="Arial" w:hAnsi="Arial"/>
          <w:sz w:val="14"/>
          <w:szCs w:val="14"/>
          <w:color w:val="auto"/>
        </w:rPr>
        <w:t>1.18 “</w:t>
      </w:r>
      <w:r>
        <w:rPr>
          <w:rFonts w:ascii="Arial" w:cs="Arial" w:eastAsia="Arial" w:hAnsi="Arial"/>
          <w:sz w:val="14"/>
          <w:szCs w:val="14"/>
          <w:u w:val="single" w:color="auto"/>
          <w:color w:val="auto"/>
        </w:rPr>
        <w:t>Cover</w:t>
      </w:r>
      <w:r>
        <w:rPr>
          <w:rFonts w:ascii="Arial" w:cs="Arial" w:eastAsia="Arial" w:hAnsi="Arial"/>
          <w:sz w:val="14"/>
          <w:szCs w:val="14"/>
          <w:color w:val="auto"/>
        </w:rPr>
        <w:t>”, “</w:t>
      </w:r>
      <w:r>
        <w:rPr>
          <w:rFonts w:ascii="Arial" w:cs="Arial" w:eastAsia="Arial" w:hAnsi="Arial"/>
          <w:sz w:val="14"/>
          <w:szCs w:val="14"/>
          <w:u w:val="single" w:color="auto"/>
          <w:color w:val="auto"/>
        </w:rPr>
        <w:t>Covering</w:t>
      </w:r>
      <w:r>
        <w:rPr>
          <w:rFonts w:ascii="Arial" w:cs="Arial" w:eastAsia="Arial" w:hAnsi="Arial"/>
          <w:sz w:val="14"/>
          <w:szCs w:val="14"/>
          <w:color w:val="auto"/>
        </w:rPr>
        <w:t>” or “</w:t>
      </w:r>
      <w:r>
        <w:rPr>
          <w:rFonts w:ascii="Arial" w:cs="Arial" w:eastAsia="Arial" w:hAnsi="Arial"/>
          <w:sz w:val="14"/>
          <w:szCs w:val="14"/>
          <w:u w:val="single" w:color="auto"/>
          <w:color w:val="auto"/>
        </w:rPr>
        <w:t>Covered</w:t>
      </w:r>
      <w:r>
        <w:rPr>
          <w:rFonts w:ascii="Arial" w:cs="Arial" w:eastAsia="Arial" w:hAnsi="Arial"/>
          <w:sz w:val="14"/>
          <w:szCs w:val="14"/>
          <w:color w:val="auto"/>
        </w:rPr>
        <w:t>” means, with respect to a product, technology, process or method that, in the absence of ownership of or a license granted under a Valid Claim, the manufacture, use, offer for sale, sale or importation of such product or the practice of such technology, process or method would infringe such Valid Claim (or, in the case of a Valid Claim that has not yet issued, would infringe such Valid Claim if it were to issue).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3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92" w:name="page793"/>
    <w:bookmarkEnd w:id="792"/>
    <w:p>
      <w:pPr>
        <w:ind w:firstLine="458"/>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1.19 “</w:t>
      </w:r>
      <w:r>
        <w:rPr>
          <w:rFonts w:ascii="Arial" w:cs="Arial" w:eastAsia="Arial" w:hAnsi="Arial"/>
          <w:sz w:val="14"/>
          <w:szCs w:val="14"/>
          <w:u w:val="single" w:color="auto"/>
          <w:color w:val="auto"/>
        </w:rPr>
        <w:t>Develop</w:t>
      </w:r>
      <w:r>
        <w:rPr>
          <w:rFonts w:ascii="Arial" w:cs="Arial" w:eastAsia="Arial" w:hAnsi="Arial"/>
          <w:sz w:val="14"/>
          <w:szCs w:val="14"/>
          <w:color w:val="auto"/>
        </w:rPr>
        <w:t>” or “</w:t>
      </w:r>
      <w:r>
        <w:rPr>
          <w:rFonts w:ascii="Arial" w:cs="Arial" w:eastAsia="Arial" w:hAnsi="Arial"/>
          <w:sz w:val="14"/>
          <w:szCs w:val="14"/>
          <w:u w:val="single" w:color="auto"/>
          <w:color w:val="auto"/>
        </w:rPr>
        <w:t>Development</w:t>
      </w:r>
      <w:r>
        <w:rPr>
          <w:rFonts w:ascii="Arial" w:cs="Arial" w:eastAsia="Arial" w:hAnsi="Arial"/>
          <w:sz w:val="14"/>
          <w:szCs w:val="14"/>
          <w:color w:val="auto"/>
        </w:rPr>
        <w:t>” means drug development activities relating to the development of compounds, products, or processes, and submission of information to a Regulatory Authority for the purpose of obtaining Regulatory Approval of a product. Development includes non-clinical activities, pharmacology studies, toxicology studies, formulation, chemical analysis, bioanalytical analysis, material performance studies (such as measurements of stability, physical form, dissolution, or visual or spectroscopic analysis, and the like), pharmacokinetic studies, clinical studies, biomarker and companion diagnostic discovery and development, regulatory affairs activities, and all other activities relating to seeking, obtaining or maintaining any Regulatory Approvals from the FDA or any other applicable Regulatory Authority.</w:t>
      </w:r>
    </w:p>
    <w:p>
      <w:pPr>
        <w:spacing w:after="0" w:line="113" w:lineRule="exact"/>
        <w:rPr>
          <w:sz w:val="20"/>
          <w:szCs w:val="20"/>
          <w:color w:val="auto"/>
        </w:rPr>
      </w:pPr>
    </w:p>
    <w:p>
      <w:pPr>
        <w:jc w:val="both"/>
        <w:ind w:right="20" w:firstLine="458"/>
        <w:spacing w:after="0" w:line="311" w:lineRule="auto"/>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Development Costs</w:t>
      </w:r>
      <w:r>
        <w:rPr>
          <w:rFonts w:ascii="Arial" w:cs="Arial" w:eastAsia="Arial" w:hAnsi="Arial"/>
          <w:sz w:val="12"/>
          <w:szCs w:val="12"/>
          <w:color w:val="auto"/>
        </w:rPr>
        <w:t xml:space="preserve">” means the costs and expenses incurred by a Party or its Affiliates, attributable to, or reasonably allocable to, the Development of a Program Antibody or Licensed Product and that are consistent, if applicable, with the Development Budget and do not exceed the relevant amount set forth in such Development Budget by more than </w:t>
      </w:r>
      <w:r>
        <w:rPr>
          <w:rFonts w:ascii="Arial" w:cs="Arial" w:eastAsia="Arial" w:hAnsi="Arial"/>
          <w:sz w:val="12"/>
          <w:szCs w:val="12"/>
          <w:b w:val="1"/>
          <w:bCs w:val="1"/>
          <w:color w:val="auto"/>
        </w:rPr>
        <w:t>***</w:t>
      </w:r>
      <w:r>
        <w:rPr>
          <w:rFonts w:ascii="Arial" w:cs="Arial" w:eastAsia="Arial" w:hAnsi="Arial"/>
          <w:sz w:val="12"/>
          <w:szCs w:val="12"/>
          <w:color w:val="auto"/>
        </w:rPr>
        <w:t xml:space="preserve"> unless approved in writing by the JRDC and such other costs as are expressly approved in writing by the JRDC as “Development costs”. “Development Costs” shall include (a) Out-of-Pocket Costs and (b) FTE Costs of internal personnel that are attributable or reasonably allocable to the Development of such Program Antibody or Licensed Product determined in accordance with applicable Accounting Standards of such Party.</w:t>
      </w:r>
    </w:p>
    <w:p>
      <w:pPr>
        <w:spacing w:after="0" w:line="79"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u w:val="single" w:color="auto"/>
          <w:color w:val="auto"/>
        </w:rPr>
        <w:t>Diagnostic</w:t>
      </w:r>
      <w:r>
        <w:rPr>
          <w:rFonts w:ascii="Arial" w:cs="Arial" w:eastAsia="Arial" w:hAnsi="Arial"/>
          <w:sz w:val="14"/>
          <w:szCs w:val="14"/>
          <w:color w:val="auto"/>
        </w:rPr>
        <w:t>” means any companion diagnostic for a B7-H3 expressing tumor that is (a) Developed in combination with a Program Antibody and/or Licensed Product; and (b) used in combination with a Licensed Product.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1.22 “</w:t>
      </w:r>
      <w:r>
        <w:rPr>
          <w:rFonts w:ascii="Arial" w:cs="Arial" w:eastAsia="Arial" w:hAnsi="Arial"/>
          <w:sz w:val="14"/>
          <w:szCs w:val="14"/>
          <w:u w:val="single" w:color="auto"/>
          <w:color w:val="auto"/>
        </w:rPr>
        <w:t>Dollars</w:t>
      </w:r>
      <w:r>
        <w:rPr>
          <w:rFonts w:ascii="Arial" w:cs="Arial" w:eastAsia="Arial" w:hAnsi="Arial"/>
          <w:sz w:val="14"/>
          <w:szCs w:val="14"/>
          <w:color w:val="auto"/>
        </w:rPr>
        <w:t>” or “</w:t>
      </w:r>
      <w:r>
        <w:rPr>
          <w:rFonts w:ascii="Arial" w:cs="Arial" w:eastAsia="Arial" w:hAnsi="Arial"/>
          <w:sz w:val="14"/>
          <w:szCs w:val="14"/>
          <w:u w:val="single" w:color="auto"/>
          <w:color w:val="auto"/>
        </w:rPr>
        <w:t>$</w:t>
      </w:r>
      <w:r>
        <w:rPr>
          <w:rFonts w:ascii="Arial" w:cs="Arial" w:eastAsia="Arial" w:hAnsi="Arial"/>
          <w:sz w:val="14"/>
          <w:szCs w:val="14"/>
          <w:color w:val="auto"/>
        </w:rPr>
        <w:t>” means the legal tender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1.23 “</w:t>
      </w:r>
      <w:r>
        <w:rPr>
          <w:rFonts w:ascii="Arial" w:cs="Arial" w:eastAsia="Arial" w:hAnsi="Arial"/>
          <w:sz w:val="14"/>
          <w:szCs w:val="14"/>
          <w:u w:val="single" w:color="auto"/>
          <w:color w:val="auto"/>
        </w:rPr>
        <w:t>EMA</w:t>
      </w:r>
      <w:r>
        <w:rPr>
          <w:rFonts w:ascii="Arial" w:cs="Arial" w:eastAsia="Arial" w:hAnsi="Arial"/>
          <w:sz w:val="14"/>
          <w:szCs w:val="14"/>
          <w:color w:val="auto"/>
        </w:rPr>
        <w:t>” means the European Medicines Agency, or any successor entity thereto.</w:t>
      </w:r>
    </w:p>
    <w:p>
      <w:pPr>
        <w:spacing w:after="0" w:line="132" w:lineRule="exact"/>
        <w:rPr>
          <w:sz w:val="20"/>
          <w:szCs w:val="20"/>
          <w:color w:val="auto"/>
        </w:rPr>
      </w:pPr>
    </w:p>
    <w:p>
      <w:pPr>
        <w:ind w:right="20" w:firstLine="458"/>
        <w:spacing w:after="0" w:line="258" w:lineRule="auto"/>
        <w:rPr>
          <w:sz w:val="20"/>
          <w:szCs w:val="20"/>
          <w:color w:val="auto"/>
        </w:rPr>
      </w:pPr>
      <w:r>
        <w:rPr>
          <w:rFonts w:ascii="Arial" w:cs="Arial" w:eastAsia="Arial" w:hAnsi="Arial"/>
          <w:sz w:val="14"/>
          <w:szCs w:val="14"/>
          <w:color w:val="auto"/>
        </w:rPr>
        <w:t>1.24 “</w:t>
      </w:r>
      <w:r>
        <w:rPr>
          <w:rFonts w:ascii="Arial" w:cs="Arial" w:eastAsia="Arial" w:hAnsi="Arial"/>
          <w:sz w:val="14"/>
          <w:szCs w:val="14"/>
          <w:u w:val="single" w:color="auto"/>
          <w:color w:val="auto"/>
        </w:rPr>
        <w:t>EU</w:t>
      </w:r>
      <w:r>
        <w:rPr>
          <w:rFonts w:ascii="Arial" w:cs="Arial" w:eastAsia="Arial" w:hAnsi="Arial"/>
          <w:sz w:val="14"/>
          <w:szCs w:val="14"/>
          <w:color w:val="auto"/>
        </w:rPr>
        <w:t>” means the European Union, as its membership may be altered from time to time, and any successor thereto. The member countries of the European Union as of the Effective Date are Austria, Belgium, Bulgaria, Cyprus, Czech Republic, Denmark, Estonia, Finland, France, Germany, Greece, Hungary, Ireland, Italy, Latvia, Lithuania, Luxembourg, Malta, Netherlands, Poland, Portugal, Romania, Slovakia, Slovenia, Spain, Sweden, and United Kingdom as well as Norway and Iceland.</w:t>
      </w:r>
    </w:p>
    <w:p>
      <w:pPr>
        <w:spacing w:after="0" w:line="108" w:lineRule="exact"/>
        <w:rPr>
          <w:sz w:val="20"/>
          <w:szCs w:val="20"/>
          <w:color w:val="auto"/>
        </w:rPr>
      </w:pPr>
    </w:p>
    <w:p>
      <w:pPr>
        <w:ind w:right="20" w:firstLine="458"/>
        <w:spacing w:after="0" w:line="351" w:lineRule="auto"/>
        <w:rPr>
          <w:sz w:val="20"/>
          <w:szCs w:val="20"/>
          <w:color w:val="auto"/>
        </w:rPr>
      </w:pPr>
      <w:r>
        <w:rPr>
          <w:rFonts w:ascii="Arial" w:cs="Arial" w:eastAsia="Arial" w:hAnsi="Arial"/>
          <w:sz w:val="12"/>
          <w:szCs w:val="12"/>
          <w:color w:val="auto"/>
        </w:rPr>
        <w:t>1.25 “</w:t>
      </w:r>
      <w:r>
        <w:rPr>
          <w:rFonts w:ascii="Arial" w:cs="Arial" w:eastAsia="Arial" w:hAnsi="Arial"/>
          <w:sz w:val="12"/>
          <w:szCs w:val="12"/>
          <w:u w:val="single" w:color="auto"/>
          <w:color w:val="auto"/>
        </w:rPr>
        <w:t>Excluded Data</w:t>
      </w:r>
      <w:r>
        <w:rPr>
          <w:rFonts w:ascii="Arial" w:cs="Arial" w:eastAsia="Arial" w:hAnsi="Arial"/>
          <w:sz w:val="12"/>
          <w:szCs w:val="12"/>
          <w:color w:val="auto"/>
        </w:rPr>
        <w:t>” means any Know-How, other than Safety Data, generated by a Party in the conduct of Development activities in accordance with a Development Collaboration Proposal where the other Party has declined to participate in such Development Collaboration Proposal and has not paid the Buy-In Amount in accordance with Section 5.4.2(b)(iv).</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1.26 “</w:t>
      </w:r>
      <w:r>
        <w:rPr>
          <w:rFonts w:ascii="Arial" w:cs="Arial" w:eastAsia="Arial" w:hAnsi="Arial"/>
          <w:sz w:val="14"/>
          <w:szCs w:val="14"/>
          <w:u w:val="single" w:color="auto"/>
          <w:color w:val="auto"/>
        </w:rPr>
        <w:t>FDA</w:t>
      </w:r>
      <w:r>
        <w:rPr>
          <w:rFonts w:ascii="Arial" w:cs="Arial" w:eastAsia="Arial" w:hAnsi="Arial"/>
          <w:sz w:val="14"/>
          <w:szCs w:val="14"/>
          <w:color w:val="auto"/>
        </w:rPr>
        <w:t>” means the U.S. Food and Drug Administration, or any successor entity thereto.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3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793" w:name="page794"/>
    <w:bookmarkEnd w:id="793"/>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1.27 “</w:t>
      </w:r>
      <w:r>
        <w:rPr>
          <w:rFonts w:ascii="Arial" w:cs="Arial" w:eastAsia="Arial" w:hAnsi="Arial"/>
          <w:sz w:val="14"/>
          <w:szCs w:val="14"/>
          <w:u w:val="single" w:color="auto"/>
          <w:color w:val="auto"/>
        </w:rPr>
        <w:t>FD&amp;C Act</w:t>
      </w:r>
      <w:r>
        <w:rPr>
          <w:rFonts w:ascii="Arial" w:cs="Arial" w:eastAsia="Arial" w:hAnsi="Arial"/>
          <w:sz w:val="14"/>
          <w:szCs w:val="14"/>
          <w:color w:val="auto"/>
        </w:rPr>
        <w:t>” means the United States Federal Food, Drug, and Cosmetic Act, as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u w:val="single" w:color="auto"/>
          <w:color w:val="auto"/>
        </w:rPr>
        <w:t>Field</w:t>
      </w:r>
      <w:r>
        <w:rPr>
          <w:rFonts w:ascii="Arial" w:cs="Arial" w:eastAsia="Arial" w:hAnsi="Arial"/>
          <w:sz w:val="14"/>
          <w:szCs w:val="14"/>
          <w:color w:val="auto"/>
        </w:rPr>
        <w:t>” means all human fields of use.</w:t>
      </w:r>
    </w:p>
    <w:p>
      <w:pPr>
        <w:spacing w:after="0" w:line="132" w:lineRule="exact"/>
        <w:rPr>
          <w:sz w:val="20"/>
          <w:szCs w:val="20"/>
          <w:color w:val="auto"/>
        </w:rPr>
      </w:pPr>
    </w:p>
    <w:p>
      <w:pPr>
        <w:ind w:right="20" w:firstLine="458"/>
        <w:spacing w:after="0" w:line="255"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u w:val="single" w:color="auto"/>
          <w:color w:val="auto"/>
        </w:rPr>
        <w:t>First Commercial Sale</w:t>
      </w:r>
      <w:r>
        <w:rPr>
          <w:rFonts w:ascii="Arial" w:cs="Arial" w:eastAsia="Arial" w:hAnsi="Arial"/>
          <w:sz w:val="14"/>
          <w:szCs w:val="14"/>
          <w:color w:val="auto"/>
        </w:rPr>
        <w:t>” means the first sale of a Licensed Product by Servier, its Affiliates or its Sublicensees for use or consumption of such Licensed Product in a country in the Servier Territory where Regulatory Approval of such Licensed Product has been obtained or otherwise permitted for sale by the Governmental Authority of such country. Sale of a Licensed Product by Servier to an Affiliate of Servier or a Sublicensee of Servier shall not constitute a First Commercial Sale unless such Affiliate or such Sublicensee is the end user of a Licensed Product. In no event shall any sales for premarketing, testing or sampling be deemed a First Commercial Sale.</w:t>
      </w:r>
    </w:p>
    <w:p>
      <w:pPr>
        <w:spacing w:after="0" w:line="108" w:lineRule="exact"/>
        <w:rPr>
          <w:sz w:val="20"/>
          <w:szCs w:val="20"/>
          <w:color w:val="auto"/>
        </w:rPr>
      </w:pPr>
    </w:p>
    <w:p>
      <w:pPr>
        <w:jc w:val="both"/>
        <w:ind w:right="80" w:firstLine="458"/>
        <w:spacing w:after="0" w:line="259"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u w:val="single" w:color="auto"/>
          <w:color w:val="auto"/>
        </w:rPr>
        <w:t>FTE</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 xml:space="preserve"> of work devoted to or in support of the Development or Manufacture of Program Antibodies and Licensed Product in accordance with a Global Development Plan or as required under Section 7.2, that is carried out by one or more qualified scientific or technical employees or contract personnel of MacroGenics or its Affiliates, or Servier or its Affiliates, as measured in accordance with the relevant Party’s normal time allocation practices.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1.31 “</w:t>
      </w:r>
      <w:r>
        <w:rPr>
          <w:rFonts w:ascii="Arial" w:cs="Arial" w:eastAsia="Arial" w:hAnsi="Arial"/>
          <w:sz w:val="14"/>
          <w:szCs w:val="14"/>
          <w:u w:val="single" w:color="auto"/>
          <w:color w:val="auto"/>
        </w:rPr>
        <w:t>FTE Cost</w:t>
      </w:r>
      <w:r>
        <w:rPr>
          <w:rFonts w:ascii="Arial" w:cs="Arial" w:eastAsia="Arial" w:hAnsi="Arial"/>
          <w:sz w:val="14"/>
          <w:szCs w:val="14"/>
          <w:color w:val="auto"/>
        </w:rPr>
        <w:t>” means, for any period, the FTE Rate multiplied by the number of FTEs in such period.</w:t>
      </w:r>
    </w:p>
    <w:p>
      <w:pPr>
        <w:spacing w:after="0" w:line="130" w:lineRule="exact"/>
        <w:rPr>
          <w:sz w:val="20"/>
          <w:szCs w:val="20"/>
          <w:color w:val="auto"/>
        </w:rPr>
      </w:pPr>
    </w:p>
    <w:p>
      <w:pPr>
        <w:ind w:right="320" w:firstLine="458"/>
        <w:spacing w:after="0" w:line="270"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u w:val="single" w:color="auto"/>
          <w:color w:val="auto"/>
        </w:rPr>
        <w:t>FTE Rate</w:t>
      </w:r>
      <w:r>
        <w:rPr>
          <w:rFonts w:ascii="Arial" w:cs="Arial" w:eastAsia="Arial" w:hAnsi="Arial"/>
          <w:sz w:val="14"/>
          <w:szCs w:val="14"/>
          <w:color w:val="auto"/>
        </w:rPr>
        <w:t xml:space="preserve">” means a rate of </w:t>
      </w:r>
      <w:r>
        <w:rPr>
          <w:rFonts w:ascii="Arial" w:cs="Arial" w:eastAsia="Arial" w:hAnsi="Arial"/>
          <w:sz w:val="14"/>
          <w:szCs w:val="14"/>
          <w:b w:val="1"/>
          <w:bCs w:val="1"/>
          <w:color w:val="auto"/>
        </w:rPr>
        <w:t>***</w:t>
      </w:r>
      <w:r>
        <w:rPr>
          <w:rFonts w:ascii="Arial" w:cs="Arial" w:eastAsia="Arial" w:hAnsi="Arial"/>
          <w:sz w:val="14"/>
          <w:szCs w:val="14"/>
          <w:color w:val="auto"/>
        </w:rPr>
        <w:t xml:space="preserve"> per FTE per Calendar Year (pro-rated for the period beginning on the Effective Date and ending at the end of the first Calendar Year) for personnel engaged in Development and Manufacturing activities. The FTE Rate is “fully burdened” and will cover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9"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1.33 “</w:t>
      </w:r>
      <w:r>
        <w:rPr>
          <w:rFonts w:ascii="Arial" w:cs="Arial" w:eastAsia="Arial" w:hAnsi="Arial"/>
          <w:sz w:val="12"/>
          <w:szCs w:val="12"/>
          <w:u w:val="single" w:color="auto"/>
          <w:color w:val="auto"/>
        </w:rPr>
        <w:t>Fully Burdened Manufacturing Cost</w:t>
      </w:r>
      <w:r>
        <w:rPr>
          <w:rFonts w:ascii="Arial" w:cs="Arial" w:eastAsia="Arial" w:hAnsi="Arial"/>
          <w:sz w:val="12"/>
          <w:szCs w:val="12"/>
          <w:color w:val="auto"/>
        </w:rPr>
        <w:t xml:space="preserve">” means with respect to a Program Antibody or Licensed Product, the aggregate of internal and external costs of MacroGenics and its Affiliates to Manufacture such Program Antibody or Licensed Product, calculated as follows: (a) to the extent that MacroGenics or its Affiliates perform all or any part of the Manufacturing of such Program Antibody or Licensed Product, the direct material costs </w:t>
      </w:r>
      <w:r>
        <w:rPr>
          <w:rFonts w:ascii="Arial" w:cs="Arial" w:eastAsia="Arial" w:hAnsi="Arial"/>
          <w:sz w:val="12"/>
          <w:szCs w:val="12"/>
          <w:b w:val="1"/>
          <w:bCs w:val="1"/>
          <w:color w:val="auto"/>
        </w:rPr>
        <w:t>***</w:t>
      </w:r>
      <w:r>
        <w:rPr>
          <w:rFonts w:ascii="Arial" w:cs="Arial" w:eastAsia="Arial" w:hAnsi="Arial"/>
          <w:sz w:val="12"/>
          <w:szCs w:val="12"/>
          <w:color w:val="auto"/>
        </w:rPr>
        <w:t xml:space="preserve"> and FTE Costs for such Manufacturing of such Program Antibody or Licensed Product </w:t>
      </w:r>
      <w:r>
        <w:rPr>
          <w:rFonts w:ascii="Arial" w:cs="Arial" w:eastAsia="Arial" w:hAnsi="Arial"/>
          <w:sz w:val="12"/>
          <w:szCs w:val="12"/>
          <w:b w:val="1"/>
          <w:bCs w:val="1"/>
          <w:color w:val="auto"/>
        </w:rPr>
        <w:t>***</w:t>
      </w:r>
      <w:r>
        <w:rPr>
          <w:rFonts w:ascii="Arial" w:cs="Arial" w:eastAsia="Arial" w:hAnsi="Arial"/>
          <w:sz w:val="12"/>
          <w:szCs w:val="12"/>
          <w:color w:val="auto"/>
        </w:rPr>
        <w:t xml:space="preserve">, all calculated in accordance with applicable Accounting Standards as consistently applied by MacroGenics or its Affiliates; and (b) to the extent that Manufacturing of such Program Antibody or Licensed Product is performed by a Third Party, the costs paid to such Third Party for such activities *** and the reasonable direct FTE Costs incurred by MacroGenics or any of its Affiliates in managing and overseeing the Third Party relationship, determined in accordance with applicable Accounting Standards as consistently applied by MacroGenics or its Affiliates.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86" w:lineRule="exact"/>
        <w:rPr>
          <w:sz w:val="20"/>
          <w:szCs w:val="20"/>
          <w:color w:val="auto"/>
        </w:rPr>
      </w:pPr>
    </w:p>
    <w:p>
      <w:pPr>
        <w:ind w:right="140" w:firstLine="458"/>
        <w:spacing w:after="0" w:line="351" w:lineRule="auto"/>
        <w:rPr>
          <w:sz w:val="20"/>
          <w:szCs w:val="20"/>
          <w:color w:val="auto"/>
        </w:rPr>
      </w:pPr>
      <w:r>
        <w:rPr>
          <w:rFonts w:ascii="Arial" w:cs="Arial" w:eastAsia="Arial" w:hAnsi="Arial"/>
          <w:sz w:val="12"/>
          <w:szCs w:val="12"/>
          <w:color w:val="auto"/>
        </w:rPr>
        <w:t>1.34 “</w:t>
      </w:r>
      <w:r>
        <w:rPr>
          <w:rFonts w:ascii="Arial" w:cs="Arial" w:eastAsia="Arial" w:hAnsi="Arial"/>
          <w:sz w:val="12"/>
          <w:szCs w:val="12"/>
          <w:u w:val="single" w:color="auto"/>
          <w:color w:val="auto"/>
        </w:rPr>
        <w:t>Generic Competition</w:t>
      </w:r>
      <w:r>
        <w:rPr>
          <w:rFonts w:ascii="Arial" w:cs="Arial" w:eastAsia="Arial" w:hAnsi="Arial"/>
          <w:sz w:val="12"/>
          <w:szCs w:val="12"/>
          <w:color w:val="auto"/>
        </w:rPr>
        <w:t xml:space="preserve">” means, with respect to a given Calendar Quarter with respect to a Licensed Product in any country, that during such Calendar Quarter, one (1) or more Third Parties sell in such country a Generic Product, such Generic Product shall be commercially available in such country and such Generic Product shall have, in the aggregate, a </w:t>
      </w:r>
      <w:r>
        <w:rPr>
          <w:rFonts w:ascii="Arial" w:cs="Arial" w:eastAsia="Arial" w:hAnsi="Arial"/>
          <w:sz w:val="12"/>
          <w:szCs w:val="12"/>
          <w:b w:val="1"/>
          <w:bCs w:val="1"/>
          <w:color w:val="auto"/>
        </w:rPr>
        <w:t>***</w:t>
      </w:r>
      <w:r>
        <w:rPr>
          <w:rFonts w:ascii="Arial" w:cs="Arial" w:eastAsia="Arial" w:hAnsi="Arial"/>
          <w:sz w:val="12"/>
          <w:szCs w:val="12"/>
          <w:color w:val="auto"/>
        </w:rPr>
        <w:t xml:space="preserve"> or more</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3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794" w:name="page795"/>
    <w:bookmarkEnd w:id="794"/>
    <w:p>
      <w:pPr>
        <w:ind w:right="1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market share of the aggregate of Licensed Products and Generic Products (based on data provided by IMS Health Incorporated, Fairfield, Connecticut) as measured on a ***, or if such data is not available, the Parties shall agree upon a methodology for estimating the percentage of unit sales based market share of Generic Products in such country.</w:t>
      </w:r>
    </w:p>
    <w:p>
      <w:pPr>
        <w:spacing w:after="0" w:line="101" w:lineRule="exact"/>
        <w:rPr>
          <w:sz w:val="20"/>
          <w:szCs w:val="20"/>
          <w:color w:val="auto"/>
        </w:rPr>
      </w:pPr>
    </w:p>
    <w:p>
      <w:pPr>
        <w:ind w:right="20" w:firstLine="458"/>
        <w:spacing w:after="0" w:line="305" w:lineRule="auto"/>
        <w:rPr>
          <w:sz w:val="20"/>
          <w:szCs w:val="20"/>
          <w:color w:val="auto"/>
        </w:rPr>
      </w:pPr>
      <w:r>
        <w:rPr>
          <w:rFonts w:ascii="Arial" w:cs="Arial" w:eastAsia="Arial" w:hAnsi="Arial"/>
          <w:sz w:val="12"/>
          <w:szCs w:val="12"/>
          <w:color w:val="auto"/>
        </w:rPr>
        <w:t>1.35 “</w:t>
      </w:r>
      <w:r>
        <w:rPr>
          <w:rFonts w:ascii="Arial" w:cs="Arial" w:eastAsia="Arial" w:hAnsi="Arial"/>
          <w:sz w:val="12"/>
          <w:szCs w:val="12"/>
          <w:u w:val="single" w:color="auto"/>
          <w:color w:val="auto"/>
        </w:rPr>
        <w:t>Generic Products</w:t>
      </w:r>
      <w:r>
        <w:rPr>
          <w:rFonts w:ascii="Arial" w:cs="Arial" w:eastAsia="Arial" w:hAnsi="Arial"/>
          <w:sz w:val="12"/>
          <w:szCs w:val="12"/>
          <w:color w:val="auto"/>
        </w:rPr>
        <w:t>” means, with respect to a particular Licensed Product commercialized by Servier in a particular country, any product (other than Licensed Products commercialized, directly or indirectly, by Servier, its Affiliates or Sublicensees, or by any authorized distributors of Servier, its Affiliates or Sublicensees) that either (a) is a “follow-on biologic” (FOB) or biosimilar or equivalent version to a Licensed Product, as defined by the competent Regulatory Authority, and administered in an equivalent dosage form as such Licensed Product or (b) for which a Third Party has received Regulatory Approval (based upon then-current applicable Laws governing approval of biological products) whose application for approval relies to a large extent (but not exclusively) on data generated for a Licensed Product, including Regulatory Approval under section 505(b)(2) of the Federal Food Drug, and Cosmetic Act.</w:t>
      </w:r>
    </w:p>
    <w:p>
      <w:pPr>
        <w:spacing w:after="0" w:line="84"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u w:val="single" w:color="auto"/>
          <w:color w:val="auto"/>
        </w:rPr>
        <w:t>Global Clinical Trial</w:t>
      </w:r>
      <w:r>
        <w:rPr>
          <w:rFonts w:ascii="Arial" w:cs="Arial" w:eastAsia="Arial" w:hAnsi="Arial"/>
          <w:sz w:val="14"/>
          <w:szCs w:val="14"/>
          <w:color w:val="auto"/>
        </w:rPr>
        <w:t>” means a Phase 1 Clinical Trial, a Phase 2 Clinical Trial or a Phase 3 Clinical Trial that may be applicable to obtaining Regulatory Approval of Licensed Products in both the Servier Territory and the MacroGenics Territory or relies on patient recruitment from both the Servier Territory and the MacroGenics Territory.</w:t>
      </w:r>
    </w:p>
    <w:p>
      <w:pPr>
        <w:spacing w:after="0" w:line="101"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1.37 “</w:t>
      </w:r>
      <w:r>
        <w:rPr>
          <w:rFonts w:ascii="Arial" w:cs="Arial" w:eastAsia="Arial" w:hAnsi="Arial"/>
          <w:sz w:val="12"/>
          <w:szCs w:val="12"/>
          <w:u w:val="single" w:color="auto"/>
          <w:color w:val="auto"/>
        </w:rPr>
        <w:t>Good Clinical Practices</w:t>
      </w:r>
      <w:r>
        <w:rPr>
          <w:rFonts w:ascii="Arial" w:cs="Arial" w:eastAsia="Arial" w:hAnsi="Arial"/>
          <w:sz w:val="12"/>
          <w:szCs w:val="12"/>
          <w:color w:val="auto"/>
        </w:rPr>
        <w:t>” or “</w:t>
      </w:r>
      <w:r>
        <w:rPr>
          <w:rFonts w:ascii="Arial" w:cs="Arial" w:eastAsia="Arial" w:hAnsi="Arial"/>
          <w:sz w:val="12"/>
          <w:szCs w:val="12"/>
          <w:u w:val="single" w:color="auto"/>
          <w:color w:val="auto"/>
        </w:rPr>
        <w:t>GCP</w:t>
      </w:r>
      <w:r>
        <w:rPr>
          <w:rFonts w:ascii="Arial" w:cs="Arial" w:eastAsia="Arial" w:hAnsi="Arial"/>
          <w:sz w:val="12"/>
          <w:szCs w:val="12"/>
          <w:color w:val="auto"/>
        </w:rPr>
        <w:t>” means the then-current standards, practices and procedures (a) promulgated or endorsed by the FDA as set forth in the guidelines entitled “Guidance for Industry E6 Good Clinical Practice: Consolidated Guidance,” including related regulatory requirements imposed by the FDA; (b) set forth in Directive 2001/20/EC of the European Parliament and of the Council of 4 April 2001 and Commission Directive 2005//28/EC of 8 April 2005; (c) ICH Guideline for Good Clinical Practice E6; (d) equivalent Laws of an applicable Regulatory Authority; and (e) all additional Regulatory Authority documents or regulations that replace, amend, modify, supplant or complement any of the foregoing.</w:t>
      </w:r>
    </w:p>
    <w:p>
      <w:pPr>
        <w:spacing w:after="0" w:line="79" w:lineRule="exact"/>
        <w:rPr>
          <w:sz w:val="20"/>
          <w:szCs w:val="20"/>
          <w:color w:val="auto"/>
        </w:rPr>
      </w:pPr>
    </w:p>
    <w:p>
      <w:pPr>
        <w:ind w:right="100" w:firstLine="458"/>
        <w:spacing w:after="0" w:line="351" w:lineRule="auto"/>
        <w:rPr>
          <w:sz w:val="20"/>
          <w:szCs w:val="20"/>
          <w:color w:val="auto"/>
        </w:rPr>
      </w:pPr>
      <w:r>
        <w:rPr>
          <w:rFonts w:ascii="Arial" w:cs="Arial" w:eastAsia="Arial" w:hAnsi="Arial"/>
          <w:sz w:val="12"/>
          <w:szCs w:val="12"/>
          <w:color w:val="auto"/>
        </w:rPr>
        <w:t>1.38 “</w:t>
      </w:r>
      <w:r>
        <w:rPr>
          <w:rFonts w:ascii="Arial" w:cs="Arial" w:eastAsia="Arial" w:hAnsi="Arial"/>
          <w:sz w:val="12"/>
          <w:szCs w:val="12"/>
          <w:u w:val="single" w:color="auto"/>
          <w:color w:val="auto"/>
        </w:rPr>
        <w:t>Good Laboratory Practices</w:t>
      </w:r>
      <w:r>
        <w:rPr>
          <w:rFonts w:ascii="Arial" w:cs="Arial" w:eastAsia="Arial" w:hAnsi="Arial"/>
          <w:sz w:val="12"/>
          <w:szCs w:val="12"/>
          <w:color w:val="auto"/>
        </w:rPr>
        <w:t>” or “</w:t>
      </w:r>
      <w:r>
        <w:rPr>
          <w:rFonts w:ascii="Arial" w:cs="Arial" w:eastAsia="Arial" w:hAnsi="Arial"/>
          <w:sz w:val="12"/>
          <w:szCs w:val="12"/>
          <w:u w:val="single" w:color="auto"/>
          <w:color w:val="auto"/>
        </w:rPr>
        <w:t>GLP</w:t>
      </w:r>
      <w:r>
        <w:rPr>
          <w:rFonts w:ascii="Arial" w:cs="Arial" w:eastAsia="Arial" w:hAnsi="Arial"/>
          <w:sz w:val="12"/>
          <w:szCs w:val="12"/>
          <w:color w:val="auto"/>
        </w:rPr>
        <w:t>” means the then-current good laboratory practice standards promulgated or endorsed by the FDA as defined in 21 C.F.R. Part 58, as such regulations may be amended from time to time, and the equivalent regulations promulgated by the equivalent Regulatory Authority in the jurisdiction where Development activities are performed.</w:t>
      </w:r>
    </w:p>
    <w:p>
      <w:pPr>
        <w:spacing w:after="0" w:line="56" w:lineRule="exact"/>
        <w:rPr>
          <w:sz w:val="20"/>
          <w:szCs w:val="20"/>
          <w:color w:val="auto"/>
        </w:rPr>
      </w:pPr>
    </w:p>
    <w:p>
      <w:pPr>
        <w:ind w:right="20" w:firstLine="458"/>
        <w:spacing w:after="0" w:line="311" w:lineRule="auto"/>
        <w:rPr>
          <w:sz w:val="20"/>
          <w:szCs w:val="20"/>
          <w:color w:val="auto"/>
        </w:rPr>
      </w:pPr>
      <w:r>
        <w:rPr>
          <w:rFonts w:ascii="Arial" w:cs="Arial" w:eastAsia="Arial" w:hAnsi="Arial"/>
          <w:sz w:val="12"/>
          <w:szCs w:val="12"/>
          <w:color w:val="auto"/>
        </w:rPr>
        <w:t>1.39 “</w:t>
      </w:r>
      <w:r>
        <w:rPr>
          <w:rFonts w:ascii="Arial" w:cs="Arial" w:eastAsia="Arial" w:hAnsi="Arial"/>
          <w:sz w:val="12"/>
          <w:szCs w:val="12"/>
          <w:u w:val="single" w:color="auto"/>
          <w:color w:val="auto"/>
        </w:rPr>
        <w:t>Good Manufacturing Practices</w:t>
      </w:r>
      <w:r>
        <w:rPr>
          <w:rFonts w:ascii="Arial" w:cs="Arial" w:eastAsia="Arial" w:hAnsi="Arial"/>
          <w:sz w:val="12"/>
          <w:szCs w:val="12"/>
          <w:color w:val="auto"/>
        </w:rPr>
        <w:t>” or “</w:t>
      </w:r>
      <w:r>
        <w:rPr>
          <w:rFonts w:ascii="Arial" w:cs="Arial" w:eastAsia="Arial" w:hAnsi="Arial"/>
          <w:sz w:val="12"/>
          <w:szCs w:val="12"/>
          <w:u w:val="single" w:color="auto"/>
          <w:color w:val="auto"/>
        </w:rPr>
        <w:t>GMP</w:t>
      </w:r>
      <w:r>
        <w:rPr>
          <w:rFonts w:ascii="Arial" w:cs="Arial" w:eastAsia="Arial" w:hAnsi="Arial"/>
          <w:sz w:val="12"/>
          <w:szCs w:val="12"/>
          <w:color w:val="auto"/>
        </w:rPr>
        <w:t>” means then-current standards for the manufacture of pharmaceutical products, pursuant to (a) the FD&amp;C Act (21 U.S.C. 321 et seq.); (b) relevant United States regulations in Title 21 of the United States Code of Federal Regulations (including Parts 11, 210, and 211); (c) European Community Directives 2003/94 and 91/356/EC; (d) the European Community Guide to Good Manufacturing Practice for Medicinal Intermediate Products; (e) ICH Q7A Good Manufacturing Practice Guidance for Active Pharmaceutical Ingredients; (f) equivalent Laws of an applicable Regulatory Authority at the time of Manufacture; and (g) all additional Regulatory Authority documents or regulations that replace, amend, modify, supplant or complement any of the foregoing.</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3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95" w:name="page796"/>
    <w:bookmarkEnd w:id="795"/>
    <w:p>
      <w:pPr>
        <w:jc w:val="both"/>
        <w:ind w:right="160" w:firstLine="458"/>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1.40 “</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United States federal, state or local or any non-United States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1.41 “</w:t>
      </w:r>
      <w:r>
        <w:rPr>
          <w:rFonts w:ascii="Arial" w:cs="Arial" w:eastAsia="Arial" w:hAnsi="Arial"/>
          <w:sz w:val="14"/>
          <w:szCs w:val="14"/>
          <w:u w:val="single" w:color="auto"/>
          <w:color w:val="auto"/>
        </w:rPr>
        <w:t>ICH</w:t>
      </w:r>
      <w:r>
        <w:rPr>
          <w:rFonts w:ascii="Arial" w:cs="Arial" w:eastAsia="Arial" w:hAnsi="Arial"/>
          <w:sz w:val="14"/>
          <w:szCs w:val="14"/>
          <w:color w:val="auto"/>
        </w:rPr>
        <w:t>” means the International Conference on Harmonization of Technical Requirements for Registration of Pharmaceuticals for Human Use.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1.42 “</w:t>
      </w:r>
      <w:r>
        <w:rPr>
          <w:rFonts w:ascii="Arial" w:cs="Arial" w:eastAsia="Arial" w:hAnsi="Arial"/>
          <w:sz w:val="14"/>
          <w:szCs w:val="14"/>
          <w:u w:val="single" w:color="auto"/>
          <w:color w:val="auto"/>
        </w:rPr>
        <w:t>Identified Patents</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right="220" w:firstLine="458"/>
        <w:spacing w:after="0" w:line="267"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u w:val="single" w:color="auto"/>
          <w:color w:val="auto"/>
        </w:rPr>
        <w:t>IND</w:t>
      </w:r>
      <w:r>
        <w:rPr>
          <w:rFonts w:ascii="Arial" w:cs="Arial" w:eastAsia="Arial" w:hAnsi="Arial"/>
          <w:sz w:val="14"/>
          <w:szCs w:val="14"/>
          <w:color w:val="auto"/>
        </w:rPr>
        <w:t>” means an Investigational New Drug Application filed with FDA or a similar application filed with an applicable Regulatory Authority outside of the United States such as a clinical trial application (CTA).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1.44 “</w:t>
      </w:r>
      <w:r>
        <w:rPr>
          <w:rFonts w:ascii="Arial" w:cs="Arial" w:eastAsia="Arial" w:hAnsi="Arial"/>
          <w:sz w:val="14"/>
          <w:szCs w:val="14"/>
          <w:u w:val="single" w:color="auto"/>
          <w:color w:val="auto"/>
        </w:rPr>
        <w:t>Indication</w:t>
      </w:r>
      <w:r>
        <w:rPr>
          <w:rFonts w:ascii="Arial" w:cs="Arial" w:eastAsia="Arial" w:hAnsi="Arial"/>
          <w:sz w:val="14"/>
          <w:szCs w:val="14"/>
          <w:color w:val="auto"/>
        </w:rPr>
        <w:t xml:space="preserve">” means either (a) a discrete clinically recognized form of a disease or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1.45 “</w:t>
      </w:r>
      <w:r>
        <w:rPr>
          <w:rFonts w:ascii="Arial" w:cs="Arial" w:eastAsia="Arial" w:hAnsi="Arial"/>
          <w:sz w:val="14"/>
          <w:szCs w:val="14"/>
          <w:u w:val="single" w:color="auto"/>
          <w:color w:val="auto"/>
        </w:rPr>
        <w:t>Initial Phase 1 Clinical Trial</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p>
    <w:p>
      <w:pPr>
        <w:spacing w:after="0" w:line="134" w:lineRule="exact"/>
        <w:rPr>
          <w:sz w:val="20"/>
          <w:szCs w:val="20"/>
          <w:color w:val="auto"/>
        </w:rPr>
      </w:pPr>
    </w:p>
    <w:p>
      <w:pPr>
        <w:ind w:right="40" w:firstLine="458"/>
        <w:spacing w:after="0" w:line="311" w:lineRule="auto"/>
        <w:rPr>
          <w:sz w:val="20"/>
          <w:szCs w:val="20"/>
          <w:color w:val="auto"/>
        </w:rPr>
      </w:pPr>
      <w:r>
        <w:rPr>
          <w:rFonts w:ascii="Arial" w:cs="Arial" w:eastAsia="Arial" w:hAnsi="Arial"/>
          <w:sz w:val="12"/>
          <w:szCs w:val="12"/>
          <w:color w:val="auto"/>
        </w:rPr>
        <w:t>1.46 “</w:t>
      </w:r>
      <w:r>
        <w:rPr>
          <w:rFonts w:ascii="Arial" w:cs="Arial" w:eastAsia="Arial" w:hAnsi="Arial"/>
          <w:sz w:val="12"/>
          <w:szCs w:val="12"/>
          <w:u w:val="single" w:color="auto"/>
          <w:color w:val="auto"/>
        </w:rPr>
        <w:t>Insolvency Event</w:t>
      </w:r>
      <w:r>
        <w:rPr>
          <w:rFonts w:ascii="Arial" w:cs="Arial" w:eastAsia="Arial" w:hAnsi="Arial"/>
          <w:sz w:val="12"/>
          <w:szCs w:val="12"/>
          <w:color w:val="auto"/>
        </w:rPr>
        <w:t>” means, with respect to any Party, the occurrence of any of the following: (a) such Party shall commence a voluntary case concerning itself under any bankruptcy, liquidation or insolvency code; (b) an involuntary case is commenced against such Party and the petition is not dismissed, bonded or stayed within ninety (90) days after commencement of the case; (c) a court-supervised custodian is appointed for, or takes charge of, all or substantially all of the property of such Party to continue undischarged or unstayed for a period of ninety (90) days; (d) any order of relief or other order approving any such case or proceeding is entered; (e) such Party is adjudicated insolvent or bankrupt; and (f) such Party makes a general assignment for the benefit of creditors.</w:t>
      </w:r>
    </w:p>
    <w:p>
      <w:pPr>
        <w:spacing w:after="0" w:line="79" w:lineRule="exact"/>
        <w:rPr>
          <w:sz w:val="20"/>
          <w:szCs w:val="20"/>
          <w:color w:val="auto"/>
        </w:rPr>
      </w:pPr>
    </w:p>
    <w:p>
      <w:pPr>
        <w:ind w:right="40" w:firstLine="458"/>
        <w:spacing w:after="0" w:line="258" w:lineRule="auto"/>
        <w:rPr>
          <w:sz w:val="20"/>
          <w:szCs w:val="20"/>
          <w:color w:val="auto"/>
        </w:rPr>
      </w:pPr>
      <w:r>
        <w:rPr>
          <w:rFonts w:ascii="Arial" w:cs="Arial" w:eastAsia="Arial" w:hAnsi="Arial"/>
          <w:sz w:val="14"/>
          <w:szCs w:val="14"/>
          <w:color w:val="auto"/>
        </w:rPr>
        <w:t>1.47 “</w:t>
      </w:r>
      <w:r>
        <w:rPr>
          <w:rFonts w:ascii="Arial" w:cs="Arial" w:eastAsia="Arial" w:hAnsi="Arial"/>
          <w:sz w:val="14"/>
          <w:szCs w:val="14"/>
          <w:u w:val="single" w:color="auto"/>
          <w:color w:val="auto"/>
        </w:rPr>
        <w:t>Joint IP</w:t>
      </w:r>
      <w:r>
        <w:rPr>
          <w:rFonts w:ascii="Arial" w:cs="Arial" w:eastAsia="Arial" w:hAnsi="Arial"/>
          <w:sz w:val="14"/>
          <w:szCs w:val="14"/>
          <w:color w:val="auto"/>
        </w:rPr>
        <w:t>” means all inventions and discoveries (and Patents claiming patentable inventions therein) first made or discovered jointly by one or more employees, consultants or agents of MacroGenics or its Affiliates, together with one or more employees, consultants or agents of Servier or its Affiliates in the course of the Research, Development, Manufacture or Commercialization of Program Antibodies and/or Licensed Product,</w:t>
      </w:r>
    </w:p>
    <w:p>
      <w:pPr>
        <w:spacing w:after="0" w:line="108"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1.48 “</w:t>
      </w:r>
      <w:r>
        <w:rPr>
          <w:rFonts w:ascii="Arial" w:cs="Arial" w:eastAsia="Arial" w:hAnsi="Arial"/>
          <w:sz w:val="12"/>
          <w:szCs w:val="12"/>
          <w:u w:val="single" w:color="auto"/>
          <w:color w:val="auto"/>
        </w:rPr>
        <w:t>Know-How</w:t>
      </w:r>
      <w:r>
        <w:rPr>
          <w:rFonts w:ascii="Arial" w:cs="Arial" w:eastAsia="Arial" w:hAnsi="Arial"/>
          <w:sz w:val="12"/>
          <w:szCs w:val="12"/>
          <w:color w:val="auto"/>
        </w:rPr>
        <w:t>” means all tangible and intangible (a) information, techniques, technology, practices, trade secrets, inventions (whether patentable or not), methods, knowledge, know-how, skill, experience, data, results (including pharmacological, toxicological and non-clinical and clinical test data and results, and Research or Development data, reports and batch records), analytical and quality control data, analytical methods (including applicable reference standards), full batch documentation, packaging records, release, stability, storage and shelf-life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132" w:lineRule="exact"/>
        <w:rPr>
          <w:sz w:val="20"/>
          <w:szCs w:val="20"/>
          <w:color w:val="auto"/>
        </w:rPr>
      </w:pPr>
    </w:p>
    <w:p>
      <w:pPr>
        <w:ind w:left="3840" w:right="2640" w:hanging="1139"/>
        <w:spacing w:after="0" w:line="351" w:lineRule="auto"/>
        <w:tabs>
          <w:tab w:leader="none" w:pos="2940" w:val="left"/>
        </w:tabs>
        <w:numPr>
          <w:ilvl w:val="0"/>
          <w:numId w:val="93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796" w:name="page797"/>
    <w:bookmarkEnd w:id="796"/>
    <w:p>
      <w:pPr>
        <w:ind w:right="3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data, Manufacturing process information, results and descriptions, and software and algorithms and (b) compositions of matter, cells, cell lines, assays, animal models and physical, biological or chemical material.</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1.49 “</w:t>
      </w:r>
      <w:r>
        <w:rPr>
          <w:rFonts w:ascii="Arial" w:cs="Arial" w:eastAsia="Arial" w:hAnsi="Arial"/>
          <w:sz w:val="14"/>
          <w:szCs w:val="14"/>
          <w:u w:val="single" w:color="auto"/>
          <w:color w:val="auto"/>
        </w:rPr>
        <w:t>Law</w:t>
      </w:r>
      <w:r>
        <w:rPr>
          <w:rFonts w:ascii="Arial" w:cs="Arial" w:eastAsia="Arial" w:hAnsi="Arial"/>
          <w:sz w:val="14"/>
          <w:szCs w:val="14"/>
          <w:color w:val="auto"/>
        </w:rPr>
        <w:t>” or “</w:t>
      </w:r>
      <w:r>
        <w:rPr>
          <w:rFonts w:ascii="Arial" w:cs="Arial" w:eastAsia="Arial" w:hAnsi="Arial"/>
          <w:sz w:val="14"/>
          <w:szCs w:val="14"/>
          <w:u w:val="single" w:color="auto"/>
          <w:color w:val="auto"/>
        </w:rPr>
        <w:t>Laws</w:t>
      </w:r>
      <w:r>
        <w:rPr>
          <w:rFonts w:ascii="Arial" w:cs="Arial" w:eastAsia="Arial" w:hAnsi="Arial"/>
          <w:sz w:val="14"/>
          <w:szCs w:val="14"/>
          <w:color w:val="auto"/>
        </w:rPr>
        <w:t>” means all laws, statutes, rules, regulations, orders, judgments, or ordinances having the effect of law of any federal, national, multinational, state, provincial, county, city or other political subdivision.</w:t>
      </w:r>
    </w:p>
    <w:p>
      <w:pPr>
        <w:spacing w:after="0" w:line="101"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1.50 “</w:t>
      </w:r>
      <w:r>
        <w:rPr>
          <w:rFonts w:ascii="Arial" w:cs="Arial" w:eastAsia="Arial" w:hAnsi="Arial"/>
          <w:sz w:val="14"/>
          <w:szCs w:val="14"/>
          <w:u w:val="single" w:color="auto"/>
          <w:color w:val="auto"/>
        </w:rPr>
        <w:t>Licensed Product</w:t>
      </w:r>
      <w:r>
        <w:rPr>
          <w:rFonts w:ascii="Arial" w:cs="Arial" w:eastAsia="Arial" w:hAnsi="Arial"/>
          <w:sz w:val="14"/>
          <w:szCs w:val="14"/>
          <w:color w:val="auto"/>
        </w:rPr>
        <w:t>” means any therapeutic or prophylactic product that comprises or incorporates a Program Antibody as an active pharmaceutical ingredient alone or in combination with one or more other active agents.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1.51 “</w:t>
      </w:r>
      <w:r>
        <w:rPr>
          <w:rFonts w:ascii="Arial" w:cs="Arial" w:eastAsia="Arial" w:hAnsi="Arial"/>
          <w:sz w:val="12"/>
          <w:szCs w:val="12"/>
          <w:u w:val="single" w:color="auto"/>
          <w:color w:val="auto"/>
        </w:rPr>
        <w:t>License Term</w:t>
      </w:r>
      <w:r>
        <w:rPr>
          <w:rFonts w:ascii="Arial" w:cs="Arial" w:eastAsia="Arial" w:hAnsi="Arial"/>
          <w:sz w:val="12"/>
          <w:szCs w:val="12"/>
          <w:color w:val="auto"/>
        </w:rPr>
        <w:t>” means the period commencing upon the License Grant Date and ending on the date of expiration or termination of this Agreement in accordance with the provisions of ARTICLE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1.53 “</w:t>
      </w:r>
      <w:r>
        <w:rPr>
          <w:rFonts w:ascii="Arial" w:cs="Arial" w:eastAsia="Arial" w:hAnsi="Arial"/>
          <w:sz w:val="14"/>
          <w:szCs w:val="14"/>
          <w:u w:val="single" w:color="auto"/>
          <w:color w:val="auto"/>
        </w:rPr>
        <w:t>MacroGenics Indemnitees</w:t>
      </w:r>
      <w:r>
        <w:rPr>
          <w:rFonts w:ascii="Arial" w:cs="Arial" w:eastAsia="Arial" w:hAnsi="Arial"/>
          <w:sz w:val="14"/>
          <w:szCs w:val="14"/>
          <w:color w:val="auto"/>
        </w:rPr>
        <w:t>” means MacroGenics, its Affiliates and the directors, officers and employees of MacroGenics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1.54 “</w:t>
      </w:r>
      <w:r>
        <w:rPr>
          <w:rFonts w:ascii="Arial" w:cs="Arial" w:eastAsia="Arial" w:hAnsi="Arial"/>
          <w:sz w:val="14"/>
          <w:szCs w:val="14"/>
          <w:u w:val="single" w:color="auto"/>
          <w:color w:val="auto"/>
        </w:rPr>
        <w:t>MacroGenics IP</w:t>
      </w:r>
      <w:r>
        <w:rPr>
          <w:rFonts w:ascii="Arial" w:cs="Arial" w:eastAsia="Arial" w:hAnsi="Arial"/>
          <w:sz w:val="14"/>
          <w:szCs w:val="14"/>
          <w:color w:val="auto"/>
        </w:rPr>
        <w:t>” means the MacroGenics Know-How and the MacroGenics Patents.</w:t>
      </w:r>
    </w:p>
    <w:p>
      <w:pPr>
        <w:spacing w:after="0" w:line="132" w:lineRule="exact"/>
        <w:rPr>
          <w:sz w:val="20"/>
          <w:szCs w:val="20"/>
          <w:color w:val="auto"/>
        </w:rPr>
      </w:pPr>
    </w:p>
    <w:p>
      <w:pPr>
        <w:ind w:right="60" w:firstLine="458"/>
        <w:spacing w:after="0" w:line="253" w:lineRule="auto"/>
        <w:rPr>
          <w:sz w:val="20"/>
          <w:szCs w:val="20"/>
          <w:color w:val="auto"/>
        </w:rPr>
      </w:pPr>
      <w:r>
        <w:rPr>
          <w:rFonts w:ascii="Arial" w:cs="Arial" w:eastAsia="Arial" w:hAnsi="Arial"/>
          <w:sz w:val="14"/>
          <w:szCs w:val="14"/>
          <w:color w:val="auto"/>
        </w:rPr>
        <w:t>1.55 “</w:t>
      </w:r>
      <w:r>
        <w:rPr>
          <w:rFonts w:ascii="Arial" w:cs="Arial" w:eastAsia="Arial" w:hAnsi="Arial"/>
          <w:sz w:val="14"/>
          <w:szCs w:val="14"/>
          <w:u w:val="single" w:color="auto"/>
          <w:color w:val="auto"/>
        </w:rPr>
        <w:t>MacroGenics Know-How</w:t>
      </w:r>
      <w:r>
        <w:rPr>
          <w:rFonts w:ascii="Arial" w:cs="Arial" w:eastAsia="Arial" w:hAnsi="Arial"/>
          <w:sz w:val="14"/>
          <w:szCs w:val="14"/>
          <w:color w:val="auto"/>
        </w:rPr>
        <w:t>” means Know-How that is (a) Controlled by MacroGenics or its Affiliates on the Effective Date or thereafter during the Agreement Term; (b)(i) an improvement, modification, enhancement or novel use of a Program Antibody or Licensed Product, or any improvement, modification or enhancement in the Manufacturing process or formulation of a Program Antibody or Licensed Product by or on behalf of MacroGenics or its Affiliates; or (ii) disclosed by or on behalf of MacroGenics or its Affiliates to Servier or its Affiliates pursuant to this Agreement; and (c) necessary or useful to Research, Develop, Manufacture or Commercialize any Program Antibody or Licensed Product in the Field in the Servier Territory. MacroGenics Know-How excludes MacroGenics’ interest in the Joint IP.</w:t>
      </w:r>
    </w:p>
    <w:p>
      <w:pPr>
        <w:spacing w:after="0" w:line="11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1.56 “</w:t>
      </w:r>
      <w:r>
        <w:rPr>
          <w:rFonts w:ascii="Arial" w:cs="Arial" w:eastAsia="Arial" w:hAnsi="Arial"/>
          <w:sz w:val="14"/>
          <w:szCs w:val="14"/>
          <w:u w:val="single" w:color="auto"/>
          <w:color w:val="auto"/>
        </w:rPr>
        <w:t>MacroGenics Patents</w:t>
      </w:r>
      <w:r>
        <w:rPr>
          <w:rFonts w:ascii="Arial" w:cs="Arial" w:eastAsia="Arial" w:hAnsi="Arial"/>
          <w:sz w:val="14"/>
          <w:szCs w:val="14"/>
          <w:color w:val="auto"/>
        </w:rPr>
        <w:t xml:space="preserve">” means Patents Controlled by MacroGenics or its Affiliates on the Effective Date or thereafter during the Agreement Term that claim or are directed to MacroGenics Know-How. The MacroGenics Patents existing as of the Effective Date are set forth on </w:t>
      </w:r>
      <w:r>
        <w:rPr>
          <w:rFonts w:ascii="Arial" w:cs="Arial" w:eastAsia="Arial" w:hAnsi="Arial"/>
          <w:sz w:val="14"/>
          <w:szCs w:val="14"/>
          <w:u w:val="single" w:color="auto"/>
          <w:color w:val="auto"/>
        </w:rPr>
        <w:t>Exhibit B</w:t>
      </w:r>
      <w:r>
        <w:rPr>
          <w:rFonts w:ascii="Arial" w:cs="Arial" w:eastAsia="Arial" w:hAnsi="Arial"/>
          <w:sz w:val="14"/>
          <w:szCs w:val="14"/>
          <w:color w:val="auto"/>
        </w:rPr>
        <w:t>. MacroGenics Patents excludes MacroGenics’ interest in the Joint IP.</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1.57 “</w:t>
      </w:r>
      <w:r>
        <w:rPr>
          <w:rFonts w:ascii="Arial" w:cs="Arial" w:eastAsia="Arial" w:hAnsi="Arial"/>
          <w:sz w:val="14"/>
          <w:szCs w:val="14"/>
          <w:u w:val="single" w:color="auto"/>
          <w:color w:val="auto"/>
        </w:rPr>
        <w:t>MacroGenics Territory</w:t>
      </w:r>
      <w:r>
        <w:rPr>
          <w:rFonts w:ascii="Arial" w:cs="Arial" w:eastAsia="Arial" w:hAnsi="Arial"/>
          <w:sz w:val="14"/>
          <w:szCs w:val="14"/>
          <w:color w:val="auto"/>
        </w:rPr>
        <w:t>” means the United States of America, Canada, Mexico, India, Japan, Korea and any Terminated Territory.</w:t>
      </w:r>
    </w:p>
    <w:p>
      <w:pPr>
        <w:spacing w:after="0" w:line="132"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1.58 “</w:t>
      </w:r>
      <w:r>
        <w:rPr>
          <w:rFonts w:ascii="Arial" w:cs="Arial" w:eastAsia="Arial" w:hAnsi="Arial"/>
          <w:sz w:val="14"/>
          <w:szCs w:val="14"/>
          <w:u w:val="single" w:color="auto"/>
          <w:color w:val="auto"/>
        </w:rPr>
        <w:t>MacroGenics Third Party Agreements</w:t>
      </w:r>
      <w:r>
        <w:rPr>
          <w:rFonts w:ascii="Arial" w:cs="Arial" w:eastAsia="Arial" w:hAnsi="Arial"/>
          <w:sz w:val="14"/>
          <w:szCs w:val="14"/>
          <w:color w:val="auto"/>
        </w:rPr>
        <w:t>” means (a) the agreements which are set forth on Exhibit C, and (b) any other agreement pursuant to which MacroGenics licenses or acquires Patents or Know-How that relates to the Program Antibodies or Licensed Products in</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pacing w:after="0" w:line="132" w:lineRule="exact"/>
        <w:rPr>
          <w:sz w:val="20"/>
          <w:szCs w:val="20"/>
          <w:color w:val="auto"/>
        </w:rPr>
      </w:pPr>
    </w:p>
    <w:p>
      <w:pPr>
        <w:ind w:left="3840" w:right="2600" w:hanging="1139"/>
        <w:spacing w:after="0" w:line="351" w:lineRule="auto"/>
        <w:tabs>
          <w:tab w:leader="none" w:pos="2940" w:val="left"/>
        </w:tabs>
        <w:numPr>
          <w:ilvl w:val="0"/>
          <w:numId w:val="93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60"/>
          </w:cols>
          <w:pgMar w:left="220" w:top="247" w:right="319" w:bottom="1440" w:gutter="0" w:footer="0" w:header="0"/>
        </w:sectPr>
      </w:pPr>
    </w:p>
    <w:bookmarkStart w:id="797" w:name="page798"/>
    <w:bookmarkEnd w:id="797"/>
    <w:p>
      <w:pPr>
        <w:ind w:right="8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the Field in the Servier Territory after the Effective Date pursuant to an agreement with a Third Party, the terms and conditions of which have been approved (not to be unreasonably withheld) by Servier before its execution by MacroGenics and which Servier and MacroGenics agree shall be deemed a MacroGenics Third Party Agreement, in which case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shall be amended accordingly. For purposes of clarity, in the event that Servier does not approve the terms and conditions of any such proposed agreement with a Third Party, nothing herein shall be deemed to preclude MacroGenics from entering into such agreement with a Third Party; provided that such agreement with a Third Party shall not be deemed a MacroGenics Third Party Agreement hereunder.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1.59 “</w:t>
      </w:r>
      <w:r>
        <w:rPr>
          <w:rFonts w:ascii="Arial" w:cs="Arial" w:eastAsia="Arial" w:hAnsi="Arial"/>
          <w:sz w:val="14"/>
          <w:szCs w:val="14"/>
          <w:u w:val="single" w:color="auto"/>
          <w:color w:val="auto"/>
        </w:rPr>
        <w:t>Major Indication</w:t>
      </w:r>
      <w:r>
        <w:rPr>
          <w:rFonts w:ascii="Arial" w:cs="Arial" w:eastAsia="Arial" w:hAnsi="Arial"/>
          <w:sz w:val="14"/>
          <w:szCs w:val="14"/>
          <w:color w:val="auto"/>
        </w:rPr>
        <w:t xml:space="preserve">” means any of the following Indications: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1.60 “</w:t>
      </w:r>
      <w:r>
        <w:rPr>
          <w:rFonts w:ascii="Arial" w:cs="Arial" w:eastAsia="Arial" w:hAnsi="Arial"/>
          <w:sz w:val="12"/>
          <w:szCs w:val="12"/>
          <w:u w:val="single" w:color="auto"/>
          <w:color w:val="auto"/>
        </w:rPr>
        <w:t>Manufacture</w:t>
      </w:r>
      <w:r>
        <w:rPr>
          <w:rFonts w:ascii="Arial" w:cs="Arial" w:eastAsia="Arial" w:hAnsi="Arial"/>
          <w:sz w:val="12"/>
          <w:szCs w:val="12"/>
          <w:color w:val="auto"/>
        </w:rPr>
        <w:t>” or “</w:t>
      </w:r>
      <w:r>
        <w:rPr>
          <w:rFonts w:ascii="Arial" w:cs="Arial" w:eastAsia="Arial" w:hAnsi="Arial"/>
          <w:sz w:val="12"/>
          <w:szCs w:val="12"/>
          <w:u w:val="single" w:color="auto"/>
          <w:color w:val="auto"/>
        </w:rPr>
        <w:t>Manufacturing</w:t>
      </w:r>
      <w:r>
        <w:rPr>
          <w:rFonts w:ascii="Arial" w:cs="Arial" w:eastAsia="Arial" w:hAnsi="Arial"/>
          <w:sz w:val="12"/>
          <w:szCs w:val="12"/>
          <w:color w:val="auto"/>
        </w:rPr>
        <w:t>” means all activities related to the manufacturing of an Antibody or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release and stability testing) and release of product or any component or ingredient thereof, and regulatory activities related to all of the foregoing.</w:t>
      </w:r>
    </w:p>
    <w:p>
      <w:pPr>
        <w:spacing w:after="0" w:line="73" w:lineRule="exact"/>
        <w:rPr>
          <w:sz w:val="20"/>
          <w:szCs w:val="20"/>
          <w:color w:val="auto"/>
        </w:rPr>
      </w:pPr>
    </w:p>
    <w:p>
      <w:pPr>
        <w:ind w:right="140" w:firstLine="458"/>
        <w:spacing w:after="0" w:line="321" w:lineRule="auto"/>
        <w:rPr>
          <w:sz w:val="20"/>
          <w:szCs w:val="20"/>
          <w:color w:val="auto"/>
        </w:rPr>
      </w:pPr>
      <w:r>
        <w:rPr>
          <w:rFonts w:ascii="Arial" w:cs="Arial" w:eastAsia="Arial" w:hAnsi="Arial"/>
          <w:sz w:val="12"/>
          <w:szCs w:val="12"/>
          <w:color w:val="auto"/>
        </w:rPr>
        <w:t>1.61 “</w:t>
      </w:r>
      <w:r>
        <w:rPr>
          <w:rFonts w:ascii="Arial" w:cs="Arial" w:eastAsia="Arial" w:hAnsi="Arial"/>
          <w:sz w:val="12"/>
          <w:szCs w:val="12"/>
          <w:u w:val="single" w:color="auto"/>
          <w:color w:val="auto"/>
        </w:rPr>
        <w:t>Manufacturing Process Development Costs</w:t>
      </w:r>
      <w:r>
        <w:rPr>
          <w:rFonts w:ascii="Arial" w:cs="Arial" w:eastAsia="Arial" w:hAnsi="Arial"/>
          <w:sz w:val="12"/>
          <w:szCs w:val="12"/>
          <w:color w:val="auto"/>
        </w:rPr>
        <w:t xml:space="preserve">” means the costs and expenses incurred by a Party or its Affiliates attributable to, or reasonably allocable to, the development of a Manufacturing process for Program Antibodies or Licensed Products (including </w:t>
      </w:r>
      <w:r>
        <w:rPr>
          <w:rFonts w:ascii="Arial" w:cs="Arial" w:eastAsia="Arial" w:hAnsi="Arial"/>
          <w:sz w:val="12"/>
          <w:szCs w:val="12"/>
          <w:b w:val="1"/>
          <w:bCs w:val="1"/>
          <w:color w:val="auto"/>
        </w:rPr>
        <w:t>***</w:t>
      </w:r>
      <w:r>
        <w:rPr>
          <w:rFonts w:ascii="Arial" w:cs="Arial" w:eastAsia="Arial" w:hAnsi="Arial"/>
          <w:sz w:val="12"/>
          <w:szCs w:val="12"/>
          <w:color w:val="auto"/>
        </w:rPr>
        <w:t>). “Manufacturing Process Development Costs” shall include (a) Out-of-Pocket Costs and (b) FTE Costs of internal personnel that are attributable or reasonably allocable to the development of a Manufacturing process for Program Antibodies or Licensed Products determined in accordance with applicable Accounting Standards of such Party.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1.62 “</w:t>
      </w:r>
      <w:r>
        <w:rPr>
          <w:rFonts w:ascii="Arial" w:cs="Arial" w:eastAsia="Arial" w:hAnsi="Arial"/>
          <w:sz w:val="14"/>
          <w:szCs w:val="14"/>
          <w:u w:val="single" w:color="auto"/>
          <w:color w:val="auto"/>
        </w:rPr>
        <w:t>MGA271</w:t>
      </w:r>
      <w:r>
        <w:rPr>
          <w:rFonts w:ascii="Arial" w:cs="Arial" w:eastAsia="Arial" w:hAnsi="Arial"/>
          <w:sz w:val="14"/>
          <w:szCs w:val="14"/>
          <w:color w:val="auto"/>
        </w:rPr>
        <w:t xml:space="preserve">” means the Antibody known as MGA271 which is described in </w:t>
      </w:r>
      <w:r>
        <w:rPr>
          <w:rFonts w:ascii="Arial" w:cs="Arial" w:eastAsia="Arial" w:hAnsi="Arial"/>
          <w:sz w:val="14"/>
          <w:szCs w:val="14"/>
          <w:u w:val="single" w:color="auto"/>
          <w:color w:val="auto"/>
        </w:rPr>
        <w:t>Exhibit A-2</w:t>
      </w:r>
      <w:r>
        <w:rPr>
          <w:rFonts w:ascii="Arial" w:cs="Arial" w:eastAsia="Arial" w:hAnsi="Arial"/>
          <w:sz w:val="14"/>
          <w:szCs w:val="14"/>
          <w:color w:val="auto"/>
        </w:rPr>
        <w:t>.</w:t>
      </w:r>
    </w:p>
    <w:p>
      <w:pPr>
        <w:spacing w:after="0" w:line="132" w:lineRule="exact"/>
        <w:rPr>
          <w:sz w:val="20"/>
          <w:szCs w:val="20"/>
          <w:color w:val="auto"/>
        </w:rPr>
      </w:pPr>
    </w:p>
    <w:p>
      <w:pPr>
        <w:ind w:right="60" w:firstLine="458"/>
        <w:spacing w:after="0" w:line="321" w:lineRule="auto"/>
        <w:rPr>
          <w:sz w:val="20"/>
          <w:szCs w:val="20"/>
          <w:color w:val="auto"/>
        </w:rPr>
      </w:pPr>
      <w:r>
        <w:rPr>
          <w:rFonts w:ascii="Arial" w:cs="Arial" w:eastAsia="Arial" w:hAnsi="Arial"/>
          <w:sz w:val="12"/>
          <w:szCs w:val="12"/>
          <w:color w:val="auto"/>
        </w:rPr>
        <w:t>1.63 “</w:t>
      </w:r>
      <w:r>
        <w:rPr>
          <w:rFonts w:ascii="Arial" w:cs="Arial" w:eastAsia="Arial" w:hAnsi="Arial"/>
          <w:sz w:val="12"/>
          <w:szCs w:val="12"/>
          <w:u w:val="single" w:color="auto"/>
          <w:color w:val="auto"/>
        </w:rPr>
        <w:t>Net Sales</w:t>
      </w:r>
      <w:r>
        <w:rPr>
          <w:rFonts w:ascii="Arial" w:cs="Arial" w:eastAsia="Arial" w:hAnsi="Arial"/>
          <w:sz w:val="12"/>
          <w:szCs w:val="12"/>
          <w:color w:val="auto"/>
        </w:rPr>
        <w:t>” means, in the case of sales by or for the benefit of Servier, its Affiliates, and its Sublicensees (the “</w:t>
      </w:r>
      <w:r>
        <w:rPr>
          <w:rFonts w:ascii="Arial" w:cs="Arial" w:eastAsia="Arial" w:hAnsi="Arial"/>
          <w:sz w:val="12"/>
          <w:szCs w:val="12"/>
          <w:u w:val="single" w:color="auto"/>
          <w:color w:val="auto"/>
        </w:rPr>
        <w:t>Seller</w:t>
      </w:r>
      <w:r>
        <w:rPr>
          <w:rFonts w:ascii="Arial" w:cs="Arial" w:eastAsia="Arial" w:hAnsi="Arial"/>
          <w:sz w:val="12"/>
          <w:szCs w:val="12"/>
          <w:color w:val="auto"/>
        </w:rPr>
        <w:t>”) to independent, unrelated persons (“</w:t>
      </w:r>
      <w:r>
        <w:rPr>
          <w:rFonts w:ascii="Arial" w:cs="Arial" w:eastAsia="Arial" w:hAnsi="Arial"/>
          <w:sz w:val="12"/>
          <w:szCs w:val="12"/>
          <w:u w:val="single" w:color="auto"/>
          <w:color w:val="auto"/>
        </w:rPr>
        <w:t>Buyers</w:t>
      </w:r>
      <w:r>
        <w:rPr>
          <w:rFonts w:ascii="Arial" w:cs="Arial" w:eastAsia="Arial" w:hAnsi="Arial"/>
          <w:sz w:val="12"/>
          <w:szCs w:val="12"/>
          <w:color w:val="auto"/>
        </w:rPr>
        <w:t>”) in bona fide arm’s length transactions (except as provided below with respect to clinical trial samples), the gross amount billed or invoiced by Seller with respect to the Licensed Product, less the following deductions, in each case to the extent actually allowed and taken by such Buyers and not otherwise recovered by or reimbursed to Seller in connection with such Licensed Product (“</w:t>
      </w:r>
      <w:r>
        <w:rPr>
          <w:rFonts w:ascii="Arial" w:cs="Arial" w:eastAsia="Arial" w:hAnsi="Arial"/>
          <w:sz w:val="12"/>
          <w:szCs w:val="12"/>
          <w:u w:val="single" w:color="auto"/>
          <w:color w:val="auto"/>
        </w:rPr>
        <w:t>Permitted Deductions</w:t>
      </w:r>
      <w:r>
        <w:rPr>
          <w:rFonts w:ascii="Arial" w:cs="Arial" w:eastAsia="Arial" w:hAnsi="Arial"/>
          <w:sz w:val="12"/>
          <w:szCs w:val="12"/>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p>
    <w:p>
      <w:pPr>
        <w:spacing w:after="0" w:line="132" w:lineRule="exact"/>
        <w:rPr>
          <w:sz w:val="20"/>
          <w:szCs w:val="20"/>
          <w:color w:val="auto"/>
        </w:rPr>
      </w:pPr>
    </w:p>
    <w:p>
      <w:pPr>
        <w:ind w:right="100" w:firstLine="458"/>
        <w:spacing w:after="0" w:line="258" w:lineRule="auto"/>
        <w:rPr>
          <w:sz w:val="20"/>
          <w:szCs w:val="20"/>
          <w:color w:val="auto"/>
        </w:rPr>
      </w:pPr>
      <w:r>
        <w:rPr>
          <w:rFonts w:ascii="Arial" w:cs="Arial" w:eastAsia="Arial" w:hAnsi="Arial"/>
          <w:sz w:val="14"/>
          <w:szCs w:val="14"/>
          <w:color w:val="auto"/>
        </w:rPr>
        <w:t>“Net Sales” shall not include any consideration received with respect to a sale, use or other disposition of any Licensed Product in a country as part of a clinical trial necessary to obtain Regulatory Approval in such country. All of the foregoing elements of Net Sales calculations shall be determined in accordance with IFRS or successor standards and guidelines thereto. In the case of transfers of Licensed Product between any of Servier, its Sublicensees,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4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98" w:name="page799"/>
    <w:bookmarkEnd w:id="798"/>
    <w:p>
      <w:pPr>
        <w:ind w:right="3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and Affiliates of any of the foregoing, for subsequent sale, rental, lease or other transfer of such Licensed Products to Third Parties, Net Sales shall be the gross invoice or contract price charged to the Third Party customer for that Licensed Product, less the deductions set forth in clauses *** above.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1.64 “</w:t>
      </w:r>
      <w:r>
        <w:rPr>
          <w:rFonts w:ascii="Arial" w:cs="Arial" w:eastAsia="Arial" w:hAnsi="Arial"/>
          <w:sz w:val="12"/>
          <w:szCs w:val="12"/>
          <w:u w:val="single" w:color="auto"/>
          <w:color w:val="auto"/>
        </w:rPr>
        <w:t>Option Trigger Data Package</w:t>
      </w:r>
      <w:r>
        <w:rPr>
          <w:rFonts w:ascii="Arial" w:cs="Arial" w:eastAsia="Arial" w:hAnsi="Arial"/>
          <w:sz w:val="12"/>
          <w:szCs w:val="12"/>
          <w:color w:val="auto"/>
        </w:rPr>
        <w:t>” means the written report containing specified information and data on the results of the Initial Phase 1 Clinical Trial. The Option Trigger Data Package shall include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26"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1.65 “</w:t>
      </w:r>
      <w:r>
        <w:rPr>
          <w:rFonts w:ascii="Arial" w:cs="Arial" w:eastAsia="Arial" w:hAnsi="Arial"/>
          <w:sz w:val="14"/>
          <w:szCs w:val="14"/>
          <w:u w:val="single" w:color="auto"/>
          <w:color w:val="auto"/>
        </w:rPr>
        <w:t>Out-of-Pocket Costs</w:t>
      </w:r>
      <w:r>
        <w:rPr>
          <w:rFonts w:ascii="Arial" w:cs="Arial" w:eastAsia="Arial" w:hAnsi="Arial"/>
          <w:sz w:val="14"/>
          <w:szCs w:val="14"/>
          <w:color w:val="auto"/>
        </w:rPr>
        <w:t>” means, with respect to certain activities hereunder, direct expenses paid or payable by either Party or its Affiliates to Third Parties and specifically identifiable and incurred to conduct such activities for a Licensed Product.</w:t>
      </w:r>
    </w:p>
    <w:p>
      <w:pPr>
        <w:spacing w:after="0" w:line="101" w:lineRule="exact"/>
        <w:rPr>
          <w:sz w:val="20"/>
          <w:szCs w:val="20"/>
          <w:color w:val="auto"/>
        </w:rPr>
      </w:pPr>
    </w:p>
    <w:p>
      <w:pPr>
        <w:ind w:right="700" w:firstLine="458"/>
        <w:spacing w:after="0" w:line="351" w:lineRule="auto"/>
        <w:rPr>
          <w:sz w:val="20"/>
          <w:szCs w:val="20"/>
          <w:color w:val="auto"/>
        </w:rPr>
      </w:pPr>
      <w:r>
        <w:rPr>
          <w:rFonts w:ascii="Arial" w:cs="Arial" w:eastAsia="Arial" w:hAnsi="Arial"/>
          <w:sz w:val="12"/>
          <w:szCs w:val="12"/>
          <w:color w:val="auto"/>
        </w:rPr>
        <w:t>1.66 “</w:t>
      </w:r>
      <w:r>
        <w:rPr>
          <w:rFonts w:ascii="Arial" w:cs="Arial" w:eastAsia="Arial" w:hAnsi="Arial"/>
          <w:sz w:val="12"/>
          <w:szCs w:val="12"/>
          <w:u w:val="single" w:color="auto"/>
          <w:color w:val="auto"/>
        </w:rPr>
        <w:t>Patent</w:t>
      </w:r>
      <w:r>
        <w:rPr>
          <w:rFonts w:ascii="Arial" w:cs="Arial" w:eastAsia="Arial" w:hAnsi="Arial"/>
          <w:sz w:val="12"/>
          <w:szCs w:val="12"/>
          <w:color w:val="auto"/>
        </w:rPr>
        <w:t>” means (a) all patents and patent applications in any country or supranational jurisdiction, and (b) any substitutions, divisionals, continuations, continuations-in-part, provisional applications, reissues, renewals, registrations, confirmations, re-examinations, extensions, supplementary protection certificates and the like of any such patents or patent applications.</w:t>
      </w:r>
    </w:p>
    <w:p>
      <w:pPr>
        <w:spacing w:after="0" w:line="56" w:lineRule="exact"/>
        <w:rPr>
          <w:sz w:val="20"/>
          <w:szCs w:val="20"/>
          <w:color w:val="auto"/>
        </w:rPr>
      </w:pPr>
    </w:p>
    <w:p>
      <w:pPr>
        <w:ind w:right="280" w:firstLine="458"/>
        <w:spacing w:after="0" w:line="267" w:lineRule="auto"/>
        <w:rPr>
          <w:sz w:val="20"/>
          <w:szCs w:val="20"/>
          <w:color w:val="auto"/>
        </w:rPr>
      </w:pPr>
      <w:r>
        <w:rPr>
          <w:rFonts w:ascii="Arial" w:cs="Arial" w:eastAsia="Arial" w:hAnsi="Arial"/>
          <w:sz w:val="14"/>
          <w:szCs w:val="14"/>
          <w:color w:val="auto"/>
        </w:rPr>
        <w:t>1.67 “</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01" w:lineRule="exact"/>
        <w:rPr>
          <w:sz w:val="20"/>
          <w:szCs w:val="20"/>
          <w:color w:val="auto"/>
        </w:rPr>
      </w:pPr>
    </w:p>
    <w:p>
      <w:pPr>
        <w:ind w:right="140" w:firstLine="458"/>
        <w:spacing w:after="0" w:line="253" w:lineRule="auto"/>
        <w:rPr>
          <w:sz w:val="20"/>
          <w:szCs w:val="20"/>
          <w:color w:val="auto"/>
        </w:rPr>
      </w:pPr>
      <w:r>
        <w:rPr>
          <w:rFonts w:ascii="Arial" w:cs="Arial" w:eastAsia="Arial" w:hAnsi="Arial"/>
          <w:sz w:val="14"/>
          <w:szCs w:val="14"/>
          <w:color w:val="auto"/>
        </w:rPr>
        <w:t>1.68 “</w:t>
      </w:r>
      <w:r>
        <w:rPr>
          <w:rFonts w:ascii="Arial" w:cs="Arial" w:eastAsia="Arial" w:hAnsi="Arial"/>
          <w:sz w:val="14"/>
          <w:szCs w:val="14"/>
          <w:u w:val="single" w:color="auto"/>
          <w:color w:val="auto"/>
        </w:rPr>
        <w:t>Phase 1 Clinical Trial</w:t>
      </w:r>
      <w:r>
        <w:rPr>
          <w:rFonts w:ascii="Arial" w:cs="Arial" w:eastAsia="Arial" w:hAnsi="Arial"/>
          <w:sz w:val="14"/>
          <w:szCs w:val="14"/>
          <w:color w:val="auto"/>
        </w:rPr>
        <w:t>” means a human clinical trial, other than the Phase 1 Dosing Clinical Trial, that is intended to initially evaluate the safety and/or pharmacological effect of a product or that would otherwise satisfy the requirements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21 C.F.R. 312.21(a) or an equivalent clinical trial in a country other than the United States.</w:t>
      </w:r>
    </w:p>
    <w:p>
      <w:pPr>
        <w:spacing w:after="0" w:line="126"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1.69 “</w:t>
      </w:r>
      <w:r>
        <w:rPr>
          <w:rFonts w:ascii="Arial" w:cs="Arial" w:eastAsia="Arial" w:hAnsi="Arial"/>
          <w:sz w:val="14"/>
          <w:szCs w:val="14"/>
          <w:u w:val="single" w:color="auto"/>
          <w:color w:val="auto"/>
        </w:rPr>
        <w:t>Phase 2 Clinical Trial</w:t>
      </w:r>
      <w:r>
        <w:rPr>
          <w:rFonts w:ascii="Arial" w:cs="Arial" w:eastAsia="Arial" w:hAnsi="Arial"/>
          <w:sz w:val="14"/>
          <w:szCs w:val="14"/>
          <w:color w:val="auto"/>
        </w:rPr>
        <w:t>” means a human clinical trial for which the primary endpoints include a determination of dose ranges or an indication of efficacy of a product in patients being studied as described in 21 C.F.R. §312.21(b), or an equivalent clinical trial in a country other than the United States.</w:t>
      </w:r>
    </w:p>
    <w:p>
      <w:pPr>
        <w:spacing w:after="0" w:line="101" w:lineRule="exact"/>
        <w:rPr>
          <w:sz w:val="20"/>
          <w:szCs w:val="20"/>
          <w:color w:val="auto"/>
        </w:rPr>
      </w:pPr>
    </w:p>
    <w:p>
      <w:pPr>
        <w:ind w:right="120" w:firstLine="458"/>
        <w:spacing w:after="0" w:line="258" w:lineRule="auto"/>
        <w:rPr>
          <w:sz w:val="20"/>
          <w:szCs w:val="20"/>
          <w:color w:val="auto"/>
        </w:rPr>
      </w:pPr>
      <w:r>
        <w:rPr>
          <w:rFonts w:ascii="Arial" w:cs="Arial" w:eastAsia="Arial" w:hAnsi="Arial"/>
          <w:sz w:val="14"/>
          <w:szCs w:val="14"/>
          <w:color w:val="auto"/>
        </w:rPr>
        <w:t>1.70 “</w:t>
      </w:r>
      <w:r>
        <w:rPr>
          <w:rFonts w:ascii="Arial" w:cs="Arial" w:eastAsia="Arial" w:hAnsi="Arial"/>
          <w:sz w:val="14"/>
          <w:szCs w:val="14"/>
          <w:u w:val="single" w:color="auto"/>
          <w:color w:val="auto"/>
        </w:rPr>
        <w:t>Phase 3 Clinical Trial</w:t>
      </w:r>
      <w:r>
        <w:rPr>
          <w:rFonts w:ascii="Arial" w:cs="Arial" w:eastAsia="Arial" w:hAnsi="Arial"/>
          <w:sz w:val="14"/>
          <w:szCs w:val="14"/>
          <w:color w:val="auto"/>
        </w:rPr>
        <w:t>” means a human clinical trial that is prospectively designed to demonstrate statistically whether a product is safe and effective for use in humans in the indication being investigated in a manner sufficient to obtain Regulatory Approval to market such product in patients having the disease or condition being studied as described in 21 C.F.R. §312.21(c), or an equivalent clinical trial in a country other than the United States.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1.71 “</w:t>
      </w:r>
      <w:r>
        <w:rPr>
          <w:rFonts w:ascii="Arial" w:cs="Arial" w:eastAsia="Arial" w:hAnsi="Arial"/>
          <w:sz w:val="14"/>
          <w:szCs w:val="14"/>
          <w:u w:val="single" w:color="auto"/>
          <w:color w:val="auto"/>
        </w:rPr>
        <w:t>PMDA</w:t>
      </w:r>
      <w:r>
        <w:rPr>
          <w:rFonts w:ascii="Arial" w:cs="Arial" w:eastAsia="Arial" w:hAnsi="Arial"/>
          <w:sz w:val="14"/>
          <w:szCs w:val="14"/>
          <w:color w:val="auto"/>
        </w:rPr>
        <w:t>” means the Japanese Pharmaceuticals and Medical Devices Agency or any successor agency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1.72 “</w:t>
      </w:r>
      <w:r>
        <w:rPr>
          <w:rFonts w:ascii="Arial" w:cs="Arial" w:eastAsia="Arial" w:hAnsi="Arial"/>
          <w:sz w:val="14"/>
          <w:szCs w:val="14"/>
          <w:u w:val="single" w:color="auto"/>
          <w:color w:val="auto"/>
        </w:rPr>
        <w:t>Program Antibody</w:t>
      </w:r>
      <w:r>
        <w:rPr>
          <w:rFonts w:ascii="Arial" w:cs="Arial" w:eastAsia="Arial" w:hAnsi="Arial"/>
          <w:sz w:val="14"/>
          <w:szCs w:val="14"/>
          <w:color w:val="auto"/>
        </w:rPr>
        <w:t xml:space="preserve">” means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4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799" w:name="page800"/>
    <w:bookmarkEnd w:id="799"/>
    <w:p>
      <w:pPr>
        <w:ind w:right="100"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1.73 “</w:t>
      </w:r>
      <w:r>
        <w:rPr>
          <w:rFonts w:ascii="Arial" w:cs="Arial" w:eastAsia="Arial" w:hAnsi="Arial"/>
          <w:sz w:val="14"/>
          <w:szCs w:val="14"/>
          <w:u w:val="single" w:color="auto"/>
          <w:color w:val="auto"/>
        </w:rPr>
        <w:t>Regulatory Approval</w:t>
      </w:r>
      <w:r>
        <w:rPr>
          <w:rFonts w:ascii="Arial" w:cs="Arial" w:eastAsia="Arial" w:hAnsi="Arial"/>
          <w:sz w:val="14"/>
          <w:szCs w:val="14"/>
          <w:color w:val="auto"/>
        </w:rPr>
        <w:t>” means the approval, license or authorization of the applicable Regulatory Authority necessary for Development and/or Commercialization of a Program Antibody and/or a Licensed Product for a particular Indication.</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1.74 “</w:t>
      </w:r>
      <w:r>
        <w:rPr>
          <w:rFonts w:ascii="Arial" w:cs="Arial" w:eastAsia="Arial" w:hAnsi="Arial"/>
          <w:sz w:val="14"/>
          <w:szCs w:val="14"/>
          <w:u w:val="single" w:color="auto"/>
          <w:color w:val="auto"/>
        </w:rPr>
        <w:t>Regulatory Authority</w:t>
      </w:r>
      <w:r>
        <w:rPr>
          <w:rFonts w:ascii="Arial" w:cs="Arial" w:eastAsia="Arial" w:hAnsi="Arial"/>
          <w:sz w:val="14"/>
          <w:szCs w:val="14"/>
          <w:color w:val="auto"/>
        </w:rPr>
        <w:t>” means the FDA in the United States or any health regulatory authority in another country that is a counterpart to the FDA and holds responsibility for allowing development of Program Antibodies and/or granting Regulatory Approval for a Licensed Product in such country, including the EMA, and any successor(s) thereto.</w:t>
      </w:r>
    </w:p>
    <w:p>
      <w:pPr>
        <w:spacing w:after="0" w:line="101" w:lineRule="exact"/>
        <w:rPr>
          <w:sz w:val="20"/>
          <w:szCs w:val="20"/>
          <w:color w:val="auto"/>
        </w:rPr>
      </w:pPr>
    </w:p>
    <w:p>
      <w:pPr>
        <w:ind w:right="160" w:firstLine="458"/>
        <w:spacing w:after="0" w:line="258" w:lineRule="auto"/>
        <w:rPr>
          <w:sz w:val="20"/>
          <w:szCs w:val="20"/>
          <w:color w:val="auto"/>
        </w:rPr>
      </w:pPr>
      <w:r>
        <w:rPr>
          <w:rFonts w:ascii="Arial" w:cs="Arial" w:eastAsia="Arial" w:hAnsi="Arial"/>
          <w:sz w:val="14"/>
          <w:szCs w:val="14"/>
          <w:color w:val="auto"/>
        </w:rPr>
        <w:t>1.75 “</w:t>
      </w:r>
      <w:r>
        <w:rPr>
          <w:rFonts w:ascii="Arial" w:cs="Arial" w:eastAsia="Arial" w:hAnsi="Arial"/>
          <w:sz w:val="14"/>
          <w:szCs w:val="14"/>
          <w:u w:val="single" w:color="auto"/>
          <w:color w:val="auto"/>
        </w:rPr>
        <w:t>Regulatory-Based Exclusivity Period</w:t>
      </w:r>
      <w:r>
        <w:rPr>
          <w:rFonts w:ascii="Arial" w:cs="Arial" w:eastAsia="Arial" w:hAnsi="Arial"/>
          <w:sz w:val="14"/>
          <w:szCs w:val="14"/>
          <w:color w:val="auto"/>
        </w:rPr>
        <w:t>” means, with respect to a Licensed Product, that period of time during which Servier or any of its Affiliates or Sublicensees has been granted the exclusive legal right by a Regulatory Authority either to market and sell a Licensed Product in a country in the Servier Territory or the exclusive right to the use of or reference to clinical data in relation to a Licensed Product.</w:t>
      </w:r>
    </w:p>
    <w:p>
      <w:pPr>
        <w:spacing w:after="0" w:line="108" w:lineRule="exact"/>
        <w:rPr>
          <w:sz w:val="20"/>
          <w:szCs w:val="20"/>
          <w:color w:val="auto"/>
        </w:rPr>
      </w:pPr>
    </w:p>
    <w:p>
      <w:pPr>
        <w:ind w:firstLine="458"/>
        <w:spacing w:after="0" w:line="305" w:lineRule="auto"/>
        <w:rPr>
          <w:sz w:val="20"/>
          <w:szCs w:val="20"/>
          <w:color w:val="auto"/>
        </w:rPr>
      </w:pPr>
      <w:r>
        <w:rPr>
          <w:rFonts w:ascii="Arial" w:cs="Arial" w:eastAsia="Arial" w:hAnsi="Arial"/>
          <w:sz w:val="12"/>
          <w:szCs w:val="12"/>
          <w:color w:val="auto"/>
        </w:rPr>
        <w:t>1.76 “</w:t>
      </w:r>
      <w:r>
        <w:rPr>
          <w:rFonts w:ascii="Arial" w:cs="Arial" w:eastAsia="Arial" w:hAnsi="Arial"/>
          <w:sz w:val="12"/>
          <w:szCs w:val="12"/>
          <w:u w:val="single" w:color="auto"/>
          <w:color w:val="auto"/>
        </w:rPr>
        <w:t>Regulatory Documentation</w:t>
      </w:r>
      <w:r>
        <w:rPr>
          <w:rFonts w:ascii="Arial" w:cs="Arial" w:eastAsia="Arial" w:hAnsi="Arial"/>
          <w:sz w:val="12"/>
          <w:szCs w:val="12"/>
          <w:color w:val="auto"/>
        </w:rPr>
        <w:t>” means, with respect to the Program Antibodies or Licensed Products, all INDs, BLAs, and other regulatory applications submitted to any Regulatory Authority, copies of Regulatory Approvals, regulatory materials, drug dossiers, master files (including Drug Master Files, as defined in 21 C.F.R. §314.420 and any non-United States equivalents), and any other reports, records, regulatory correspondence, meeting minutes, telephone logs, and other materials relating to Regulatory Approval of the Program Antibodies or Licensed Products (including any underlying safety and effectiveness data whether or not submitted to any Regulatory Authority), or required to manufacture, distribute or sell Licensed Products including any information that relates to pharmacology, toxicology, chemistry, manufacturing and controls data, batch records, safety and efficacy, and any safety database required to be maintained for Regulatory Authorities.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1.77 “</w:t>
      </w:r>
      <w:r>
        <w:rPr>
          <w:rFonts w:ascii="Arial" w:cs="Arial" w:eastAsia="Arial" w:hAnsi="Arial"/>
          <w:sz w:val="14"/>
          <w:szCs w:val="14"/>
          <w:u w:val="single" w:color="auto"/>
          <w:color w:val="auto"/>
        </w:rPr>
        <w:t>Research</w:t>
      </w:r>
      <w:r>
        <w:rPr>
          <w:rFonts w:ascii="Arial" w:cs="Arial" w:eastAsia="Arial" w:hAnsi="Arial"/>
          <w:sz w:val="14"/>
          <w:szCs w:val="14"/>
          <w:color w:val="auto"/>
        </w:rPr>
        <w:t>” means the discovery, identification, research, characterization, modification, derivatization and optimization of pharmaceutical compounds.</w:t>
      </w:r>
    </w:p>
    <w:p>
      <w:pPr>
        <w:spacing w:after="0" w:line="132"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1.78 “</w:t>
      </w:r>
      <w:r>
        <w:rPr>
          <w:rFonts w:ascii="Arial" w:cs="Arial" w:eastAsia="Arial" w:hAnsi="Arial"/>
          <w:sz w:val="14"/>
          <w:szCs w:val="14"/>
          <w:u w:val="single" w:color="auto"/>
          <w:color w:val="auto"/>
        </w:rPr>
        <w:t>Research Plan</w:t>
      </w:r>
      <w:r>
        <w:rPr>
          <w:rFonts w:ascii="Arial" w:cs="Arial" w:eastAsia="Arial" w:hAnsi="Arial"/>
          <w:sz w:val="14"/>
          <w:szCs w:val="14"/>
          <w:color w:val="auto"/>
        </w:rPr>
        <w:t>” means a research plan developed by the Parties that sets forth the activities to be undertaken during the Research Term, which research plan may be amended from time to time by the JRDC.</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1.79 “</w:t>
      </w:r>
      <w:r>
        <w:rPr>
          <w:rFonts w:ascii="Arial" w:cs="Arial" w:eastAsia="Arial" w:hAnsi="Arial"/>
          <w:sz w:val="14"/>
          <w:szCs w:val="14"/>
          <w:u w:val="single" w:color="auto"/>
          <w:color w:val="auto"/>
        </w:rPr>
        <w:t>Research Term</w:t>
      </w:r>
      <w:r>
        <w:rPr>
          <w:rFonts w:ascii="Arial" w:cs="Arial" w:eastAsia="Arial" w:hAnsi="Arial"/>
          <w:sz w:val="14"/>
          <w:szCs w:val="14"/>
          <w:color w:val="auto"/>
        </w:rPr>
        <w:t xml:space="preserve">” means the period commencing with the Effective Date and ending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1.80 “</w:t>
      </w:r>
      <w:r>
        <w:rPr>
          <w:rFonts w:ascii="Arial" w:cs="Arial" w:eastAsia="Arial" w:hAnsi="Arial"/>
          <w:sz w:val="14"/>
          <w:szCs w:val="14"/>
          <w:u w:val="single" w:color="auto"/>
          <w:color w:val="auto"/>
        </w:rPr>
        <w:t>Restricted Indication</w:t>
      </w:r>
      <w:r>
        <w:rPr>
          <w:rFonts w:ascii="Arial" w:cs="Arial" w:eastAsia="Arial" w:hAnsi="Arial"/>
          <w:sz w:val="14"/>
          <w:szCs w:val="14"/>
          <w:color w:val="auto"/>
        </w:rPr>
        <w:t xml:space="preserve">” means any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1.81 “</w:t>
      </w:r>
      <w:r>
        <w:rPr>
          <w:rFonts w:ascii="Arial" w:cs="Arial" w:eastAsia="Arial" w:hAnsi="Arial"/>
          <w:sz w:val="14"/>
          <w:szCs w:val="14"/>
          <w:u w:val="single" w:color="auto"/>
          <w:color w:val="auto"/>
        </w:rPr>
        <w:t>Right of Reference or Use</w:t>
      </w:r>
      <w:r>
        <w:rPr>
          <w:rFonts w:ascii="Arial" w:cs="Arial" w:eastAsia="Arial" w:hAnsi="Arial"/>
          <w:sz w:val="14"/>
          <w:szCs w:val="14"/>
          <w:color w:val="auto"/>
        </w:rPr>
        <w:t>” means a “Right of Reference or Use” as that term is defined in 21 C.F.R. §314.3(b), and any non-United States equivalents.</w:t>
      </w:r>
    </w:p>
    <w:p>
      <w:pPr>
        <w:spacing w:after="0" w:line="13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1.82 “</w:t>
      </w:r>
      <w:r>
        <w:rPr>
          <w:rFonts w:ascii="Arial" w:cs="Arial" w:eastAsia="Arial" w:hAnsi="Arial"/>
          <w:sz w:val="14"/>
          <w:szCs w:val="14"/>
          <w:u w:val="single" w:color="auto"/>
          <w:color w:val="auto"/>
        </w:rPr>
        <w:t>Safety Data</w:t>
      </w:r>
      <w:r>
        <w:rPr>
          <w:rFonts w:ascii="Arial" w:cs="Arial" w:eastAsia="Arial" w:hAnsi="Arial"/>
          <w:sz w:val="14"/>
          <w:szCs w:val="14"/>
          <w:color w:val="auto"/>
        </w:rPr>
        <w:t>” means adverse event information and other information (if any) required by one or more Regulatory Authorities to be collected or to be reported to such Regulatory Authorities under applicable Laws.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00" w:name="page801"/>
    <w:bookmarkEnd w:id="80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1.83 “</w:t>
      </w:r>
      <w:r>
        <w:rPr>
          <w:rFonts w:ascii="Arial" w:cs="Arial" w:eastAsia="Arial" w:hAnsi="Arial"/>
          <w:sz w:val="14"/>
          <w:szCs w:val="14"/>
          <w:u w:val="single" w:color="auto"/>
          <w:color w:val="auto"/>
        </w:rPr>
        <w:t>Servier Collaboration IP</w:t>
      </w:r>
      <w:r>
        <w:rPr>
          <w:rFonts w:ascii="Arial" w:cs="Arial" w:eastAsia="Arial" w:hAnsi="Arial"/>
          <w:sz w:val="14"/>
          <w:szCs w:val="14"/>
          <w:color w:val="auto"/>
        </w:rPr>
        <w:t>” means the Servier Collaboration Know-How and the Servier Collaboration Patents.</w:t>
      </w:r>
    </w:p>
    <w:p>
      <w:pPr>
        <w:spacing w:after="0" w:line="132" w:lineRule="exact"/>
        <w:rPr>
          <w:sz w:val="20"/>
          <w:szCs w:val="20"/>
          <w:color w:val="auto"/>
        </w:rPr>
      </w:pPr>
    </w:p>
    <w:p>
      <w:pPr>
        <w:ind w:right="20" w:firstLine="458"/>
        <w:spacing w:after="0" w:line="311" w:lineRule="auto"/>
        <w:rPr>
          <w:sz w:val="20"/>
          <w:szCs w:val="20"/>
          <w:color w:val="auto"/>
        </w:rPr>
      </w:pPr>
      <w:r>
        <w:rPr>
          <w:rFonts w:ascii="Arial" w:cs="Arial" w:eastAsia="Arial" w:hAnsi="Arial"/>
          <w:sz w:val="12"/>
          <w:szCs w:val="12"/>
          <w:color w:val="auto"/>
        </w:rPr>
        <w:t>1.84 “</w:t>
      </w:r>
      <w:r>
        <w:rPr>
          <w:rFonts w:ascii="Arial" w:cs="Arial" w:eastAsia="Arial" w:hAnsi="Arial"/>
          <w:sz w:val="12"/>
          <w:szCs w:val="12"/>
          <w:u w:val="single" w:color="auto"/>
          <w:color w:val="auto"/>
        </w:rPr>
        <w:t>Servier Collaboration Know-How</w:t>
      </w:r>
      <w:r>
        <w:rPr>
          <w:rFonts w:ascii="Arial" w:cs="Arial" w:eastAsia="Arial" w:hAnsi="Arial"/>
          <w:sz w:val="12"/>
          <w:szCs w:val="12"/>
          <w:color w:val="auto"/>
        </w:rPr>
        <w:t>” means Know-How that is (a) Controlled by Servier or its Affiliates on the Effective Date or thereafter during the Agreement Term; (b) (i) an improvement, modification, enhancement or novel use of a Program Antibody or Licensed Product, or any improvement, modification or enhancement in the Manufacturing process or formulation of a Program Antibody or Licensed Product by or on behalf of Servier or its Affiliates; or (ii) disclosed by or on behalf of Servier or its Affiliates to MacroGenics or its Affiliates pursuant to this Agreement; and (c) necessary or useful to Research, Develop, Manufacture or Commercialize any Program Antibody or Licensed Product in the Field. Servier Collaboration Know-How excludes Servier’s interest in the Joint IP.</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1.85 “</w:t>
      </w:r>
      <w:r>
        <w:rPr>
          <w:rFonts w:ascii="Arial" w:cs="Arial" w:eastAsia="Arial" w:hAnsi="Arial"/>
          <w:sz w:val="14"/>
          <w:szCs w:val="14"/>
          <w:u w:val="single" w:color="auto"/>
          <w:color w:val="auto"/>
        </w:rPr>
        <w:t>Servier Collaboration Patent(s)</w:t>
      </w:r>
      <w:r>
        <w:rPr>
          <w:rFonts w:ascii="Arial" w:cs="Arial" w:eastAsia="Arial" w:hAnsi="Arial"/>
          <w:sz w:val="14"/>
          <w:szCs w:val="14"/>
          <w:color w:val="auto"/>
        </w:rPr>
        <w:t>” means Patents Controlled by Servier and its Affiliates on the Effective Date or thereafter during the Agreement Term claiming or directed to Servier Collaboration Know-How.</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1.86 “</w:t>
      </w:r>
      <w:r>
        <w:rPr>
          <w:rFonts w:ascii="Arial" w:cs="Arial" w:eastAsia="Arial" w:hAnsi="Arial"/>
          <w:sz w:val="14"/>
          <w:szCs w:val="14"/>
          <w:u w:val="single" w:color="auto"/>
          <w:color w:val="auto"/>
        </w:rPr>
        <w:t>Servier Indemnitees</w:t>
      </w:r>
      <w:r>
        <w:rPr>
          <w:rFonts w:ascii="Arial" w:cs="Arial" w:eastAsia="Arial" w:hAnsi="Arial"/>
          <w:sz w:val="14"/>
          <w:szCs w:val="14"/>
          <w:color w:val="auto"/>
        </w:rPr>
        <w:t>” means Servier, its Affiliates and the directors, officers and employees of Servier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1.87 “</w:t>
      </w:r>
      <w:r>
        <w:rPr>
          <w:rFonts w:ascii="Arial" w:cs="Arial" w:eastAsia="Arial" w:hAnsi="Arial"/>
          <w:sz w:val="14"/>
          <w:szCs w:val="14"/>
          <w:u w:val="single" w:color="auto"/>
          <w:color w:val="auto"/>
        </w:rPr>
        <w:t>Servier Territory</w:t>
      </w:r>
      <w:r>
        <w:rPr>
          <w:rFonts w:ascii="Arial" w:cs="Arial" w:eastAsia="Arial" w:hAnsi="Arial"/>
          <w:sz w:val="14"/>
          <w:szCs w:val="14"/>
          <w:color w:val="auto"/>
        </w:rPr>
        <w:t>” means the entire world excluding the MacroGenics Territory.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1.88 “</w:t>
      </w:r>
      <w:r>
        <w:rPr>
          <w:rFonts w:ascii="Arial" w:cs="Arial" w:eastAsia="Arial" w:hAnsi="Arial"/>
          <w:sz w:val="14"/>
          <w:szCs w:val="14"/>
          <w:u w:val="single" w:color="auto"/>
          <w:color w:val="auto"/>
        </w:rPr>
        <w:t>SFDA</w:t>
      </w:r>
      <w:r>
        <w:rPr>
          <w:rFonts w:ascii="Arial" w:cs="Arial" w:eastAsia="Arial" w:hAnsi="Arial"/>
          <w:sz w:val="14"/>
          <w:szCs w:val="14"/>
          <w:color w:val="auto"/>
        </w:rPr>
        <w:t>” means the Chinese State Food and Drug Administration or any successor agency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1.89 “</w:t>
      </w:r>
      <w:r>
        <w:rPr>
          <w:rFonts w:ascii="Arial" w:cs="Arial" w:eastAsia="Arial" w:hAnsi="Arial"/>
          <w:sz w:val="14"/>
          <w:szCs w:val="14"/>
          <w:u w:val="single" w:color="auto"/>
          <w:color w:val="auto"/>
        </w:rPr>
        <w:t>Significant Patent</w:t>
      </w:r>
      <w:r>
        <w:rPr>
          <w:rFonts w:ascii="Arial" w:cs="Arial" w:eastAsia="Arial" w:hAnsi="Arial"/>
          <w:sz w:val="14"/>
          <w:szCs w:val="14"/>
          <w:color w:val="auto"/>
        </w:rPr>
        <w:t xml:space="preserve">” means any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right="240" w:firstLine="458"/>
        <w:spacing w:after="0" w:line="351" w:lineRule="auto"/>
        <w:rPr>
          <w:sz w:val="20"/>
          <w:szCs w:val="20"/>
          <w:color w:val="auto"/>
        </w:rPr>
      </w:pPr>
      <w:r>
        <w:rPr>
          <w:rFonts w:ascii="Arial" w:cs="Arial" w:eastAsia="Arial" w:hAnsi="Arial"/>
          <w:sz w:val="12"/>
          <w:szCs w:val="12"/>
          <w:color w:val="auto"/>
        </w:rPr>
        <w:t>1.90 “</w:t>
      </w:r>
      <w:r>
        <w:rPr>
          <w:rFonts w:ascii="Arial" w:cs="Arial" w:eastAsia="Arial" w:hAnsi="Arial"/>
          <w:sz w:val="12"/>
          <w:szCs w:val="12"/>
          <w:u w:val="single" w:color="auto"/>
          <w:color w:val="auto"/>
        </w:rPr>
        <w:t>Sublicensee</w:t>
      </w:r>
      <w:r>
        <w:rPr>
          <w:rFonts w:ascii="Arial" w:cs="Arial" w:eastAsia="Arial" w:hAnsi="Arial"/>
          <w:sz w:val="12"/>
          <w:szCs w:val="12"/>
          <w:color w:val="auto"/>
        </w:rPr>
        <w:t>” means a Third Party to whom a Party, as permitted under this Agreement, grants a license or sublicense, as the case may be, under the MacroGenics IP or Servier IP to Research, Develop, Manufacture, Commercialize or use Program Antibodies and/or Licensed Products in the Field or otherwise grants rights to distribute, promote or sell Licensed Products in the Field.</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1.91 “</w:t>
      </w:r>
      <w:r>
        <w:rPr>
          <w:rFonts w:ascii="Arial" w:cs="Arial" w:eastAsia="Arial" w:hAnsi="Arial"/>
          <w:sz w:val="14"/>
          <w:szCs w:val="14"/>
          <w:u w:val="single" w:color="auto"/>
          <w:color w:val="auto"/>
        </w:rPr>
        <w:t>Target</w:t>
      </w:r>
      <w:r>
        <w:rPr>
          <w:rFonts w:ascii="Arial" w:cs="Arial" w:eastAsia="Arial" w:hAnsi="Arial"/>
          <w:sz w:val="14"/>
          <w:szCs w:val="14"/>
          <w:color w:val="auto"/>
        </w:rPr>
        <w:t>” ***</w:t>
      </w:r>
    </w:p>
    <w:p>
      <w:pPr>
        <w:spacing w:after="0" w:line="132" w:lineRule="exact"/>
        <w:rPr>
          <w:sz w:val="20"/>
          <w:szCs w:val="20"/>
          <w:color w:val="auto"/>
        </w:rPr>
      </w:pPr>
    </w:p>
    <w:p>
      <w:pPr>
        <w:ind w:right="520" w:firstLine="458"/>
        <w:spacing w:after="0" w:line="267" w:lineRule="auto"/>
        <w:rPr>
          <w:sz w:val="20"/>
          <w:szCs w:val="20"/>
          <w:color w:val="auto"/>
        </w:rPr>
      </w:pPr>
      <w:r>
        <w:rPr>
          <w:rFonts w:ascii="Arial" w:cs="Arial" w:eastAsia="Arial" w:hAnsi="Arial"/>
          <w:sz w:val="14"/>
          <w:szCs w:val="14"/>
          <w:color w:val="auto"/>
        </w:rPr>
        <w:t>1.92 “</w:t>
      </w:r>
      <w:r>
        <w:rPr>
          <w:rFonts w:ascii="Arial" w:cs="Arial" w:eastAsia="Arial" w:hAnsi="Arial"/>
          <w:sz w:val="14"/>
          <w:szCs w:val="14"/>
          <w:u w:val="single" w:color="auto"/>
          <w:color w:val="auto"/>
        </w:rPr>
        <w:t>Terminated Territory</w:t>
      </w:r>
      <w:r>
        <w:rPr>
          <w:rFonts w:ascii="Arial" w:cs="Arial" w:eastAsia="Arial" w:hAnsi="Arial"/>
          <w:sz w:val="14"/>
          <w:szCs w:val="14"/>
          <w:color w:val="auto"/>
        </w:rPr>
        <w:t>” means with respect to a termination of this Agreement pursuant to Section 14, as applicable, (i) the country(ies) subject to such termination; and (ii) with respect to termination of this Agreement in its entirety, the Servier Territory.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1.93 “</w:t>
      </w:r>
      <w:r>
        <w:rPr>
          <w:rFonts w:ascii="Arial" w:cs="Arial" w:eastAsia="Arial" w:hAnsi="Arial"/>
          <w:sz w:val="14"/>
          <w:szCs w:val="14"/>
          <w:u w:val="single" w:color="auto"/>
          <w:color w:val="auto"/>
        </w:rPr>
        <w:t>Third Party</w:t>
      </w:r>
      <w:r>
        <w:rPr>
          <w:rFonts w:ascii="Arial" w:cs="Arial" w:eastAsia="Arial" w:hAnsi="Arial"/>
          <w:sz w:val="14"/>
          <w:szCs w:val="14"/>
          <w:color w:val="auto"/>
        </w:rPr>
        <w:t>” means any Person other than MacroGenics or Servier that is not an Affiliate of MacroGenics or of Servier.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1.94 “</w:t>
      </w:r>
      <w:r>
        <w:rPr>
          <w:rFonts w:ascii="Arial" w:cs="Arial" w:eastAsia="Arial" w:hAnsi="Arial"/>
          <w:sz w:val="14"/>
          <w:szCs w:val="14"/>
          <w:u w:val="single" w:color="auto"/>
          <w:color w:val="auto"/>
        </w:rPr>
        <w:t>United States</w:t>
      </w:r>
      <w:r>
        <w:rPr>
          <w:rFonts w:ascii="Arial" w:cs="Arial" w:eastAsia="Arial" w:hAnsi="Arial"/>
          <w:sz w:val="14"/>
          <w:szCs w:val="14"/>
          <w:color w:val="auto"/>
        </w:rPr>
        <w:t>” or “</w:t>
      </w:r>
      <w:r>
        <w:rPr>
          <w:rFonts w:ascii="Arial" w:cs="Arial" w:eastAsia="Arial" w:hAnsi="Arial"/>
          <w:sz w:val="14"/>
          <w:szCs w:val="14"/>
          <w:u w:val="single" w:color="auto"/>
          <w:color w:val="auto"/>
        </w:rPr>
        <w:t>U.S.</w:t>
      </w:r>
      <w:r>
        <w:rPr>
          <w:rFonts w:ascii="Arial" w:cs="Arial" w:eastAsia="Arial" w:hAnsi="Arial"/>
          <w:sz w:val="14"/>
          <w:szCs w:val="14"/>
          <w:color w:val="auto"/>
        </w:rPr>
        <w:t>” means the United States of America and all of its territories and possessions.</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12</w:t>
      </w:r>
    </w:p>
    <w:p>
      <w:pPr>
        <w:spacing w:after="0" w:line="132" w:lineRule="exact"/>
        <w:rPr>
          <w:sz w:val="20"/>
          <w:szCs w:val="20"/>
          <w:color w:val="auto"/>
        </w:rPr>
      </w:pPr>
    </w:p>
    <w:p>
      <w:pPr>
        <w:ind w:left="3840" w:right="2640" w:hanging="1139"/>
        <w:spacing w:after="0" w:line="351" w:lineRule="auto"/>
        <w:tabs>
          <w:tab w:leader="none" w:pos="2940" w:val="left"/>
        </w:tabs>
        <w:numPr>
          <w:ilvl w:val="0"/>
          <w:numId w:val="94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801" w:name="page802"/>
    <w:bookmarkEnd w:id="801"/>
    <w:p>
      <w:pPr>
        <w:ind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1.95 “</w:t>
      </w:r>
      <w:r>
        <w:rPr>
          <w:rFonts w:ascii="Arial" w:cs="Arial" w:eastAsia="Arial" w:hAnsi="Arial"/>
          <w:sz w:val="14"/>
          <w:szCs w:val="14"/>
          <w:u w:val="single" w:color="auto"/>
          <w:color w:val="auto"/>
        </w:rPr>
        <w:t>Valid Claim</w:t>
      </w:r>
      <w:r>
        <w:rPr>
          <w:rFonts w:ascii="Arial" w:cs="Arial" w:eastAsia="Arial" w:hAnsi="Arial"/>
          <w:sz w:val="14"/>
          <w:szCs w:val="14"/>
          <w:color w:val="auto"/>
        </w:rPr>
        <w:t xml:space="preserve">” means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1.96 </w:t>
      </w:r>
      <w:r>
        <w:rPr>
          <w:rFonts w:ascii="Arial" w:cs="Arial" w:eastAsia="Arial" w:hAnsi="Arial"/>
          <w:sz w:val="14"/>
          <w:szCs w:val="14"/>
          <w:u w:val="single" w:color="auto"/>
          <w:color w:val="auto"/>
        </w:rPr>
        <w:t>Additional Definitions</w:t>
      </w:r>
      <w:r>
        <w:rPr>
          <w:rFonts w:ascii="Arial" w:cs="Arial" w:eastAsia="Arial" w:hAnsi="Arial"/>
          <w:sz w:val="14"/>
          <w:szCs w:val="14"/>
          <w:color w:val="auto"/>
        </w:rPr>
        <w:t>. Each of the following definitions is set forth in the section of this Agreement indicated below:</w:t>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146"/>
        </w:trPr>
        <w:tc>
          <w:tcPr>
            <w:tcW w:w="3040" w:type="dxa"/>
            <w:vAlign w:val="bottom"/>
            <w:gridSpan w:val="2"/>
          </w:tcPr>
          <w:p>
            <w:pPr>
              <w:spacing w:after="0"/>
              <w:rPr>
                <w:sz w:val="20"/>
                <w:szCs w:val="20"/>
                <w:color w:val="auto"/>
              </w:rPr>
            </w:pPr>
            <w:r>
              <w:rPr>
                <w:rFonts w:ascii="Arial" w:cs="Arial" w:eastAsia="Arial" w:hAnsi="Arial"/>
                <w:sz w:val="10"/>
                <w:szCs w:val="10"/>
                <w:b w:val="1"/>
                <w:bCs w:val="1"/>
                <w:color w:val="auto"/>
              </w:rPr>
              <w:t>Definition:</w:t>
            </w:r>
          </w:p>
        </w:tc>
        <w:tc>
          <w:tcPr>
            <w:tcW w:w="412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0"/>
                <w:szCs w:val="10"/>
                <w:b w:val="1"/>
                <w:bCs w:val="1"/>
                <w:color w:val="auto"/>
              </w:rPr>
              <w:t>Section:</w:t>
            </w:r>
          </w:p>
        </w:tc>
      </w:tr>
      <w:tr>
        <w:trPr>
          <w:trHeight w:val="140"/>
        </w:trPr>
        <w:tc>
          <w:tcPr>
            <w:tcW w:w="5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w w:val="97"/>
              </w:rPr>
              <w:t>Alliance</w:t>
            </w:r>
          </w:p>
        </w:tc>
        <w:tc>
          <w:tcPr>
            <w:tcW w:w="2540" w:type="dxa"/>
            <w:vAlign w:val="bottom"/>
          </w:tcPr>
          <w:p>
            <w:pPr>
              <w:spacing w:after="0" w:line="136" w:lineRule="exact"/>
              <w:rPr>
                <w:sz w:val="20"/>
                <w:szCs w:val="20"/>
                <w:color w:val="auto"/>
              </w:rPr>
            </w:pPr>
            <w:r>
              <w:rPr>
                <w:rFonts w:ascii="Arial" w:cs="Arial" w:eastAsia="Arial" w:hAnsi="Arial"/>
                <w:sz w:val="14"/>
                <w:szCs w:val="14"/>
                <w:color w:val="auto"/>
              </w:rPr>
              <w:t>Business-Development Manager</w:t>
            </w:r>
          </w:p>
        </w:tc>
        <w:tc>
          <w:tcPr>
            <w:tcW w:w="4120" w:type="dxa"/>
            <w:vAlign w:val="bottom"/>
          </w:tcPr>
          <w:p>
            <w:pPr>
              <w:spacing w:after="0"/>
              <w:rPr>
                <w:sz w:val="12"/>
                <w:szCs w:val="12"/>
                <w:color w:val="auto"/>
              </w:rPr>
            </w:pPr>
          </w:p>
        </w:tc>
        <w:tc>
          <w:tcPr>
            <w:tcW w:w="6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2.1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Alliance R&amp;D Manager</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2.2</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Arbitration Request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16.2.1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Audited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9.10</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Auditing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9.10</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Bankruptcy Code</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4.8</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Breaching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14.2</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Buy-In Amount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w w:val="88"/>
              </w:rPr>
              <w:t>5.4.2(b)(iv)</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Buy-In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w w:val="93"/>
              </w:rPr>
              <w:t>5.4.2(b)(ii)</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Clinical Supply Agreement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7.2.1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Co-Chairperson</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2.7</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Commercial Supply Agreement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7.2.2</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Commercialization Plan</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8.4</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Commercializing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8.1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Confidential Information</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11.1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De Minimis Overage Amount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5.5.2(a)</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Development Budget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5.3.1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Development Collaboration Proposal</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5.4.2(b)</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Disclosing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11.1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Excess Overage Amount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5.5.2(a)</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Effective Date</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Preamble</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Existing Confidentiality Agreement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11.4</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Global Development Plan</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5.3.1</w:t>
            </w:r>
          </w:p>
        </w:tc>
      </w:t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spacing w:after="0"/>
              <w:rPr>
                <w:sz w:val="14"/>
                <w:szCs w:val="14"/>
                <w:color w:val="auto"/>
              </w:rPr>
            </w:pP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IdRS</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Preamble</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Indemnified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13.3</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Indemnifying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13.3</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Initial Development Budget</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5.5.2</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Initiating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10.4.3</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Inspected Party</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6.3.2</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JEC</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2.4.1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Joint Patents</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10.3.3(a)</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JRDC</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2.6.1</w:t>
            </w: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JSC</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2.5.1</w:t>
            </w:r>
          </w:p>
        </w:tc>
      </w:tr>
      <w:tr>
        <w:trPr>
          <w:trHeight w:val="173"/>
        </w:trPr>
        <w:tc>
          <w:tcPr>
            <w:tcW w:w="3040" w:type="dxa"/>
            <w:vAlign w:val="bottom"/>
            <w:gridSpan w:val="2"/>
          </w:tcPr>
          <w:p>
            <w:pPr>
              <w:spacing w:after="0"/>
              <w:rPr>
                <w:sz w:val="20"/>
                <w:szCs w:val="20"/>
                <w:color w:val="auto"/>
              </w:rPr>
            </w:pPr>
            <w:r>
              <w:rPr>
                <w:rFonts w:ascii="Arial" w:cs="Arial" w:eastAsia="Arial" w:hAnsi="Arial"/>
                <w:sz w:val="14"/>
                <w:szCs w:val="14"/>
                <w:color w:val="auto"/>
              </w:rPr>
              <w:t>License Grant Date</w:t>
            </w:r>
          </w:p>
        </w:tc>
        <w:tc>
          <w:tcPr>
            <w:tcW w:w="4740" w:type="dxa"/>
            <w:vAlign w:val="bottom"/>
            <w:gridSpan w:val="2"/>
          </w:tcPr>
          <w:p>
            <w:pPr>
              <w:ind w:left="4120"/>
              <w:spacing w:after="0"/>
              <w:rPr>
                <w:sz w:val="20"/>
                <w:szCs w:val="20"/>
                <w:color w:val="auto"/>
              </w:rPr>
            </w:pPr>
            <w:r>
              <w:rPr>
                <w:rFonts w:ascii="Arial" w:cs="Arial" w:eastAsia="Arial" w:hAnsi="Arial"/>
                <w:sz w:val="14"/>
                <w:szCs w:val="14"/>
                <w:color w:val="auto"/>
              </w:rPr>
              <w:t>3.3.3(a)</w:t>
            </w:r>
          </w:p>
        </w:tc>
      </w:tr>
      <w:tr>
        <w:trPr>
          <w:trHeight w:val="282"/>
        </w:trPr>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120" w:type="dxa"/>
            <w:vAlign w:val="bottom"/>
          </w:tcPr>
          <w:p>
            <w:pPr>
              <w:ind w:left="780"/>
              <w:spacing w:after="0"/>
              <w:rPr>
                <w:sz w:val="20"/>
                <w:szCs w:val="20"/>
                <w:color w:val="auto"/>
              </w:rPr>
            </w:pPr>
            <w:r>
              <w:rPr>
                <w:rFonts w:ascii="Arial" w:cs="Arial" w:eastAsia="Arial" w:hAnsi="Arial"/>
                <w:sz w:val="14"/>
                <w:szCs w:val="14"/>
                <w:color w:val="auto"/>
              </w:rPr>
              <w:t>13</w:t>
            </w:r>
          </w:p>
        </w:tc>
        <w:tc>
          <w:tcPr>
            <w:tcW w:w="620" w:type="dxa"/>
            <w:vAlign w:val="bottom"/>
          </w:tcPr>
          <w:p>
            <w:pPr>
              <w:spacing w:after="0"/>
              <w:rPr>
                <w:sz w:val="24"/>
                <w:szCs w:val="24"/>
                <w:color w:val="auto"/>
              </w:rPr>
            </w:pPr>
          </w:p>
        </w:tc>
      </w:tr>
    </w:tbl>
    <w:p>
      <w:pPr>
        <w:spacing w:after="0" w:line="120" w:lineRule="exact"/>
        <w:rPr>
          <w:sz w:val="20"/>
          <w:szCs w:val="20"/>
          <w:color w:val="auto"/>
        </w:rPr>
      </w:pPr>
    </w:p>
    <w:p>
      <w:pPr>
        <w:ind w:left="3840" w:right="2680" w:hanging="1139"/>
        <w:spacing w:after="0" w:line="351" w:lineRule="auto"/>
        <w:tabs>
          <w:tab w:leader="none" w:pos="2940" w:val="left"/>
        </w:tabs>
        <w:numPr>
          <w:ilvl w:val="0"/>
          <w:numId w:val="94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02" w:name="page803"/>
    <w:bookmarkEnd w:id="802"/>
    <w:tbl>
      <w:tblPr>
        <w:tblLayout w:type="fixed"/>
        <w:tblInd w:w="1840" w:type="dxa"/>
        <w:tblCellMar>
          <w:top w:w="0" w:type="dxa"/>
          <w:left w:w="0" w:type="dxa"/>
          <w:bottom w:w="0" w:type="dxa"/>
          <w:right w:w="0" w:type="dxa"/>
        </w:tblCellMar>
      </w:tblPr>
      <w:tr>
        <w:trPr>
          <w:trHeight w:val="146"/>
        </w:trPr>
        <w:tc>
          <w:tcPr>
            <w:tcW w:w="7240" w:type="dxa"/>
            <w:vAlign w:val="bottom"/>
            <w:gridSpan w:val="2"/>
          </w:tcPr>
          <w:p>
            <w:pPr>
              <w:spacing w:after="0"/>
              <w:rPr>
                <w:sz w:val="20"/>
                <w:szCs w:val="20"/>
                <w:color w:val="auto"/>
              </w:rPr>
            </w:pPr>
            <w:r>
              <w:rPr>
                <w:rFonts w:ascii="Arial" w:cs="Arial" w:eastAsia="Arial" w:hAnsi="Arial"/>
                <w:sz w:val="10"/>
                <w:szCs w:val="10"/>
                <w:b w:val="1"/>
                <w:bCs w:val="1"/>
                <w:color w:val="auto"/>
              </w:rPr>
              <w:t>Definition:</w:t>
            </w:r>
          </w:p>
        </w:tc>
        <w:tc>
          <w:tcPr>
            <w:tcW w:w="540" w:type="dxa"/>
            <w:vAlign w:val="bottom"/>
          </w:tcPr>
          <w:p>
            <w:pPr>
              <w:ind w:left="80"/>
              <w:spacing w:after="0"/>
              <w:rPr>
                <w:sz w:val="20"/>
                <w:szCs w:val="20"/>
                <w:color w:val="auto"/>
              </w:rPr>
            </w:pPr>
            <w:r>
              <w:rPr>
                <w:rFonts w:ascii="Arial" w:cs="Arial" w:eastAsia="Arial" w:hAnsi="Arial"/>
                <w:sz w:val="10"/>
                <w:szCs w:val="10"/>
                <w:b w:val="1"/>
                <w:bCs w:val="1"/>
                <w:color w:val="auto"/>
              </w:rPr>
              <w:t>Section:</w:t>
            </w:r>
          </w:p>
        </w:tc>
      </w:tr>
      <w:tr>
        <w:trPr>
          <w:trHeight w:val="140"/>
        </w:trPr>
        <w:tc>
          <w:tcPr>
            <w:tcW w:w="5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w w:val="99"/>
              </w:rPr>
              <w:t>License</w:t>
            </w:r>
          </w:p>
        </w:tc>
        <w:tc>
          <w:tcPr>
            <w:tcW w:w="6740" w:type="dxa"/>
            <w:vAlign w:val="bottom"/>
          </w:tcPr>
          <w:p>
            <w:pPr>
              <w:spacing w:after="0" w:line="136" w:lineRule="exact"/>
              <w:rPr>
                <w:sz w:val="20"/>
                <w:szCs w:val="20"/>
                <w:color w:val="auto"/>
              </w:rPr>
            </w:pPr>
            <w:r>
              <w:rPr>
                <w:rFonts w:ascii="Arial" w:cs="Arial" w:eastAsia="Arial" w:hAnsi="Arial"/>
                <w:sz w:val="14"/>
                <w:szCs w:val="14"/>
                <w:color w:val="auto"/>
              </w:rPr>
              <w:t>Grant Fee</w:t>
            </w:r>
          </w:p>
        </w:tc>
        <w:tc>
          <w:tcPr>
            <w:tcW w:w="54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9.2.1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LLS</w:t>
            </w: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Losses</w:t>
            </w:r>
          </w:p>
        </w:tc>
        <w:tc>
          <w:tcPr>
            <w:tcW w:w="540" w:type="dxa"/>
            <w:vAlign w:val="bottom"/>
          </w:tcPr>
          <w:p>
            <w:pPr>
              <w:spacing w:after="0"/>
              <w:rPr>
                <w:sz w:val="20"/>
                <w:szCs w:val="20"/>
                <w:color w:val="auto"/>
              </w:rPr>
            </w:pPr>
            <w:r>
              <w:rPr>
                <w:rFonts w:ascii="Arial" w:cs="Arial" w:eastAsia="Arial" w:hAnsi="Arial"/>
                <w:sz w:val="14"/>
                <w:szCs w:val="14"/>
                <w:color w:val="auto"/>
              </w:rPr>
              <w:t>13.1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M&amp;A Event</w:t>
            </w:r>
          </w:p>
        </w:tc>
        <w:tc>
          <w:tcPr>
            <w:tcW w:w="540" w:type="dxa"/>
            <w:vAlign w:val="bottom"/>
          </w:tcPr>
          <w:p>
            <w:pPr>
              <w:spacing w:after="0"/>
              <w:rPr>
                <w:sz w:val="20"/>
                <w:szCs w:val="20"/>
                <w:color w:val="auto"/>
              </w:rPr>
            </w:pPr>
            <w:r>
              <w:rPr>
                <w:rFonts w:ascii="Arial" w:cs="Arial" w:eastAsia="Arial" w:hAnsi="Arial"/>
                <w:sz w:val="14"/>
                <w:szCs w:val="14"/>
                <w:color w:val="auto"/>
              </w:rPr>
              <w:t>16.4</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MacroGenics</w:t>
            </w: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MacroGenics Product Patents</w:t>
            </w:r>
          </w:p>
        </w:tc>
        <w:tc>
          <w:tcPr>
            <w:tcW w:w="540" w:type="dxa"/>
            <w:vAlign w:val="bottom"/>
          </w:tcPr>
          <w:p>
            <w:pPr>
              <w:spacing w:after="0"/>
              <w:rPr>
                <w:sz w:val="20"/>
                <w:szCs w:val="20"/>
                <w:color w:val="auto"/>
              </w:rPr>
            </w:pPr>
            <w:r>
              <w:rPr>
                <w:rFonts w:ascii="Arial" w:cs="Arial" w:eastAsia="Arial" w:hAnsi="Arial"/>
                <w:sz w:val="14"/>
                <w:szCs w:val="14"/>
                <w:color w:val="auto"/>
                <w:w w:val="92"/>
              </w:rPr>
              <w:t>10.3.1(a)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Non-Arbitrable Dispute</w:t>
            </w:r>
          </w:p>
        </w:tc>
        <w:tc>
          <w:tcPr>
            <w:tcW w:w="540" w:type="dxa"/>
            <w:vAlign w:val="bottom"/>
          </w:tcPr>
          <w:p>
            <w:pPr>
              <w:spacing w:after="0"/>
              <w:rPr>
                <w:sz w:val="20"/>
                <w:szCs w:val="20"/>
                <w:color w:val="auto"/>
              </w:rPr>
            </w:pPr>
            <w:r>
              <w:rPr>
                <w:rFonts w:ascii="Arial" w:cs="Arial" w:eastAsia="Arial" w:hAnsi="Arial"/>
                <w:sz w:val="14"/>
                <w:szCs w:val="14"/>
                <w:color w:val="auto"/>
              </w:rPr>
              <w:t>16.1.2</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Non-Breaching Party</w:t>
            </w:r>
          </w:p>
        </w:tc>
        <w:tc>
          <w:tcPr>
            <w:tcW w:w="540" w:type="dxa"/>
            <w:vAlign w:val="bottom"/>
          </w:tcPr>
          <w:p>
            <w:pPr>
              <w:spacing w:after="0"/>
              <w:rPr>
                <w:sz w:val="20"/>
                <w:szCs w:val="20"/>
                <w:color w:val="auto"/>
              </w:rPr>
            </w:pPr>
            <w:r>
              <w:rPr>
                <w:rFonts w:ascii="Arial" w:cs="Arial" w:eastAsia="Arial" w:hAnsi="Arial"/>
                <w:sz w:val="14"/>
                <w:szCs w:val="14"/>
                <w:color w:val="auto"/>
              </w:rPr>
              <w:t>14.2</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Option</w:t>
            </w:r>
          </w:p>
        </w:tc>
        <w:tc>
          <w:tcPr>
            <w:tcW w:w="540" w:type="dxa"/>
            <w:vAlign w:val="bottom"/>
          </w:tcPr>
          <w:p>
            <w:pPr>
              <w:spacing w:after="0"/>
              <w:rPr>
                <w:sz w:val="20"/>
                <w:szCs w:val="20"/>
                <w:color w:val="auto"/>
              </w:rPr>
            </w:pPr>
            <w:r>
              <w:rPr>
                <w:rFonts w:ascii="Arial" w:cs="Arial" w:eastAsia="Arial" w:hAnsi="Arial"/>
                <w:sz w:val="14"/>
                <w:szCs w:val="14"/>
                <w:color w:val="auto"/>
              </w:rPr>
              <w:t>3.3.3(a)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Option Grant Fee</w:t>
            </w:r>
          </w:p>
        </w:tc>
        <w:tc>
          <w:tcPr>
            <w:tcW w:w="540" w:type="dxa"/>
            <w:vAlign w:val="bottom"/>
          </w:tcPr>
          <w:p>
            <w:pPr>
              <w:spacing w:after="0"/>
              <w:rPr>
                <w:sz w:val="20"/>
                <w:szCs w:val="20"/>
                <w:color w:val="auto"/>
              </w:rPr>
            </w:pPr>
            <w:r>
              <w:rPr>
                <w:rFonts w:ascii="Arial" w:cs="Arial" w:eastAsia="Arial" w:hAnsi="Arial"/>
                <w:sz w:val="14"/>
                <w:szCs w:val="14"/>
                <w:color w:val="auto"/>
              </w:rPr>
              <w:t>9.1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Option Period</w:t>
            </w:r>
          </w:p>
        </w:tc>
        <w:tc>
          <w:tcPr>
            <w:tcW w:w="540" w:type="dxa"/>
            <w:vAlign w:val="bottom"/>
          </w:tcPr>
          <w:p>
            <w:pPr>
              <w:spacing w:after="0"/>
              <w:rPr>
                <w:sz w:val="20"/>
                <w:szCs w:val="20"/>
                <w:color w:val="auto"/>
              </w:rPr>
            </w:pPr>
            <w:r>
              <w:rPr>
                <w:rFonts w:ascii="Arial" w:cs="Arial" w:eastAsia="Arial" w:hAnsi="Arial"/>
                <w:sz w:val="14"/>
                <w:szCs w:val="14"/>
                <w:color w:val="auto"/>
              </w:rPr>
              <w:t>3.3.3(a)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Party or Parties</w:t>
            </w: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Project Director</w:t>
            </w:r>
          </w:p>
        </w:tc>
        <w:tc>
          <w:tcPr>
            <w:tcW w:w="540" w:type="dxa"/>
            <w:vAlign w:val="bottom"/>
          </w:tcPr>
          <w:p>
            <w:pPr>
              <w:spacing w:after="0"/>
              <w:rPr>
                <w:sz w:val="20"/>
                <w:szCs w:val="20"/>
                <w:color w:val="auto"/>
              </w:rPr>
            </w:pPr>
            <w:r>
              <w:rPr>
                <w:rFonts w:ascii="Arial" w:cs="Arial" w:eastAsia="Arial" w:hAnsi="Arial"/>
                <w:sz w:val="14"/>
                <w:szCs w:val="14"/>
                <w:color w:val="auto"/>
              </w:rPr>
              <w:t>2.3</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Proposed Development Plan Amendment</w:t>
            </w:r>
          </w:p>
        </w:tc>
        <w:tc>
          <w:tcPr>
            <w:tcW w:w="540" w:type="dxa"/>
            <w:vAlign w:val="bottom"/>
          </w:tcPr>
          <w:p>
            <w:pPr>
              <w:spacing w:after="0"/>
              <w:rPr>
                <w:sz w:val="20"/>
                <w:szCs w:val="20"/>
                <w:color w:val="auto"/>
              </w:rPr>
            </w:pPr>
            <w:r>
              <w:rPr>
                <w:rFonts w:ascii="Arial" w:cs="Arial" w:eastAsia="Arial" w:hAnsi="Arial"/>
                <w:sz w:val="14"/>
                <w:szCs w:val="14"/>
                <w:color w:val="auto"/>
              </w:rPr>
              <w:t>5.4.2(a)</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Receiving Party</w:t>
            </w:r>
          </w:p>
        </w:tc>
        <w:tc>
          <w:tcPr>
            <w:tcW w:w="540" w:type="dxa"/>
            <w:vAlign w:val="bottom"/>
          </w:tcPr>
          <w:p>
            <w:pPr>
              <w:spacing w:after="0"/>
              <w:rPr>
                <w:sz w:val="20"/>
                <w:szCs w:val="20"/>
                <w:color w:val="auto"/>
              </w:rPr>
            </w:pPr>
            <w:r>
              <w:rPr>
                <w:rFonts w:ascii="Arial" w:cs="Arial" w:eastAsia="Arial" w:hAnsi="Arial"/>
                <w:sz w:val="14"/>
                <w:szCs w:val="14"/>
                <w:color w:val="auto"/>
              </w:rPr>
              <w:t>11.1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Reconciliation Payment</w:t>
            </w:r>
          </w:p>
        </w:tc>
        <w:tc>
          <w:tcPr>
            <w:tcW w:w="540" w:type="dxa"/>
            <w:vAlign w:val="bottom"/>
          </w:tcPr>
          <w:p>
            <w:pPr>
              <w:spacing w:after="0"/>
              <w:rPr>
                <w:sz w:val="20"/>
                <w:szCs w:val="20"/>
                <w:color w:val="auto"/>
              </w:rPr>
            </w:pPr>
            <w:r>
              <w:rPr>
                <w:rFonts w:ascii="Arial" w:cs="Arial" w:eastAsia="Arial" w:hAnsi="Arial"/>
                <w:sz w:val="14"/>
                <w:szCs w:val="14"/>
                <w:color w:val="auto"/>
              </w:rPr>
              <w:t>5.5.2(c)</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Research Program</w:t>
            </w:r>
          </w:p>
        </w:tc>
        <w:tc>
          <w:tcPr>
            <w:tcW w:w="540" w:type="dxa"/>
            <w:vAlign w:val="bottom"/>
          </w:tcPr>
          <w:p>
            <w:pPr>
              <w:spacing w:after="0"/>
              <w:rPr>
                <w:sz w:val="20"/>
                <w:szCs w:val="20"/>
                <w:color w:val="auto"/>
              </w:rPr>
            </w:pPr>
            <w:r>
              <w:rPr>
                <w:rFonts w:ascii="Arial" w:cs="Arial" w:eastAsia="Arial" w:hAnsi="Arial"/>
                <w:sz w:val="14"/>
                <w:szCs w:val="14"/>
                <w:color w:val="auto"/>
              </w:rPr>
              <w:t>3.1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Responsible Party</w:t>
            </w:r>
          </w:p>
        </w:tc>
        <w:tc>
          <w:tcPr>
            <w:tcW w:w="540" w:type="dxa"/>
            <w:vAlign w:val="bottom"/>
          </w:tcPr>
          <w:p>
            <w:pPr>
              <w:spacing w:after="0"/>
              <w:rPr>
                <w:sz w:val="20"/>
                <w:szCs w:val="20"/>
                <w:color w:val="auto"/>
              </w:rPr>
            </w:pPr>
            <w:r>
              <w:rPr>
                <w:rFonts w:ascii="Arial" w:cs="Arial" w:eastAsia="Arial" w:hAnsi="Arial"/>
                <w:sz w:val="14"/>
                <w:szCs w:val="14"/>
                <w:color w:val="auto"/>
                <w:w w:val="92"/>
              </w:rPr>
              <w:t>10.3.3(b)</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Royalty Term</w:t>
            </w:r>
          </w:p>
        </w:tc>
        <w:tc>
          <w:tcPr>
            <w:tcW w:w="540" w:type="dxa"/>
            <w:vAlign w:val="bottom"/>
          </w:tcPr>
          <w:p>
            <w:pPr>
              <w:spacing w:after="0"/>
              <w:rPr>
                <w:sz w:val="20"/>
                <w:szCs w:val="20"/>
                <w:color w:val="auto"/>
              </w:rPr>
            </w:pPr>
            <w:r>
              <w:rPr>
                <w:rFonts w:ascii="Arial" w:cs="Arial" w:eastAsia="Arial" w:hAnsi="Arial"/>
                <w:sz w:val="14"/>
                <w:szCs w:val="14"/>
                <w:color w:val="auto"/>
              </w:rPr>
              <w:t>9.5.2</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SDEA Agreement</w:t>
            </w:r>
          </w:p>
        </w:tc>
        <w:tc>
          <w:tcPr>
            <w:tcW w:w="540" w:type="dxa"/>
            <w:vAlign w:val="bottom"/>
          </w:tcPr>
          <w:p>
            <w:pPr>
              <w:spacing w:after="0"/>
              <w:rPr>
                <w:sz w:val="20"/>
                <w:szCs w:val="20"/>
                <w:color w:val="auto"/>
              </w:rPr>
            </w:pPr>
            <w:r>
              <w:rPr>
                <w:rFonts w:ascii="Arial" w:cs="Arial" w:eastAsia="Arial" w:hAnsi="Arial"/>
                <w:sz w:val="14"/>
                <w:szCs w:val="14"/>
                <w:color w:val="auto"/>
              </w:rPr>
              <w:t>6.5.1</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Servier</w:t>
            </w: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67"/>
        </w:trPr>
        <w:tc>
          <w:tcPr>
            <w:tcW w:w="7240" w:type="dxa"/>
            <w:vAlign w:val="bottom"/>
            <w:gridSpan w:val="2"/>
          </w:tcPr>
          <w:p>
            <w:pPr>
              <w:spacing w:after="0"/>
              <w:rPr>
                <w:sz w:val="20"/>
                <w:szCs w:val="20"/>
                <w:color w:val="auto"/>
              </w:rPr>
            </w:pPr>
            <w:r>
              <w:rPr>
                <w:rFonts w:ascii="Arial" w:cs="Arial" w:eastAsia="Arial" w:hAnsi="Arial"/>
                <w:sz w:val="14"/>
                <w:szCs w:val="14"/>
                <w:color w:val="auto"/>
              </w:rPr>
              <w:t>Servier Product Patents</w:t>
            </w:r>
          </w:p>
        </w:tc>
        <w:tc>
          <w:tcPr>
            <w:tcW w:w="540" w:type="dxa"/>
            <w:vAlign w:val="bottom"/>
          </w:tcPr>
          <w:p>
            <w:pPr>
              <w:spacing w:after="0"/>
              <w:rPr>
                <w:sz w:val="20"/>
                <w:szCs w:val="20"/>
                <w:color w:val="auto"/>
              </w:rPr>
            </w:pPr>
            <w:r>
              <w:rPr>
                <w:rFonts w:ascii="Arial" w:cs="Arial" w:eastAsia="Arial" w:hAnsi="Arial"/>
                <w:sz w:val="14"/>
                <w:szCs w:val="14"/>
                <w:color w:val="auto"/>
                <w:w w:val="92"/>
              </w:rPr>
              <w:t>10.3.2(a)</w:t>
            </w:r>
          </w:p>
        </w:tc>
      </w:tr>
      <w:tr>
        <w:trPr>
          <w:trHeight w:val="173"/>
        </w:trPr>
        <w:tc>
          <w:tcPr>
            <w:tcW w:w="7240" w:type="dxa"/>
            <w:vAlign w:val="bottom"/>
            <w:gridSpan w:val="2"/>
          </w:tcPr>
          <w:p>
            <w:pPr>
              <w:spacing w:after="0"/>
              <w:rPr>
                <w:sz w:val="20"/>
                <w:szCs w:val="20"/>
                <w:color w:val="auto"/>
              </w:rPr>
            </w:pPr>
            <w:r>
              <w:rPr>
                <w:rFonts w:ascii="Arial" w:cs="Arial" w:eastAsia="Arial" w:hAnsi="Arial"/>
                <w:sz w:val="14"/>
                <w:szCs w:val="14"/>
                <w:color w:val="auto"/>
              </w:rPr>
              <w:t>Supplemental Data</w:t>
            </w:r>
          </w:p>
        </w:tc>
        <w:tc>
          <w:tcPr>
            <w:tcW w:w="540" w:type="dxa"/>
            <w:vAlign w:val="bottom"/>
          </w:tcPr>
          <w:p>
            <w:pPr>
              <w:spacing w:after="0"/>
              <w:rPr>
                <w:sz w:val="20"/>
                <w:szCs w:val="20"/>
                <w:color w:val="auto"/>
              </w:rPr>
            </w:pPr>
            <w:r>
              <w:rPr>
                <w:rFonts w:ascii="Arial" w:cs="Arial" w:eastAsia="Arial" w:hAnsi="Arial"/>
                <w:sz w:val="14"/>
                <w:szCs w:val="14"/>
                <w:color w:val="auto"/>
              </w:rPr>
              <w:t>3.2.1</w:t>
            </w:r>
          </w:p>
        </w:tc>
      </w:tr>
    </w:tbl>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ARTICLE 2</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GOVERNANCE</w:t>
      </w:r>
    </w:p>
    <w:p>
      <w:pPr>
        <w:spacing w:after="0" w:line="134" w:lineRule="exact"/>
        <w:rPr>
          <w:sz w:val="20"/>
          <w:szCs w:val="20"/>
          <w:color w:val="auto"/>
        </w:rPr>
      </w:pPr>
    </w:p>
    <w:p>
      <w:pPr>
        <w:ind w:right="120" w:firstLine="458"/>
        <w:spacing w:after="0" w:line="311"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Alliance Business-Development Managers</w:t>
      </w:r>
      <w:r>
        <w:rPr>
          <w:rFonts w:ascii="Arial" w:cs="Arial" w:eastAsia="Arial" w:hAnsi="Arial"/>
          <w:sz w:val="12"/>
          <w:szCs w:val="12"/>
          <w:color w:val="auto"/>
        </w:rPr>
        <w:t>. Within thirty (30) days following the Effective Date, each Party shall appoint (and notify the other Party of the identity of) a representative to act as its business development alliance manager under this Agreement (“</w:t>
      </w:r>
      <w:r>
        <w:rPr>
          <w:rFonts w:ascii="Arial" w:cs="Arial" w:eastAsia="Arial" w:hAnsi="Arial"/>
          <w:sz w:val="12"/>
          <w:szCs w:val="12"/>
          <w:u w:val="single" w:color="auto"/>
          <w:color w:val="auto"/>
        </w:rPr>
        <w:t>Alliance Business-Development Manager</w:t>
      </w:r>
      <w:r>
        <w:rPr>
          <w:rFonts w:ascii="Arial" w:cs="Arial" w:eastAsia="Arial" w:hAnsi="Arial"/>
          <w:sz w:val="12"/>
          <w:szCs w:val="12"/>
          <w:color w:val="auto"/>
        </w:rPr>
        <w:t>”). The Alliance Business-Development Managers shall be there to coordinate any business related activities under this Agreement. The Alliance Business-Development Managers shall attend all JSC meetings and may bring any matter in relation to business to the attention of any committee if such Alliance Business-Development Manager reasonably believes that such matter warrants such attention. Each Party may replace its Alliance Business-Development Manager upon written notice to the other Party.</w:t>
      </w:r>
    </w:p>
    <w:p>
      <w:pPr>
        <w:spacing w:after="0" w:line="79" w:lineRule="exact"/>
        <w:rPr>
          <w:sz w:val="20"/>
          <w:szCs w:val="20"/>
          <w:color w:val="auto"/>
        </w:rPr>
      </w:pPr>
    </w:p>
    <w:p>
      <w:pPr>
        <w:ind w:firstLine="458"/>
        <w:spacing w:after="0" w:line="351"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Alliance R&amp;D Managers</w:t>
      </w:r>
      <w:r>
        <w:rPr>
          <w:rFonts w:ascii="Arial" w:cs="Arial" w:eastAsia="Arial" w:hAnsi="Arial"/>
          <w:sz w:val="12"/>
          <w:szCs w:val="12"/>
          <w:color w:val="auto"/>
        </w:rPr>
        <w:t>. Within thirty (30) days following the Effective Date, each Party shall appoint (and notify the other Party of the identity of) a representative to act as its alliance research and development manager under this Agreement (“</w:t>
      </w:r>
      <w:r>
        <w:rPr>
          <w:rFonts w:ascii="Arial" w:cs="Arial" w:eastAsia="Arial" w:hAnsi="Arial"/>
          <w:sz w:val="12"/>
          <w:szCs w:val="12"/>
          <w:u w:val="single" w:color="auto"/>
          <w:color w:val="auto"/>
        </w:rPr>
        <w:t>Alliance R&amp;D Manager</w:t>
      </w:r>
      <w:r>
        <w:rPr>
          <w:rFonts w:ascii="Arial" w:cs="Arial" w:eastAsia="Arial" w:hAnsi="Arial"/>
          <w:sz w:val="12"/>
          <w:szCs w:val="12"/>
          <w:color w:val="auto"/>
        </w:rPr>
        <w:t>”). With regard to Research and Development activities, the Alliance R&amp;D Managers shall serve as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4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4" w:right="239" w:bottom="1440" w:gutter="0" w:footer="0" w:header="0"/>
        </w:sectPr>
      </w:pPr>
    </w:p>
    <w:bookmarkStart w:id="803" w:name="page804"/>
    <w:bookmarkEnd w:id="803"/>
    <w:p>
      <w:pPr>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primary contact points between the Parties and shall be primarily responsible for facilitating the flow of information, interaction and collaboration between the Parties and shall be responsible for ensuring that the governance procedures and rules set forth herein are complied with. The Alliance R&amp;D Manager shall attend the meetings of the JRDC and the JSC and may bring any matter in relation to the Research and Development management to the attention of any committee, if such Alliance R&amp;D Manager reasonably believes that such matter warrants such attention. Each Party may replace its Alliance R&amp;D Manager upon written notice to the other Party.</w:t>
      </w:r>
    </w:p>
    <w:p>
      <w:pPr>
        <w:spacing w:after="0" w:line="110" w:lineRule="exact"/>
        <w:rPr>
          <w:sz w:val="20"/>
          <w:szCs w:val="20"/>
          <w:color w:val="auto"/>
        </w:rPr>
      </w:pPr>
    </w:p>
    <w:p>
      <w:pPr>
        <w:ind w:right="260" w:firstLine="458"/>
        <w:spacing w:after="0" w:line="255"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Project Directors</w:t>
      </w:r>
      <w:r>
        <w:rPr>
          <w:rFonts w:ascii="Arial" w:cs="Arial" w:eastAsia="Arial" w:hAnsi="Arial"/>
          <w:sz w:val="14"/>
          <w:szCs w:val="14"/>
          <w:color w:val="auto"/>
        </w:rPr>
        <w:t>. Within thirty (30) days following the Effective Date each Party shall appoint (and notify the other Party of the identity of) a representative to act as its project director (“</w:t>
      </w:r>
      <w:r>
        <w:rPr>
          <w:rFonts w:ascii="Arial" w:cs="Arial" w:eastAsia="Arial" w:hAnsi="Arial"/>
          <w:sz w:val="14"/>
          <w:szCs w:val="14"/>
          <w:u w:val="single" w:color="auto"/>
          <w:color w:val="auto"/>
        </w:rPr>
        <w:t>Project</w:t>
      </w:r>
      <w:r>
        <w:rPr>
          <w:rFonts w:ascii="Arial" w:cs="Arial" w:eastAsia="Arial" w:hAnsi="Arial"/>
          <w:sz w:val="14"/>
          <w:szCs w:val="14"/>
          <w:color w:val="auto"/>
        </w:rPr>
        <w:t xml:space="preserve"> </w:t>
      </w:r>
      <w:r>
        <w:rPr>
          <w:rFonts w:ascii="Arial" w:cs="Arial" w:eastAsia="Arial" w:hAnsi="Arial"/>
          <w:sz w:val="14"/>
          <w:szCs w:val="14"/>
          <w:u w:val="single" w:color="auto"/>
          <w:color w:val="auto"/>
        </w:rPr>
        <w:t>Director</w:t>
      </w:r>
      <w:r>
        <w:rPr>
          <w:rFonts w:ascii="Arial" w:cs="Arial" w:eastAsia="Arial" w:hAnsi="Arial"/>
          <w:sz w:val="14"/>
          <w:szCs w:val="14"/>
          <w:color w:val="auto"/>
        </w:rPr>
        <w:t>”). The Project Director shall be responsible for the follow-up of the respective Research and Development activities under this Agreement on a regular basis. The Project Director shall attend the meetings of the JRDC, and may bring any matter in relation to the project management to the attention of the JSC, if such Project Director reasonably believes that such matter warrants such attention. Each Party may replace its Project Director upon written notice to the other Party.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Joint Executive Committee</w:t>
      </w:r>
      <w:r>
        <w:rPr>
          <w:rFonts w:ascii="Arial" w:cs="Arial" w:eastAsia="Arial" w:hAnsi="Arial"/>
          <w:sz w:val="14"/>
          <w:szCs w:val="14"/>
          <w:color w:val="auto"/>
        </w:rPr>
        <w:t>.</w:t>
      </w:r>
    </w:p>
    <w:p>
      <w:pPr>
        <w:spacing w:after="0" w:line="69" w:lineRule="exact"/>
        <w:rPr>
          <w:sz w:val="20"/>
          <w:szCs w:val="20"/>
          <w:color w:val="auto"/>
        </w:rPr>
      </w:pPr>
    </w:p>
    <w:p>
      <w:pPr>
        <w:ind w:right="20" w:firstLine="458"/>
        <w:spacing w:after="0" w:line="321" w:lineRule="auto"/>
        <w:rPr>
          <w:sz w:val="20"/>
          <w:szCs w:val="20"/>
          <w:color w:val="auto"/>
        </w:rPr>
      </w:pPr>
      <w:r>
        <w:rPr>
          <w:rFonts w:ascii="Arial" w:cs="Arial" w:eastAsia="Arial" w:hAnsi="Arial"/>
          <w:sz w:val="12"/>
          <w:szCs w:val="12"/>
          <w:color w:val="auto"/>
        </w:rPr>
        <w:t xml:space="preserve">2.4.1 </w:t>
      </w: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executive committee (the “</w:t>
      </w:r>
      <w:r>
        <w:rPr>
          <w:rFonts w:ascii="Arial" w:cs="Arial" w:eastAsia="Arial" w:hAnsi="Arial"/>
          <w:sz w:val="12"/>
          <w:szCs w:val="12"/>
          <w:u w:val="single" w:color="auto"/>
          <w:color w:val="auto"/>
        </w:rPr>
        <w:t>JEC</w:t>
      </w:r>
      <w:r>
        <w:rPr>
          <w:rFonts w:ascii="Arial" w:cs="Arial" w:eastAsia="Arial" w:hAnsi="Arial"/>
          <w:sz w:val="12"/>
          <w:szCs w:val="12"/>
          <w:color w:val="auto"/>
        </w:rPr>
        <w:t>”). The JEC shall be comprised of up to three (3) senior executives from each Party. Either Party may, from time to time, invite additional representatives or consultants to attend JEC meetings, subject to such representative’s and consultant’s written agreement to comply with confidentiality obligations substantially the same as those set forth in ARTICLE 11. Each Party shall bear its own expenses related to the attendance at JEC meetings by its representatives.</w:t>
      </w:r>
    </w:p>
    <w:p>
      <w:pPr>
        <w:spacing w:after="0" w:line="73" w:lineRule="exact"/>
        <w:rPr>
          <w:sz w:val="20"/>
          <w:szCs w:val="20"/>
          <w:color w:val="auto"/>
        </w:rPr>
      </w:pPr>
    </w:p>
    <w:p>
      <w:pPr>
        <w:ind w:right="340" w:firstLine="458"/>
        <w:spacing w:after="0" w:line="267" w:lineRule="auto"/>
        <w:rPr>
          <w:sz w:val="20"/>
          <w:szCs w:val="20"/>
          <w:color w:val="auto"/>
        </w:rPr>
      </w:pPr>
      <w:r>
        <w:rPr>
          <w:rFonts w:ascii="Arial" w:cs="Arial" w:eastAsia="Arial" w:hAnsi="Arial"/>
          <w:sz w:val="14"/>
          <w:szCs w:val="14"/>
          <w:color w:val="auto"/>
        </w:rPr>
        <w:t xml:space="preserve">2.4.2 </w:t>
      </w:r>
      <w:r>
        <w:rPr>
          <w:rFonts w:ascii="Arial" w:cs="Arial" w:eastAsia="Arial" w:hAnsi="Arial"/>
          <w:sz w:val="14"/>
          <w:szCs w:val="14"/>
          <w:u w:val="single" w:color="auto"/>
          <w:color w:val="auto"/>
        </w:rPr>
        <w:t>Function and Powers of the JEC</w:t>
      </w:r>
      <w:r>
        <w:rPr>
          <w:rFonts w:ascii="Arial" w:cs="Arial" w:eastAsia="Arial" w:hAnsi="Arial"/>
          <w:sz w:val="14"/>
          <w:szCs w:val="14"/>
          <w:color w:val="auto"/>
        </w:rPr>
        <w:t>. The JEC shall manage the overall collaboration between the Parties, resource allocation and major changes to the collaboration requiring amendments to this Agreement and shall resolve disagreements that may arise at the JSC.</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Joint Steering Committee</w:t>
      </w:r>
      <w:r>
        <w:rPr>
          <w:rFonts w:ascii="Arial" w:cs="Arial" w:eastAsia="Arial" w:hAnsi="Arial"/>
          <w:sz w:val="14"/>
          <w:szCs w:val="14"/>
          <w:color w:val="auto"/>
        </w:rPr>
        <w:t>.</w:t>
      </w:r>
    </w:p>
    <w:p>
      <w:pPr>
        <w:spacing w:after="0" w:line="69" w:lineRule="exact"/>
        <w:rPr>
          <w:sz w:val="20"/>
          <w:szCs w:val="20"/>
          <w:color w:val="auto"/>
        </w:rPr>
      </w:pPr>
    </w:p>
    <w:p>
      <w:pPr>
        <w:ind w:right="140" w:firstLine="458"/>
        <w:spacing w:after="0" w:line="305" w:lineRule="auto"/>
        <w:rPr>
          <w:sz w:val="20"/>
          <w:szCs w:val="20"/>
          <w:color w:val="auto"/>
        </w:rPr>
      </w:pPr>
      <w:r>
        <w:rPr>
          <w:rFonts w:ascii="Arial" w:cs="Arial" w:eastAsia="Arial" w:hAnsi="Arial"/>
          <w:sz w:val="12"/>
          <w:szCs w:val="12"/>
          <w:color w:val="auto"/>
        </w:rPr>
        <w:t xml:space="preserve">2.5.1 </w:t>
      </w:r>
      <w:r>
        <w:rPr>
          <w:rFonts w:ascii="Arial" w:cs="Arial" w:eastAsia="Arial" w:hAnsi="Arial"/>
          <w:sz w:val="12"/>
          <w:szCs w:val="12"/>
          <w:u w:val="single" w:color="auto"/>
          <w:color w:val="auto"/>
        </w:rPr>
        <w:t>Composition</w:t>
      </w:r>
      <w:r>
        <w:rPr>
          <w:rFonts w:ascii="Arial" w:cs="Arial" w:eastAsia="Arial" w:hAnsi="Arial"/>
          <w:sz w:val="12"/>
          <w:szCs w:val="12"/>
          <w:color w:val="auto"/>
        </w:rPr>
        <w:t>. Promptly after the Effective Date, the Parties shall establish a joint steering committee (the “</w:t>
      </w:r>
      <w:r>
        <w:rPr>
          <w:rFonts w:ascii="Arial" w:cs="Arial" w:eastAsia="Arial" w:hAnsi="Arial"/>
          <w:sz w:val="12"/>
          <w:szCs w:val="12"/>
          <w:u w:val="single" w:color="auto"/>
          <w:color w:val="auto"/>
        </w:rPr>
        <w:t>JSC</w:t>
      </w:r>
      <w:r>
        <w:rPr>
          <w:rFonts w:ascii="Arial" w:cs="Arial" w:eastAsia="Arial" w:hAnsi="Arial"/>
          <w:sz w:val="12"/>
          <w:szCs w:val="12"/>
          <w:color w:val="auto"/>
        </w:rPr>
        <w:t>”). The JSC shall be comprised of three (3) named representatives of Servier and three (3) named representatives of MacroGenics (or such other number as the Parties may agree) as well as each Party’s Alliance Business-Development Manager and Alliance R&amp;D Manager. As soon as practicable after the Effective Date (but in no event more than thirty (30) days after the Effective Date), each Party shall designate by written notice to the other Party its initial representatives on the JSC. Each Party may replace one or more of its representatives, in its sole discretion, effective upon written notice to the other Party of such change. These representatives shall have appropriate technical credentials, experience and knowledge. Either Party may, from time to time, invite additional representatives or</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4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04" w:name="page805"/>
    <w:bookmarkEnd w:id="804"/>
    <w:p>
      <w:pPr>
        <w:ind w:right="12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consultants to attend JSC meetings, subject to such representative’s and consultant’s written agreement to comply with confidentiality obligations substantially the same as those set forth in ARTICLE 11. Each Party shall bear its own expenses related to the attendance at JSC meetings by its representatives. The JSC shall be co-chaired by a representative from each Party.</w:t>
      </w:r>
    </w:p>
    <w:p>
      <w:pPr>
        <w:spacing w:after="0" w:line="56" w:lineRule="exact"/>
        <w:rPr>
          <w:sz w:val="20"/>
          <w:szCs w:val="20"/>
          <w:color w:val="auto"/>
        </w:rPr>
      </w:pPr>
    </w:p>
    <w:p>
      <w:pPr>
        <w:ind w:firstLine="458"/>
        <w:spacing w:after="0" w:line="300" w:lineRule="auto"/>
        <w:rPr>
          <w:sz w:val="20"/>
          <w:szCs w:val="20"/>
          <w:color w:val="auto"/>
        </w:rPr>
      </w:pPr>
      <w:r>
        <w:rPr>
          <w:rFonts w:ascii="Arial" w:cs="Arial" w:eastAsia="Arial" w:hAnsi="Arial"/>
          <w:sz w:val="12"/>
          <w:szCs w:val="12"/>
          <w:color w:val="auto"/>
        </w:rPr>
        <w:t xml:space="preserve">2.5.2 </w:t>
      </w:r>
      <w:r>
        <w:rPr>
          <w:rFonts w:ascii="Arial" w:cs="Arial" w:eastAsia="Arial" w:hAnsi="Arial"/>
          <w:sz w:val="12"/>
          <w:szCs w:val="12"/>
          <w:u w:val="single" w:color="auto"/>
          <w:color w:val="auto"/>
        </w:rPr>
        <w:t>Function and Powers of the JSC</w:t>
      </w:r>
      <w:r>
        <w:rPr>
          <w:rFonts w:ascii="Arial" w:cs="Arial" w:eastAsia="Arial" w:hAnsi="Arial"/>
          <w:sz w:val="12"/>
          <w:szCs w:val="12"/>
          <w:color w:val="auto"/>
        </w:rPr>
        <w:t>. The JSC’s responsibilities shall include: (a) coordinating the activities of the Parties under this Agreement, including facilitating communications between the Parties with respect to the Development, Manufacture and Commercialization of Program Antibodies and Licensed Product; (b) providing a forum for discussion of the Development, Manufacture, and Commercialization of Licensed Product; (c) reviewing and approving the Research Plan and the Global Development Plan and associated Development Budget and any annual or interim updates and proposed amendments thereto; (d) reviewing and discussing Servier’s Commercialization Plan and related activities with respect to Licensed Products throughout the Servier Territory and (if applicable) the MacroGenics Territory, including pre-launch and go-to-market strategies; (e) directing and overseeing the JRDC and any operating subcommittee established by the JSC, on all significant issues that fall within the purview of such committees; (f) attempting to resolve issues presented to it by, and disputes within, the other committees, including the JRDC and any subcommittee, in accordance with Section 2.9; and (g) considering and acting upon such other matters as specified in this Agreement.</w:t>
      </w:r>
    </w:p>
    <w:p>
      <w:pPr>
        <w:spacing w:after="0" w:line="88" w:lineRule="exact"/>
        <w:rPr>
          <w:sz w:val="20"/>
          <w:szCs w:val="20"/>
          <w:color w:val="auto"/>
        </w:rPr>
      </w:pPr>
    </w:p>
    <w:p>
      <w:pPr>
        <w:ind w:right="100" w:firstLine="458"/>
        <w:spacing w:after="0" w:line="311" w:lineRule="auto"/>
        <w:rPr>
          <w:sz w:val="20"/>
          <w:szCs w:val="20"/>
          <w:color w:val="auto"/>
        </w:rPr>
      </w:pPr>
      <w:r>
        <w:rPr>
          <w:rFonts w:ascii="Arial" w:cs="Arial" w:eastAsia="Arial" w:hAnsi="Arial"/>
          <w:sz w:val="12"/>
          <w:szCs w:val="12"/>
          <w:color w:val="auto"/>
        </w:rPr>
        <w:t xml:space="preserve">2.5.3 </w:t>
      </w:r>
      <w:r>
        <w:rPr>
          <w:rFonts w:ascii="Arial" w:cs="Arial" w:eastAsia="Arial" w:hAnsi="Arial"/>
          <w:sz w:val="12"/>
          <w:szCs w:val="12"/>
          <w:u w:val="single" w:color="auto"/>
          <w:color w:val="auto"/>
        </w:rPr>
        <w:t>Subcommittees</w:t>
      </w:r>
      <w:r>
        <w:rPr>
          <w:rFonts w:ascii="Arial" w:cs="Arial" w:eastAsia="Arial" w:hAnsi="Arial"/>
          <w:sz w:val="12"/>
          <w:szCs w:val="12"/>
          <w:color w:val="auto"/>
        </w:rPr>
        <w:t>. The JSC may establish and disband such subcommittees as deemed necessary by the JSC. Each such subcommittee shall consist of the same number of representatives designated by each Party, which number shall be mutually agreed by the Parties. Each Party shall be free to change its representatives on written notice to the other Party or to send a substitute representative to any subcommittee meeting. Each Party’s representatives and any substitute for a representative shall be bound by the obligations of confidentiality set forth in ARTICLE 11. Except as expressly provided in this Agreement, no subcommittee shall have the authority to bind the Parties hereunder and each subcommittee shall report to the JSC.</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Joint Research and Development Committee and Subcommittees</w:t>
      </w:r>
      <w:r>
        <w:rPr>
          <w:rFonts w:ascii="Arial" w:cs="Arial" w:eastAsia="Arial" w:hAnsi="Arial"/>
          <w:sz w:val="14"/>
          <w:szCs w:val="14"/>
          <w:color w:val="auto"/>
        </w:rPr>
        <w:t>.</w:t>
      </w:r>
    </w:p>
    <w:p>
      <w:pPr>
        <w:spacing w:after="0" w:line="69" w:lineRule="exact"/>
        <w:rPr>
          <w:sz w:val="20"/>
          <w:szCs w:val="20"/>
          <w:color w:val="auto"/>
        </w:rPr>
      </w:pPr>
    </w:p>
    <w:p>
      <w:pPr>
        <w:ind w:firstLine="458"/>
        <w:spacing w:after="0" w:line="252" w:lineRule="auto"/>
        <w:rPr>
          <w:sz w:val="20"/>
          <w:szCs w:val="20"/>
          <w:color w:val="auto"/>
        </w:rPr>
      </w:pPr>
      <w:r>
        <w:rPr>
          <w:rFonts w:ascii="Arial" w:cs="Arial" w:eastAsia="Arial" w:hAnsi="Arial"/>
          <w:sz w:val="14"/>
          <w:szCs w:val="14"/>
          <w:color w:val="auto"/>
        </w:rPr>
        <w:t xml:space="preserve">2.6.1 </w:t>
      </w:r>
      <w:r>
        <w:rPr>
          <w:rFonts w:ascii="Arial" w:cs="Arial" w:eastAsia="Arial" w:hAnsi="Arial"/>
          <w:sz w:val="14"/>
          <w:szCs w:val="14"/>
          <w:u w:val="single" w:color="auto"/>
          <w:color w:val="auto"/>
        </w:rPr>
        <w:t>Composition</w:t>
      </w:r>
      <w:r>
        <w:rPr>
          <w:rFonts w:ascii="Arial" w:cs="Arial" w:eastAsia="Arial" w:hAnsi="Arial"/>
          <w:sz w:val="14"/>
          <w:szCs w:val="14"/>
          <w:color w:val="auto"/>
        </w:rPr>
        <w:t>. Promptly after the Effective Date, the Parties shall establish a joint research and development committee (the “</w:t>
      </w:r>
      <w:r>
        <w:rPr>
          <w:rFonts w:ascii="Arial" w:cs="Arial" w:eastAsia="Arial" w:hAnsi="Arial"/>
          <w:sz w:val="14"/>
          <w:szCs w:val="14"/>
          <w:u w:val="single" w:color="auto"/>
          <w:color w:val="auto"/>
        </w:rPr>
        <w:t>JRDC</w:t>
      </w:r>
      <w:r>
        <w:rPr>
          <w:rFonts w:ascii="Arial" w:cs="Arial" w:eastAsia="Arial" w:hAnsi="Arial"/>
          <w:sz w:val="14"/>
          <w:szCs w:val="14"/>
          <w:color w:val="auto"/>
        </w:rPr>
        <w:t>”). The JRDC shall be comprised of three (3) named representatives of Servier and three (3) named representatives of MacroGenics (or such other number as the Parties may agree) as well as each Party’s Project Director. As soon as practicable after the Effective Date (but in no event more than thirty (30) days after the Effective Date), each Party shall designate by written notice to the other Party its initial representatives on the JRDC. Each Party may replace one or more of its representatives, in its sole discretion, effective upon written notice to the other Party of such change. These representatives shall have appropriate technical credentials, experience and knowledge, and ongoing familiarity with the Research and Development activities hereunder. Either Party may, from time to time, invite additional representatives or consultants to attend JRDC meetings, subject to such representative’s and consultant’s written agreement to comply 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4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05" w:name="page806"/>
    <w:bookmarkEnd w:id="805"/>
    <w:p>
      <w:pPr>
        <w:ind w:right="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confidentiality obligations substantially the same as those set forth in ARTICLE 11. Each Party shall bear its own expenses related to the attendance at JRDC meetings by its representatives. The JRDC shall be co-chaired by a representative from each Party.</w:t>
      </w:r>
    </w:p>
    <w:p>
      <w:pPr>
        <w:spacing w:after="0" w:line="101" w:lineRule="exact"/>
        <w:rPr>
          <w:sz w:val="20"/>
          <w:szCs w:val="20"/>
          <w:color w:val="auto"/>
        </w:rPr>
      </w:pPr>
    </w:p>
    <w:p>
      <w:pPr>
        <w:ind w:firstLine="458"/>
        <w:spacing w:after="0" w:line="300" w:lineRule="auto"/>
        <w:rPr>
          <w:sz w:val="20"/>
          <w:szCs w:val="20"/>
          <w:color w:val="auto"/>
        </w:rPr>
      </w:pPr>
      <w:r>
        <w:rPr>
          <w:rFonts w:ascii="Arial" w:cs="Arial" w:eastAsia="Arial" w:hAnsi="Arial"/>
          <w:sz w:val="12"/>
          <w:szCs w:val="12"/>
          <w:color w:val="auto"/>
        </w:rPr>
        <w:t xml:space="preserve">2.6.2 </w:t>
      </w:r>
      <w:r>
        <w:rPr>
          <w:rFonts w:ascii="Arial" w:cs="Arial" w:eastAsia="Arial" w:hAnsi="Arial"/>
          <w:sz w:val="12"/>
          <w:szCs w:val="12"/>
          <w:u w:val="single" w:color="auto"/>
          <w:color w:val="auto"/>
        </w:rPr>
        <w:t>Function and Powers of the JRDC</w:t>
      </w:r>
      <w:r>
        <w:rPr>
          <w:rFonts w:ascii="Arial" w:cs="Arial" w:eastAsia="Arial" w:hAnsi="Arial"/>
          <w:sz w:val="12"/>
          <w:szCs w:val="12"/>
          <w:color w:val="auto"/>
        </w:rPr>
        <w:t>. The JRDC’s responsibilities shall include: (a) during the Research Term, proposing the Research Plan, proposing any changes or amendments to the Research Plan for approval by the JSC; (b) during the Research Term, reviewing and monitoring progress for all activities performed under the Research Program; (c) during the License Term, proposing the initial Global Development Plan, coordinating the activities of the Parties under and overseeing the implementation of the Global Development Plan; (d) during the License Term, preparing annual and interim updates to the Global Development Plans; (e) during the Agreement Term, serving as a forum for and facilitating communications between the Parties with respect to the Research and Development of Licensed Products, including any joint Development activities to be pursued by the Parties during the License Term; (f) during the License Term, monitoring and coordinating all regulatory actions, communications and submissions for Licensed Products; (g) informal resolution of disagreements that may arise in the relation to the Parties activities under the Research Program and the Global Development Plan; and (h) considering and acting upon such other matters as specified in this Agreement.</w:t>
      </w:r>
    </w:p>
    <w:p>
      <w:pPr>
        <w:spacing w:after="0" w:line="88" w:lineRule="exact"/>
        <w:rPr>
          <w:sz w:val="20"/>
          <w:szCs w:val="20"/>
          <w:color w:val="auto"/>
        </w:rPr>
      </w:pPr>
    </w:p>
    <w:p>
      <w:pPr>
        <w:ind w:right="80" w:firstLine="458"/>
        <w:spacing w:after="0" w:line="305" w:lineRule="auto"/>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Co-Chairpersons</w:t>
      </w:r>
      <w:r>
        <w:rPr>
          <w:rFonts w:ascii="Arial" w:cs="Arial" w:eastAsia="Arial" w:hAnsi="Arial"/>
          <w:sz w:val="12"/>
          <w:szCs w:val="12"/>
          <w:color w:val="auto"/>
        </w:rPr>
        <w:t>. Each Party shall designate one of its members of the JSC and JRDC, respectively, as a co-chairperson (each, a “</w:t>
      </w:r>
      <w:r>
        <w:rPr>
          <w:rFonts w:ascii="Arial" w:cs="Arial" w:eastAsia="Arial" w:hAnsi="Arial"/>
          <w:sz w:val="12"/>
          <w:szCs w:val="12"/>
          <w:u w:val="single" w:color="auto"/>
          <w:color w:val="auto"/>
        </w:rPr>
        <w:t>Co-Chairperson</w:t>
      </w:r>
      <w:r>
        <w:rPr>
          <w:rFonts w:ascii="Arial" w:cs="Arial" w:eastAsia="Arial" w:hAnsi="Arial"/>
          <w:sz w:val="12"/>
          <w:szCs w:val="12"/>
          <w:color w:val="auto"/>
        </w:rPr>
        <w:t>”) of such committee. The Co-Chairpersons shall have the following roles and responsibilities: (a) to call meetings of the relevant committee, send notice of each such meeting and designate the time, date and place of each such meeting; (b) to convene or poll the members of the relevant committee by other permitted means; (c) to establish a reasonably detailed agenda, including identification of relevant supporting information and materials to be discussed during such meeting, for each meeting of the relevant committee, subject to the right of any member of such committee to add additional agenda items at any meeting; and (d) to promptly draft and finalize minutes of each meeting of such committee, for review and approval by members of such committee at the following meeting. Each Co-Chairperson shall sign and date the final minutes.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Committee Meetings</w:t>
      </w:r>
      <w:r>
        <w:rPr>
          <w:rFonts w:ascii="Arial" w:cs="Arial" w:eastAsia="Arial" w:hAnsi="Arial"/>
          <w:sz w:val="14"/>
          <w:szCs w:val="14"/>
          <w:color w:val="auto"/>
        </w:rPr>
        <w:t>.</w:t>
      </w:r>
    </w:p>
    <w:p>
      <w:pPr>
        <w:spacing w:after="0" w:line="69" w:lineRule="exact"/>
        <w:rPr>
          <w:sz w:val="20"/>
          <w:szCs w:val="20"/>
          <w:color w:val="auto"/>
        </w:rPr>
      </w:pPr>
    </w:p>
    <w:p>
      <w:pPr>
        <w:ind w:right="20" w:firstLine="917"/>
        <w:spacing w:after="0" w:line="267" w:lineRule="auto"/>
        <w:rPr>
          <w:sz w:val="20"/>
          <w:szCs w:val="20"/>
          <w:color w:val="auto"/>
        </w:rPr>
      </w:pPr>
      <w:r>
        <w:rPr>
          <w:rFonts w:ascii="Arial" w:cs="Arial" w:eastAsia="Arial" w:hAnsi="Arial"/>
          <w:sz w:val="14"/>
          <w:szCs w:val="14"/>
          <w:color w:val="auto"/>
        </w:rPr>
        <w:t xml:space="preserve">2.8.1 </w:t>
      </w:r>
      <w:r>
        <w:rPr>
          <w:rFonts w:ascii="Arial" w:cs="Arial" w:eastAsia="Arial" w:hAnsi="Arial"/>
          <w:sz w:val="14"/>
          <w:szCs w:val="14"/>
          <w:u w:val="single" w:color="auto"/>
          <w:color w:val="auto"/>
        </w:rPr>
        <w:t>Frequency</w:t>
      </w:r>
      <w:r>
        <w:rPr>
          <w:rFonts w:ascii="Arial" w:cs="Arial" w:eastAsia="Arial" w:hAnsi="Arial"/>
          <w:sz w:val="14"/>
          <w:szCs w:val="14"/>
          <w:color w:val="auto"/>
        </w:rPr>
        <w:t>. The JRDC and each of the subcommittees shall each hold at least one (1) meeting per Calendar Quarter at such times during such Calendar Quarter as the co-chairpersons elect to do so and the JSC and JEC shall hold at least one (1) meeting per Calendar Year as the co-chairpersons elect to do so.</w:t>
      </w:r>
    </w:p>
    <w:p>
      <w:pPr>
        <w:spacing w:after="0" w:line="101" w:lineRule="exact"/>
        <w:rPr>
          <w:sz w:val="20"/>
          <w:szCs w:val="20"/>
          <w:color w:val="auto"/>
        </w:rPr>
      </w:pPr>
    </w:p>
    <w:p>
      <w:pPr>
        <w:jc w:val="both"/>
        <w:ind w:right="140" w:firstLine="917"/>
        <w:spacing w:after="0" w:line="321" w:lineRule="auto"/>
        <w:rPr>
          <w:sz w:val="20"/>
          <w:szCs w:val="20"/>
          <w:color w:val="auto"/>
        </w:rPr>
      </w:pPr>
      <w:r>
        <w:rPr>
          <w:rFonts w:ascii="Arial" w:cs="Arial" w:eastAsia="Arial" w:hAnsi="Arial"/>
          <w:sz w:val="12"/>
          <w:szCs w:val="12"/>
          <w:color w:val="auto"/>
        </w:rPr>
        <w:t xml:space="preserve">2.8.2 </w:t>
      </w:r>
      <w:r>
        <w:rPr>
          <w:rFonts w:ascii="Arial" w:cs="Arial" w:eastAsia="Arial" w:hAnsi="Arial"/>
          <w:sz w:val="12"/>
          <w:szCs w:val="12"/>
          <w:u w:val="single" w:color="auto"/>
          <w:color w:val="auto"/>
        </w:rPr>
        <w:t>Quorum; Location</w:t>
      </w:r>
      <w:r>
        <w:rPr>
          <w:rFonts w:ascii="Arial" w:cs="Arial" w:eastAsia="Arial" w:hAnsi="Arial"/>
          <w:sz w:val="12"/>
          <w:szCs w:val="12"/>
          <w:color w:val="auto"/>
        </w:rPr>
        <w:t>. Except where a Party fails to appoint a member or members to the JEC, JSC, JRDC or any subcommittee or fails to participate in meetings of the JEC, JSC, JRDC or any subcommittee, meetings of the JEC, JSC, JRDC and subcommittees, respectively, shall be effective only if at least one (1) representative of each Party is present or participating. The JEC, JSC, JRDC and subcommittees may meet either (a) in person at either Party’s facilities or at such locations as the Parties may otherwise agree or (b) by audio or video</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4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806" w:name="page807"/>
    <w:bookmarkEnd w:id="806"/>
    <w:p>
      <w:pPr>
        <w:ind w:right="6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teleconference;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less than one (1) meeting during each Calendar Year shall be conducted in person. Additional meetings of the JEC, JSC, JRDC and subcommittees may also be held with the consent of each Party, or as required under this Agreement, and neither Party shall unreasonably withhold its consent to hold such additional meetings. Each Party shall be responsible for all of its own expenses incurred in connection with participating in all such meetings.</w:t>
      </w:r>
    </w:p>
    <w:p>
      <w:pPr>
        <w:spacing w:after="0" w:line="108" w:lineRule="exact"/>
        <w:rPr>
          <w:sz w:val="20"/>
          <w:szCs w:val="20"/>
          <w:color w:val="auto"/>
        </w:rPr>
      </w:pPr>
    </w:p>
    <w:p>
      <w:pPr>
        <w:ind w:right="60" w:firstLine="917"/>
        <w:spacing w:after="0" w:line="351" w:lineRule="auto"/>
        <w:rPr>
          <w:sz w:val="20"/>
          <w:szCs w:val="20"/>
          <w:color w:val="auto"/>
        </w:rPr>
      </w:pPr>
      <w:r>
        <w:rPr>
          <w:rFonts w:ascii="Arial" w:cs="Arial" w:eastAsia="Arial" w:hAnsi="Arial"/>
          <w:sz w:val="12"/>
          <w:szCs w:val="12"/>
          <w:color w:val="auto"/>
        </w:rPr>
        <w:t xml:space="preserve">2.8.3 </w:t>
      </w:r>
      <w:r>
        <w:rPr>
          <w:rFonts w:ascii="Arial" w:cs="Arial" w:eastAsia="Arial" w:hAnsi="Arial"/>
          <w:sz w:val="12"/>
          <w:szCs w:val="12"/>
          <w:u w:val="single" w:color="auto"/>
          <w:color w:val="auto"/>
        </w:rPr>
        <w:t>Cooperation</w:t>
      </w:r>
      <w:r>
        <w:rPr>
          <w:rFonts w:ascii="Arial" w:cs="Arial" w:eastAsia="Arial" w:hAnsi="Arial"/>
          <w:sz w:val="12"/>
          <w:szCs w:val="12"/>
          <w:color w:val="auto"/>
        </w:rPr>
        <w:t>. Each Party shall provide the JSC and JRDC such information as required under the Research Plan or Global Development Plan, as applicable, or reasonably requested by the other Party and reasonably available, relating to the progress of the goals or performance of activities under, as applicable, the Research Plan or Global Development Plan.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Decisions</w:t>
      </w:r>
      <w:r>
        <w:rPr>
          <w:rFonts w:ascii="Arial" w:cs="Arial" w:eastAsia="Arial" w:hAnsi="Arial"/>
          <w:sz w:val="14"/>
          <w:szCs w:val="14"/>
          <w:color w:val="auto"/>
        </w:rPr>
        <w:t>.</w:t>
      </w:r>
    </w:p>
    <w:p>
      <w:pPr>
        <w:spacing w:after="0" w:line="69" w:lineRule="exact"/>
        <w:rPr>
          <w:sz w:val="20"/>
          <w:szCs w:val="20"/>
          <w:color w:val="auto"/>
        </w:rPr>
      </w:pPr>
    </w:p>
    <w:p>
      <w:pPr>
        <w:jc w:val="both"/>
        <w:ind w:firstLine="917"/>
        <w:spacing w:after="0" w:line="258" w:lineRule="auto"/>
        <w:rPr>
          <w:sz w:val="20"/>
          <w:szCs w:val="20"/>
          <w:color w:val="auto"/>
        </w:rPr>
      </w:pPr>
      <w:r>
        <w:rPr>
          <w:rFonts w:ascii="Arial" w:cs="Arial" w:eastAsia="Arial" w:hAnsi="Arial"/>
          <w:sz w:val="14"/>
          <w:szCs w:val="14"/>
          <w:color w:val="auto"/>
        </w:rPr>
        <w:t xml:space="preserve">2.9.1 </w:t>
      </w:r>
      <w:r>
        <w:rPr>
          <w:rFonts w:ascii="Arial" w:cs="Arial" w:eastAsia="Arial" w:hAnsi="Arial"/>
          <w:sz w:val="14"/>
          <w:szCs w:val="14"/>
          <w:u w:val="single" w:color="auto"/>
          <w:color w:val="auto"/>
        </w:rPr>
        <w:t>Initial Dispute Resolution Procedures</w:t>
      </w:r>
      <w:r>
        <w:rPr>
          <w:rFonts w:ascii="Arial" w:cs="Arial" w:eastAsia="Arial" w:hAnsi="Arial"/>
          <w:sz w:val="14"/>
          <w:szCs w:val="14"/>
          <w:color w:val="auto"/>
        </w:rPr>
        <w:t xml:space="preserve">. Subject to the provisions of this Section 2.9, actions to be taken by the JEC, JSC, JRDC and each of the subcommittees shall be taken only following </w:t>
      </w:r>
      <w:r>
        <w:rPr>
          <w:rFonts w:ascii="Arial" w:cs="Arial" w:eastAsia="Arial" w:hAnsi="Arial"/>
          <w:sz w:val="14"/>
          <w:szCs w:val="14"/>
          <w:b w:val="1"/>
          <w:bCs w:val="1"/>
          <w:color w:val="auto"/>
        </w:rPr>
        <w:t>***</w:t>
      </w:r>
      <w:r>
        <w:rPr>
          <w:rFonts w:ascii="Arial" w:cs="Arial" w:eastAsia="Arial" w:hAnsi="Arial"/>
          <w:sz w:val="14"/>
          <w:szCs w:val="14"/>
          <w:color w:val="auto"/>
        </w:rPr>
        <w:t>. If the JRDC or any subcommittee fails to reach unanimous agreement on a matter before it for decision for a period in excess of</w:t>
      </w:r>
      <w:r>
        <w:rPr>
          <w:rFonts w:ascii="Arial" w:cs="Arial" w:eastAsia="Arial" w:hAnsi="Arial"/>
          <w:sz w:val="14"/>
          <w:szCs w:val="14"/>
          <w:b w:val="1"/>
          <w:bCs w:val="1"/>
          <w:color w:val="auto"/>
        </w:rPr>
        <w:t xml:space="preserve"> ***</w:t>
      </w:r>
      <w:r>
        <w:rPr>
          <w:rFonts w:ascii="Arial" w:cs="Arial" w:eastAsia="Arial" w:hAnsi="Arial"/>
          <w:sz w:val="14"/>
          <w:szCs w:val="14"/>
          <w:color w:val="auto"/>
        </w:rPr>
        <w:t>, the matter shall be referred to the JSC. If the JSC fails to reach</w:t>
      </w:r>
      <w:r>
        <w:rPr>
          <w:rFonts w:ascii="Arial" w:cs="Arial" w:eastAsia="Arial" w:hAnsi="Arial"/>
          <w:sz w:val="14"/>
          <w:szCs w:val="14"/>
          <w:b w:val="1"/>
          <w:bCs w:val="1"/>
          <w:color w:val="auto"/>
        </w:rPr>
        <w:t xml:space="preserve"> *** </w:t>
      </w:r>
      <w:r>
        <w:rPr>
          <w:rFonts w:ascii="Arial" w:cs="Arial" w:eastAsia="Arial" w:hAnsi="Arial"/>
          <w:sz w:val="14"/>
          <w:szCs w:val="14"/>
          <w:color w:val="auto"/>
        </w:rPr>
        <w:t>on 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matter before it for decision for a period in excess of </w:t>
      </w:r>
      <w:r>
        <w:rPr>
          <w:rFonts w:ascii="Arial" w:cs="Arial" w:eastAsia="Arial" w:hAnsi="Arial"/>
          <w:sz w:val="14"/>
          <w:szCs w:val="14"/>
          <w:b w:val="1"/>
          <w:bCs w:val="1"/>
          <w:color w:val="auto"/>
        </w:rPr>
        <w:t>***</w:t>
      </w:r>
      <w:r>
        <w:rPr>
          <w:rFonts w:ascii="Arial" w:cs="Arial" w:eastAsia="Arial" w:hAnsi="Arial"/>
          <w:sz w:val="14"/>
          <w:szCs w:val="14"/>
          <w:color w:val="auto"/>
        </w:rPr>
        <w:t>, the matter shall be referred to the JEC.</w:t>
      </w:r>
    </w:p>
    <w:p>
      <w:pPr>
        <w:spacing w:after="0" w:line="108" w:lineRule="exact"/>
        <w:rPr>
          <w:sz w:val="20"/>
          <w:szCs w:val="20"/>
          <w:color w:val="auto"/>
        </w:rPr>
      </w:pPr>
    </w:p>
    <w:p>
      <w:pPr>
        <w:ind w:right="260" w:firstLine="917"/>
        <w:spacing w:after="0" w:line="258" w:lineRule="auto"/>
        <w:rPr>
          <w:sz w:val="20"/>
          <w:szCs w:val="20"/>
          <w:color w:val="auto"/>
        </w:rPr>
      </w:pPr>
      <w:r>
        <w:rPr>
          <w:rFonts w:ascii="Arial" w:cs="Arial" w:eastAsia="Arial" w:hAnsi="Arial"/>
          <w:sz w:val="14"/>
          <w:szCs w:val="14"/>
          <w:color w:val="auto"/>
        </w:rPr>
        <w:t xml:space="preserve">2.9.2 </w:t>
      </w:r>
      <w:r>
        <w:rPr>
          <w:rFonts w:ascii="Arial" w:cs="Arial" w:eastAsia="Arial" w:hAnsi="Arial"/>
          <w:sz w:val="14"/>
          <w:szCs w:val="14"/>
          <w:u w:val="single" w:color="auto"/>
          <w:color w:val="auto"/>
        </w:rPr>
        <w:t>Conduct of Initial Phase 1 Clinical Trial</w:t>
      </w:r>
      <w:r>
        <w:rPr>
          <w:rFonts w:ascii="Arial" w:cs="Arial" w:eastAsia="Arial" w:hAnsi="Arial"/>
          <w:sz w:val="14"/>
          <w:szCs w:val="14"/>
          <w:color w:val="auto"/>
        </w:rPr>
        <w:t xml:space="preserve">. Notwithstanding any other provision in this Agreement, unless otherwise agreed upon to the contrary by the Parties, ***. MacroGenics shall reasonably consult with Servier regarding the selection of Indications to be pursued in the expansion cohorts included in the Initial Phase 1 Clinical Trial and shall reasonably consider any input provided by Servier with respect thereto.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2.9.3 </w:t>
      </w:r>
      <w:r>
        <w:rPr>
          <w:rFonts w:ascii="Arial" w:cs="Arial" w:eastAsia="Arial" w:hAnsi="Arial"/>
          <w:sz w:val="14"/>
          <w:szCs w:val="14"/>
          <w:u w:val="single" w:color="auto"/>
          <w:color w:val="auto"/>
        </w:rPr>
        <w:t>Final Decision-Making</w:t>
      </w:r>
      <w:r>
        <w:rPr>
          <w:rFonts w:ascii="Arial" w:cs="Arial" w:eastAsia="Arial" w:hAnsi="Arial"/>
          <w:sz w:val="14"/>
          <w:szCs w:val="14"/>
          <w:color w:val="auto"/>
        </w:rPr>
        <w:t xml:space="preserve">. If the JEC fails to reach </w:t>
      </w:r>
      <w:r>
        <w:rPr>
          <w:rFonts w:ascii="Arial" w:cs="Arial" w:eastAsia="Arial" w:hAnsi="Arial"/>
          <w:sz w:val="14"/>
          <w:szCs w:val="14"/>
          <w:b w:val="1"/>
          <w:bCs w:val="1"/>
          <w:color w:val="auto"/>
        </w:rPr>
        <w:t>***</w:t>
      </w:r>
      <w:r>
        <w:rPr>
          <w:rFonts w:ascii="Arial" w:cs="Arial" w:eastAsia="Arial" w:hAnsi="Arial"/>
          <w:sz w:val="14"/>
          <w:szCs w:val="14"/>
          <w:color w:val="auto"/>
        </w:rPr>
        <w:t xml:space="preserve"> on a matter before it for decision for a period in excess of </w:t>
      </w:r>
      <w:r>
        <w:rPr>
          <w:rFonts w:ascii="Arial" w:cs="Arial" w:eastAsia="Arial" w:hAnsi="Arial"/>
          <w:sz w:val="14"/>
          <w:szCs w:val="14"/>
          <w:b w:val="1"/>
          <w:bCs w:val="1"/>
          <w:color w:val="auto"/>
        </w:rPr>
        <w:t>***</w:t>
      </w:r>
      <w:r>
        <w:rPr>
          <w:rFonts w:ascii="Arial" w:cs="Arial" w:eastAsia="Arial" w:hAnsi="Arial"/>
          <w:sz w:val="14"/>
          <w:szCs w:val="14"/>
          <w:color w:val="auto"/>
        </w:rPr>
        <w:t>, the following provisions shall apply:</w:t>
      </w:r>
    </w:p>
    <w:p>
      <w:pPr>
        <w:spacing w:after="0" w:line="134" w:lineRule="exact"/>
        <w:rPr>
          <w:sz w:val="20"/>
          <w:szCs w:val="20"/>
          <w:color w:val="auto"/>
        </w:rPr>
      </w:pPr>
    </w:p>
    <w:p>
      <w:pPr>
        <w:ind w:left="640" w:hanging="178"/>
        <w:spacing w:after="0"/>
        <w:tabs>
          <w:tab w:leader="none" w:pos="640" w:val="left"/>
        </w:tabs>
        <w:numPr>
          <w:ilvl w:val="0"/>
          <w:numId w:val="949"/>
        </w:numPr>
        <w:rPr>
          <w:rFonts w:ascii="Arial" w:cs="Arial" w:eastAsia="Arial" w:hAnsi="Arial"/>
          <w:sz w:val="12"/>
          <w:szCs w:val="12"/>
          <w:color w:val="auto"/>
        </w:rPr>
      </w:pPr>
      <w:r>
        <w:rPr>
          <w:rFonts w:ascii="Arial" w:cs="Arial" w:eastAsia="Arial" w:hAnsi="Arial"/>
          <w:sz w:val="12"/>
          <w:szCs w:val="12"/>
          <w:color w:val="auto"/>
        </w:rPr>
        <w:t>During the Research Term, if the JEC is unable to resolve the matter within *** after the matter is referred to them, the matter shall be deadlocked until resolved by *** JEC consensus.</w:t>
      </w:r>
    </w:p>
    <w:p>
      <w:pPr>
        <w:spacing w:after="0" w:line="154" w:lineRule="exact"/>
        <w:rPr>
          <w:rFonts w:ascii="Arial" w:cs="Arial" w:eastAsia="Arial" w:hAnsi="Arial"/>
          <w:sz w:val="12"/>
          <w:szCs w:val="12"/>
          <w:color w:val="auto"/>
        </w:rPr>
      </w:pPr>
    </w:p>
    <w:p>
      <w:pPr>
        <w:ind w:right="240" w:firstLine="462"/>
        <w:spacing w:after="0" w:line="258" w:lineRule="auto"/>
        <w:tabs>
          <w:tab w:leader="none" w:pos="651" w:val="left"/>
        </w:tabs>
        <w:numPr>
          <w:ilvl w:val="0"/>
          <w:numId w:val="949"/>
        </w:numPr>
        <w:rPr>
          <w:rFonts w:ascii="Arial" w:cs="Arial" w:eastAsia="Arial" w:hAnsi="Arial"/>
          <w:sz w:val="14"/>
          <w:szCs w:val="14"/>
          <w:color w:val="auto"/>
        </w:rPr>
      </w:pPr>
      <w:r>
        <w:rPr>
          <w:rFonts w:ascii="Arial" w:cs="Arial" w:eastAsia="Arial" w:hAnsi="Arial"/>
          <w:sz w:val="14"/>
          <w:szCs w:val="14"/>
          <w:color w:val="auto"/>
        </w:rPr>
        <w:t>During the License Term, the JEC representatives appointed by Servier shall have the deciding vote on any matter involving the Development or Commercialization of Program Antibodies and Licensed Products in the Field in the Servier Territory and the JEC representatives appointed by MacroGenics shall have the deciding vote on any matter involving the Development or Commercialization of Program Antibodies and Licensed Products in the Field in the MacroGenics Territory.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5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07" w:name="page808"/>
    <w:bookmarkEnd w:id="80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2.9.4 </w:t>
      </w:r>
      <w:r>
        <w:rPr>
          <w:rFonts w:ascii="Arial" w:cs="Arial" w:eastAsia="Arial" w:hAnsi="Arial"/>
          <w:sz w:val="14"/>
          <w:szCs w:val="14"/>
          <w:u w:val="single" w:color="auto"/>
          <w:color w:val="auto"/>
        </w:rPr>
        <w:t>Exceptions</w:t>
      </w:r>
      <w:r>
        <w:rPr>
          <w:rFonts w:ascii="Arial" w:cs="Arial" w:eastAsia="Arial" w:hAnsi="Arial"/>
          <w:sz w:val="14"/>
          <w:szCs w:val="14"/>
          <w:color w:val="auto"/>
        </w:rPr>
        <w:t>. Notwithstanding the foregoing, neither Party shall exercise its right to finally resolve a dispute pursuant to Section 2.9.3:</w:t>
      </w:r>
    </w:p>
    <w:p>
      <w:pPr>
        <w:spacing w:after="0" w:line="132" w:lineRule="exact"/>
        <w:rPr>
          <w:sz w:val="20"/>
          <w:szCs w:val="20"/>
          <w:color w:val="auto"/>
        </w:rPr>
      </w:pPr>
    </w:p>
    <w:p>
      <w:pPr>
        <w:ind w:left="640" w:hanging="178"/>
        <w:spacing w:after="0"/>
        <w:tabs>
          <w:tab w:leader="none" w:pos="640" w:val="left"/>
        </w:tabs>
        <w:numPr>
          <w:ilvl w:val="0"/>
          <w:numId w:val="951"/>
        </w:numPr>
        <w:rPr>
          <w:rFonts w:ascii="Arial" w:cs="Arial" w:eastAsia="Arial" w:hAnsi="Arial"/>
          <w:sz w:val="14"/>
          <w:szCs w:val="14"/>
          <w:color w:val="auto"/>
        </w:rPr>
      </w:pPr>
      <w:r>
        <w:rPr>
          <w:rFonts w:ascii="Arial" w:cs="Arial" w:eastAsia="Arial" w:hAnsi="Arial"/>
          <w:sz w:val="14"/>
          <w:szCs w:val="14"/>
          <w:color w:val="auto"/>
        </w:rPr>
        <w:t>in a manner that excuses such Party from any of its obligations specifically enumerated under this Agreement;</w:t>
      </w:r>
    </w:p>
    <w:p>
      <w:pPr>
        <w:spacing w:after="0" w:line="131" w:lineRule="exact"/>
        <w:rPr>
          <w:rFonts w:ascii="Arial" w:cs="Arial" w:eastAsia="Arial" w:hAnsi="Arial"/>
          <w:sz w:val="14"/>
          <w:szCs w:val="14"/>
          <w:color w:val="auto"/>
        </w:rPr>
      </w:pPr>
    </w:p>
    <w:p>
      <w:pPr>
        <w:ind w:left="660" w:hanging="198"/>
        <w:spacing w:after="0"/>
        <w:tabs>
          <w:tab w:leader="none" w:pos="660" w:val="left"/>
        </w:tabs>
        <w:numPr>
          <w:ilvl w:val="0"/>
          <w:numId w:val="951"/>
        </w:numPr>
        <w:rPr>
          <w:rFonts w:ascii="Arial" w:cs="Arial" w:eastAsia="Arial" w:hAnsi="Arial"/>
          <w:sz w:val="14"/>
          <w:szCs w:val="14"/>
          <w:color w:val="auto"/>
        </w:rPr>
      </w:pPr>
      <w:r>
        <w:rPr>
          <w:rFonts w:ascii="Arial" w:cs="Arial" w:eastAsia="Arial" w:hAnsi="Arial"/>
          <w:sz w:val="14"/>
          <w:szCs w:val="14"/>
          <w:color w:val="auto"/>
        </w:rPr>
        <w:t>in a manner that negates any consent rights or other rights specifically allocated to the other Party under this Agreement;</w:t>
      </w:r>
    </w:p>
    <w:p>
      <w:pPr>
        <w:spacing w:after="0" w:line="131" w:lineRule="exact"/>
        <w:rPr>
          <w:rFonts w:ascii="Arial" w:cs="Arial" w:eastAsia="Arial" w:hAnsi="Arial"/>
          <w:sz w:val="14"/>
          <w:szCs w:val="14"/>
          <w:color w:val="auto"/>
        </w:rPr>
      </w:pPr>
    </w:p>
    <w:p>
      <w:pPr>
        <w:ind w:firstLine="462"/>
        <w:spacing w:after="0" w:line="267" w:lineRule="auto"/>
        <w:tabs>
          <w:tab w:leader="none" w:pos="643" w:val="left"/>
        </w:tabs>
        <w:numPr>
          <w:ilvl w:val="0"/>
          <w:numId w:val="951"/>
        </w:numPr>
        <w:rPr>
          <w:rFonts w:ascii="Arial" w:cs="Arial" w:eastAsia="Arial" w:hAnsi="Arial"/>
          <w:sz w:val="14"/>
          <w:szCs w:val="14"/>
          <w:color w:val="auto"/>
        </w:rPr>
      </w:pPr>
      <w:r>
        <w:rPr>
          <w:rFonts w:ascii="Arial" w:cs="Arial" w:eastAsia="Arial" w:hAnsi="Arial"/>
          <w:sz w:val="14"/>
          <w:szCs w:val="14"/>
          <w:color w:val="auto"/>
        </w:rPr>
        <w:t>during the License Term, to increase Development Costs for the other Party for any Global Clinical Trial for a given Calendar Year by more than *** above the Initial Development Budget for such Global Clinical Trial;</w:t>
      </w:r>
    </w:p>
    <w:p>
      <w:pPr>
        <w:spacing w:after="0" w:line="101" w:lineRule="exact"/>
        <w:rPr>
          <w:rFonts w:ascii="Arial" w:cs="Arial" w:eastAsia="Arial" w:hAnsi="Arial"/>
          <w:sz w:val="14"/>
          <w:szCs w:val="14"/>
          <w:color w:val="auto"/>
        </w:rPr>
      </w:pPr>
    </w:p>
    <w:p>
      <w:pPr>
        <w:ind w:left="660" w:hanging="198"/>
        <w:spacing w:after="0"/>
        <w:tabs>
          <w:tab w:leader="none" w:pos="660" w:val="left"/>
        </w:tabs>
        <w:numPr>
          <w:ilvl w:val="0"/>
          <w:numId w:val="951"/>
        </w:numPr>
        <w:rPr>
          <w:rFonts w:ascii="Arial" w:cs="Arial" w:eastAsia="Arial" w:hAnsi="Arial"/>
          <w:sz w:val="14"/>
          <w:szCs w:val="14"/>
          <w:color w:val="auto"/>
        </w:rPr>
      </w:pPr>
      <w:r>
        <w:rPr>
          <w:rFonts w:ascii="Arial" w:cs="Arial" w:eastAsia="Arial" w:hAnsi="Arial"/>
          <w:sz w:val="14"/>
          <w:szCs w:val="14"/>
          <w:color w:val="auto"/>
        </w:rPr>
        <w:t>to resolve any dispute regarding whether a Party may conduct Development or Commercialization activities in the other Party’s territory;</w:t>
      </w:r>
    </w:p>
    <w:p>
      <w:pPr>
        <w:spacing w:after="0" w:line="131" w:lineRule="exact"/>
        <w:rPr>
          <w:rFonts w:ascii="Arial" w:cs="Arial" w:eastAsia="Arial" w:hAnsi="Arial"/>
          <w:sz w:val="14"/>
          <w:szCs w:val="14"/>
          <w:color w:val="auto"/>
        </w:rPr>
      </w:pPr>
    </w:p>
    <w:p>
      <w:pPr>
        <w:ind w:left="640" w:hanging="178"/>
        <w:spacing w:after="0"/>
        <w:tabs>
          <w:tab w:leader="none" w:pos="640" w:val="left"/>
        </w:tabs>
        <w:numPr>
          <w:ilvl w:val="0"/>
          <w:numId w:val="951"/>
        </w:numPr>
        <w:rPr>
          <w:rFonts w:ascii="Arial" w:cs="Arial" w:eastAsia="Arial" w:hAnsi="Arial"/>
          <w:sz w:val="14"/>
          <w:szCs w:val="14"/>
          <w:color w:val="auto"/>
        </w:rPr>
      </w:pPr>
      <w:r>
        <w:rPr>
          <w:rFonts w:ascii="Arial" w:cs="Arial" w:eastAsia="Arial" w:hAnsi="Arial"/>
          <w:sz w:val="14"/>
          <w:szCs w:val="14"/>
          <w:color w:val="auto"/>
        </w:rPr>
        <w:t>to resolve any dispute regarding whether a milestone event set forth in Section 9.3 has been achieved; or</w:t>
      </w:r>
    </w:p>
    <w:p>
      <w:pPr>
        <w:spacing w:after="0" w:line="131" w:lineRule="exact"/>
        <w:rPr>
          <w:rFonts w:ascii="Arial" w:cs="Arial" w:eastAsia="Arial" w:hAnsi="Arial"/>
          <w:sz w:val="14"/>
          <w:szCs w:val="14"/>
          <w:color w:val="auto"/>
        </w:rPr>
      </w:pPr>
    </w:p>
    <w:p>
      <w:pPr>
        <w:ind w:left="640" w:hanging="178"/>
        <w:spacing w:after="0"/>
        <w:tabs>
          <w:tab w:leader="none" w:pos="640" w:val="left"/>
        </w:tabs>
        <w:numPr>
          <w:ilvl w:val="0"/>
          <w:numId w:val="951"/>
        </w:numPr>
        <w:rPr>
          <w:rFonts w:ascii="Arial" w:cs="Arial" w:eastAsia="Arial" w:hAnsi="Arial"/>
          <w:sz w:val="12"/>
          <w:szCs w:val="12"/>
          <w:color w:val="auto"/>
        </w:rPr>
      </w:pPr>
      <w:r>
        <w:rPr>
          <w:rFonts w:ascii="Arial" w:cs="Arial" w:eastAsia="Arial" w:hAnsi="Arial"/>
          <w:sz w:val="12"/>
          <w:szCs w:val="12"/>
          <w:color w:val="auto"/>
        </w:rPr>
        <w:t>in a manner that would require the other Party to perform any act that it reasonably believes to be inconsistent with any Law or any approval, order, policy or guidelines of a Regulatory Authority.</w:t>
      </w:r>
    </w:p>
    <w:p>
      <w:pPr>
        <w:spacing w:after="0" w:line="155" w:lineRule="exact"/>
        <w:rPr>
          <w:sz w:val="20"/>
          <w:szCs w:val="20"/>
          <w:color w:val="auto"/>
        </w:rPr>
      </w:pPr>
    </w:p>
    <w:p>
      <w:pPr>
        <w:ind w:right="140" w:firstLine="458"/>
        <w:spacing w:after="0" w:line="255"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Authority</w:t>
      </w:r>
      <w:r>
        <w:rPr>
          <w:rFonts w:ascii="Arial" w:cs="Arial" w:eastAsia="Arial" w:hAnsi="Arial"/>
          <w:sz w:val="14"/>
          <w:szCs w:val="14"/>
          <w:color w:val="auto"/>
        </w:rPr>
        <w:t>. The JEC, JSC, JRDC and any subcommittee shall have only the powers assigned expressly to it in this ARTICLE 2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JEC, JSC, JRDC or any subcommittee unless such delegation or vesting of rights is expressly provided for in this Agreement or the Parties expressly so agree in writing.</w:t>
      </w:r>
    </w:p>
    <w:p>
      <w:pPr>
        <w:spacing w:after="0" w:line="110" w:lineRule="exact"/>
        <w:rPr>
          <w:sz w:val="20"/>
          <w:szCs w:val="20"/>
          <w:color w:val="auto"/>
        </w:rPr>
      </w:pPr>
    </w:p>
    <w:p>
      <w:pPr>
        <w:ind w:right="240" w:firstLine="458"/>
        <w:spacing w:after="0" w:line="267"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Representatives</w:t>
      </w:r>
      <w:r>
        <w:rPr>
          <w:rFonts w:ascii="Arial" w:cs="Arial" w:eastAsia="Arial" w:hAnsi="Arial"/>
          <w:sz w:val="14"/>
          <w:szCs w:val="14"/>
          <w:color w:val="auto"/>
        </w:rPr>
        <w:t>. For purposes of clarity, a Party may appoint the same person to simultaneously serve as the Alliance Business Development Manager, Alliance R&amp;D Manager, and/or Project Director for such Party and/or serve on multiple committees established pursuant to this ARTICLE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ARTICLE 3</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RESEARCH AND DEVELOPMENT; EXCLUSIVE OPTION</w:t>
      </w:r>
    </w:p>
    <w:p>
      <w:pPr>
        <w:spacing w:after="0" w:line="134"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Research Overview</w:t>
      </w:r>
      <w:r>
        <w:rPr>
          <w:rFonts w:ascii="Arial" w:cs="Arial" w:eastAsia="Arial" w:hAnsi="Arial"/>
          <w:sz w:val="12"/>
          <w:szCs w:val="12"/>
          <w:color w:val="auto"/>
        </w:rPr>
        <w:t>. Pursuant to this Agreement and as further provided in this ARTICLE 3, MacroGenics and Servier shall conduct the research activities indicated in the Research Plan during the Research Term (the “</w:t>
      </w:r>
      <w:r>
        <w:rPr>
          <w:rFonts w:ascii="Arial" w:cs="Arial" w:eastAsia="Arial" w:hAnsi="Arial"/>
          <w:sz w:val="12"/>
          <w:szCs w:val="12"/>
          <w:u w:val="single" w:color="auto"/>
          <w:color w:val="auto"/>
        </w:rPr>
        <w:t>Research Program</w:t>
      </w:r>
      <w:r>
        <w:rPr>
          <w:rFonts w:ascii="Arial" w:cs="Arial" w:eastAsia="Arial" w:hAnsi="Arial"/>
          <w:sz w:val="12"/>
          <w:szCs w:val="12"/>
          <w:color w:val="auto"/>
        </w:rPr>
        <w:t>”). Neither Party warrants that the Research Program shall achieve any of the research objectives contemplated in the Research Plan. At the end of the Research Term, each Party’s obligation to conduct the Research Program shall cease unless the Parties mutually agree to extend the Research Term.</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19</w:t>
      </w:r>
    </w:p>
    <w:p>
      <w:pPr>
        <w:spacing w:after="0" w:line="132" w:lineRule="exact"/>
        <w:rPr>
          <w:sz w:val="20"/>
          <w:szCs w:val="20"/>
          <w:color w:val="auto"/>
        </w:rPr>
      </w:pPr>
    </w:p>
    <w:p>
      <w:pPr>
        <w:ind w:left="3840" w:right="2580" w:hanging="1139"/>
        <w:spacing w:after="0" w:line="351" w:lineRule="auto"/>
        <w:tabs>
          <w:tab w:leader="none" w:pos="2940" w:val="left"/>
        </w:tabs>
        <w:numPr>
          <w:ilvl w:val="0"/>
          <w:numId w:val="95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40"/>
          </w:cols>
          <w:pgMar w:left="220" w:top="247" w:right="339" w:bottom="1440" w:gutter="0" w:footer="0" w:header="0"/>
        </w:sectPr>
      </w:pPr>
    </w:p>
    <w:bookmarkStart w:id="808" w:name="page809"/>
    <w:bookmarkEnd w:id="808"/>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3.2 </w:t>
      </w:r>
      <w:r>
        <w:rPr>
          <w:rFonts w:ascii="Arial" w:cs="Arial" w:eastAsia="Arial" w:hAnsi="Arial"/>
          <w:sz w:val="14"/>
          <w:szCs w:val="14"/>
          <w:u w:val="single" w:color="auto"/>
          <w:color w:val="auto"/>
        </w:rPr>
        <w:t>Conduct of the Research Program</w:t>
      </w:r>
      <w:r>
        <w:rPr>
          <w:rFonts w:ascii="Arial" w:cs="Arial" w:eastAsia="Arial" w:hAnsi="Arial"/>
          <w:sz w:val="14"/>
          <w:szCs w:val="14"/>
          <w:color w:val="auto"/>
        </w:rPr>
        <w:t>.</w:t>
      </w:r>
    </w:p>
    <w:p>
      <w:pPr>
        <w:spacing w:after="0" w:line="67" w:lineRule="exact"/>
        <w:rPr>
          <w:sz w:val="20"/>
          <w:szCs w:val="20"/>
          <w:color w:val="auto"/>
        </w:rPr>
      </w:pPr>
    </w:p>
    <w:p>
      <w:pPr>
        <w:ind w:right="20" w:firstLine="917"/>
        <w:spacing w:after="0" w:line="253" w:lineRule="auto"/>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auto"/>
        </w:rPr>
        <w:t>Research Plan</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the JRDC will prepare the Research Plan to be submitted for approval by JSC. The Parties may mutually agree to specify in the Research Plan activities to be conducted by Servier to generate additional pre-clinical and clinical data to be shared by both Parties (the “</w:t>
      </w:r>
      <w:r>
        <w:rPr>
          <w:rFonts w:ascii="Arial" w:cs="Arial" w:eastAsia="Arial" w:hAnsi="Arial"/>
          <w:sz w:val="14"/>
          <w:szCs w:val="14"/>
          <w:u w:val="single" w:color="auto"/>
          <w:color w:val="auto"/>
        </w:rPr>
        <w:t>Supplemental Data</w:t>
      </w:r>
      <w:r>
        <w:rPr>
          <w:rFonts w:ascii="Arial" w:cs="Arial" w:eastAsia="Arial" w:hAnsi="Arial"/>
          <w:sz w:val="14"/>
          <w:szCs w:val="14"/>
          <w:color w:val="auto"/>
        </w:rPr>
        <w:t xml:space="preserve">”). Servier shall disclose to MacroGenics all Supplemental Data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completion of such activities and MacroGenics shall have the right to use such Supplemental Data in order to Develop, obtain Regulatory Approval for and Commercialize Licensed Products. Both Parties envision that the Supplemental Data </w:t>
      </w:r>
      <w:r>
        <w:rPr>
          <w:rFonts w:ascii="Arial" w:cs="Arial" w:eastAsia="Arial" w:hAnsi="Arial"/>
          <w:sz w:val="14"/>
          <w:szCs w:val="14"/>
          <w:b w:val="1"/>
          <w:bCs w:val="1"/>
          <w:color w:val="auto"/>
        </w:rPr>
        <w:t>***</w:t>
      </w:r>
      <w:r>
        <w:rPr>
          <w:rFonts w:ascii="Arial" w:cs="Arial" w:eastAsia="Arial" w:hAnsi="Arial"/>
          <w:sz w:val="14"/>
          <w:szCs w:val="14"/>
          <w:color w:val="auto"/>
        </w:rPr>
        <w:t>. The availability and finalization of such Supplemental Data and/or any modification to the Initial Phase 1 Clinical Trial that the Parties may agree upon shall not in any way delay the timing of the delivery of the Option Trigger Data Package to Servier in accordance with Section 3.3.2. To the extent that any provision of the Research Plan conflicts or is inconsistent with the provisions of this Agreement, the provisions of this Agreement shall control.</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3.2.2 </w:t>
      </w:r>
      <w:r>
        <w:rPr>
          <w:rFonts w:ascii="Arial" w:cs="Arial" w:eastAsia="Arial" w:hAnsi="Arial"/>
          <w:sz w:val="12"/>
          <w:szCs w:val="12"/>
          <w:u w:val="single" w:color="auto"/>
          <w:color w:val="auto"/>
        </w:rPr>
        <w:t>Diligence</w:t>
      </w:r>
      <w:r>
        <w:rPr>
          <w:rFonts w:ascii="Arial" w:cs="Arial" w:eastAsia="Arial" w:hAnsi="Arial"/>
          <w:sz w:val="12"/>
          <w:szCs w:val="12"/>
          <w:color w:val="auto"/>
        </w:rPr>
        <w:t>. MacroGenics and Servier shall use Commercially Reasonable Efforts to conduct the Research Program in a good scientific manner and in accordance with the Research Plan.</w:t>
      </w:r>
    </w:p>
    <w:p>
      <w:pPr>
        <w:spacing w:after="0" w:line="155" w:lineRule="exact"/>
        <w:rPr>
          <w:sz w:val="20"/>
          <w:szCs w:val="20"/>
          <w:color w:val="auto"/>
        </w:rPr>
      </w:pPr>
    </w:p>
    <w:p>
      <w:pPr>
        <w:ind w:right="440" w:firstLine="917"/>
        <w:spacing w:after="0" w:line="267"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u w:val="single" w:color="auto"/>
          <w:color w:val="auto"/>
        </w:rPr>
        <w:t>Expenses</w:t>
      </w:r>
      <w:r>
        <w:rPr>
          <w:rFonts w:ascii="Arial" w:cs="Arial" w:eastAsia="Arial" w:hAnsi="Arial"/>
          <w:sz w:val="14"/>
          <w:szCs w:val="14"/>
          <w:color w:val="auto"/>
        </w:rPr>
        <w:t>. Except as otherwise set forth elsewhere in this Agreement, each Party shall bear its own costs and expenses of conducting the activities allocated to such Party under the Research Plan, including the costs of clinical supply of Program Antibodies and Licensed Products.</w:t>
      </w:r>
    </w:p>
    <w:p>
      <w:pPr>
        <w:spacing w:after="0" w:line="101" w:lineRule="exact"/>
        <w:rPr>
          <w:sz w:val="20"/>
          <w:szCs w:val="20"/>
          <w:color w:val="auto"/>
        </w:rPr>
      </w:pPr>
    </w:p>
    <w:p>
      <w:pPr>
        <w:ind w:right="200" w:firstLine="917"/>
        <w:spacing w:after="0" w:line="267" w:lineRule="auto"/>
        <w:rPr>
          <w:sz w:val="20"/>
          <w:szCs w:val="20"/>
          <w:color w:val="auto"/>
        </w:rPr>
      </w:pPr>
      <w:r>
        <w:rPr>
          <w:rFonts w:ascii="Arial" w:cs="Arial" w:eastAsia="Arial" w:hAnsi="Arial"/>
          <w:sz w:val="14"/>
          <w:szCs w:val="14"/>
          <w:color w:val="auto"/>
        </w:rPr>
        <w:t xml:space="preserve">3.2.4 </w:t>
      </w:r>
      <w:r>
        <w:rPr>
          <w:rFonts w:ascii="Arial" w:cs="Arial" w:eastAsia="Arial" w:hAnsi="Arial"/>
          <w:sz w:val="14"/>
          <w:szCs w:val="14"/>
          <w:u w:val="single" w:color="auto"/>
          <w:color w:val="auto"/>
        </w:rPr>
        <w:t>Reports</w:t>
      </w:r>
      <w:r>
        <w:rPr>
          <w:rFonts w:ascii="Arial" w:cs="Arial" w:eastAsia="Arial" w:hAnsi="Arial"/>
          <w:sz w:val="14"/>
          <w:szCs w:val="14"/>
          <w:color w:val="auto"/>
        </w:rPr>
        <w:t>. MacroGenics and Servier shall provide written progress reports on the status of its Research and Development activities under the Research Plan, including summaries of data generated in the Research Program, at least *** in advance of each JRDC meeting.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Evaluation of Option Trigger Data Package; Option Exercise</w:t>
      </w:r>
      <w:r>
        <w:rPr>
          <w:rFonts w:ascii="Arial" w:cs="Arial" w:eastAsia="Arial" w:hAnsi="Arial"/>
          <w:sz w:val="14"/>
          <w:szCs w:val="14"/>
          <w:color w:val="auto"/>
        </w:rPr>
        <w:t>.</w:t>
      </w:r>
    </w:p>
    <w:p>
      <w:pPr>
        <w:spacing w:after="0" w:line="69"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Limited Evaluation License; Supply</w:t>
      </w:r>
      <w:r>
        <w:rPr>
          <w:rFonts w:ascii="Arial" w:cs="Arial" w:eastAsia="Arial" w:hAnsi="Arial"/>
          <w:sz w:val="14"/>
          <w:szCs w:val="14"/>
          <w:color w:val="auto"/>
        </w:rPr>
        <w:t>. MacroGenics hereby grants Servier an exclusive, royalty and other fee-free license, with the right to sublicense only to Servier’s Affiliates, under MacroGenics IP, to (a) conduct the activities, if any, allocated to Servier under the Research Plan and (b) use the Option Trigger Data Package solely for purposes of evaluating Program Antibodies to determine whether to exercise its Option.</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3.3.2 </w:t>
      </w:r>
      <w:r>
        <w:rPr>
          <w:rFonts w:ascii="Arial" w:cs="Arial" w:eastAsia="Arial" w:hAnsi="Arial"/>
          <w:sz w:val="14"/>
          <w:szCs w:val="14"/>
          <w:u w:val="single" w:color="auto"/>
          <w:color w:val="auto"/>
        </w:rPr>
        <w:t>Delivery of Option Trigger Data Package</w:t>
      </w:r>
      <w:r>
        <w:rPr>
          <w:rFonts w:ascii="Arial" w:cs="Arial" w:eastAsia="Arial" w:hAnsi="Arial"/>
          <w:sz w:val="14"/>
          <w:szCs w:val="14"/>
          <w:color w:val="auto"/>
        </w:rPr>
        <w:t xml:space="preserve">. MacroGenics shall provide Servier with the Option Trigger Data Package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9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3.3.3 </w:t>
      </w:r>
      <w:r>
        <w:rPr>
          <w:rFonts w:ascii="Arial" w:cs="Arial" w:eastAsia="Arial" w:hAnsi="Arial"/>
          <w:sz w:val="14"/>
          <w:szCs w:val="14"/>
          <w:u w:val="single" w:color="auto"/>
          <w:color w:val="auto"/>
        </w:rPr>
        <w:t>Option Exercise</w:t>
      </w:r>
      <w:r>
        <w:rPr>
          <w:rFonts w:ascii="Arial" w:cs="Arial" w:eastAsia="Arial" w:hAnsi="Arial"/>
          <w:sz w:val="14"/>
          <w:szCs w:val="14"/>
          <w:color w:val="auto"/>
        </w:rPr>
        <w:t>.</w:t>
      </w:r>
    </w:p>
    <w:p>
      <w:pPr>
        <w:spacing w:after="0" w:line="69" w:lineRule="exact"/>
        <w:rPr>
          <w:sz w:val="20"/>
          <w:szCs w:val="20"/>
          <w:color w:val="auto"/>
        </w:rPr>
      </w:pPr>
    </w:p>
    <w:p>
      <w:pPr>
        <w:ind w:right="40" w:firstLine="1493"/>
        <w:spacing w:after="0" w:line="321" w:lineRule="auto"/>
        <w:tabs>
          <w:tab w:leader="none" w:pos="1675" w:val="left"/>
        </w:tabs>
        <w:numPr>
          <w:ilvl w:val="0"/>
          <w:numId w:val="953"/>
        </w:numPr>
        <w:rPr>
          <w:rFonts w:ascii="Arial" w:cs="Arial" w:eastAsia="Arial" w:hAnsi="Arial"/>
          <w:sz w:val="12"/>
          <w:szCs w:val="12"/>
          <w:color w:val="auto"/>
        </w:rPr>
      </w:pPr>
      <w:r>
        <w:rPr>
          <w:rFonts w:ascii="Arial" w:cs="Arial" w:eastAsia="Arial" w:hAnsi="Arial"/>
          <w:sz w:val="12"/>
          <w:szCs w:val="12"/>
          <w:color w:val="auto"/>
        </w:rPr>
        <w:t>Servier shall have the exclusive option to obtain an exclusive license under MacroGenics IP to Research, Develop and Commercialize Program Antibodies and Licensed Products in the Field in the Servier Territory (the “</w:t>
      </w:r>
      <w:r>
        <w:rPr>
          <w:rFonts w:ascii="Arial" w:cs="Arial" w:eastAsia="Arial" w:hAnsi="Arial"/>
          <w:sz w:val="12"/>
          <w:szCs w:val="12"/>
          <w:u w:val="single" w:color="auto"/>
          <w:color w:val="auto"/>
        </w:rPr>
        <w:t>Option</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w:t>
      </w:r>
      <w:r>
        <w:rPr>
          <w:rFonts w:ascii="Arial" w:cs="Arial" w:eastAsia="Arial" w:hAnsi="Arial"/>
          <w:sz w:val="12"/>
          <w:szCs w:val="12"/>
          <w:u w:val="single" w:color="auto"/>
          <w:color w:val="auto"/>
        </w:rPr>
        <w:t>Option Period</w:t>
      </w:r>
      <w:r>
        <w:rPr>
          <w:rFonts w:ascii="Arial" w:cs="Arial" w:eastAsia="Arial" w:hAnsi="Arial"/>
          <w:sz w:val="12"/>
          <w:szCs w:val="12"/>
          <w:color w:val="auto"/>
        </w:rPr>
        <w:t>”). In the event Servier elects to exercise the Option, it shall, no later than the end of the last day of the Option Period, deliver to MacroGenics (i) written notice specifying that Servier has elected to exercise the Option, and (ii) payment of the License Grant Fee. Provided Servier has properly</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132" w:lineRule="exact"/>
        <w:rPr>
          <w:sz w:val="20"/>
          <w:szCs w:val="20"/>
          <w:color w:val="auto"/>
        </w:rPr>
      </w:pPr>
    </w:p>
    <w:p>
      <w:pPr>
        <w:ind w:left="3840" w:right="2640" w:hanging="1139"/>
        <w:spacing w:after="0" w:line="351" w:lineRule="auto"/>
        <w:tabs>
          <w:tab w:leader="none" w:pos="2940" w:val="left"/>
        </w:tabs>
        <w:numPr>
          <w:ilvl w:val="0"/>
          <w:numId w:val="95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809" w:name="page810"/>
    <w:bookmarkEnd w:id="809"/>
    <w:p>
      <w:pPr>
        <w:ind w:right="6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exercised the Option in accordance with the preceding sentence, the later of the date of the written notice and receipt by MacroGenics of the License Grant Fee shall be the “</w:t>
      </w:r>
      <w:r>
        <w:rPr>
          <w:rFonts w:ascii="Arial" w:cs="Arial" w:eastAsia="Arial" w:hAnsi="Arial"/>
          <w:sz w:val="12"/>
          <w:szCs w:val="12"/>
          <w:u w:val="single" w:color="auto"/>
          <w:color w:val="auto"/>
        </w:rPr>
        <w:t>License Grant Date</w:t>
      </w:r>
      <w:r>
        <w:rPr>
          <w:rFonts w:ascii="Arial" w:cs="Arial" w:eastAsia="Arial" w:hAnsi="Arial"/>
          <w:sz w:val="12"/>
          <w:szCs w:val="12"/>
          <w:color w:val="auto"/>
        </w:rPr>
        <w:t>” for purposes of this Agreement. The Research Term and Option Period will be deemed to have ended, and the License Term will be deemed to have commenced, on the License Grant Date.</w:t>
      </w:r>
    </w:p>
    <w:p>
      <w:pPr>
        <w:spacing w:after="0" w:line="56" w:lineRule="exact"/>
        <w:rPr>
          <w:sz w:val="20"/>
          <w:szCs w:val="20"/>
          <w:color w:val="auto"/>
        </w:rPr>
      </w:pPr>
    </w:p>
    <w:p>
      <w:pPr>
        <w:ind w:firstLine="1493"/>
        <w:spacing w:after="0" w:line="302" w:lineRule="auto"/>
        <w:tabs>
          <w:tab w:leader="none" w:pos="1682" w:val="left"/>
        </w:tabs>
        <w:numPr>
          <w:ilvl w:val="1"/>
          <w:numId w:val="955"/>
        </w:numPr>
        <w:rPr>
          <w:rFonts w:ascii="Arial" w:cs="Arial" w:eastAsia="Arial" w:hAnsi="Arial"/>
          <w:sz w:val="12"/>
          <w:szCs w:val="12"/>
          <w:color w:val="auto"/>
        </w:rPr>
      </w:pPr>
      <w:r>
        <w:rPr>
          <w:rFonts w:ascii="Arial" w:cs="Arial" w:eastAsia="Arial" w:hAnsi="Arial"/>
          <w:sz w:val="12"/>
          <w:szCs w:val="12"/>
          <w:color w:val="auto"/>
        </w:rPr>
        <w:t>Upon the exercise by Servier of the Option in accordance with this Section 3.3, the provisions set forth in Sections 4.1, 4.2 and 4.3 of this Agreement shall constitute the terms and conditions of the license and sublicense rights granted by MacroGenics to Servier with respect to Licensed Products and the MacroGenics IP in the Field in the Servier Territory, and by Servier to MacroGenics with respect to Servier IP and Licensed Products in the Field in the MacroGenics Territory. During the period commencing on the Effective Date and ending on the expiration of the Option Exercise Period, MacroGenics will not grant a license or other rights to any Third Party or take any other action that would prevent MacroGenics from being able to grant to Servier the license set forth in Section 4.1. In the event Servier does not exercise the Option during the Option Exercise Period, Servier shall have no further rights hereunder with respect to MacroGenics IP and/or Licensed Products, the license granted to Servier under Section 3.3.1 shall terminate and the licenses and other rights granted under ARTICLE 4 shall have no force or effect.</w:t>
      </w:r>
    </w:p>
    <w:p>
      <w:pPr>
        <w:spacing w:after="0" w:line="86" w:lineRule="exact"/>
        <w:rPr>
          <w:rFonts w:ascii="Arial" w:cs="Arial" w:eastAsia="Arial" w:hAnsi="Arial"/>
          <w:sz w:val="12"/>
          <w:szCs w:val="12"/>
          <w:color w:val="auto"/>
        </w:rPr>
      </w:pPr>
    </w:p>
    <w:p>
      <w:pPr>
        <w:ind w:right="100" w:firstLine="1493"/>
        <w:spacing w:after="0" w:line="295" w:lineRule="auto"/>
        <w:tabs>
          <w:tab w:leader="none" w:pos="1675" w:val="left"/>
        </w:tabs>
        <w:numPr>
          <w:ilvl w:val="1"/>
          <w:numId w:val="955"/>
        </w:numPr>
        <w:rPr>
          <w:rFonts w:ascii="Arial" w:cs="Arial" w:eastAsia="Arial" w:hAnsi="Arial"/>
          <w:sz w:val="12"/>
          <w:szCs w:val="12"/>
          <w:color w:val="auto"/>
        </w:rPr>
      </w:pPr>
      <w:r>
        <w:rPr>
          <w:rFonts w:ascii="Arial" w:cs="Arial" w:eastAsia="Arial" w:hAnsi="Arial"/>
          <w:sz w:val="12"/>
          <w:szCs w:val="12"/>
          <w:color w:val="auto"/>
        </w:rPr>
        <w:t>In the event Servier does not exercise its Option rights prior to the end of the Option Period, (i) Servier’s Option shall expire and all right and interest with respect to the Program Antibodies, Licensed Products and MacroGenics IP shall revert to MacroGenics; (ii) Servier shall have no right to or interest in such Program Antibodies, Licensed Products and MacroGenics IP; and</w:t>
      </w:r>
    </w:p>
    <w:p>
      <w:pPr>
        <w:ind w:right="120" w:firstLine="4"/>
        <w:spacing w:after="0" w:line="258" w:lineRule="auto"/>
        <w:tabs>
          <w:tab w:leader="none" w:pos="238" w:val="left"/>
        </w:tabs>
        <w:numPr>
          <w:ilvl w:val="0"/>
          <w:numId w:val="956"/>
        </w:numPr>
        <w:rPr>
          <w:rFonts w:ascii="Arial" w:cs="Arial" w:eastAsia="Arial" w:hAnsi="Arial"/>
          <w:sz w:val="14"/>
          <w:szCs w:val="14"/>
          <w:color w:val="auto"/>
        </w:rPr>
      </w:pPr>
      <w:r>
        <w:rPr>
          <w:rFonts w:ascii="Arial" w:cs="Arial" w:eastAsia="Arial" w:hAnsi="Arial"/>
          <w:sz w:val="14"/>
          <w:szCs w:val="14"/>
          <w:color w:val="auto"/>
        </w:rPr>
        <w:t>Servier shall and hereby does assign and transfer to MacroGenics all right, title and interest in and to the Supplemental Data and the Servier Collaboration IP that is created by or on behalf of Servier or its Affiliates, or both, whether solely or jointly with MacroGenics, in the course of conducting activities under the Research Plan.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5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10" w:name="page811"/>
    <w:bookmarkEnd w:id="81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GRANT OF RIGHTS; EXCLUSIVITY</w:t>
      </w:r>
    </w:p>
    <w:p>
      <w:pPr>
        <w:spacing w:after="0" w:line="126" w:lineRule="exact"/>
        <w:rPr>
          <w:sz w:val="20"/>
          <w:szCs w:val="20"/>
          <w:color w:val="auto"/>
        </w:rPr>
      </w:pPr>
    </w:p>
    <w:p>
      <w:pPr>
        <w:ind w:right="20" w:firstLine="458"/>
        <w:spacing w:after="0" w:line="298"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License Grant to Servier</w:t>
      </w:r>
      <w:r>
        <w:rPr>
          <w:rFonts w:ascii="Arial" w:cs="Arial" w:eastAsia="Arial" w:hAnsi="Arial"/>
          <w:sz w:val="12"/>
          <w:szCs w:val="12"/>
          <w:color w:val="auto"/>
        </w:rPr>
        <w:t xml:space="preserve">. Subject to the terms of this Agreement, upon MacroGenics’ receipt of the License Grant Fee, MacroGenics shall and hereby does grant Servier (a) an exclusive, royalty-bearing, non-transferable (except in accordance with Section 16.4) license, with the right to sublicense (subject to Section 4.3), under MacroGenics IP and MacroGenics’ and its Affiliates’ interests in Joint IP, to Research, Develop, Manufacture and Commercialize, Program Antibodies and Licensed Products in the Servier Territory in the Field; (b) an exclusive, royalty-bearing, non-transferable (except in accordance with Section 16.4) license, with the right to sublicense (subject to Section 4.3), under MacroGenics IP and MacroGenics’ and its Affiliates’ interests in Joint IP, to Research, Develop, Manufacture and Commercialize Diagnostics for use solely with Program Antibodies and Licensed Products in the Field in the Servier Territory; and (c) a non-exclusive, royalty-bearing, non-transferable (except in accordance with Section 16.4) license, with the right to sublicense (subject to Section 4.3), under MacroGenics IP and MacroGenics’ and its Affiliates’ interests in Joint IP, to Research, Develop and Manufacture Program Antibodies and Licensed Products in the MacroGenics Territory for the sole purpose of using, offering for sale and selling Licensed Products in, and importing Program Antibodies and Licensed Products into, the Servier Territory in the Field;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Servier shall not, directly or indirectly, conduct clinical trials or other clinical studies, including any investigator initiated studies, in the MacroGenics Territory using Program Antibodies or Licensed Products without the prior approval of the JRDC.</w:t>
      </w:r>
    </w:p>
    <w:p>
      <w:pPr>
        <w:spacing w:after="0" w:line="88" w:lineRule="exact"/>
        <w:rPr>
          <w:sz w:val="20"/>
          <w:szCs w:val="20"/>
          <w:color w:val="auto"/>
        </w:rPr>
      </w:pPr>
    </w:p>
    <w:p>
      <w:pPr>
        <w:ind w:firstLine="458"/>
        <w:spacing w:after="0" w:line="298"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License Grant to MacroGenics</w:t>
      </w:r>
      <w:r>
        <w:rPr>
          <w:rFonts w:ascii="Arial" w:cs="Arial" w:eastAsia="Arial" w:hAnsi="Arial"/>
          <w:sz w:val="12"/>
          <w:szCs w:val="12"/>
          <w:color w:val="auto"/>
        </w:rPr>
        <w:t xml:space="preserve">. Subject to the terms of this Agreement, upon MacroGenics’ receipt of the License Grant Fee, Servier hereby grants MacroGenics: (a) an exclusive, royalty-free, non-transferable (except in accordance with Section 16.4) license, with the right to sublicense (subject to Section 4.3), under Servier Collaboration IP and Servier’s and its Affiliates’ interest in Joint IP, to Research, Develop, Manufacture and Commercialize Program Antibodies and Licensed Products in the Field in the MacroGenics Territory; (b) an exclusive, royalty-free, non-transferable (except in accordance with Section 16.4) license, with the right to sublicense (subject to Section 4.3), under Servier Collaboration IP and Servier’s and its Affiliates’ interest in Joint IP, to Research, Develop, Manufacture and Commercialize Diagnostics for use solely with Program Antibodies and Licensed Products in the Field in the MacroGenics Territory; and (c) a non-exclusive, royalty-free, non-transferable (except in accordance with Section 16.4) license, with the right to sublicense (subject to Section 4.3), under Servier Collaboration IP and Servier’s and its Affiliates’ interest in Joint IP, to Research, Develop and Manufacture Program Antibodies and Licensed Products in the Servier Territory for the sole purpose of using, offering for sale and selling Licensed Products in, and importing Program Antibodies and Licensed Products into, the MacroGenics Territory in the Field;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MacroGenics shall not, directly or indirectly, conduct clinical trials or other clinical studies, including any investigator initiated studies, in the Servier Territory using Program Antibodies or Licensed Products without the prior approval of the JRDC.</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Sublicenses</w:t>
      </w:r>
      <w:r>
        <w:rPr>
          <w:rFonts w:ascii="Arial" w:cs="Arial" w:eastAsia="Arial" w:hAnsi="Arial"/>
          <w:sz w:val="12"/>
          <w:szCs w:val="12"/>
          <w:color w:val="auto"/>
        </w:rPr>
        <w:t>. Each Party shall have the right to grant sublicenses within the scope of the licenses under Section 4.1 or 4.2, as applicable, solely to its Affiliates and to Third Parties</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22</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5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4" w:right="239" w:bottom="1440" w:gutter="0" w:footer="0" w:header="0"/>
        </w:sectPr>
      </w:pPr>
    </w:p>
    <w:bookmarkStart w:id="811" w:name="page812"/>
    <w:bookmarkEnd w:id="811"/>
    <w:p>
      <w:pPr>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that are conducting Research, Development, Manufacture and/or Commercialization activities with such Party or its Affiliates with respect to Program Antibodies and Licensed Products;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sublicense granted to Third Party collaborators under this Agreement shall be pursuant to a written agreement that subjects such sublicensee to all relevant restrictions and limitations set forth in this Agreement, including the confidentiality provisions of ARTICLE 11. If either Party grants a sublicense to a Third Party as permitted by this Section 4.3, then such Party shall provide the other Party prompt written notice thereof and shall provide the other Party with an executed copy of any such sublicense (redacted as necessary to protect confidential or commercially sensitive information). Except as otherwise agreed by the Parties in writing, each Party shall be jointly and severally responsible with its sublicensees to the other Party for failure by its sublicensees to comply with this Agreement.</w:t>
      </w:r>
    </w:p>
    <w:p>
      <w:pPr>
        <w:spacing w:after="0" w:line="84" w:lineRule="exact"/>
        <w:rPr>
          <w:sz w:val="20"/>
          <w:szCs w:val="20"/>
          <w:color w:val="auto"/>
        </w:rPr>
      </w:pPr>
    </w:p>
    <w:p>
      <w:pPr>
        <w:ind w:right="20" w:firstLine="458"/>
        <w:spacing w:after="0" w:line="298"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Subcontracting</w:t>
      </w:r>
      <w:r>
        <w:rPr>
          <w:rFonts w:ascii="Arial" w:cs="Arial" w:eastAsia="Arial" w:hAnsi="Arial"/>
          <w:sz w:val="12"/>
          <w:szCs w:val="12"/>
          <w:color w:val="auto"/>
        </w:rPr>
        <w:t xml:space="preserve">. Subject to the terms of this Agreement, each Party shall have the right to engage Affiliates, licensees, Sublicensees or Third Party subcontractors to perform activities ascribed to such Party, under this Agreement. Any Affiliate, licensee or subcontractor to be engaged by a Party to perform a Party’s obligations under this Agreement shall meet the qualifications typically required by such Party for the performance of work similar in scope and complexity to the subcontracted activity;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any Party engaging an Affiliate, licensee or subcontractor hereunder shall remain principally responsible and obligated for such activities. In addition, each Party engaging a licensee, Sublicensee or subcontractor shall obtain Control of any and all Know-How, Patents or other intellectual property rights created, discovered, invented, conceived or reduced to practice by such licensee, Sublicensee or subcontractor with respect to any Program Antibody or Licensed Product so that the other Party is not impeded from carrying out its rights and responsibilities under this Agreement by such Know-How, Patents or other intellectual property rights. To the extent a Party cannot obtain assignment of, or an exclusive license to, all Know-How, Patents and other intellectual property rights created, discovered, invented, conceived or reduced to practice by any licensee, Sublicensee or subcontractor engaged by such Party with respect to any Program Antibody or Licensed Product or in the performance of activities under this Agreement at the time such Party initially enters into such arrangement with such licensee, Sublicensee or subcontractor, such Party shall bring such matter to the JSC for the prior approval of such arrangement and for the express approval by the JRDC of the licensing terms and conditions with respect to such arrangement</w:t>
      </w:r>
    </w:p>
    <w:p>
      <w:pPr>
        <w:spacing w:after="0" w:line="255" w:lineRule="exact"/>
        <w:rPr>
          <w:sz w:val="20"/>
          <w:szCs w:val="20"/>
          <w:color w:val="auto"/>
        </w:rPr>
      </w:pPr>
    </w:p>
    <w:p>
      <w:pPr>
        <w:ind w:right="20" w:firstLine="458"/>
        <w:spacing w:after="0" w:line="302"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MacroGenics Third Party Agreements</w:t>
      </w:r>
      <w:r>
        <w:rPr>
          <w:rFonts w:ascii="Arial" w:cs="Arial" w:eastAsia="Arial" w:hAnsi="Arial"/>
          <w:sz w:val="12"/>
          <w:szCs w:val="12"/>
          <w:color w:val="auto"/>
        </w:rPr>
        <w:t>. Servier acknowledges and agrees that the rights, licenses and sublicenses granted by MacroGenics to Servier under this Agreement are subject to the terms of the MacroGenics Third Party Agreements. Servier covenants to comply with, and to cause its Affiliates and Sublicensees to comply with, the MacroGenics Third Party Agreements, and to take any action or provide any information reasonably requested by MacroGenics, to prevent any potential breach of any terms of such MacroGenics Third Party Agreements. To the extent there is a conflict between the terms of any MacroGenics Third Party Agreement and the rights granted to Servier hereunder, the terms of such MacroGenics Third Party Agreement shall control solely with respect to the Patents and Know-How owned or controlled by such Third Party licensor. MacroGenics shall not terminate or consent to the termination of the MacroGenics Third Party Agreement without Servier’s prior reasonable consent if such termination would materially adversely affect Servier’s license granted</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132" w:lineRule="exact"/>
        <w:rPr>
          <w:sz w:val="20"/>
          <w:szCs w:val="20"/>
          <w:color w:val="auto"/>
        </w:rPr>
      </w:pPr>
    </w:p>
    <w:p>
      <w:pPr>
        <w:ind w:left="3840" w:right="2640" w:hanging="1139"/>
        <w:spacing w:after="0" w:line="351" w:lineRule="auto"/>
        <w:tabs>
          <w:tab w:leader="none" w:pos="2940" w:val="left"/>
        </w:tabs>
        <w:numPr>
          <w:ilvl w:val="0"/>
          <w:numId w:val="95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812" w:name="page813"/>
    <w:bookmarkEnd w:id="812"/>
    <w:p>
      <w:pPr>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hereunder; however, for clarity, MacroGenics may (a) terminate any MacroGenics Third Party Agreement by acquiring all of the relevant intellectual property licensed thereunder, in which case Servier agrees to consent to such termination of such MacroGenics Third Party Agreement; (b) terminate its obligation to make royalty and milestone payments by making a lump-sum payment; and (c) terminate its rights and obligations under a MacroGenics Third Party Agreement by assigning such MacroGenics Third Party Agreement directly to Servier.</w:t>
      </w:r>
    </w:p>
    <w:p>
      <w:pPr>
        <w:spacing w:after="0" w:line="108" w:lineRule="exact"/>
        <w:rPr>
          <w:sz w:val="20"/>
          <w:szCs w:val="20"/>
          <w:color w:val="auto"/>
        </w:rPr>
      </w:pPr>
    </w:p>
    <w:p>
      <w:pPr>
        <w:ind w:firstLine="458"/>
        <w:spacing w:after="0" w:line="297"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Right of First Negotiation for Bi-Specific DARTs</w:t>
      </w:r>
      <w:r>
        <w:rPr>
          <w:rFonts w:ascii="Arial" w:cs="Arial" w:eastAsia="Arial" w:hAnsi="Arial"/>
          <w:sz w:val="12"/>
          <w:szCs w:val="12"/>
          <w:color w:val="auto"/>
        </w:rPr>
        <w:t xml:space="preserve">. If at any time during the Agreement Term MacroGenics desires to Develop with a Third Party and/or Commercialize with one or more Third Party(ies) one or more Bi-Specific DARTs in the Field other than in the United States, MacroGenics shall notify Servier of its intent and propose to Servier to enter into negotiations to Develop and Commercialize the latter, identifying the applicable Bi-Specific DART(s) that is(are) proposed to be the subject of such negotiations. Servier shall have </w:t>
      </w:r>
      <w:r>
        <w:rPr>
          <w:rFonts w:ascii="Arial" w:cs="Arial" w:eastAsia="Arial" w:hAnsi="Arial"/>
          <w:sz w:val="12"/>
          <w:szCs w:val="12"/>
          <w:b w:val="1"/>
          <w:bCs w:val="1"/>
          <w:color w:val="auto"/>
        </w:rPr>
        <w:t>***</w:t>
      </w:r>
      <w:r>
        <w:rPr>
          <w:rFonts w:ascii="Arial" w:cs="Arial" w:eastAsia="Arial" w:hAnsi="Arial"/>
          <w:sz w:val="12"/>
          <w:szCs w:val="12"/>
          <w:color w:val="auto"/>
        </w:rPr>
        <w:t xml:space="preserve"> from receipt of such written notice to notify MacroGenics in writing as to whether Servier desires to negotiate for such rights, and if Servier so notifies MacroGenics that it does desire to negotiate for such rights, Servier shall have </w:t>
      </w:r>
      <w:r>
        <w:rPr>
          <w:rFonts w:ascii="Arial" w:cs="Arial" w:eastAsia="Arial" w:hAnsi="Arial"/>
          <w:sz w:val="12"/>
          <w:szCs w:val="12"/>
          <w:b w:val="1"/>
          <w:bCs w:val="1"/>
          <w:color w:val="auto"/>
        </w:rPr>
        <w:t>***</w:t>
      </w:r>
      <w:r>
        <w:rPr>
          <w:rFonts w:ascii="Arial" w:cs="Arial" w:eastAsia="Arial" w:hAnsi="Arial"/>
          <w:sz w:val="12"/>
          <w:szCs w:val="12"/>
          <w:color w:val="auto"/>
        </w:rPr>
        <w:t xml:space="preserve"> from the date of such notification to MacroGenics to negotiate and enter into a definitive agreement with MacroGenics for such rights;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if either Servier does not provide such written notice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or Servier and MacroGenics do not enter into a definitive agreement within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MacroGenics shall be free to enter into negotiations and agreements with Third Parties relating to such Bi-Specific DART(s), provided however that if,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such negotiations with Servier terminate, MacroGenics should </w:t>
      </w:r>
      <w:r>
        <w:rPr>
          <w:rFonts w:ascii="Arial" w:cs="Arial" w:eastAsia="Arial" w:hAnsi="Arial"/>
          <w:sz w:val="12"/>
          <w:szCs w:val="12"/>
          <w:b w:val="1"/>
          <w:bCs w:val="1"/>
          <w:color w:val="auto"/>
        </w:rPr>
        <w:t>***</w:t>
      </w:r>
      <w:r>
        <w:rPr>
          <w:rFonts w:ascii="Arial" w:cs="Arial" w:eastAsia="Arial" w:hAnsi="Arial"/>
          <w:sz w:val="12"/>
          <w:szCs w:val="12"/>
          <w:color w:val="auto"/>
        </w:rPr>
        <w:t xml:space="preserve">, and Servier shall have a period of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receipt of the same to notify MacroGenics as to whether Servier would be prepared to accept such terms (subject to execution of a mutually acceptable license agreement) in which case the Parties will use commercially reasonable efforts to conclude such license agreement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Servier notifies MacroGenics of the same. If the Parties can not conclude such license agreement or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expires, the Parties agree that, MacroGenics shall be free to enter into negotiations and agreements with Third Party(ies) relating to such Bi-Specific DARTs during the remainder of the Agreement Term without further obligation to Servier.</w:t>
      </w:r>
    </w:p>
    <w:p>
      <w:pPr>
        <w:spacing w:after="0" w:line="89" w:lineRule="exact"/>
        <w:rPr>
          <w:sz w:val="20"/>
          <w:szCs w:val="20"/>
          <w:color w:val="auto"/>
        </w:rPr>
      </w:pPr>
    </w:p>
    <w:p>
      <w:pPr>
        <w:ind w:right="80" w:firstLine="458"/>
        <w:spacing w:after="0" w:line="255"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Rights Retained by the Parties</w:t>
      </w:r>
      <w:r>
        <w:rPr>
          <w:rFonts w:ascii="Arial" w:cs="Arial" w:eastAsia="Arial" w:hAnsi="Arial"/>
          <w:sz w:val="14"/>
          <w:szCs w:val="14"/>
          <w:color w:val="auto"/>
        </w:rPr>
        <w:t>. Any rights of MacroGenics or Servier, as the case may be, not expressly granted to the other Party pursuant to this Agreement shall be retained by such Party. Notwithstanding the exclusive licenses granted to Servier pursuant to Section 4.1, MacroGenics retains the right to practice under the MacroGenics IP and Joint IP to perform (and to sublicense Third Parties to perform) its obligations under this Agreement and any supply agreement entered into in accordance with ARTICLE 7, including for the purpose of performing its activities in connection with clinical trials for Licensed Products and any related manufacture of Program Antibodies and Licensed Products.</w:t>
      </w:r>
    </w:p>
    <w:p>
      <w:pPr>
        <w:spacing w:after="0" w:line="110" w:lineRule="exact"/>
        <w:rPr>
          <w:sz w:val="20"/>
          <w:szCs w:val="20"/>
          <w:color w:val="auto"/>
        </w:rPr>
      </w:pPr>
    </w:p>
    <w:p>
      <w:pPr>
        <w:jc w:val="both"/>
        <w:ind w:right="120" w:firstLine="458"/>
        <w:spacing w:after="0" w:line="258"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Section 365(n) of the Bankruptcy Code</w:t>
      </w:r>
      <w:r>
        <w:rPr>
          <w:rFonts w:ascii="Arial" w:cs="Arial" w:eastAsia="Arial" w:hAnsi="Arial"/>
          <w:sz w:val="14"/>
          <w:szCs w:val="14"/>
          <w:color w:val="auto"/>
        </w:rPr>
        <w:t>. All rights and licenses granted under or pursuant to any section of this Agreement are and will otherwise be deemed to be for purposes of Section 365(n) of the United States Bankruptcy Code (Title 11, U.S. Code), as amended (the “</w:t>
      </w:r>
      <w:r>
        <w:rPr>
          <w:rFonts w:ascii="Arial" w:cs="Arial" w:eastAsia="Arial" w:hAnsi="Arial"/>
          <w:sz w:val="14"/>
          <w:szCs w:val="14"/>
          <w:u w:val="single" w:color="auto"/>
          <w:color w:val="auto"/>
        </w:rPr>
        <w:t>Bankruptcy Code</w:t>
      </w:r>
      <w:r>
        <w:rPr>
          <w:rFonts w:ascii="Arial" w:cs="Arial" w:eastAsia="Arial" w:hAnsi="Arial"/>
          <w:sz w:val="14"/>
          <w:szCs w:val="14"/>
          <w:color w:val="auto"/>
        </w:rPr>
        <w:t>”), licenses of rights to “intellectual property” as defined in Section 101(35A) of the Bankruptcy Code. The Parties will retain and may fully exercise all of their respective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6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813" w:name="page814"/>
    <w:bookmarkEnd w:id="813"/>
    <w:p>
      <w:pPr>
        <w:ind w:right="60"/>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rights and elections under the Bankruptcy Code. Each Party agrees that the other Party, as licensee of such rights under this Agreement, will retain and may fully exercise all of its rights and elections under the Bankruptcy Code or any other provisions of applicable Law outside the United States that provide similar protection for “intellectual property.” The Parties further agree that, in the event of the commencement of a bankruptcy proceeding by or against a Party under the U.S. Bankruptcy Code or analogous provisions of applicable Law outside the United States, the other Party will be entitled to a complete duplicate of (or complete access to, as appropriate) such intellectual property and all embodiments of such intellectual property, which, if not already in such Party’s possession, will be promptly delivered to it upon such Party’s written request thereof. Any agreements supplemental hereto will be deemed to be “agreements supplementary to” this Agreement for purposes of Section 365(n) of the Bankruptcy Code.</w:t>
      </w:r>
    </w:p>
    <w:p>
      <w:pPr>
        <w:spacing w:after="0" w:line="82"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Exclusivity</w:t>
      </w:r>
      <w:r>
        <w:rPr>
          <w:rFonts w:ascii="Arial" w:cs="Arial" w:eastAsia="Arial" w:hAnsi="Arial"/>
          <w:sz w:val="14"/>
          <w:szCs w:val="14"/>
          <w:color w:val="auto"/>
        </w:rPr>
        <w:t>. For the period commencing with the Effective Date and ending on the</w:t>
      </w:r>
      <w:r>
        <w:rPr>
          <w:rFonts w:ascii="Arial" w:cs="Arial" w:eastAsia="Arial" w:hAnsi="Arial"/>
          <w:sz w:val="14"/>
          <w:szCs w:val="14"/>
          <w:b w:val="1"/>
          <w:bCs w:val="1"/>
          <w:color w:val="auto"/>
        </w:rPr>
        <w:t>***</w:t>
      </w:r>
      <w:r>
        <w:rPr>
          <w:rFonts w:ascii="Arial" w:cs="Arial" w:eastAsia="Arial" w:hAnsi="Arial"/>
          <w:sz w:val="14"/>
          <w:szCs w:val="14"/>
          <w:color w:val="auto"/>
        </w:rPr>
        <w:t xml:space="preserve"> of the Effective Date, other than with respect to the Development and Commercialization activities pursuant to this Agreement or any agreement entered into between the Parties pursuant to Section 4.6, neither Party nor its Affiliates shall, directly or indirectly, (a)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Consequences of Development and Commercialization of Competing Products</w:t>
      </w:r>
      <w:r>
        <w:rPr>
          <w:rFonts w:ascii="Arial" w:cs="Arial" w:eastAsia="Arial" w:hAnsi="Arial"/>
          <w:sz w:val="14"/>
          <w:szCs w:val="14"/>
          <w:color w:val="auto"/>
        </w:rPr>
        <w:t>.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u w:val="single" w:color="auto"/>
          <w:color w:val="auto"/>
        </w:rPr>
        <w:t>Diagnostics</w:t>
      </w:r>
      <w:r>
        <w:rPr>
          <w:rFonts w:ascii="Arial" w:cs="Arial" w:eastAsia="Arial" w:hAnsi="Arial"/>
          <w:sz w:val="12"/>
          <w:szCs w:val="12"/>
          <w:color w:val="auto"/>
        </w:rPr>
        <w:t>. The Parties acknowledge and agree that each Party shall have the right to use Diagnostics in combination with Competing Products Researched, Developed or Commercialized by such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Party.</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5</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DEVELOPMENT DURING THE LICENSE TERM</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Overview</w:t>
      </w:r>
      <w:r>
        <w:rPr>
          <w:rFonts w:ascii="Arial" w:cs="Arial" w:eastAsia="Arial" w:hAnsi="Arial"/>
          <w:sz w:val="12"/>
          <w:szCs w:val="12"/>
          <w:color w:val="auto"/>
        </w:rPr>
        <w:t>. During the License Term, Servier will, subject to the terms of this Agreement, be responsible for the Development of Licensed Products in the Field for the Servier Territory, and</w:t>
      </w:r>
    </w:p>
    <w:p>
      <w:pPr>
        <w:spacing w:after="0" w:line="35" w:lineRule="exact"/>
        <w:rPr>
          <w:sz w:val="20"/>
          <w:szCs w:val="20"/>
          <w:color w:val="auto"/>
        </w:rPr>
      </w:pPr>
    </w:p>
    <w:p>
      <w:pPr>
        <w:ind w:right="140" w:firstLine="4"/>
        <w:spacing w:after="0" w:line="253" w:lineRule="auto"/>
        <w:tabs>
          <w:tab w:leader="none" w:pos="192" w:val="left"/>
        </w:tabs>
        <w:numPr>
          <w:ilvl w:val="0"/>
          <w:numId w:val="961"/>
        </w:numPr>
        <w:rPr>
          <w:rFonts w:ascii="Arial" w:cs="Arial" w:eastAsia="Arial" w:hAnsi="Arial"/>
          <w:sz w:val="14"/>
          <w:szCs w:val="14"/>
          <w:color w:val="auto"/>
        </w:rPr>
      </w:pPr>
      <w:r>
        <w:rPr>
          <w:rFonts w:ascii="Arial" w:cs="Arial" w:eastAsia="Arial" w:hAnsi="Arial"/>
          <w:sz w:val="14"/>
          <w:szCs w:val="14"/>
          <w:color w:val="auto"/>
        </w:rPr>
        <w:t>MacroGenics will remain responsible for Development of Licensed Products in the Field in the MacroGenics Territory. While the Parties may choose, at their sole discretion, to work together on particular projects, except as otherwise provided in this Agreement, the Parties will operate independently in their activities for their respective Development of Licensed Products, but will provide access to certain information to the JRDC and to each other as expressly described in this Agreement.</w:t>
      </w:r>
    </w:p>
    <w:p>
      <w:pPr>
        <w:spacing w:after="0" w:line="112" w:lineRule="exact"/>
        <w:rPr>
          <w:sz w:val="20"/>
          <w:szCs w:val="20"/>
          <w:color w:val="auto"/>
        </w:rPr>
      </w:pPr>
    </w:p>
    <w:p>
      <w:pPr>
        <w:ind w:right="140" w:firstLine="458"/>
        <w:spacing w:after="0" w:line="255"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Servier Obligations</w:t>
      </w:r>
      <w:r>
        <w:rPr>
          <w:rFonts w:ascii="Arial" w:cs="Arial" w:eastAsia="Arial" w:hAnsi="Arial"/>
          <w:sz w:val="14"/>
          <w:szCs w:val="14"/>
          <w:color w:val="auto"/>
        </w:rPr>
        <w:t xml:space="preserve">. Servier shall use Commercially Reasonable Efforts to Develop Licensed Products in the Servier Territory. Servier shall be deemed to not have used Commercially Reasonable Efforts to Develop Licensed Products in the Servier Territory, and MacroGenics shall have the right to terminate this Agreement in accordance with Section 14.2, if at any point in time prior to the First Commercial Sale of a Licensed Product, Servier fails to undertake Development activities, with the intention of rapidly advancing a Licensed Product toward registration (and not for the sole purpose of preserving rights hereunder) during at least the preceding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14" w:name="page815"/>
    <w:bookmarkEnd w:id="81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5.3 </w:t>
      </w:r>
      <w:r>
        <w:rPr>
          <w:rFonts w:ascii="Arial" w:cs="Arial" w:eastAsia="Arial" w:hAnsi="Arial"/>
          <w:sz w:val="14"/>
          <w:szCs w:val="14"/>
          <w:u w:val="single" w:color="auto"/>
          <w:color w:val="auto"/>
        </w:rPr>
        <w:t>Development Activities</w:t>
      </w:r>
      <w:r>
        <w:rPr>
          <w:rFonts w:ascii="Arial" w:cs="Arial" w:eastAsia="Arial" w:hAnsi="Arial"/>
          <w:sz w:val="14"/>
          <w:szCs w:val="14"/>
          <w:color w:val="auto"/>
        </w:rPr>
        <w:t>.</w:t>
      </w:r>
    </w:p>
    <w:p>
      <w:pPr>
        <w:spacing w:after="0" w:line="69" w:lineRule="exact"/>
        <w:rPr>
          <w:sz w:val="20"/>
          <w:szCs w:val="20"/>
          <w:color w:val="auto"/>
        </w:rPr>
      </w:pPr>
    </w:p>
    <w:p>
      <w:pPr>
        <w:ind w:firstLine="917"/>
        <w:spacing w:after="0" w:line="298" w:lineRule="auto"/>
        <w:rPr>
          <w:sz w:val="20"/>
          <w:szCs w:val="20"/>
          <w:color w:val="auto"/>
        </w:rPr>
      </w:pPr>
      <w:r>
        <w:rPr>
          <w:rFonts w:ascii="Arial" w:cs="Arial" w:eastAsia="Arial" w:hAnsi="Arial"/>
          <w:sz w:val="12"/>
          <w:szCs w:val="12"/>
          <w:color w:val="auto"/>
        </w:rPr>
        <w:t xml:space="preserve">5.3.1 </w:t>
      </w:r>
      <w:r>
        <w:rPr>
          <w:rFonts w:ascii="Arial" w:cs="Arial" w:eastAsia="Arial" w:hAnsi="Arial"/>
          <w:sz w:val="12"/>
          <w:szCs w:val="12"/>
          <w:u w:val="single" w:color="auto"/>
          <w:color w:val="auto"/>
        </w:rPr>
        <w:t>Global Development Plan</w:t>
      </w:r>
      <w:r>
        <w:rPr>
          <w:rFonts w:ascii="Arial" w:cs="Arial" w:eastAsia="Arial" w:hAnsi="Arial"/>
          <w:sz w:val="12"/>
          <w:szCs w:val="12"/>
          <w:color w:val="auto"/>
        </w:rPr>
        <w:t>. During the License Term, the Development of Licensed Products under this Agreement shall be conducted pursuant to a reasonably comprehensive written research and development plan (each, a “</w:t>
      </w:r>
      <w:r>
        <w:rPr>
          <w:rFonts w:ascii="Arial" w:cs="Arial" w:eastAsia="Arial" w:hAnsi="Arial"/>
          <w:sz w:val="12"/>
          <w:szCs w:val="12"/>
          <w:u w:val="single" w:color="auto"/>
          <w:color w:val="auto"/>
        </w:rPr>
        <w:t>Global Development Plan</w:t>
      </w:r>
      <w:r>
        <w:rPr>
          <w:rFonts w:ascii="Arial" w:cs="Arial" w:eastAsia="Arial" w:hAnsi="Arial"/>
          <w:sz w:val="12"/>
          <w:szCs w:val="12"/>
          <w:color w:val="auto"/>
        </w:rPr>
        <w:t>”), which shall include a detailed budget for all Development Costs and Manufacturing Process Development Costs (each, a “</w:t>
      </w:r>
      <w:r>
        <w:rPr>
          <w:rFonts w:ascii="Arial" w:cs="Arial" w:eastAsia="Arial" w:hAnsi="Arial"/>
          <w:sz w:val="12"/>
          <w:szCs w:val="12"/>
          <w:u w:val="single" w:color="auto"/>
          <w:color w:val="auto"/>
        </w:rPr>
        <w:t>Development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Budget</w:t>
      </w:r>
      <w:r>
        <w:rPr>
          <w:rFonts w:ascii="Arial" w:cs="Arial" w:eastAsia="Arial" w:hAnsi="Arial"/>
          <w:sz w:val="12"/>
          <w:szCs w:val="12"/>
          <w:color w:val="auto"/>
        </w:rPr>
        <w:t xml:space="preserve">”), and which shall include the resource allocations for the Parties based upon the general principle that the allocation shall endeavor to take advantage of the respective resources, capabilities and expertise of MacroGenics and Servier, respectively.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License Grant Date, the JRDC shall prepare an initial draft of the Global Development Plan for approval by the JSC. The Global Development Plan also shall set forth the specific activities (including non-clinical and clinical studies to be conducted by each Party and the estimated timeline for Development of Licensed Products in order to obtain the data that the Parties intend will be useful, by both Parties, to obtain Regulatory Approvals of the licensed Product in both the United States, and the EU, Servier shall be the sponsor of all clinical studies conducted in the Servier Territory and shall be solely responsible for Development activities and for obtaining Regulatory Approval for Licensed Products in the Servier Territory, and MacroGenics shall be the sponsor of all clinical studies conducted in the MacroGenics Territory and shall be solely responsible for Development activities and for obtaining Regulatory Approval for Licensed Products in the MacroGenics Territory. The JRDC shall discuss which Party(ies) shall be the sponsor of all clinical studies conducted in countries of both the MacroGenics Territory and the Servier Territory.</w:t>
      </w:r>
    </w:p>
    <w:p>
      <w:pPr>
        <w:spacing w:after="0" w:line="88"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 xml:space="preserve">5.3.2 </w:t>
      </w:r>
      <w:r>
        <w:rPr>
          <w:rFonts w:ascii="Arial" w:cs="Arial" w:eastAsia="Arial" w:hAnsi="Arial"/>
          <w:sz w:val="14"/>
          <w:szCs w:val="14"/>
          <w:u w:val="single" w:color="auto"/>
          <w:color w:val="auto"/>
        </w:rPr>
        <w:t>Details in Global Development Plan</w:t>
      </w:r>
      <w:r>
        <w:rPr>
          <w:rFonts w:ascii="Arial" w:cs="Arial" w:eastAsia="Arial" w:hAnsi="Arial"/>
          <w:sz w:val="14"/>
          <w:szCs w:val="14"/>
          <w:color w:val="auto"/>
        </w:rPr>
        <w:t>. Without limiting Section 5.3.1, the Global Development Plan shall set forth, among other things, the following activities to be undertaken jointly or coordinated by Servier and MacroGenics:</w:t>
      </w:r>
    </w:p>
    <w:p>
      <w:pPr>
        <w:spacing w:after="0" w:line="101" w:lineRule="exact"/>
        <w:rPr>
          <w:sz w:val="20"/>
          <w:szCs w:val="20"/>
          <w:color w:val="auto"/>
        </w:rPr>
      </w:pPr>
    </w:p>
    <w:p>
      <w:pPr>
        <w:ind w:right="420" w:firstLine="1493"/>
        <w:spacing w:after="0" w:line="258" w:lineRule="auto"/>
        <w:tabs>
          <w:tab w:leader="none" w:pos="1675" w:val="left"/>
        </w:tabs>
        <w:numPr>
          <w:ilvl w:val="0"/>
          <w:numId w:val="963"/>
        </w:numPr>
        <w:rPr>
          <w:rFonts w:ascii="Arial" w:cs="Arial" w:eastAsia="Arial" w:hAnsi="Arial"/>
          <w:sz w:val="14"/>
          <w:szCs w:val="14"/>
          <w:color w:val="auto"/>
        </w:rPr>
      </w:pPr>
      <w:r>
        <w:rPr>
          <w:rFonts w:ascii="Arial" w:cs="Arial" w:eastAsia="Arial" w:hAnsi="Arial"/>
          <w:sz w:val="14"/>
          <w:szCs w:val="14"/>
          <w:color w:val="auto"/>
        </w:rPr>
        <w:t>any non-clinical studies, toxicology studies, pharmaco-economic studies, process development studies and other clinical studies, whether pre- or post-approval and whether sponsored or merely supported by Servier or MacroGenics, in each case, together with all protocols, endpoints and investigators conducting such studies, with respect to Licensed Products in the Servier Territory and MacroGenics Territory;</w:t>
      </w:r>
    </w:p>
    <w:p>
      <w:pPr>
        <w:spacing w:after="0" w:line="107" w:lineRule="exact"/>
        <w:rPr>
          <w:rFonts w:ascii="Arial" w:cs="Arial" w:eastAsia="Arial" w:hAnsi="Arial"/>
          <w:sz w:val="14"/>
          <w:szCs w:val="14"/>
          <w:color w:val="auto"/>
        </w:rPr>
      </w:pPr>
    </w:p>
    <w:p>
      <w:pPr>
        <w:ind w:right="60" w:firstLine="1493"/>
        <w:spacing w:after="0" w:line="267" w:lineRule="auto"/>
        <w:tabs>
          <w:tab w:leader="none" w:pos="1682" w:val="left"/>
        </w:tabs>
        <w:numPr>
          <w:ilvl w:val="0"/>
          <w:numId w:val="963"/>
        </w:numPr>
        <w:rPr>
          <w:rFonts w:ascii="Arial" w:cs="Arial" w:eastAsia="Arial" w:hAnsi="Arial"/>
          <w:sz w:val="14"/>
          <w:szCs w:val="14"/>
          <w:color w:val="auto"/>
        </w:rPr>
      </w:pPr>
      <w:r>
        <w:rPr>
          <w:rFonts w:ascii="Arial" w:cs="Arial" w:eastAsia="Arial" w:hAnsi="Arial"/>
          <w:sz w:val="14"/>
          <w:szCs w:val="14"/>
          <w:color w:val="auto"/>
        </w:rPr>
        <w:t>regulatory plans and other elements of obtaining and maintaining Regulatory Approvals in the Field in each country in the Servier Territory and MacroGenics Territory, consistent with the use of Commercially Reasonable Efforts;</w:t>
      </w:r>
    </w:p>
    <w:p>
      <w:pPr>
        <w:spacing w:after="0" w:line="101" w:lineRule="exact"/>
        <w:rPr>
          <w:rFonts w:ascii="Arial" w:cs="Arial" w:eastAsia="Arial" w:hAnsi="Arial"/>
          <w:sz w:val="14"/>
          <w:szCs w:val="14"/>
          <w:color w:val="auto"/>
        </w:rPr>
      </w:pPr>
    </w:p>
    <w:p>
      <w:pPr>
        <w:ind w:left="1680" w:hanging="187"/>
        <w:spacing w:after="0"/>
        <w:tabs>
          <w:tab w:leader="none" w:pos="1680" w:val="left"/>
        </w:tabs>
        <w:numPr>
          <w:ilvl w:val="0"/>
          <w:numId w:val="963"/>
        </w:numPr>
        <w:rPr>
          <w:rFonts w:ascii="Arial" w:cs="Arial" w:eastAsia="Arial" w:hAnsi="Arial"/>
          <w:sz w:val="14"/>
          <w:szCs w:val="14"/>
          <w:color w:val="auto"/>
        </w:rPr>
      </w:pPr>
      <w:r>
        <w:rPr>
          <w:rFonts w:ascii="Arial" w:cs="Arial" w:eastAsia="Arial" w:hAnsi="Arial"/>
          <w:sz w:val="14"/>
          <w:szCs w:val="14"/>
          <w:color w:val="auto"/>
        </w:rPr>
        <w:t>the timeline for completing such Development activities; and</w:t>
      </w:r>
    </w:p>
    <w:p>
      <w:pPr>
        <w:spacing w:after="0" w:line="131" w:lineRule="exact"/>
        <w:rPr>
          <w:rFonts w:ascii="Arial" w:cs="Arial" w:eastAsia="Arial" w:hAnsi="Arial"/>
          <w:sz w:val="14"/>
          <w:szCs w:val="14"/>
          <w:color w:val="auto"/>
        </w:rPr>
      </w:pPr>
    </w:p>
    <w:p>
      <w:pPr>
        <w:ind w:left="1680" w:hanging="187"/>
        <w:spacing w:after="0"/>
        <w:tabs>
          <w:tab w:leader="none" w:pos="1680" w:val="left"/>
        </w:tabs>
        <w:numPr>
          <w:ilvl w:val="0"/>
          <w:numId w:val="963"/>
        </w:numPr>
        <w:rPr>
          <w:rFonts w:ascii="Arial" w:cs="Arial" w:eastAsia="Arial" w:hAnsi="Arial"/>
          <w:sz w:val="12"/>
          <w:szCs w:val="12"/>
          <w:color w:val="auto"/>
        </w:rPr>
      </w:pPr>
      <w:r>
        <w:rPr>
          <w:rFonts w:ascii="Arial" w:cs="Arial" w:eastAsia="Arial" w:hAnsi="Arial"/>
          <w:sz w:val="12"/>
          <w:szCs w:val="12"/>
          <w:color w:val="auto"/>
        </w:rPr>
        <w:t>the plans and timeline for preparing the necessary Regulatory Documentation and for obtaining Regulatory Approval in the Field in the Servier Territory and MacroGenics</w:t>
      </w:r>
    </w:p>
    <w:p>
      <w:pPr>
        <w:spacing w:after="0" w:line="3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Territory.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6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815" w:name="page816"/>
    <w:bookmarkEnd w:id="81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5.4 </w:t>
      </w:r>
      <w:r>
        <w:rPr>
          <w:rFonts w:ascii="Arial" w:cs="Arial" w:eastAsia="Arial" w:hAnsi="Arial"/>
          <w:sz w:val="14"/>
          <w:szCs w:val="14"/>
          <w:u w:val="single" w:color="auto"/>
          <w:color w:val="auto"/>
        </w:rPr>
        <w:t>Updating and Amending Development Plan and Development Budget; Additional Development Activities</w:t>
      </w:r>
      <w:r>
        <w:rPr>
          <w:rFonts w:ascii="Arial" w:cs="Arial" w:eastAsia="Arial" w:hAnsi="Arial"/>
          <w:sz w:val="14"/>
          <w:szCs w:val="14"/>
          <w:color w:val="auto"/>
        </w:rPr>
        <w:t>.</w:t>
      </w:r>
    </w:p>
    <w:p>
      <w:pPr>
        <w:spacing w:after="0" w:line="69" w:lineRule="exact"/>
        <w:rPr>
          <w:sz w:val="20"/>
          <w:szCs w:val="20"/>
          <w:color w:val="auto"/>
        </w:rPr>
      </w:pPr>
    </w:p>
    <w:p>
      <w:pPr>
        <w:ind w:right="100" w:firstLine="917"/>
        <w:spacing w:after="0" w:line="311" w:lineRule="auto"/>
        <w:rPr>
          <w:sz w:val="20"/>
          <w:szCs w:val="20"/>
          <w:color w:val="auto"/>
        </w:rPr>
      </w:pPr>
      <w:r>
        <w:rPr>
          <w:rFonts w:ascii="Arial" w:cs="Arial" w:eastAsia="Arial" w:hAnsi="Arial"/>
          <w:sz w:val="12"/>
          <w:szCs w:val="12"/>
          <w:color w:val="auto"/>
        </w:rPr>
        <w:t xml:space="preserve">5.4.1 </w:t>
      </w:r>
      <w:r>
        <w:rPr>
          <w:rFonts w:ascii="Arial" w:cs="Arial" w:eastAsia="Arial" w:hAnsi="Arial"/>
          <w:sz w:val="12"/>
          <w:szCs w:val="12"/>
          <w:u w:val="single" w:color="auto"/>
          <w:color w:val="auto"/>
        </w:rPr>
        <w:t>Development Plan Reviews and Updates</w:t>
      </w:r>
      <w:r>
        <w:rPr>
          <w:rFonts w:ascii="Arial" w:cs="Arial" w:eastAsia="Arial" w:hAnsi="Arial"/>
          <w:sz w:val="12"/>
          <w:szCs w:val="12"/>
          <w:color w:val="auto"/>
        </w:rPr>
        <w:t>. On or before January 1st of each Calendar Year during the License Term, the JRDC shall review, update and approve the Global Development Plan (including the Development Budget contained therein) which shall cover the Development activities and Manufacturing process development activities to be conducted with respect to the Development of Licensed Products for use in the Field during the upcoming Calendar Year, and the JRDC shall, on at least a quarterly basis, review and update, as appropriate, the then-current Global Development Plan (including the Development Budget) to reflect any changes, reprioritizations of, or additions to the Global Development Plan.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5.4.2 </w:t>
      </w:r>
      <w:r>
        <w:rPr>
          <w:rFonts w:ascii="Arial" w:cs="Arial" w:eastAsia="Arial" w:hAnsi="Arial"/>
          <w:sz w:val="14"/>
          <w:szCs w:val="14"/>
          <w:u w:val="single" w:color="auto"/>
          <w:color w:val="auto"/>
        </w:rPr>
        <w:t>Amendments to Development Plan; New Development Collaboration Proposals</w:t>
      </w:r>
      <w:r>
        <w:rPr>
          <w:rFonts w:ascii="Arial" w:cs="Arial" w:eastAsia="Arial" w:hAnsi="Arial"/>
          <w:sz w:val="14"/>
          <w:szCs w:val="14"/>
          <w:color w:val="auto"/>
        </w:rPr>
        <w:t>.</w:t>
      </w:r>
    </w:p>
    <w:p>
      <w:pPr>
        <w:spacing w:after="0" w:line="69" w:lineRule="exact"/>
        <w:rPr>
          <w:sz w:val="20"/>
          <w:szCs w:val="20"/>
          <w:color w:val="auto"/>
        </w:rPr>
      </w:pPr>
    </w:p>
    <w:p>
      <w:pPr>
        <w:ind w:firstLine="1493"/>
        <w:spacing w:after="0" w:line="302" w:lineRule="auto"/>
        <w:tabs>
          <w:tab w:leader="none" w:pos="1675" w:val="left"/>
        </w:tabs>
        <w:numPr>
          <w:ilvl w:val="0"/>
          <w:numId w:val="965"/>
        </w:numPr>
        <w:rPr>
          <w:rFonts w:ascii="Arial" w:cs="Arial" w:eastAsia="Arial" w:hAnsi="Arial"/>
          <w:sz w:val="12"/>
          <w:szCs w:val="12"/>
          <w:color w:val="auto"/>
        </w:rPr>
      </w:pPr>
      <w:r>
        <w:rPr>
          <w:rFonts w:ascii="Arial" w:cs="Arial" w:eastAsia="Arial" w:hAnsi="Arial"/>
          <w:sz w:val="12"/>
          <w:szCs w:val="12"/>
          <w:u w:val="single" w:color="auto"/>
          <w:color w:val="auto"/>
        </w:rPr>
        <w:t>Amendments to Development Plan</w:t>
      </w:r>
      <w:r>
        <w:rPr>
          <w:rFonts w:ascii="Arial" w:cs="Arial" w:eastAsia="Arial" w:hAnsi="Arial"/>
          <w:sz w:val="12"/>
          <w:szCs w:val="12"/>
          <w:color w:val="auto"/>
        </w:rPr>
        <w:t>. From time to time during the License Term, either Party may submit to the JRDC any proposed amendment of the Global Development Plan to amend the then-currently approved Development activities (such proposed amendment, a “</w:t>
      </w:r>
      <w:r>
        <w:rPr>
          <w:rFonts w:ascii="Arial" w:cs="Arial" w:eastAsia="Arial" w:hAnsi="Arial"/>
          <w:sz w:val="12"/>
          <w:szCs w:val="12"/>
          <w:u w:val="single" w:color="auto"/>
          <w:color w:val="auto"/>
        </w:rPr>
        <w:t>Proposed Development Plan Amendment</w:t>
      </w:r>
      <w:r>
        <w:rPr>
          <w:rFonts w:ascii="Arial" w:cs="Arial" w:eastAsia="Arial" w:hAnsi="Arial"/>
          <w:sz w:val="12"/>
          <w:szCs w:val="12"/>
          <w:color w:val="auto"/>
        </w:rPr>
        <w:t>”) for the JRDC’s review and JSC approval. Any proposed amendment to the Global Development Plan shall contain, at a minimum, information supporting the rationale for the Proposed Development Plan Amendment related to Licensed Products from a scientific, regulatory and commercial standpoint, as well as an estimated developmental critical path, and an estimate of the cost of such Development. The JRDC shall consider any submitted Proposed Development Plan Amendment during its next scheduled meeting. Once approved by the JSC (or otherwise resolved pursuant to Section 2.9), each amended Global Development Plan (including the Development Budget contained therein) shall become effective and supersede the previous Global Development Plan and Development Budget as of the date of such approval or at such other time as decided by the JSC.</w:t>
      </w:r>
    </w:p>
    <w:p>
      <w:pPr>
        <w:spacing w:after="0" w:line="86" w:lineRule="exact"/>
        <w:rPr>
          <w:rFonts w:ascii="Arial" w:cs="Arial" w:eastAsia="Arial" w:hAnsi="Arial"/>
          <w:sz w:val="12"/>
          <w:szCs w:val="12"/>
          <w:color w:val="auto"/>
        </w:rPr>
      </w:pPr>
    </w:p>
    <w:p>
      <w:pPr>
        <w:ind w:right="20" w:firstLine="1493"/>
        <w:spacing w:after="0" w:line="305" w:lineRule="auto"/>
        <w:tabs>
          <w:tab w:leader="none" w:pos="1682" w:val="left"/>
        </w:tabs>
        <w:numPr>
          <w:ilvl w:val="0"/>
          <w:numId w:val="965"/>
        </w:numPr>
        <w:rPr>
          <w:rFonts w:ascii="Arial" w:cs="Arial" w:eastAsia="Arial" w:hAnsi="Arial"/>
          <w:sz w:val="12"/>
          <w:szCs w:val="12"/>
          <w:color w:val="auto"/>
        </w:rPr>
      </w:pPr>
      <w:r>
        <w:rPr>
          <w:rFonts w:ascii="Arial" w:cs="Arial" w:eastAsia="Arial" w:hAnsi="Arial"/>
          <w:sz w:val="12"/>
          <w:szCs w:val="12"/>
          <w:u w:val="single" w:color="auto"/>
          <w:color w:val="auto"/>
        </w:rPr>
        <w:t>New Development Collaboration Proposals</w:t>
      </w:r>
      <w:r>
        <w:rPr>
          <w:rFonts w:ascii="Arial" w:cs="Arial" w:eastAsia="Arial" w:hAnsi="Arial"/>
          <w:sz w:val="12"/>
          <w:szCs w:val="12"/>
          <w:color w:val="auto"/>
        </w:rPr>
        <w:t xml:space="preserve">. If either Party proposes to conduct new Development activities in connection with the Development of a Licensed Product not included in the then approved Global Development Plan, including any proposal to collaborate to </w:t>
      </w:r>
      <w:r>
        <w:rPr>
          <w:rFonts w:ascii="Arial" w:cs="Arial" w:eastAsia="Arial" w:hAnsi="Arial"/>
          <w:sz w:val="12"/>
          <w:szCs w:val="12"/>
          <w:b w:val="1"/>
          <w:bCs w:val="1"/>
          <w:color w:val="auto"/>
        </w:rPr>
        <w:t>***</w:t>
      </w:r>
      <w:r>
        <w:rPr>
          <w:rFonts w:ascii="Arial" w:cs="Arial" w:eastAsia="Arial" w:hAnsi="Arial"/>
          <w:sz w:val="12"/>
          <w:szCs w:val="12"/>
          <w:color w:val="auto"/>
        </w:rPr>
        <w:t xml:space="preserve"> (such proposal, a “</w:t>
      </w:r>
      <w:r>
        <w:rPr>
          <w:rFonts w:ascii="Arial" w:cs="Arial" w:eastAsia="Arial" w:hAnsi="Arial"/>
          <w:sz w:val="12"/>
          <w:szCs w:val="12"/>
          <w:u w:val="single" w:color="auto"/>
          <w:color w:val="auto"/>
        </w:rPr>
        <w:t>Development Collaboration Proposal</w:t>
      </w:r>
      <w:r>
        <w:rPr>
          <w:rFonts w:ascii="Arial" w:cs="Arial" w:eastAsia="Arial" w:hAnsi="Arial"/>
          <w:sz w:val="12"/>
          <w:szCs w:val="12"/>
          <w:color w:val="auto"/>
        </w:rPr>
        <w:t>”), such Party shall submit the Development Collaboration Proposal to the other Party through the JRDC. Every Development Collaboration Proposal shall include a proposal to collaborate with the other Party for such Development activities so that, subject to the terms of this Agreement, with respect to the Development activities underlying the Development Collaboration Proposal, Servier shall be able to Develop Licensed Products for Commercialization in the Field in the Servier Territory and MacroGenics shall be able to Develop Licensed Products for Commercialization in the Field in the MacroGenics Territory.</w:t>
      </w:r>
    </w:p>
    <w:p>
      <w:pPr>
        <w:spacing w:after="0" w:line="84" w:lineRule="exact"/>
        <w:rPr>
          <w:rFonts w:ascii="Arial" w:cs="Arial" w:eastAsia="Arial" w:hAnsi="Arial"/>
          <w:sz w:val="12"/>
          <w:szCs w:val="12"/>
          <w:color w:val="auto"/>
        </w:rPr>
      </w:pPr>
    </w:p>
    <w:p>
      <w:pPr>
        <w:ind w:right="320" w:firstLine="1952"/>
        <w:spacing w:after="0" w:line="321" w:lineRule="auto"/>
        <w:tabs>
          <w:tab w:leader="none" w:pos="2110" w:val="left"/>
        </w:tabs>
        <w:numPr>
          <w:ilvl w:val="1"/>
          <w:numId w:val="965"/>
        </w:numPr>
        <w:rPr>
          <w:rFonts w:ascii="Arial" w:cs="Arial" w:eastAsia="Arial" w:hAnsi="Arial"/>
          <w:sz w:val="12"/>
          <w:szCs w:val="12"/>
          <w:color w:val="auto"/>
        </w:rPr>
      </w:pPr>
      <w:r>
        <w:rPr>
          <w:rFonts w:ascii="Arial" w:cs="Arial" w:eastAsia="Arial" w:hAnsi="Arial"/>
          <w:sz w:val="12"/>
          <w:szCs w:val="12"/>
          <w:color w:val="auto"/>
        </w:rPr>
        <w:t>In the event the other Party approves a Development Collaboration Proposal and the Parties agree to collaborate to conduct the Development activities underlying the Development Collaboration Proposal with respect to Licensed Products, each Party shall use Commercially Reasonable Efforts to perform the activities allocated to it under the approved Development Collaboration Proposal, and the Parties shall share in the payment of Development Costs incurred in connection with such activities in accordance with Section 5.5.1(a).</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6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816" w:name="page817"/>
    <w:bookmarkEnd w:id="816"/>
    <w:p>
      <w:pPr>
        <w:ind w:firstLine="1952"/>
        <w:spacing w:after="0" w:line="252" w:lineRule="auto"/>
        <w:tabs>
          <w:tab w:leader="none" w:pos="2148" w:val="left"/>
        </w:tabs>
        <w:numPr>
          <w:ilvl w:val="0"/>
          <w:numId w:val="96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In the event the other Party declines to participate in and share the funding of such activity (the “</w:t>
      </w:r>
      <w:r>
        <w:rPr>
          <w:rFonts w:ascii="Arial" w:cs="Arial" w:eastAsia="Arial" w:hAnsi="Arial"/>
          <w:sz w:val="14"/>
          <w:szCs w:val="14"/>
          <w:u w:val="single" w:color="auto"/>
          <w:color w:val="auto"/>
        </w:rPr>
        <w:t>Buy-In Party</w:t>
      </w:r>
      <w:r>
        <w:rPr>
          <w:rFonts w:ascii="Arial" w:cs="Arial" w:eastAsia="Arial" w:hAnsi="Arial"/>
          <w:sz w:val="14"/>
          <w:szCs w:val="14"/>
          <w:color w:val="auto"/>
        </w:rPr>
        <w:t>”), the submitting Party may proceed with the activities described in such Development Collaboration Proposal at its sole expense unless the other Party reasonably objects to the conduct of such activity as reasonably likely to result in a safety or public health issue that will have a material adverse effect in the Development or Commercialization of Program Antibodies and Licensed Product in its territory. Any disputes regarding whether an activity is reasonably likely to result in a safety or public health issue that will have a material adverse impact on the Development and/or Commercialization of Program Antibodies and Licensed Products in a Party’s territory shall be referred to the JRDC for a determination and resolved in accordance with Section 2.9; provided that neither Party shall have the right to exercise its final decision making authority pursuant to Section 2.9.3 with respect to such issue.</w:t>
      </w:r>
    </w:p>
    <w:p>
      <w:pPr>
        <w:spacing w:after="0" w:line="114" w:lineRule="exact"/>
        <w:rPr>
          <w:rFonts w:ascii="Arial" w:cs="Arial" w:eastAsia="Arial" w:hAnsi="Arial"/>
          <w:sz w:val="14"/>
          <w:szCs w:val="14"/>
          <w:color w:val="auto"/>
        </w:rPr>
      </w:pPr>
    </w:p>
    <w:p>
      <w:pPr>
        <w:ind w:right="60" w:firstLine="1952"/>
        <w:spacing w:after="0" w:line="258" w:lineRule="auto"/>
        <w:tabs>
          <w:tab w:leader="none" w:pos="2186" w:val="left"/>
        </w:tabs>
        <w:numPr>
          <w:ilvl w:val="0"/>
          <w:numId w:val="967"/>
        </w:numPr>
        <w:rPr>
          <w:rFonts w:ascii="Arial" w:cs="Arial" w:eastAsia="Arial" w:hAnsi="Arial"/>
          <w:sz w:val="14"/>
          <w:szCs w:val="14"/>
          <w:color w:val="auto"/>
        </w:rPr>
      </w:pPr>
      <w:r>
        <w:rPr>
          <w:rFonts w:ascii="Arial" w:cs="Arial" w:eastAsia="Arial" w:hAnsi="Arial"/>
          <w:sz w:val="14"/>
          <w:szCs w:val="14"/>
          <w:color w:val="auto"/>
        </w:rPr>
        <w:t>Once during each Calendar Quarter following the commencement of, and until the completion of, the activities described in the Development Collaboration Proposal, the Buy-In Party may request that the Party conducting such Development activity provide a summary of the current status of such Development activity, the Development Costs incurred to date, any significant milestones achieved and any topline initial results of such Development activity.</w:t>
      </w:r>
    </w:p>
    <w:p>
      <w:pPr>
        <w:spacing w:after="0" w:line="107" w:lineRule="exact"/>
        <w:rPr>
          <w:rFonts w:ascii="Arial" w:cs="Arial" w:eastAsia="Arial" w:hAnsi="Arial"/>
          <w:sz w:val="14"/>
          <w:szCs w:val="14"/>
          <w:color w:val="auto"/>
        </w:rPr>
      </w:pPr>
    </w:p>
    <w:p>
      <w:pPr>
        <w:ind w:right="20" w:firstLine="1952"/>
        <w:spacing w:after="0" w:line="300" w:lineRule="auto"/>
        <w:tabs>
          <w:tab w:leader="none" w:pos="2178" w:val="left"/>
        </w:tabs>
        <w:numPr>
          <w:ilvl w:val="0"/>
          <w:numId w:val="967"/>
        </w:numPr>
        <w:rPr>
          <w:rFonts w:ascii="Arial" w:cs="Arial" w:eastAsia="Arial" w:hAnsi="Arial"/>
          <w:sz w:val="12"/>
          <w:szCs w:val="12"/>
          <w:color w:val="auto"/>
        </w:rPr>
      </w:pPr>
      <w:r>
        <w:rPr>
          <w:rFonts w:ascii="Arial" w:cs="Arial" w:eastAsia="Arial" w:hAnsi="Arial"/>
          <w:sz w:val="12"/>
          <w:szCs w:val="12"/>
          <w:color w:val="auto"/>
        </w:rPr>
        <w:t xml:space="preserve">The Buy-In Party may obtain access to and use of the Excluded Data in accordance with the procedure described in this paragraph; provided that the Buy-In Party shall be provided access to Safety Data, at no cost, in accordance with the SDEA Agreement. At any time following the commencement of the activities described in the Development Collaboration Proposal, the Buy-In Party shall provide the other Party with written notice of its election to buy-in to such Development, and promptly thereafter the other Party shall provide the Buy-In Party with an invoice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cumulative Development Costs as well as the costs of clinical supply of the Program Antibody and/or Licensed Product used in connection with such Development incurred by a Party in the generation of such data as of the date of the Buy-In Party’s written request (the “</w:t>
      </w:r>
      <w:r>
        <w:rPr>
          <w:rFonts w:ascii="Arial" w:cs="Arial" w:eastAsia="Arial" w:hAnsi="Arial"/>
          <w:sz w:val="12"/>
          <w:szCs w:val="12"/>
          <w:u w:val="single" w:color="auto"/>
          <w:color w:val="auto"/>
        </w:rPr>
        <w:t>Buy-in Amount</w:t>
      </w:r>
      <w:r>
        <w:rPr>
          <w:rFonts w:ascii="Arial" w:cs="Arial" w:eastAsia="Arial" w:hAnsi="Arial"/>
          <w:sz w:val="12"/>
          <w:szCs w:val="12"/>
          <w:color w:val="auto"/>
        </w:rPr>
        <w:t xml:space="preserve">”), which invoice the Buy-In Party shall pay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Each Party shall thereafter share, in accordance with the allocation of costs set forth in Section 5.5.1(a), in the Development Costs incurred after the date of the Buy-In Party’s written request in connection with such Development activities under such Development Collaboration Proposal and the Global Development Plan shall be amended to include such Development activities.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5.4.3 </w:t>
      </w:r>
      <w:r>
        <w:rPr>
          <w:rFonts w:ascii="Arial" w:cs="Arial" w:eastAsia="Arial" w:hAnsi="Arial"/>
          <w:sz w:val="14"/>
          <w:szCs w:val="14"/>
          <w:u w:val="single" w:color="auto"/>
          <w:color w:val="auto"/>
        </w:rPr>
        <w:t>Unilateral Development Costs and Manufacturing Process Development Costs</w:t>
      </w:r>
      <w:r>
        <w:rPr>
          <w:rFonts w:ascii="Arial" w:cs="Arial" w:eastAsia="Arial" w:hAnsi="Arial"/>
          <w:sz w:val="14"/>
          <w:szCs w:val="14"/>
          <w:color w:val="auto"/>
        </w:rPr>
        <w:t>.</w:t>
      </w:r>
    </w:p>
    <w:p>
      <w:pPr>
        <w:spacing w:after="0" w:line="132" w:lineRule="exact"/>
        <w:rPr>
          <w:sz w:val="20"/>
          <w:szCs w:val="20"/>
          <w:color w:val="auto"/>
        </w:rPr>
      </w:pPr>
    </w:p>
    <w:p>
      <w:pPr>
        <w:ind w:right="140" w:firstLine="1493"/>
        <w:spacing w:after="0" w:line="321" w:lineRule="auto"/>
        <w:tabs>
          <w:tab w:leader="none" w:pos="1675" w:val="left"/>
        </w:tabs>
        <w:numPr>
          <w:ilvl w:val="0"/>
          <w:numId w:val="968"/>
        </w:numPr>
        <w:rPr>
          <w:rFonts w:ascii="Arial" w:cs="Arial" w:eastAsia="Arial" w:hAnsi="Arial"/>
          <w:sz w:val="12"/>
          <w:szCs w:val="12"/>
          <w:color w:val="auto"/>
        </w:rPr>
      </w:pPr>
      <w:r>
        <w:rPr>
          <w:rFonts w:ascii="Arial" w:cs="Arial" w:eastAsia="Arial" w:hAnsi="Arial"/>
          <w:sz w:val="12"/>
          <w:szCs w:val="12"/>
          <w:u w:val="single" w:color="auto"/>
          <w:color w:val="auto"/>
        </w:rPr>
        <w:t>Servier Territory Exclusive Development Activities</w:t>
      </w:r>
      <w:r>
        <w:rPr>
          <w:rFonts w:ascii="Arial" w:cs="Arial" w:eastAsia="Arial" w:hAnsi="Arial"/>
          <w:sz w:val="12"/>
          <w:szCs w:val="12"/>
          <w:color w:val="auto"/>
        </w:rPr>
        <w:t xml:space="preserve">. Except as provided in Section 5.5 and for Development activities conducted by a Party at its own expense pursuant to Section 5.4.2(b)(ii), Servier shall be responsible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all Development Costs (whether incurred by Servier or MacroGenics (if the activities and their cost are agreed to in advance in writing by Servier) or their respective Affiliates) set forth in the applicable Development Budget with respect to any Development activities that are conducted for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6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817" w:name="page818"/>
    <w:bookmarkEnd w:id="817"/>
    <w:p>
      <w:pPr>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primary purpose of obtaining or maintaining Regulatory Approval for Licensed Products in the Field in any country or other regulatory jurisdiction in the Servier Territory. Servier shall disclose to MacroGenics a summary of efficacy results and detailed safety information Controlled by Servier and generated in the course of such Development activities within *** after the completion of such activities, subject to the pharmacovigilence provision under Section 6.5. MacroGenics may obtain access to and use Servier’s data (other than Safety Data which shall in all cases be exchanged, at no cost, in accordance with the SDEA) obtained in such exclusive development activities if MacroGenics provides Servier with written notice of its election to buy-in such Development, and promptly thereafter Servier shall provide MacroGenics with an invoice for *** of the cumulative Development Costs as well as the costs *** in connection with such Development incurred by Servier in the generation of such data as of the date of MacroGenics written request, which invoice MacroGenics shall pay within *** after receipt.</w:t>
      </w:r>
    </w:p>
    <w:p>
      <w:pPr>
        <w:spacing w:after="0" w:line="86" w:lineRule="exact"/>
        <w:rPr>
          <w:sz w:val="20"/>
          <w:szCs w:val="20"/>
          <w:color w:val="auto"/>
        </w:rPr>
      </w:pPr>
    </w:p>
    <w:p>
      <w:pPr>
        <w:ind w:right="40" w:firstLine="1493"/>
        <w:spacing w:after="0" w:line="299" w:lineRule="auto"/>
        <w:tabs>
          <w:tab w:leader="none" w:pos="1682" w:val="left"/>
        </w:tabs>
        <w:numPr>
          <w:ilvl w:val="0"/>
          <w:numId w:val="970"/>
        </w:numPr>
        <w:rPr>
          <w:rFonts w:ascii="Arial" w:cs="Arial" w:eastAsia="Arial" w:hAnsi="Arial"/>
          <w:sz w:val="12"/>
          <w:szCs w:val="12"/>
          <w:color w:val="auto"/>
        </w:rPr>
      </w:pPr>
      <w:r>
        <w:rPr>
          <w:rFonts w:ascii="Arial" w:cs="Arial" w:eastAsia="Arial" w:hAnsi="Arial"/>
          <w:sz w:val="12"/>
          <w:szCs w:val="12"/>
          <w:u w:val="single" w:color="auto"/>
          <w:color w:val="auto"/>
        </w:rPr>
        <w:t>MacroGenics Territory Exclusive Development Activities</w:t>
      </w:r>
      <w:r>
        <w:rPr>
          <w:rFonts w:ascii="Arial" w:cs="Arial" w:eastAsia="Arial" w:hAnsi="Arial"/>
          <w:sz w:val="12"/>
          <w:szCs w:val="12"/>
          <w:color w:val="auto"/>
        </w:rPr>
        <w:t xml:space="preserve">. Except as provided in Section 5.5 and for Development activities conducted by a Party at its own expense pursuant to Section 5.4.2(b)(ii), MacroGenics shall be responsible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all Development Costs (whether incurred by Servier (if the activities and their costs are agreed to in advance in writing by MacroGenics) or MacroGenics or their respective Affiliates) set forth in the applicable Development Budget with respect to any Development activities that are conducted for the primary purpose of obtaining or maintaining Regulatory Approval for Licensed Products in the Field in any country or other regulatory jurisdiction in the MacroGenics Territory. MacroGenics shall disclose to Servier a summary of efficacy results and detailed safety information Controlled by Servier and generated in the course of such Development activities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completion of such activities, subject to the pharmacovigilence provision under Section 6.5. Servier may obtain access to and use MacroGenics’ data (other than Safety Data which shall in all cases be exchanged, at no cost, in accordance with the SDEA) obtained in such exclusive Development activities if Servier provides MacroGenics with written notice of its election to buy-in such Development, and promptly thereafter MacroGenics shall provide Servier with an invoice for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cumulative Development Costs as well as the costs *** in connection with such Development incurred by MacroGenics in the generation of such data as of the date of Servier written request, which invoice Servier shall pay within *** after receipt.</w:t>
      </w:r>
    </w:p>
    <w:p>
      <w:pPr>
        <w:spacing w:after="0" w:line="252" w:lineRule="exact"/>
        <w:rPr>
          <w:rFonts w:ascii="Arial" w:cs="Arial" w:eastAsia="Arial" w:hAnsi="Arial"/>
          <w:sz w:val="12"/>
          <w:szCs w:val="12"/>
          <w:color w:val="auto"/>
        </w:rPr>
      </w:pPr>
    </w:p>
    <w:p>
      <w:pPr>
        <w:ind w:left="1680" w:hanging="187"/>
        <w:spacing w:after="0"/>
        <w:tabs>
          <w:tab w:leader="none" w:pos="1680" w:val="left"/>
        </w:tabs>
        <w:numPr>
          <w:ilvl w:val="0"/>
          <w:numId w:val="970"/>
        </w:numPr>
        <w:rPr>
          <w:rFonts w:ascii="Arial" w:cs="Arial" w:eastAsia="Arial" w:hAnsi="Arial"/>
          <w:sz w:val="14"/>
          <w:szCs w:val="14"/>
          <w:color w:val="auto"/>
        </w:rPr>
      </w:pPr>
      <w:r>
        <w:rPr>
          <w:rFonts w:ascii="Arial" w:cs="Arial" w:eastAsia="Arial" w:hAnsi="Arial"/>
          <w:sz w:val="14"/>
          <w:szCs w:val="14"/>
          <w:u w:val="single" w:color="auto"/>
          <w:color w:val="auto"/>
        </w:rPr>
        <w:t>Servier</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Funding</w:t>
      </w:r>
      <w:r>
        <w:rPr>
          <w:rFonts w:ascii="Arial" w:cs="Arial" w:eastAsia="Arial" w:hAnsi="Arial"/>
          <w:sz w:val="14"/>
          <w:szCs w:val="14"/>
          <w:color w:val="auto"/>
        </w:rPr>
        <w:t xml:space="preserve">. Servier shall reimburse MacroGenics for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right="200" w:firstLine="1493"/>
        <w:spacing w:after="0" w:line="270" w:lineRule="auto"/>
        <w:tabs>
          <w:tab w:leader="none" w:pos="1682" w:val="left"/>
        </w:tabs>
        <w:numPr>
          <w:ilvl w:val="0"/>
          <w:numId w:val="970"/>
        </w:numPr>
        <w:rPr>
          <w:rFonts w:ascii="Arial" w:cs="Arial" w:eastAsia="Arial" w:hAnsi="Arial"/>
          <w:sz w:val="14"/>
          <w:szCs w:val="14"/>
          <w:color w:val="auto"/>
        </w:rPr>
      </w:pPr>
      <w:r>
        <w:rPr>
          <w:rFonts w:ascii="Arial" w:cs="Arial" w:eastAsia="Arial" w:hAnsi="Arial"/>
          <w:sz w:val="14"/>
          <w:szCs w:val="14"/>
          <w:u w:val="single" w:color="auto"/>
          <w:color w:val="auto"/>
        </w:rPr>
        <w:t>Manufacturing Process Development Costs.</w:t>
      </w:r>
      <w:r>
        <w:rPr>
          <w:rFonts w:ascii="Arial" w:cs="Arial" w:eastAsia="Arial" w:hAnsi="Arial"/>
          <w:sz w:val="14"/>
          <w:szCs w:val="14"/>
          <w:color w:val="auto"/>
        </w:rPr>
        <w:t xml:space="preserve"> Servier and MacroGenics shall each be responsible for </w:t>
      </w:r>
      <w:r>
        <w:rPr>
          <w:rFonts w:ascii="Arial" w:cs="Arial" w:eastAsia="Arial" w:hAnsi="Arial"/>
          <w:sz w:val="14"/>
          <w:szCs w:val="14"/>
          <w:b w:val="1"/>
          <w:bCs w:val="1"/>
          <w:color w:val="auto"/>
        </w:rPr>
        <w:t>***</w:t>
      </w:r>
      <w:r>
        <w:rPr>
          <w:rFonts w:ascii="Arial" w:cs="Arial" w:eastAsia="Arial" w:hAnsi="Arial"/>
          <w:sz w:val="14"/>
          <w:szCs w:val="14"/>
          <w:color w:val="auto"/>
        </w:rPr>
        <w:t xml:space="preserve"> of each Manufacturing Process Development Cost provided the activity which resulted in such cost was conducted under the Global Development Plan.</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7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6" w:right="239" w:bottom="1440" w:gutter="0" w:footer="0" w:header="0"/>
        </w:sectPr>
      </w:pPr>
    </w:p>
    <w:bookmarkStart w:id="818" w:name="page819"/>
    <w:bookmarkEnd w:id="818"/>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5.5 </w:t>
      </w:r>
      <w:r>
        <w:rPr>
          <w:rFonts w:ascii="Arial" w:cs="Arial" w:eastAsia="Arial" w:hAnsi="Arial"/>
          <w:sz w:val="14"/>
          <w:szCs w:val="14"/>
          <w:u w:val="single" w:color="auto"/>
          <w:color w:val="auto"/>
        </w:rPr>
        <w:t>Development Activities</w:t>
      </w:r>
      <w:r>
        <w:rPr>
          <w:rFonts w:ascii="Arial" w:cs="Arial" w:eastAsia="Arial" w:hAnsi="Arial"/>
          <w:sz w:val="14"/>
          <w:szCs w:val="14"/>
          <w:color w:val="auto"/>
        </w:rPr>
        <w:t>.</w:t>
      </w:r>
    </w:p>
    <w:p>
      <w:pPr>
        <w:spacing w:after="0" w:line="69"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5.5.1 Except for Development activities conducted by a Party at its own expense pursuant to Section 5.4.2(b)(ii), with respect to any Development activities conducted for the primary purpose of obtaining or maintaining Regulatory Approval for Licensed Products both in the Servier Territory and in the MacroGenics Territory (including Development activities with respect to which a Party has paid the Buy-in Amount in accordance with Section 5.4.2(b)(iv)) pursuant to the Development Plan:</w:t>
      </w:r>
    </w:p>
    <w:p>
      <w:pPr>
        <w:spacing w:after="0" w:line="108" w:lineRule="exact"/>
        <w:rPr>
          <w:sz w:val="20"/>
          <w:szCs w:val="20"/>
          <w:color w:val="auto"/>
        </w:rPr>
      </w:pPr>
    </w:p>
    <w:p>
      <w:pPr>
        <w:ind w:right="180" w:firstLine="1493"/>
        <w:spacing w:after="0" w:line="255" w:lineRule="auto"/>
        <w:tabs>
          <w:tab w:leader="none" w:pos="1675" w:val="left"/>
        </w:tabs>
        <w:numPr>
          <w:ilvl w:val="0"/>
          <w:numId w:val="972"/>
        </w:numPr>
        <w:rPr>
          <w:rFonts w:ascii="Arial" w:cs="Arial" w:eastAsia="Arial" w:hAnsi="Arial"/>
          <w:sz w:val="14"/>
          <w:szCs w:val="14"/>
          <w:color w:val="auto"/>
        </w:rPr>
      </w:pPr>
      <w:r>
        <w:rPr>
          <w:rFonts w:ascii="Arial" w:cs="Arial" w:eastAsia="Arial" w:hAnsi="Arial"/>
          <w:sz w:val="14"/>
          <w:szCs w:val="14"/>
          <w:color w:val="auto"/>
        </w:rPr>
        <w:t>subject to Section 5.5.2, Servier shall be responsible for *** and MacroGenics shall be responsible for *** of all Development Costs as well as the costs of clinical supply of the Program Antibody and/or Licensed Product used in connection with such Development (in each case, whether incurred by Servier or MacroGenics or their respective Affiliates). For purposes of clarity, MacroGenics may seek reimbursement from Servier under Section 5.4.3(c) to apply to Development Costs for which MacroGenics is responsible under this Section 5.5.1(a) to the extent such Development Costs are for Phase 2 Clinical Trials;</w:t>
      </w:r>
    </w:p>
    <w:p>
      <w:pPr>
        <w:spacing w:after="0" w:line="109" w:lineRule="exact"/>
        <w:rPr>
          <w:rFonts w:ascii="Arial" w:cs="Arial" w:eastAsia="Arial" w:hAnsi="Arial"/>
          <w:sz w:val="14"/>
          <w:szCs w:val="14"/>
          <w:color w:val="auto"/>
        </w:rPr>
      </w:pPr>
    </w:p>
    <w:p>
      <w:pPr>
        <w:ind w:right="280" w:firstLine="1493"/>
        <w:spacing w:after="0" w:line="267" w:lineRule="auto"/>
        <w:tabs>
          <w:tab w:leader="none" w:pos="1682" w:val="left"/>
        </w:tabs>
        <w:numPr>
          <w:ilvl w:val="0"/>
          <w:numId w:val="972"/>
        </w:numPr>
        <w:rPr>
          <w:rFonts w:ascii="Arial" w:cs="Arial" w:eastAsia="Arial" w:hAnsi="Arial"/>
          <w:sz w:val="14"/>
          <w:szCs w:val="14"/>
          <w:color w:val="auto"/>
        </w:rPr>
      </w:pPr>
      <w:r>
        <w:rPr>
          <w:rFonts w:ascii="Arial" w:cs="Arial" w:eastAsia="Arial" w:hAnsi="Arial"/>
          <w:sz w:val="14"/>
          <w:szCs w:val="14"/>
          <w:color w:val="auto"/>
        </w:rPr>
        <w:t>each Party shall disclose to the other Party all clinical data and related Regulatory Documentation Controlled by such Party and generated in the course of such Manufacturing process development activities and Development activities within ***;</w:t>
      </w:r>
    </w:p>
    <w:p>
      <w:pPr>
        <w:spacing w:after="0" w:line="101" w:lineRule="exact"/>
        <w:rPr>
          <w:rFonts w:ascii="Arial" w:cs="Arial" w:eastAsia="Arial" w:hAnsi="Arial"/>
          <w:sz w:val="14"/>
          <w:szCs w:val="14"/>
          <w:color w:val="auto"/>
        </w:rPr>
      </w:pPr>
    </w:p>
    <w:p>
      <w:pPr>
        <w:jc w:val="both"/>
        <w:ind w:right="100" w:firstLine="1493"/>
        <w:spacing w:after="0" w:line="258" w:lineRule="auto"/>
        <w:tabs>
          <w:tab w:leader="none" w:pos="1675" w:val="left"/>
        </w:tabs>
        <w:numPr>
          <w:ilvl w:val="0"/>
          <w:numId w:val="972"/>
        </w:numPr>
        <w:rPr>
          <w:rFonts w:ascii="Arial" w:cs="Arial" w:eastAsia="Arial" w:hAnsi="Arial"/>
          <w:sz w:val="14"/>
          <w:szCs w:val="14"/>
          <w:color w:val="auto"/>
        </w:rPr>
      </w:pPr>
      <w:r>
        <w:rPr>
          <w:rFonts w:ascii="Arial" w:cs="Arial" w:eastAsia="Arial" w:hAnsi="Arial"/>
          <w:sz w:val="14"/>
          <w:szCs w:val="14"/>
          <w:color w:val="auto"/>
        </w:rPr>
        <w:t>each Party shall have the right to use all clinical data and related Regulatory Documentation Controlled by either Party and generated in the course of such Manufacturing process development activities and Development activities in order to Develop, obtain Regulatory Approval for and Commercialize Licensed Products in the Field in such Party’s territory, in accordance with the terms of this Agreement; and</w:t>
      </w:r>
    </w:p>
    <w:p>
      <w:pPr>
        <w:spacing w:after="0" w:line="107" w:lineRule="exact"/>
        <w:rPr>
          <w:rFonts w:ascii="Arial" w:cs="Arial" w:eastAsia="Arial" w:hAnsi="Arial"/>
          <w:sz w:val="14"/>
          <w:szCs w:val="14"/>
          <w:color w:val="auto"/>
        </w:rPr>
      </w:pPr>
    </w:p>
    <w:p>
      <w:pPr>
        <w:ind w:right="180" w:firstLine="1493"/>
        <w:spacing w:after="0" w:line="267" w:lineRule="auto"/>
        <w:tabs>
          <w:tab w:leader="none" w:pos="1682" w:val="left"/>
        </w:tabs>
        <w:numPr>
          <w:ilvl w:val="0"/>
          <w:numId w:val="972"/>
        </w:numPr>
        <w:rPr>
          <w:rFonts w:ascii="Arial" w:cs="Arial" w:eastAsia="Arial" w:hAnsi="Arial"/>
          <w:sz w:val="14"/>
          <w:szCs w:val="14"/>
          <w:color w:val="auto"/>
        </w:rPr>
      </w:pPr>
      <w:r>
        <w:rPr>
          <w:rFonts w:ascii="Arial" w:cs="Arial" w:eastAsia="Arial" w:hAnsi="Arial"/>
          <w:sz w:val="14"/>
          <w:szCs w:val="14"/>
          <w:color w:val="auto"/>
        </w:rPr>
        <w:t>each Party hereby grants to the other Party a Right of Reference or Use to any and all such Regulatory Documentation with respect to Licensed Products in the Field in the other Party’s territory, and agrees to sign, and cause its Affiliates to sign, any instruments reasonably requested by such other Party in order to effect such grant.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5.5.2 </w:t>
      </w:r>
      <w:r>
        <w:rPr>
          <w:rFonts w:ascii="Arial" w:cs="Arial" w:eastAsia="Arial" w:hAnsi="Arial"/>
          <w:sz w:val="14"/>
          <w:szCs w:val="14"/>
          <w:u w:val="single" w:color="auto"/>
          <w:color w:val="auto"/>
        </w:rPr>
        <w:t>Development Costs Budget and Timeline Overruns</w:t>
      </w:r>
      <w:r>
        <w:rPr>
          <w:rFonts w:ascii="Arial" w:cs="Arial" w:eastAsia="Arial" w:hAnsi="Arial"/>
          <w:sz w:val="14"/>
          <w:szCs w:val="14"/>
          <w:color w:val="auto"/>
        </w:rPr>
        <w:t>.</w:t>
      </w:r>
    </w:p>
    <w:p>
      <w:pPr>
        <w:spacing w:after="0" w:line="69" w:lineRule="exact"/>
        <w:rPr>
          <w:sz w:val="20"/>
          <w:szCs w:val="20"/>
          <w:color w:val="auto"/>
        </w:rPr>
      </w:pPr>
    </w:p>
    <w:p>
      <w:pPr>
        <w:ind w:right="40" w:firstLine="1493"/>
        <w:spacing w:after="0" w:line="299" w:lineRule="auto"/>
        <w:tabs>
          <w:tab w:leader="none" w:pos="1675" w:val="left"/>
        </w:tabs>
        <w:numPr>
          <w:ilvl w:val="0"/>
          <w:numId w:val="973"/>
        </w:numPr>
        <w:rPr>
          <w:rFonts w:ascii="Arial" w:cs="Arial" w:eastAsia="Arial" w:hAnsi="Arial"/>
          <w:sz w:val="12"/>
          <w:szCs w:val="12"/>
          <w:color w:val="auto"/>
        </w:rPr>
      </w:pPr>
      <w:r>
        <w:rPr>
          <w:rFonts w:ascii="Arial" w:cs="Arial" w:eastAsia="Arial" w:hAnsi="Arial"/>
          <w:sz w:val="12"/>
          <w:szCs w:val="12"/>
          <w:u w:val="single" w:color="auto"/>
          <w:color w:val="auto"/>
        </w:rPr>
        <w:t>Budget Overruns</w:t>
      </w:r>
      <w:r>
        <w:rPr>
          <w:rFonts w:ascii="Arial" w:cs="Arial" w:eastAsia="Arial" w:hAnsi="Arial"/>
          <w:sz w:val="12"/>
          <w:szCs w:val="12"/>
          <w:color w:val="auto"/>
        </w:rPr>
        <w:t>. With respect to any Development Costs which, pursuant to this Agreement and/or a Global Development Plan or an approved Development Collaboration Proposal, are meant to be allocated between the Parties (rather than one Party being solely responsible for such Development Costs), each Party shall promptly inform the other Party upon determining that it is likely to exceed the budget amounts set forth in the annual Development Budget for the activities such Party is responsible for under the Global Development Plan. To the extent that a Party (or its Affiliates or Sublicensees) incurs Development Costs for the activities such Party is responsible for under the Global Development Plan for a particular Calendar Year which on an aggregate basis for that year exceed the Development Costs allocated for such activity in the initial Development Budget that includes such activity (the “</w:t>
      </w:r>
      <w:r>
        <w:rPr>
          <w:rFonts w:ascii="Arial" w:cs="Arial" w:eastAsia="Arial" w:hAnsi="Arial"/>
          <w:sz w:val="12"/>
          <w:szCs w:val="12"/>
          <w:u w:val="single" w:color="auto"/>
          <w:color w:val="auto"/>
        </w:rPr>
        <w:t>Initial Development Budget</w:t>
      </w:r>
      <w:r>
        <w:rPr>
          <w:rFonts w:ascii="Arial" w:cs="Arial" w:eastAsia="Arial" w:hAnsi="Arial"/>
          <w:sz w:val="12"/>
          <w:szCs w:val="12"/>
          <w:color w:val="auto"/>
        </w:rPr>
        <w:t xml:space="preserve">”) by </w:t>
      </w:r>
      <w:r>
        <w:rPr>
          <w:rFonts w:ascii="Arial" w:cs="Arial" w:eastAsia="Arial" w:hAnsi="Arial"/>
          <w:sz w:val="12"/>
          <w:szCs w:val="12"/>
          <w:b w:val="1"/>
          <w:bCs w:val="1"/>
          <w:color w:val="auto"/>
        </w:rPr>
        <w:t>***</w:t>
      </w:r>
      <w:r>
        <w:rPr>
          <w:rFonts w:ascii="Arial" w:cs="Arial" w:eastAsia="Arial" w:hAnsi="Arial"/>
          <w:sz w:val="12"/>
          <w:szCs w:val="12"/>
          <w:color w:val="auto"/>
        </w:rPr>
        <w:t xml:space="preserve"> or less (a “</w:t>
      </w:r>
      <w:r>
        <w:rPr>
          <w:rFonts w:ascii="Arial" w:cs="Arial" w:eastAsia="Arial" w:hAnsi="Arial"/>
          <w:sz w:val="12"/>
          <w:szCs w:val="12"/>
          <w:u w:val="single" w:color="auto"/>
          <w:color w:val="auto"/>
        </w:rPr>
        <w:t>De Minimis Overage Amount</w:t>
      </w:r>
      <w:r>
        <w:rPr>
          <w:rFonts w:ascii="Arial" w:cs="Arial" w:eastAsia="Arial" w:hAnsi="Arial"/>
          <w:sz w:val="12"/>
          <w:szCs w:val="12"/>
          <w:color w:val="auto"/>
        </w:rPr>
        <w:t xml:space="preserve">”), then such De Minimis Overage Amount shall automatically be included in the Development Budget for such year. However, to the extent that a Party (or its Affiliates or Sublicensees) incurs Development Costs for the activities such Party is responsible for under the Development Plan for a particular Calendar Year which on an aggregate basis for that year exceed the Development Costs allocated for such activity in the Initial Development Budget by more than </w:t>
      </w:r>
      <w:r>
        <w:rPr>
          <w:rFonts w:ascii="Arial" w:cs="Arial" w:eastAsia="Arial" w:hAnsi="Arial"/>
          <w:sz w:val="12"/>
          <w:szCs w:val="12"/>
          <w:b w:val="1"/>
          <w:bCs w:val="1"/>
          <w:color w:val="auto"/>
        </w:rPr>
        <w:t>***</w:t>
      </w:r>
      <w:r>
        <w:rPr>
          <w:rFonts w:ascii="Arial" w:cs="Arial" w:eastAsia="Arial" w:hAnsi="Arial"/>
          <w:sz w:val="12"/>
          <w:szCs w:val="12"/>
          <w:color w:val="auto"/>
        </w:rPr>
        <w:t>, the “</w:t>
      </w:r>
      <w:r>
        <w:rPr>
          <w:rFonts w:ascii="Arial" w:cs="Arial" w:eastAsia="Arial" w:hAnsi="Arial"/>
          <w:sz w:val="12"/>
          <w:szCs w:val="12"/>
          <w:u w:val="single" w:color="auto"/>
          <w:color w:val="auto"/>
        </w:rPr>
        <w:t>Excess Overage Amount</w:t>
      </w:r>
      <w:r>
        <w:rPr>
          <w:rFonts w:ascii="Arial" w:cs="Arial" w:eastAsia="Arial" w:hAnsi="Arial"/>
          <w:sz w:val="12"/>
          <w:szCs w:val="12"/>
          <w:color w:val="auto"/>
        </w:rPr>
        <w:t>”), the Party that has so exceeded its budget shall</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7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819" w:name="page820"/>
    <w:bookmarkEnd w:id="819"/>
    <w:p>
      <w:pPr>
        <w:ind w:right="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provide to the JRDC a full explanation for so exceeding its budget and such Excess Overage Amount shall only be included in the Development Budget to the extent that the JRDC agrees to allow some or all of the Excess Overage Amount to be included in the Development Budget as it considers equitable under the circumstances. To the extent that the JRDC does not agree to treat the Excess Overage Amount as Development Costs, the Party that has exceeded its budget shall be solely responsible for the Excess Overage Amount.</w:t>
      </w:r>
    </w:p>
    <w:p>
      <w:pPr>
        <w:spacing w:after="0" w:line="108" w:lineRule="exact"/>
        <w:rPr>
          <w:sz w:val="20"/>
          <w:szCs w:val="20"/>
          <w:color w:val="auto"/>
        </w:rPr>
      </w:pPr>
    </w:p>
    <w:p>
      <w:pPr>
        <w:ind w:firstLine="1493"/>
        <w:spacing w:after="0" w:line="258" w:lineRule="auto"/>
        <w:tabs>
          <w:tab w:leader="none" w:pos="1682" w:val="left"/>
        </w:tabs>
        <w:numPr>
          <w:ilvl w:val="0"/>
          <w:numId w:val="975"/>
        </w:numPr>
        <w:rPr>
          <w:rFonts w:ascii="Arial" w:cs="Arial" w:eastAsia="Arial" w:hAnsi="Arial"/>
          <w:sz w:val="14"/>
          <w:szCs w:val="14"/>
          <w:color w:val="auto"/>
        </w:rPr>
      </w:pPr>
      <w:r>
        <w:rPr>
          <w:rFonts w:ascii="Arial" w:cs="Arial" w:eastAsia="Arial" w:hAnsi="Arial"/>
          <w:sz w:val="14"/>
          <w:szCs w:val="14"/>
          <w:u w:val="single" w:color="auto"/>
          <w:color w:val="auto"/>
        </w:rPr>
        <w:t>Timeline Overruns</w:t>
      </w:r>
      <w:r>
        <w:rPr>
          <w:rFonts w:ascii="Arial" w:cs="Arial" w:eastAsia="Arial" w:hAnsi="Arial"/>
          <w:sz w:val="14"/>
          <w:szCs w:val="14"/>
          <w:color w:val="auto"/>
        </w:rPr>
        <w:t xml:space="preserve">. Each Party shall promptly inform the other Party upon determining that it is likely to miss a Development date set forth in the Global Development Plan. To the extent that a Party (or its Affiliates) misses such a date by </w:t>
      </w:r>
      <w:r>
        <w:rPr>
          <w:rFonts w:ascii="Arial" w:cs="Arial" w:eastAsia="Arial" w:hAnsi="Arial"/>
          <w:sz w:val="14"/>
          <w:szCs w:val="14"/>
          <w:b w:val="1"/>
          <w:bCs w:val="1"/>
          <w:color w:val="auto"/>
        </w:rPr>
        <w:t>***</w:t>
      </w:r>
      <w:r>
        <w:rPr>
          <w:rFonts w:ascii="Arial" w:cs="Arial" w:eastAsia="Arial" w:hAnsi="Arial"/>
          <w:sz w:val="14"/>
          <w:szCs w:val="14"/>
          <w:color w:val="auto"/>
        </w:rPr>
        <w:t xml:space="preserve"> or more, the Party that has experienced such Development timeline failure shall provide to the JRDC a full explanation for such Development timeline failure. Such notification shall not serve to excuse a Party from its diligence or other obligations under this Agreement.</w:t>
      </w:r>
    </w:p>
    <w:p>
      <w:pPr>
        <w:spacing w:after="0" w:line="105" w:lineRule="exact"/>
        <w:rPr>
          <w:rFonts w:ascii="Arial" w:cs="Arial" w:eastAsia="Arial" w:hAnsi="Arial"/>
          <w:sz w:val="14"/>
          <w:szCs w:val="14"/>
          <w:color w:val="auto"/>
        </w:rPr>
      </w:pPr>
    </w:p>
    <w:p>
      <w:pPr>
        <w:ind w:right="20" w:firstLine="1493"/>
        <w:spacing w:after="0" w:line="297" w:lineRule="auto"/>
        <w:tabs>
          <w:tab w:leader="none" w:pos="1675" w:val="left"/>
        </w:tabs>
        <w:numPr>
          <w:ilvl w:val="0"/>
          <w:numId w:val="975"/>
        </w:numPr>
        <w:rPr>
          <w:rFonts w:ascii="Arial" w:cs="Arial" w:eastAsia="Arial" w:hAnsi="Arial"/>
          <w:sz w:val="12"/>
          <w:szCs w:val="12"/>
          <w:color w:val="auto"/>
        </w:rPr>
      </w:pPr>
      <w:r>
        <w:rPr>
          <w:rFonts w:ascii="Arial" w:cs="Arial" w:eastAsia="Arial" w:hAnsi="Arial"/>
          <w:sz w:val="12"/>
          <w:szCs w:val="12"/>
          <w:u w:val="single" w:color="auto"/>
          <w:color w:val="auto"/>
        </w:rPr>
        <w:t>Reconciliation</w:t>
      </w:r>
      <w:r>
        <w:rPr>
          <w:rFonts w:ascii="Arial" w:cs="Arial" w:eastAsia="Arial" w:hAnsi="Arial"/>
          <w:sz w:val="12"/>
          <w:szCs w:val="12"/>
          <w:color w:val="auto"/>
        </w:rPr>
        <w:t xml:space="preserv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end of each Calendar Quarter beginning with the License Grant Date, each Party shall prepare and deliver to the other Party a quarterly report detailing its Development Costs and Manufacturing Process Development Costs incurred during such period, with each Party reporting on all Development Costs incurred with respect to Development Collaboration Proposals. Each Party shall submit any additional information reasonably requested by the other Party related to the Development Costs and Manufacturing Process Development Costs included in its report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of its receipt of such request.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receipt of the report delivered by Servier pursuant to this Section 5.5.2(c), MacroGenics shall prepare and deliver to Servier a composite report that (i) summarizes the Development Costs and Manufacturing Process Development Costs incurred by each Party for such Calendar Quarter; (ii) applies the percentage of such costs for which each Party is responsible for the total Development Costs and Manufacturing Process Development Costs attributable to the Development and Manufacturing activities for such Calendar Quarter pursuant to Sections 5.4.3 and 5.5.1; and (iii) computes the amount due to MacroGenics or Servier, as applicable, for such Calendar Quarter in order for the Parties to share the total Development Costs and Manufacturing Process Development Costs for such quarter based on the Development Plan and the principles set forth in Sections 5.4.3 and 5.5.1 (each, a “</w:t>
      </w:r>
      <w:r>
        <w:rPr>
          <w:rFonts w:ascii="Arial" w:cs="Arial" w:eastAsia="Arial" w:hAnsi="Arial"/>
          <w:sz w:val="12"/>
          <w:szCs w:val="12"/>
          <w:u w:val="single" w:color="auto"/>
          <w:color w:val="auto"/>
        </w:rPr>
        <w:t>Reconciliation Payment</w:t>
      </w:r>
      <w:r>
        <w:rPr>
          <w:rFonts w:ascii="Arial" w:cs="Arial" w:eastAsia="Arial" w:hAnsi="Arial"/>
          <w:sz w:val="12"/>
          <w:szCs w:val="12"/>
          <w:color w:val="auto"/>
        </w:rPr>
        <w:t xml:space="preserve">”). The Party to whom a Reconciliation Payment is due shall issue an invoice to the other Party for the Reconciliation Payment, and such other Party shall pay all undisputed amounts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its receipt of the invoice. Each Party shall have the right to audit the records of the other Party with respect to any Development Costs and Manufacturing Process Development Costs included in such reports, in accordance with Section 9.10.</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Exchange of Data</w:t>
      </w:r>
      <w:r>
        <w:rPr>
          <w:rFonts w:ascii="Arial" w:cs="Arial" w:eastAsia="Arial" w:hAnsi="Arial"/>
          <w:sz w:val="14"/>
          <w:szCs w:val="14"/>
          <w:color w:val="auto"/>
        </w:rPr>
        <w:t>. During the License Term, the following shall apply:</w:t>
      </w:r>
    </w:p>
    <w:p>
      <w:pPr>
        <w:spacing w:after="0" w:line="132" w:lineRule="exact"/>
        <w:rPr>
          <w:sz w:val="20"/>
          <w:szCs w:val="20"/>
          <w:color w:val="auto"/>
        </w:rPr>
      </w:pPr>
    </w:p>
    <w:p>
      <w:pPr>
        <w:jc w:val="both"/>
        <w:ind w:firstLine="917"/>
        <w:spacing w:after="0" w:line="258" w:lineRule="auto"/>
        <w:rPr>
          <w:sz w:val="20"/>
          <w:szCs w:val="20"/>
          <w:color w:val="auto"/>
        </w:rPr>
      </w:pPr>
      <w:r>
        <w:rPr>
          <w:rFonts w:ascii="Arial" w:cs="Arial" w:eastAsia="Arial" w:hAnsi="Arial"/>
          <w:sz w:val="14"/>
          <w:szCs w:val="14"/>
          <w:color w:val="auto"/>
        </w:rPr>
        <w:t xml:space="preserve">5.6.1 </w:t>
      </w:r>
      <w:r>
        <w:rPr>
          <w:rFonts w:ascii="Arial" w:cs="Arial" w:eastAsia="Arial" w:hAnsi="Arial"/>
          <w:sz w:val="14"/>
          <w:szCs w:val="14"/>
          <w:u w:val="single" w:color="auto"/>
          <w:color w:val="auto"/>
        </w:rPr>
        <w:t>Initial Exchange of Data</w:t>
      </w:r>
      <w:r>
        <w:rPr>
          <w:rFonts w:ascii="Arial" w:cs="Arial" w:eastAsia="Arial" w:hAnsi="Arial"/>
          <w:sz w:val="14"/>
          <w:szCs w:val="14"/>
          <w:color w:val="auto"/>
        </w:rPr>
        <w:t>. Promptly after the License Grant Date, MacroGenics shall transfer to Servier the MacroGenics Know-How related to Program Antibodies and Licensed Products (other than the MacroGenics Know-How related directly and solely to Manufacturing). Such transfer shall occur in a manner and following a reasonable schedule to be established by the JSC. MacroGenics shall provide Servier with copies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7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820" w:name="page821"/>
    <w:bookmarkEnd w:id="82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relevant material, information, reports and data, including pre-clinical data, clinical data, and any data that has been provided to Regulatory Authorities for the purpose of obtaining Regulatory Approval.</w:t>
      </w:r>
    </w:p>
    <w:p>
      <w:pPr>
        <w:spacing w:after="0" w:line="155" w:lineRule="exact"/>
        <w:rPr>
          <w:sz w:val="20"/>
          <w:szCs w:val="20"/>
          <w:color w:val="auto"/>
        </w:rPr>
      </w:pPr>
    </w:p>
    <w:p>
      <w:pPr>
        <w:ind w:firstLine="917"/>
        <w:spacing w:after="0" w:line="299" w:lineRule="auto"/>
        <w:rPr>
          <w:sz w:val="20"/>
          <w:szCs w:val="20"/>
          <w:color w:val="auto"/>
        </w:rPr>
      </w:pPr>
      <w:r>
        <w:rPr>
          <w:rFonts w:ascii="Arial" w:cs="Arial" w:eastAsia="Arial" w:hAnsi="Arial"/>
          <w:sz w:val="12"/>
          <w:szCs w:val="12"/>
          <w:color w:val="auto"/>
        </w:rPr>
        <w:t xml:space="preserve">5.6.2 </w:t>
      </w:r>
      <w:r>
        <w:rPr>
          <w:rFonts w:ascii="Arial" w:cs="Arial" w:eastAsia="Arial" w:hAnsi="Arial"/>
          <w:sz w:val="12"/>
          <w:szCs w:val="12"/>
          <w:u w:val="single" w:color="auto"/>
          <w:color w:val="auto"/>
        </w:rPr>
        <w:t>Ongoing Exchange of Data</w:t>
      </w:r>
      <w:r>
        <w:rPr>
          <w:rFonts w:ascii="Arial" w:cs="Arial" w:eastAsia="Arial" w:hAnsi="Arial"/>
          <w:sz w:val="12"/>
          <w:szCs w:val="12"/>
          <w:color w:val="auto"/>
        </w:rPr>
        <w:t>. During the License Term, except as provided in Section 5.4.2(b)(iv) with respect to Excluded Data, each Party shall provide to the other Party (a) all Know-How Controlled by such Party that is specified in the Global Development Plan to the extent necessary or useful for the Development or Commercialization of Program Antibodies or Licensed Products in the other Party’s territory, and (b) any Know-How Controlled by such Party that is not specified in the Global Development Plan that such Party reasonably believes to be necessary or useful for the Development or Commercialization of Program Antibodies or Licensed Products in the other Party’s territory, in a timely fashion and as promptly as possible for use by such other Party in accordance with this Section 5.6.2. Servier shall only use and disclose to Third Parties such MacroGenics Know-How as may be necessary or useful for Development and Commercialization of Program Antibodies and/or Licensed Products in the Servier Territory; or as may otherwise be agreed by MacroGenics and Servier. Servier may not use any MacroGenics Know-How (or permit any Third Party to use any MacroGenics Know-How) outside the Servier Territory, nor for any products other than the Licensed Products, except as may otherwise be agreed by MacroGenics and Servier (including as provided in Sections 4.1 and 4.2). MacroGenics shall not use any Servier Know-How (or permit any Third Party to use any Servier Know-How) outside the MacroGenics Territory, nor for any products other than the Licensed Products, except as may otherwise be agreed by MacroGenics and Servier.</w:t>
      </w:r>
    </w:p>
    <w:p>
      <w:pPr>
        <w:spacing w:after="0" w:line="254" w:lineRule="exact"/>
        <w:rPr>
          <w:sz w:val="20"/>
          <w:szCs w:val="20"/>
          <w:color w:val="auto"/>
        </w:rPr>
      </w:pPr>
    </w:p>
    <w:p>
      <w:pPr>
        <w:ind w:firstLine="917"/>
        <w:spacing w:after="0" w:line="252" w:lineRule="auto"/>
        <w:rPr>
          <w:sz w:val="20"/>
          <w:szCs w:val="20"/>
          <w:color w:val="auto"/>
        </w:rPr>
      </w:pPr>
      <w:r>
        <w:rPr>
          <w:rFonts w:ascii="Arial" w:cs="Arial" w:eastAsia="Arial" w:hAnsi="Arial"/>
          <w:sz w:val="14"/>
          <w:szCs w:val="14"/>
          <w:color w:val="auto"/>
        </w:rPr>
        <w:t xml:space="preserve">5.6.3 </w:t>
      </w:r>
      <w:r>
        <w:rPr>
          <w:rFonts w:ascii="Arial" w:cs="Arial" w:eastAsia="Arial" w:hAnsi="Arial"/>
          <w:sz w:val="14"/>
          <w:szCs w:val="14"/>
          <w:u w:val="single" w:color="auto"/>
          <w:color w:val="auto"/>
        </w:rPr>
        <w:t>Use</w:t>
      </w:r>
      <w:r>
        <w:rPr>
          <w:rFonts w:ascii="Arial" w:cs="Arial" w:eastAsia="Arial" w:hAnsi="Arial"/>
          <w:sz w:val="14"/>
          <w:szCs w:val="14"/>
          <w:color w:val="auto"/>
        </w:rPr>
        <w:t>. All preclinical, non-clinical, analytical, manufacturing, and clinical data and associated reports disclosed by one Party to the other under this Agreement may be used by the receiving Party subject to the terms of this Agreement solely for the purpose of Developing, Manufacturing and Commercializing Licensed Products in its respective territory. Each Party shall have the right to share any and all such data and other regulatory materials received from the other Party with its Affiliates and any Third Party sublicensees or licensees in its respective territory solely for the purpose of Developing, Manufacturing and Commercializing Licensed Products in its respective territory. Access to and use of such data and regulatory materials are given by each Party to the other Party without cost (except as otherwise provided herein) on an “as is” basis without any warranty of any kind. Each receiving Party accepts all risk and liability in relation to the use of the data and regulatory materials received from the other Party and shall indemnify and hold harmless the Party providing such data and regulatory materials from any Third Party’s claim(s) based upon such data and regulatory materials as provided in ARTICLE 13.</w:t>
      </w:r>
    </w:p>
    <w:p>
      <w:pPr>
        <w:spacing w:after="0" w:line="112" w:lineRule="exact"/>
        <w:rPr>
          <w:sz w:val="20"/>
          <w:szCs w:val="20"/>
          <w:color w:val="auto"/>
        </w:rPr>
      </w:pPr>
    </w:p>
    <w:p>
      <w:pPr>
        <w:jc w:val="both"/>
        <w:ind w:right="60" w:firstLine="917"/>
        <w:spacing w:after="0" w:line="258" w:lineRule="auto"/>
        <w:rPr>
          <w:sz w:val="20"/>
          <w:szCs w:val="20"/>
          <w:color w:val="auto"/>
        </w:rPr>
      </w:pPr>
      <w:r>
        <w:rPr>
          <w:rFonts w:ascii="Arial" w:cs="Arial" w:eastAsia="Arial" w:hAnsi="Arial"/>
          <w:sz w:val="14"/>
          <w:szCs w:val="14"/>
          <w:color w:val="auto"/>
        </w:rPr>
        <w:t xml:space="preserve">5.6.4 </w:t>
      </w:r>
      <w:r>
        <w:rPr>
          <w:rFonts w:ascii="Arial" w:cs="Arial" w:eastAsia="Arial" w:hAnsi="Arial"/>
          <w:sz w:val="14"/>
          <w:szCs w:val="14"/>
          <w:u w:val="single" w:color="auto"/>
          <w:color w:val="auto"/>
        </w:rPr>
        <w:t>Reports</w:t>
      </w:r>
      <w:r>
        <w:rPr>
          <w:rFonts w:ascii="Arial" w:cs="Arial" w:eastAsia="Arial" w:hAnsi="Arial"/>
          <w:sz w:val="14"/>
          <w:szCs w:val="14"/>
          <w:color w:val="auto"/>
        </w:rPr>
        <w:t>. In addition to information and reports required elsewhere in this Agreement, each Party shall provide the other Party and the JRDC with a written annual report summarizing the major activities performed by it under the Global Development Plan during the previous year, conduct of non-clinical activities and clinical trials, information regarding the status of Regulatory Approvals. The other Party shall have the opportunity to reasonably seek further explanation or clarification of matters covered in such reports and to</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7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21" w:name="page822"/>
    <w:bookmarkEnd w:id="821"/>
    <w:p>
      <w:pPr>
        <w:jc w:val="both"/>
        <w:ind w:right="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provide observations and suggestions to the disclosing Party regarding the subject matter thereof, and the disclosing Party shall provide such explanation or clarification and shall consider such observations and suggestions in good faith. Furthermore, if after receiving such a report the receiving Party wishes to meet with the disclosing Party to discuss such report, the disclosing Party shall meet with the receiving Party at a site reasonably requested by the receiving Party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disclosing Party’s requests such meeting.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6</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REGULATORY MATTERS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6 shall apply during the License Term.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Servier Regulatory Responsibility</w:t>
      </w:r>
      <w:r>
        <w:rPr>
          <w:rFonts w:ascii="Arial" w:cs="Arial" w:eastAsia="Arial" w:hAnsi="Arial"/>
          <w:sz w:val="14"/>
          <w:szCs w:val="14"/>
          <w:color w:val="auto"/>
        </w:rPr>
        <w:t>.</w:t>
      </w:r>
    </w:p>
    <w:p>
      <w:pPr>
        <w:spacing w:after="0" w:line="132" w:lineRule="exact"/>
        <w:rPr>
          <w:sz w:val="20"/>
          <w:szCs w:val="20"/>
          <w:color w:val="auto"/>
        </w:rPr>
      </w:pPr>
    </w:p>
    <w:p>
      <w:pPr>
        <w:ind w:right="140" w:firstLine="917"/>
        <w:spacing w:after="0" w:line="255" w:lineRule="auto"/>
        <w:rPr>
          <w:sz w:val="20"/>
          <w:szCs w:val="20"/>
          <w:color w:val="auto"/>
        </w:rPr>
      </w:pPr>
      <w:r>
        <w:rPr>
          <w:rFonts w:ascii="Arial" w:cs="Arial" w:eastAsia="Arial" w:hAnsi="Arial"/>
          <w:sz w:val="14"/>
          <w:szCs w:val="14"/>
          <w:color w:val="auto"/>
        </w:rPr>
        <w:t>6.1.1 During the License Term, Servier shall own and be responsible for preparing, filing and maintaining all Regulatory Documentation and Regulatory Approvals that are required for the Development (unless otherwise agreed by the JRDC on the basis of section 4.2 above), Manufacture or Commercialization of the Program Antibodies or Licensed Products in the Field in the Servier Territory and Servier shall otherwise be responsible for and have sole authority as to all interactions with Regulatory Authorities in the Servier Territory. Servier shall comply with all applicable Laws in the Servier Territory, including local regulations and ICH guidelines.</w:t>
      </w:r>
    </w:p>
    <w:p>
      <w:pPr>
        <w:spacing w:after="0" w:line="110"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 xml:space="preserve">6.1.2 Servier hereby grants to MacroGenics a Right of Reference or Use to any Regulatory Documentation in the Servier Territory Controlled by Servier for use by MacroGenics in the MacroGenics Territory, and agrees to sign, and cause its Affiliates to sign, from time to time, promptly upon request, any instruments reasonably requested by MacroGenics in order to further effect such grant. Servier shall permit any relevant Regulatory Authority to inspect any such Regulatory Documentation. Servier shall also permit MacroGenics, upon reasonable notice, during regular business hours, to audit any such Regulatory Documentation; </w:t>
      </w:r>
      <w:r>
        <w:rPr>
          <w:rFonts w:ascii="Arial" w:cs="Arial" w:eastAsia="Arial" w:hAnsi="Arial"/>
          <w:sz w:val="14"/>
          <w:szCs w:val="14"/>
          <w:u w:val="single" w:color="auto"/>
          <w:color w:val="auto"/>
        </w:rPr>
        <w:t>provided that</w:t>
      </w:r>
      <w:r>
        <w:rPr>
          <w:rFonts w:ascii="Arial" w:cs="Arial" w:eastAsia="Arial" w:hAnsi="Arial"/>
          <w:sz w:val="14"/>
          <w:szCs w:val="14"/>
          <w:color w:val="auto"/>
        </w:rPr>
        <w:t>, MacroGenics shall limit such audits by MacroGenics to a moderate frequency reasonably necessary in order for MacroGenics to perform the Development and Commercialization of the Program Antibodies and Licensed Product.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MacroGenics Regulatory Responsibility</w:t>
      </w:r>
      <w:r>
        <w:rPr>
          <w:rFonts w:ascii="Arial" w:cs="Arial" w:eastAsia="Arial" w:hAnsi="Arial"/>
          <w:sz w:val="14"/>
          <w:szCs w:val="14"/>
          <w:color w:val="auto"/>
        </w:rPr>
        <w:t>.</w:t>
      </w:r>
    </w:p>
    <w:p>
      <w:pPr>
        <w:spacing w:after="0" w:line="69" w:lineRule="exact"/>
        <w:rPr>
          <w:sz w:val="20"/>
          <w:szCs w:val="20"/>
          <w:color w:val="auto"/>
        </w:rPr>
      </w:pPr>
    </w:p>
    <w:p>
      <w:pPr>
        <w:ind w:right="80" w:firstLine="917"/>
        <w:spacing w:after="0" w:line="255" w:lineRule="auto"/>
        <w:rPr>
          <w:sz w:val="20"/>
          <w:szCs w:val="20"/>
          <w:color w:val="auto"/>
        </w:rPr>
      </w:pPr>
      <w:r>
        <w:rPr>
          <w:rFonts w:ascii="Arial" w:cs="Arial" w:eastAsia="Arial" w:hAnsi="Arial"/>
          <w:sz w:val="14"/>
          <w:szCs w:val="14"/>
          <w:color w:val="auto"/>
        </w:rPr>
        <w:t>6.2.1 MacroGenics shall own and be responsible for preparing, filing and maintaining all Regulatory Documentation and Regulatory Approvals that are required for the Development (unless otherwise agreed by the JRDC on the basis of section 4.1 above), or Commercialization of Program Antibodies or Licensed Products in the Field in the MacroGenics Territory and MacroGenics shall otherwise be responsible for and have sole authority as to all interactions with Regulatory Authorities in the MacroGenics Territory. MacroGenics shall comply with all applicable Laws in the MacroGenics Territory, including local regulations and ICH guidelines.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7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822" w:name="page823"/>
    <w:bookmarkEnd w:id="822"/>
    <w:p>
      <w:pPr>
        <w:ind w:right="40" w:firstLine="917"/>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6.2.2 MacroGenics hereby grants to Servier a Right of Reference or Use to any Regulatory Documentation in the MacroGenics Territory Controlled by MacroGenics for use by Servier in the Servier Territory, and agrees to sign, and cause its Affiliates to sign, from time to time, promptly upon request, any instruments reasonably requested by Servier in order to further effect such grant. MacroGenics shall permit any relevant Regulatory Authority to inspect any such Regulatory Documentation. MacroGenics shall also permit Servier, upon reasonable notice, during regular business hours, to audit any such Regulatory Documentation; </w:t>
      </w:r>
      <w:r>
        <w:rPr>
          <w:rFonts w:ascii="Arial" w:cs="Arial" w:eastAsia="Arial" w:hAnsi="Arial"/>
          <w:sz w:val="14"/>
          <w:szCs w:val="14"/>
          <w:u w:val="single" w:color="auto"/>
          <w:color w:val="auto"/>
        </w:rPr>
        <w:t>provided that</w:t>
      </w:r>
      <w:r>
        <w:rPr>
          <w:rFonts w:ascii="Arial" w:cs="Arial" w:eastAsia="Arial" w:hAnsi="Arial"/>
          <w:sz w:val="14"/>
          <w:szCs w:val="14"/>
          <w:color w:val="auto"/>
        </w:rPr>
        <w:t>, Servier shall limit such audits by Servier to a moderate frequency reasonably necessary in order for Servier to perform the Development and Commercialization of the Program Antibodies and Licensed Product.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Communications with Regulatory Authorities</w:t>
      </w:r>
      <w:r>
        <w:rPr>
          <w:rFonts w:ascii="Arial" w:cs="Arial" w:eastAsia="Arial" w:hAnsi="Arial"/>
          <w:sz w:val="14"/>
          <w:szCs w:val="14"/>
          <w:color w:val="auto"/>
        </w:rPr>
        <w:t>.</w:t>
      </w:r>
    </w:p>
    <w:p>
      <w:pPr>
        <w:spacing w:after="0" w:line="69" w:lineRule="exact"/>
        <w:rPr>
          <w:sz w:val="20"/>
          <w:szCs w:val="20"/>
          <w:color w:val="auto"/>
        </w:rPr>
      </w:pPr>
    </w:p>
    <w:p>
      <w:pPr>
        <w:ind w:right="20" w:firstLine="917"/>
        <w:spacing w:after="0" w:line="255" w:lineRule="auto"/>
        <w:rPr>
          <w:sz w:val="20"/>
          <w:szCs w:val="20"/>
          <w:color w:val="auto"/>
        </w:rPr>
      </w:pPr>
      <w:r>
        <w:rPr>
          <w:rFonts w:ascii="Arial" w:cs="Arial" w:eastAsia="Arial" w:hAnsi="Arial"/>
          <w:sz w:val="14"/>
          <w:szCs w:val="14"/>
          <w:color w:val="auto"/>
        </w:rPr>
        <w:t>6.3.1 For purposes of this Article 6.3, “material” shall mean any ***. Servier shall be responsible for all submissions to, and communications and interactions with, Regulatory Authorities in the Servier Territory with respect to Program Antibodies and Licensed Products (unless otherwise agreed by the JRDC on the basis of section 4.2 above), and MacroGenics shall be responsible for submissions to, and communications and interactions with, Regulatory Authorities in the MacroGenics Territory with respect to Program Antibodies and Licensed Products (unless otherwise agreed by the JRDC on the basis of section 4.1 above). In connection therewith:</w:t>
      </w:r>
    </w:p>
    <w:p>
      <w:pPr>
        <w:spacing w:after="0" w:line="110" w:lineRule="exact"/>
        <w:rPr>
          <w:sz w:val="20"/>
          <w:szCs w:val="20"/>
          <w:color w:val="auto"/>
        </w:rPr>
      </w:pPr>
    </w:p>
    <w:p>
      <w:pPr>
        <w:ind w:right="60" w:firstLine="1493"/>
        <w:spacing w:after="0" w:line="299" w:lineRule="auto"/>
        <w:tabs>
          <w:tab w:leader="none" w:pos="1675" w:val="left"/>
        </w:tabs>
        <w:numPr>
          <w:ilvl w:val="0"/>
          <w:numId w:val="979"/>
        </w:numPr>
        <w:rPr>
          <w:rFonts w:ascii="Arial" w:cs="Arial" w:eastAsia="Arial" w:hAnsi="Arial"/>
          <w:sz w:val="12"/>
          <w:szCs w:val="12"/>
          <w:color w:val="auto"/>
        </w:rPr>
      </w:pPr>
      <w:r>
        <w:rPr>
          <w:rFonts w:ascii="Arial" w:cs="Arial" w:eastAsia="Arial" w:hAnsi="Arial"/>
          <w:sz w:val="12"/>
          <w:szCs w:val="12"/>
          <w:color w:val="auto"/>
        </w:rPr>
        <w:t>Servier shall keep MacroGenics reasonably informed regarding Servier’s (or its Affiliate’s or Sublicensee’s) regulatory strategy, planned regulatory submissions and material communications with the Regulatory Authorities in the Servier Territory. with respect to the Program Antibodies and Licensed Products, including any material changes to such strategy, submissions or communications. Servier shall provide MacroGenics with copies of material regulatory submissions to, and material communications with the *** relating to the Program Antibodies and Licensed Products. To the extent permitted by Regulatory Authorities, MacroGenics shall have the right to have a senior, experienced employee participate as an observer in meetings with the *** or their agents, as well as participate in internal meetings or discussions of Servier occurring immediately before or after, and related to, such meetings, and shall be provided with advance access to Servier’s materials prepared for such meetings. MacroGenics shall also have the right to review and comment upon any correspondence with the *** or their agents related to such meetings. Servier shall provide MacroGenics regularly prepared minutes of material meetings with the *** *** regarding Program Antibodies and Licensed Products in the Field in the Servier Territory and available material teleconference reports with the *** pertaining to Program Antibodies and Licensed Products in the Field in the Servier Territory.</w:t>
      </w:r>
    </w:p>
    <w:p>
      <w:pPr>
        <w:spacing w:after="0" w:line="87" w:lineRule="exact"/>
        <w:rPr>
          <w:rFonts w:ascii="Arial" w:cs="Arial" w:eastAsia="Arial" w:hAnsi="Arial"/>
          <w:sz w:val="12"/>
          <w:szCs w:val="12"/>
          <w:color w:val="auto"/>
        </w:rPr>
      </w:pPr>
    </w:p>
    <w:p>
      <w:pPr>
        <w:ind w:firstLine="1493"/>
        <w:spacing w:after="0" w:line="258" w:lineRule="auto"/>
        <w:tabs>
          <w:tab w:leader="none" w:pos="1682" w:val="left"/>
        </w:tabs>
        <w:numPr>
          <w:ilvl w:val="0"/>
          <w:numId w:val="979"/>
        </w:numPr>
        <w:rPr>
          <w:rFonts w:ascii="Arial" w:cs="Arial" w:eastAsia="Arial" w:hAnsi="Arial"/>
          <w:sz w:val="14"/>
          <w:szCs w:val="14"/>
          <w:color w:val="auto"/>
        </w:rPr>
      </w:pPr>
      <w:r>
        <w:rPr>
          <w:rFonts w:ascii="Arial" w:cs="Arial" w:eastAsia="Arial" w:hAnsi="Arial"/>
          <w:sz w:val="14"/>
          <w:szCs w:val="14"/>
          <w:color w:val="auto"/>
        </w:rPr>
        <w:t>MacroGenics shall keep Servier reasonably informed regarding MacroGenics’ (or its Affiliate’s or Sublicensee’s) regulatory strategy, planned regulatory submissions and material communications with the *** with respect to the Program Antibodies and Licensed Products, including any material changes to such strategy, submissions or communications. MacroGenics shall provide Servier with copies of material regulatory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8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823" w:name="page824"/>
    <w:bookmarkEnd w:id="823"/>
    <w:p>
      <w:pPr>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submissions to, and material communications with the *** relating to the Program Antibodies and Licensed Products. To the extent permitted by Regulatory Authorities, Servier shall have the right to have a senior, experienced employee participate as an observer in meetings with the *** or its agents, as well as participate in internal meetings or discussions of MacroGenics occurring immediately before or after, and related to, such meetings, and shall be provided with advance access to MacroGenics’ materials prepared for such meetings. Servier shall also have the right to review and comment upon any correspondence with the *** or its agents related to such meetings. MacroGenics shall provide Servier regularly prepared minutes of material meetings with the *** regarding Licensed Products in the Field in the MacroGenics Territory and available material teleconference reports with the *** pertaining to Licensed Products in the Field in the MacroGenics Territory.</w:t>
      </w:r>
    </w:p>
    <w:p>
      <w:pPr>
        <w:spacing w:after="0" w:line="84" w:lineRule="exact"/>
        <w:rPr>
          <w:sz w:val="20"/>
          <w:szCs w:val="20"/>
          <w:color w:val="auto"/>
        </w:rPr>
      </w:pPr>
    </w:p>
    <w:p>
      <w:pPr>
        <w:ind w:right="80" w:firstLine="917"/>
        <w:spacing w:after="0" w:line="299" w:lineRule="auto"/>
        <w:rPr>
          <w:sz w:val="20"/>
          <w:szCs w:val="20"/>
          <w:color w:val="auto"/>
        </w:rPr>
      </w:pPr>
      <w:r>
        <w:rPr>
          <w:rFonts w:ascii="Arial" w:cs="Arial" w:eastAsia="Arial" w:hAnsi="Arial"/>
          <w:sz w:val="12"/>
          <w:szCs w:val="12"/>
          <w:color w:val="auto"/>
        </w:rPr>
        <w:t>6.3.2 If either Party or its Affiliates or subcontractors (each, an “</w:t>
      </w:r>
      <w:r>
        <w:rPr>
          <w:rFonts w:ascii="Arial" w:cs="Arial" w:eastAsia="Arial" w:hAnsi="Arial"/>
          <w:sz w:val="12"/>
          <w:szCs w:val="12"/>
          <w:u w:val="single" w:color="auto"/>
          <w:color w:val="auto"/>
        </w:rPr>
        <w:t>Inspected Party</w:t>
      </w:r>
      <w:r>
        <w:rPr>
          <w:rFonts w:ascii="Arial" w:cs="Arial" w:eastAsia="Arial" w:hAnsi="Arial"/>
          <w:sz w:val="12"/>
          <w:szCs w:val="12"/>
          <w:color w:val="auto"/>
        </w:rPr>
        <w:t>”) are to be inspected by a Government Authority regarding the development, manufacture, registration or commercialization of a Licensed Product, the Inspected Party shall promptly notify the other Party of the inspection in writing as soon as reasonably practicable, and in advance, if any such inspection is a scheduled inspection. The Inspected Party shall, where practicable, permit representatives of the other Party to participate as observers with respect to such inspection, and shall provide the other Party with a written report of any such inspection, noting with specificity any records or documents reviewed by the regulatory inspector, and including copies of any FDA 483s (or their non-U.S. equivalent) or written communications provided by or to any Government Authority relating to such inspection. The Inspected Party will use Commercially Reasonable Efforts to provide an opportunity for the other Party to assist in responding to any issues or concerns relating to such inspections, and shall provide copies of all communications to and from any Government Authority relating thereto to the other Party. The Parties shall cooperate in good faith and otherwise mutually support any regulatory inspections of facilities, clinical sites, contract manufacturers or the like with respect to Licensed Products, including by using Commercially Reasonable Efforts to make available such facilities, documents, information and/or personnel as are reasonably necessary or useful for such regulatory inspections by a Government Authority.</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Product Withdrawals and Recalls</w:t>
      </w:r>
      <w:r>
        <w:rPr>
          <w:rFonts w:ascii="Arial" w:cs="Arial" w:eastAsia="Arial" w:hAnsi="Arial"/>
          <w:sz w:val="12"/>
          <w:szCs w:val="12"/>
          <w:color w:val="auto"/>
        </w:rPr>
        <w:t>. If any Regulatory Authority (a) threatens, initiates or advises any action to remove any Licensed Product from the market in any country of the world, or</w:t>
      </w:r>
    </w:p>
    <w:p>
      <w:pPr>
        <w:spacing w:after="0" w:line="35" w:lineRule="exact"/>
        <w:rPr>
          <w:sz w:val="20"/>
          <w:szCs w:val="20"/>
          <w:color w:val="auto"/>
        </w:rPr>
      </w:pPr>
    </w:p>
    <w:p>
      <w:pPr>
        <w:ind w:right="20" w:firstLine="4"/>
        <w:spacing w:after="0" w:line="250" w:lineRule="auto"/>
        <w:tabs>
          <w:tab w:leader="none" w:pos="192" w:val="left"/>
        </w:tabs>
        <w:numPr>
          <w:ilvl w:val="0"/>
          <w:numId w:val="981"/>
        </w:numPr>
        <w:rPr>
          <w:rFonts w:ascii="Arial" w:cs="Arial" w:eastAsia="Arial" w:hAnsi="Arial"/>
          <w:sz w:val="14"/>
          <w:szCs w:val="14"/>
          <w:color w:val="auto"/>
        </w:rPr>
      </w:pPr>
      <w:r>
        <w:rPr>
          <w:rFonts w:ascii="Arial" w:cs="Arial" w:eastAsia="Arial" w:hAnsi="Arial"/>
          <w:sz w:val="14"/>
          <w:szCs w:val="14"/>
          <w:color w:val="auto"/>
        </w:rPr>
        <w:t xml:space="preserve">requires or advises either Party or such Party’s Affiliates or sublicensees to distribute a “Dear Doctor” letter or its equivalent regarding use of any Licensed Product in any country of the world, then Servier (if such action is in the Servier Territory) or MacroGenics (if such action is in the MacroGenics Territory), as applicable, shall notify the other Party of such event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(or sooner if required by applicable Law) after such Party becomes aware of the action, threat, advice or requirement (as applicable). The JRDC will discuss and attempt to agree upon whether to recall or withdraw such Licensed Product; provided, however, that if the Parties fail to agree within an appropriate time period or if the matter involves a safety issue that, in order to protect patient safety, does not allow for sufficient time for a discussion at the JRDC level, Servier shall decide whether to recall or withdraw such Licensed Product in the Servier Territory and shall undertake any such recall or withdrawal in the Servier Territory at its own cost and expense, and MacroGenics shall decide whether to recall or withdraw such Licensed Product in the MacroGenics Territory and shall undertake any such recall or withdrawal in the MacroGenics Territory at its own cost and expense.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8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24" w:name="page825"/>
    <w:bookmarkEnd w:id="82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6.5 </w:t>
      </w:r>
      <w:r>
        <w:rPr>
          <w:rFonts w:ascii="Arial" w:cs="Arial" w:eastAsia="Arial" w:hAnsi="Arial"/>
          <w:sz w:val="14"/>
          <w:szCs w:val="14"/>
          <w:u w:val="single" w:color="auto"/>
          <w:color w:val="auto"/>
        </w:rPr>
        <w:t>Pharmacovigilance; Safety Data Reporting</w:t>
      </w:r>
      <w:r>
        <w:rPr>
          <w:rFonts w:ascii="Arial" w:cs="Arial" w:eastAsia="Arial" w:hAnsi="Arial"/>
          <w:sz w:val="14"/>
          <w:szCs w:val="14"/>
          <w:color w:val="auto"/>
        </w:rPr>
        <w:t>.</w:t>
      </w:r>
    </w:p>
    <w:p>
      <w:pPr>
        <w:spacing w:after="0" w:line="69" w:lineRule="exact"/>
        <w:rPr>
          <w:sz w:val="20"/>
          <w:szCs w:val="20"/>
          <w:color w:val="auto"/>
        </w:rPr>
      </w:pPr>
    </w:p>
    <w:p>
      <w:pPr>
        <w:jc w:val="both"/>
        <w:ind w:right="360" w:firstLine="917"/>
        <w:spacing w:after="0" w:line="258" w:lineRule="auto"/>
        <w:rPr>
          <w:sz w:val="20"/>
          <w:szCs w:val="20"/>
          <w:color w:val="auto"/>
        </w:rPr>
      </w:pPr>
      <w:r>
        <w:rPr>
          <w:rFonts w:ascii="Arial" w:cs="Arial" w:eastAsia="Arial" w:hAnsi="Arial"/>
          <w:sz w:val="14"/>
          <w:szCs w:val="14"/>
          <w:color w:val="auto"/>
        </w:rPr>
        <w:t xml:space="preserve">6.5.1 </w:t>
      </w:r>
      <w:r>
        <w:rPr>
          <w:rFonts w:ascii="Arial" w:cs="Arial" w:eastAsia="Arial" w:hAnsi="Arial"/>
          <w:sz w:val="14"/>
          <w:szCs w:val="14"/>
          <w:u w:val="single" w:color="auto"/>
          <w:color w:val="auto"/>
        </w:rPr>
        <w:t>Pharmacovigilance</w:t>
      </w:r>
      <w:r>
        <w:rPr>
          <w:rFonts w:ascii="Arial" w:cs="Arial" w:eastAsia="Arial" w:hAnsi="Arial"/>
          <w:sz w:val="14"/>
          <w:szCs w:val="14"/>
          <w:color w:val="auto"/>
        </w:rPr>
        <w:t>. *** after the License Grant Date the Parties shall negotiate in good faith a safety data exchange agreement governing the collection, investigation, reporting, and exchange of information concerning adverse drug reactions/experience, Licensed Product quality and Licensed Product complaints, sufficient to permit each Party to comply with its legal obligations (the “</w:t>
      </w:r>
      <w:r>
        <w:rPr>
          <w:rFonts w:ascii="Arial" w:cs="Arial" w:eastAsia="Arial" w:hAnsi="Arial"/>
          <w:sz w:val="14"/>
          <w:szCs w:val="14"/>
          <w:u w:val="single" w:color="auto"/>
          <w:color w:val="auto"/>
        </w:rPr>
        <w:t>SDEA Agreement</w:t>
      </w:r>
      <w:r>
        <w:rPr>
          <w:rFonts w:ascii="Arial" w:cs="Arial" w:eastAsia="Arial" w:hAnsi="Arial"/>
          <w:sz w:val="14"/>
          <w:szCs w:val="14"/>
          <w:color w:val="auto"/>
        </w:rPr>
        <w:t>”). The SDEA Agreement will be promptly updated if required by changes in legal requirements.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6.5.2 </w:t>
      </w:r>
      <w:r>
        <w:rPr>
          <w:rFonts w:ascii="Arial" w:cs="Arial" w:eastAsia="Arial" w:hAnsi="Arial"/>
          <w:sz w:val="14"/>
          <w:szCs w:val="14"/>
          <w:u w:val="single" w:color="auto"/>
          <w:color w:val="auto"/>
        </w:rPr>
        <w:t>Safety Data Reporting</w:t>
      </w:r>
      <w:r>
        <w:rPr>
          <w:rFonts w:ascii="Arial" w:cs="Arial" w:eastAsia="Arial" w:hAnsi="Arial"/>
          <w:sz w:val="14"/>
          <w:szCs w:val="14"/>
          <w:color w:val="auto"/>
        </w:rPr>
        <w:t>.</w:t>
      </w:r>
    </w:p>
    <w:p>
      <w:pPr>
        <w:spacing w:after="0" w:line="69" w:lineRule="exact"/>
        <w:rPr>
          <w:sz w:val="20"/>
          <w:szCs w:val="20"/>
          <w:color w:val="auto"/>
        </w:rPr>
      </w:pPr>
    </w:p>
    <w:p>
      <w:pPr>
        <w:ind w:right="40" w:firstLine="1493"/>
        <w:spacing w:after="0" w:line="300" w:lineRule="auto"/>
        <w:tabs>
          <w:tab w:leader="none" w:pos="1675" w:val="left"/>
        </w:tabs>
        <w:numPr>
          <w:ilvl w:val="0"/>
          <w:numId w:val="983"/>
        </w:numPr>
        <w:rPr>
          <w:rFonts w:ascii="Arial" w:cs="Arial" w:eastAsia="Arial" w:hAnsi="Arial"/>
          <w:sz w:val="12"/>
          <w:szCs w:val="12"/>
          <w:color w:val="auto"/>
        </w:rPr>
      </w:pPr>
      <w:r>
        <w:rPr>
          <w:rFonts w:ascii="Arial" w:cs="Arial" w:eastAsia="Arial" w:hAnsi="Arial"/>
          <w:sz w:val="12"/>
          <w:szCs w:val="12"/>
          <w:color w:val="auto"/>
        </w:rPr>
        <w:t>Each Party shall keep the other Party informed about any adverse drug reactions such Party becomes aware or is informed about regarding the use of a Licensed Product. As between the Parties, Servier shall be responsible for reporting all adverse drug reactions/experiences to the appropriate regulatory authorities in countries in the Servier Territory, and MacroGenics shall be responsible for reporting all adverse drug reactions/experiences to the appropriate regulatory authorities in the MacroGenics Territory, in accordance with the appropriate laws and regulations of the relevant countries and authorities. Servier shall ensure that its Affiliates and Sublicensees comply with such reporting obligations in the Servier Territory and MacroGenics shall ensure that its Affiliates and sublicensees (other than Servier and its Sublicensees) comply with such reporting obligations in the MacroGenics Territory. These reporting obligations shall apply to other adverse events as described in the SDEA Agreement, including adverse events occurring from product overdose or from product withdrawal, as well as any toxicity, sensitivity, failure of expected pharmacological action, or laboratory abnormality which is, or is thought by the reporter, to be serious or associated with relevant clinical signs or symptoms.</w:t>
      </w:r>
    </w:p>
    <w:p>
      <w:pPr>
        <w:spacing w:after="0" w:line="88" w:lineRule="exact"/>
        <w:rPr>
          <w:rFonts w:ascii="Arial" w:cs="Arial" w:eastAsia="Arial" w:hAnsi="Arial"/>
          <w:sz w:val="12"/>
          <w:szCs w:val="12"/>
          <w:color w:val="auto"/>
        </w:rPr>
      </w:pPr>
    </w:p>
    <w:p>
      <w:pPr>
        <w:ind w:firstLine="1493"/>
        <w:spacing w:after="0" w:line="255" w:lineRule="auto"/>
        <w:tabs>
          <w:tab w:leader="none" w:pos="1682" w:val="left"/>
        </w:tabs>
        <w:numPr>
          <w:ilvl w:val="0"/>
          <w:numId w:val="983"/>
        </w:numPr>
        <w:rPr>
          <w:rFonts w:ascii="Arial" w:cs="Arial" w:eastAsia="Arial" w:hAnsi="Arial"/>
          <w:sz w:val="14"/>
          <w:szCs w:val="14"/>
          <w:color w:val="auto"/>
        </w:rPr>
      </w:pPr>
      <w:r>
        <w:rPr>
          <w:rFonts w:ascii="Arial" w:cs="Arial" w:eastAsia="Arial" w:hAnsi="Arial"/>
          <w:sz w:val="14"/>
          <w:szCs w:val="14"/>
          <w:color w:val="auto"/>
        </w:rPr>
        <w:t>Each Party will designate a pharmacovigilance liaison to be responsible for communicating with the other Party regarding the reporting of adverse drug reactions/experiences. Each Party (the “</w:t>
      </w:r>
      <w:r>
        <w:rPr>
          <w:rFonts w:ascii="Arial" w:cs="Arial" w:eastAsia="Arial" w:hAnsi="Arial"/>
          <w:sz w:val="14"/>
          <w:szCs w:val="14"/>
          <w:u w:val="single" w:color="auto"/>
          <w:color w:val="auto"/>
        </w:rPr>
        <w:t>Notifying Party</w:t>
      </w:r>
      <w:r>
        <w:rPr>
          <w:rFonts w:ascii="Arial" w:cs="Arial" w:eastAsia="Arial" w:hAnsi="Arial"/>
          <w:sz w:val="14"/>
          <w:szCs w:val="14"/>
          <w:color w:val="auto"/>
        </w:rPr>
        <w:t>”) shall notify the other Party in writing of all information coming to the Notifying Party’s attention, regardless of the origin of such information, and including such information coming to its attention through clinical and non-clinical sources (including journal publications and other media), regarding adverse drug experiences associated with the Licensed Product, whether in the Servier Territory or in the MacroGenics Territory.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MANUFACTURING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7 shall apply during the License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8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25" w:name="page826"/>
    <w:bookmarkEnd w:id="82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7.1 </w:t>
      </w:r>
      <w:r>
        <w:rPr>
          <w:rFonts w:ascii="Arial" w:cs="Arial" w:eastAsia="Arial" w:hAnsi="Arial"/>
          <w:sz w:val="14"/>
          <w:szCs w:val="14"/>
          <w:u w:val="single" w:color="auto"/>
          <w:color w:val="auto"/>
        </w:rPr>
        <w:t>Transfer of MacroGenics Manufacturing Know-How</w:t>
      </w:r>
      <w:r>
        <w:rPr>
          <w:rFonts w:ascii="Arial" w:cs="Arial" w:eastAsia="Arial" w:hAnsi="Arial"/>
          <w:sz w:val="14"/>
          <w:szCs w:val="14"/>
          <w:color w:val="auto"/>
        </w:rPr>
        <w:t>.</w:t>
      </w:r>
    </w:p>
    <w:p>
      <w:pPr>
        <w:spacing w:after="0" w:line="69" w:lineRule="exact"/>
        <w:rPr>
          <w:sz w:val="20"/>
          <w:szCs w:val="20"/>
          <w:color w:val="auto"/>
        </w:rPr>
      </w:pPr>
    </w:p>
    <w:p>
      <w:pPr>
        <w:ind w:right="20" w:firstLine="917"/>
        <w:spacing w:after="0" w:line="295" w:lineRule="auto"/>
        <w:rPr>
          <w:sz w:val="20"/>
          <w:szCs w:val="20"/>
          <w:color w:val="auto"/>
        </w:rPr>
      </w:pPr>
      <w:r>
        <w:rPr>
          <w:rFonts w:ascii="Arial" w:cs="Arial" w:eastAsia="Arial" w:hAnsi="Arial"/>
          <w:sz w:val="12"/>
          <w:szCs w:val="12"/>
          <w:color w:val="auto"/>
        </w:rPr>
        <w:t xml:space="preserve">7.1.1 At Servier’s request and sole expense, and on a schedule and a product comparability plan agreed upon by the Parties, MacroGenics shall disclose (and provide copies, as applicable) to either Servier or the Third Party manufacturer that is mutually acceptable to both Parties, all MacroGenics Know-How necessary or useful to enable Servier or such Third Party manufacturer (as appropriate) </w:t>
      </w:r>
      <w:r>
        <w:rPr>
          <w:rFonts w:ascii="Arial" w:cs="Arial" w:eastAsia="Arial" w:hAnsi="Arial"/>
          <w:sz w:val="12"/>
          <w:szCs w:val="12"/>
          <w:b w:val="1"/>
          <w:bCs w:val="1"/>
          <w:color w:val="auto"/>
        </w:rPr>
        <w:t>***</w:t>
      </w:r>
    </w:p>
    <w:p>
      <w:pPr>
        <w:spacing w:after="0" w:line="1"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to Manufacture Licensed Product based on a manufacturing process ***. For clarity, nothing in this Section 7.1 with respect to MacroGenics’ obligation to transfer MacroGenics Know-How to Servier shall limit MacroGenics’ right to use any such MacroGenics Know-How to fulfill MacroGenics’ obligations to Manufacture and supply Licensed Product to Servier under this Agreement or the Supply Agreement. In addition, MacroGenics shall, at Servier’s sole expense, make available to Servier, on a reasonable consultation basis, advice of its technical personnel as may reasonably be requested by Servier in connection with such transfer of MacroGenics Know-How. MacroGenics shall thereafter during the Agreement Term, continue to promptly and regularly disclose any material new MacroGenics Know-How related to Manufacturing Program Antibodies and Licensed Products to Servier or to the Third Party manufacturer mentioned above at Servier’s cost.</w:t>
      </w:r>
    </w:p>
    <w:p>
      <w:pPr>
        <w:spacing w:after="0" w:line="84" w:lineRule="exact"/>
        <w:rPr>
          <w:sz w:val="20"/>
          <w:szCs w:val="20"/>
          <w:color w:val="auto"/>
        </w:rPr>
      </w:pPr>
    </w:p>
    <w:p>
      <w:pPr>
        <w:ind w:right="460" w:firstLine="917"/>
        <w:spacing w:after="0" w:line="267" w:lineRule="auto"/>
        <w:rPr>
          <w:sz w:val="20"/>
          <w:szCs w:val="20"/>
          <w:color w:val="auto"/>
        </w:rPr>
      </w:pPr>
      <w:r>
        <w:rPr>
          <w:rFonts w:ascii="Arial" w:cs="Arial" w:eastAsia="Arial" w:hAnsi="Arial"/>
          <w:sz w:val="14"/>
          <w:szCs w:val="14"/>
          <w:color w:val="auto"/>
        </w:rPr>
        <w:t>7.1.2 Servier and/or its Third Party manufacturer shall use the MacroGenics Know-How transferred under Section 7.1.1 solely for the purpose of Manufacturing Program Antibodies and finished Licensed Products in accordance with the terms and conditions of this Agreement, and for no other purpose.</w:t>
      </w:r>
    </w:p>
    <w:p>
      <w:pPr>
        <w:spacing w:after="0" w:line="101" w:lineRule="exact"/>
        <w:rPr>
          <w:sz w:val="20"/>
          <w:szCs w:val="20"/>
          <w:color w:val="auto"/>
        </w:rPr>
      </w:pPr>
    </w:p>
    <w:p>
      <w:pPr>
        <w:ind w:right="400" w:firstLine="917"/>
        <w:spacing w:after="0" w:line="264" w:lineRule="auto"/>
        <w:rPr>
          <w:sz w:val="20"/>
          <w:szCs w:val="20"/>
          <w:color w:val="auto"/>
        </w:rPr>
      </w:pPr>
      <w:r>
        <w:rPr>
          <w:rFonts w:ascii="Arial" w:cs="Arial" w:eastAsia="Arial" w:hAnsi="Arial"/>
          <w:sz w:val="14"/>
          <w:szCs w:val="14"/>
          <w:color w:val="auto"/>
        </w:rPr>
        <w:t>7.1.3 Servier acknowledges and agrees that MacroGenics may condition its agreement to transfer any MacroGenics Know-How to a Third Party manufacturer on the execution of a confidentiality agreement between such Third Party manufacturer and MacroGenics that contains terms substantially equivalent to those of ARTICLE 11.</w:t>
      </w:r>
    </w:p>
    <w:p>
      <w:pPr>
        <w:spacing w:after="0" w:line="3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Supply Agreements</w:t>
      </w:r>
      <w:r>
        <w:rPr>
          <w:rFonts w:ascii="Arial" w:cs="Arial" w:eastAsia="Arial" w:hAnsi="Arial"/>
          <w:sz w:val="14"/>
          <w:szCs w:val="14"/>
          <w:color w:val="auto"/>
        </w:rPr>
        <w:t>.</w:t>
      </w:r>
    </w:p>
    <w:p>
      <w:pPr>
        <w:spacing w:after="0" w:line="67" w:lineRule="exact"/>
        <w:rPr>
          <w:sz w:val="20"/>
          <w:szCs w:val="20"/>
          <w:color w:val="auto"/>
        </w:rPr>
      </w:pPr>
    </w:p>
    <w:p>
      <w:pPr>
        <w:ind w:right="140" w:firstLine="917"/>
        <w:spacing w:after="0" w:line="253" w:lineRule="auto"/>
        <w:rPr>
          <w:sz w:val="20"/>
          <w:szCs w:val="20"/>
          <w:color w:val="auto"/>
        </w:rPr>
      </w:pPr>
      <w:r>
        <w:rPr>
          <w:rFonts w:ascii="Arial" w:cs="Arial" w:eastAsia="Arial" w:hAnsi="Arial"/>
          <w:sz w:val="14"/>
          <w:szCs w:val="14"/>
          <w:color w:val="auto"/>
        </w:rPr>
        <w:t xml:space="preserve">7.2.1 </w:t>
      </w:r>
      <w:r>
        <w:rPr>
          <w:rFonts w:ascii="Arial" w:cs="Arial" w:eastAsia="Arial" w:hAnsi="Arial"/>
          <w:sz w:val="14"/>
          <w:szCs w:val="14"/>
          <w:u w:val="single" w:color="auto"/>
          <w:color w:val="auto"/>
        </w:rPr>
        <w:t>Clinical Supply Agreement</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Effective Date, the Parties shall enter into good faith negotiations regarding the terms of a clinical supply agreement, pursuant to which MacroGenics shall provide clinical supply of Program Antibodies and/or Licensed Products for (a) </w:t>
      </w:r>
      <w:r>
        <w:rPr>
          <w:rFonts w:ascii="Arial" w:cs="Arial" w:eastAsia="Arial" w:hAnsi="Arial"/>
          <w:sz w:val="14"/>
          <w:szCs w:val="14"/>
          <w:b w:val="1"/>
          <w:bCs w:val="1"/>
          <w:color w:val="auto"/>
        </w:rPr>
        <w:t>***</w:t>
      </w:r>
      <w:r>
        <w:rPr>
          <w:rFonts w:ascii="Arial" w:cs="Arial" w:eastAsia="Arial" w:hAnsi="Arial"/>
          <w:sz w:val="14"/>
          <w:szCs w:val="14"/>
          <w:color w:val="auto"/>
        </w:rPr>
        <w:t xml:space="preserve"> (b) at MacroGenics’ option, Clinical Trials of Licensed Products conducted by Servier and its Affiliates and Sublicensees other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of Licensed Products to be conducted by Servier and its Affiliates and Sublicensees (the “</w:t>
      </w:r>
      <w:r>
        <w:rPr>
          <w:rFonts w:ascii="Arial" w:cs="Arial" w:eastAsia="Arial" w:hAnsi="Arial"/>
          <w:sz w:val="14"/>
          <w:szCs w:val="14"/>
          <w:u w:val="single" w:color="auto"/>
          <w:color w:val="auto"/>
        </w:rPr>
        <w:t>Clinical Supply Agreement</w:t>
      </w:r>
      <w:r>
        <w:rPr>
          <w:rFonts w:ascii="Arial" w:cs="Arial" w:eastAsia="Arial" w:hAnsi="Arial"/>
          <w:sz w:val="14"/>
          <w:szCs w:val="14"/>
          <w:color w:val="auto"/>
        </w:rPr>
        <w:t>”). The cost for such supply of Program Antibodies and/or Licensed Products for Clinical Trials shall be equal to MacroGenics’ Fully Burdened Manufacturing Cost; ***. The Fully Burdened Manufacturing Cost for supply of Program Antibodies and/or Licensed Products for clinical trials used by Servier in connection with the Development of a Program Antibodies and/or Licensed Products outside the Global Development Plan shall be invoiced by MacroGenics on a quarterly basis.</w:t>
      </w:r>
    </w:p>
    <w:p>
      <w:pPr>
        <w:spacing w:after="0" w:line="112" w:lineRule="exact"/>
        <w:rPr>
          <w:sz w:val="20"/>
          <w:szCs w:val="20"/>
          <w:color w:val="auto"/>
        </w:rPr>
      </w:pPr>
    </w:p>
    <w:p>
      <w:pPr>
        <w:ind w:right="160" w:firstLine="917"/>
        <w:spacing w:after="0" w:line="258" w:lineRule="auto"/>
        <w:rPr>
          <w:sz w:val="20"/>
          <w:szCs w:val="20"/>
          <w:color w:val="auto"/>
        </w:rPr>
      </w:pPr>
      <w:r>
        <w:rPr>
          <w:rFonts w:ascii="Arial" w:cs="Arial" w:eastAsia="Arial" w:hAnsi="Arial"/>
          <w:sz w:val="14"/>
          <w:szCs w:val="14"/>
          <w:color w:val="auto"/>
        </w:rPr>
        <w:t xml:space="preserve">7.2.2 </w:t>
      </w:r>
      <w:r>
        <w:rPr>
          <w:rFonts w:ascii="Arial" w:cs="Arial" w:eastAsia="Arial" w:hAnsi="Arial"/>
          <w:sz w:val="14"/>
          <w:szCs w:val="14"/>
          <w:u w:val="single" w:color="auto"/>
          <w:color w:val="auto"/>
        </w:rPr>
        <w:t>Commercial Supply Agreement</w:t>
      </w:r>
      <w:r>
        <w:rPr>
          <w:rFonts w:ascii="Arial" w:cs="Arial" w:eastAsia="Arial" w:hAnsi="Arial"/>
          <w:sz w:val="14"/>
          <w:szCs w:val="14"/>
          <w:color w:val="auto"/>
        </w:rPr>
        <w:t>. Following the License Grant Date, if requested by Servier, the Parties shall enter into good faith negotiations regarding the terms of a quality and supply agreement, pursuant to which MacroGenics shall provide commercial supply of Program Antibodies and/or Licensed Products to Servier and its Affiliates and Sublicensees (the “</w:t>
      </w:r>
      <w:r>
        <w:rPr>
          <w:rFonts w:ascii="Arial" w:cs="Arial" w:eastAsia="Arial" w:hAnsi="Arial"/>
          <w:sz w:val="14"/>
          <w:szCs w:val="14"/>
          <w:u w:val="single" w:color="auto"/>
          <w:color w:val="auto"/>
        </w:rPr>
        <w:t>Commercial Supply</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8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26" w:name="page827"/>
    <w:bookmarkEnd w:id="82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COMMERCIALIZATION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ARTICLE 8 shall apply during the License Term.</w:t>
      </w:r>
    </w:p>
    <w:p>
      <w:pPr>
        <w:spacing w:after="0" w:line="132" w:lineRule="exact"/>
        <w:rPr>
          <w:sz w:val="20"/>
          <w:szCs w:val="20"/>
          <w:color w:val="auto"/>
        </w:rPr>
      </w:pPr>
    </w:p>
    <w:p>
      <w:pPr>
        <w:ind w:firstLine="458"/>
        <w:spacing w:after="0" w:line="255"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Overview</w:t>
      </w:r>
      <w:r>
        <w:rPr>
          <w:rFonts w:ascii="Arial" w:cs="Arial" w:eastAsia="Arial" w:hAnsi="Arial"/>
          <w:sz w:val="14"/>
          <w:szCs w:val="14"/>
          <w:color w:val="auto"/>
        </w:rPr>
        <w:t>. Servier shall have sole control and responsibility for the Commercialization of Licensed Products in the Servier Territory and shall bear all costs and expenses associated with the Commercialization of Licensed Products in the Servier Territory. MacroGenics shall have sole control and responsibility for the Commercialization of Licensed Products in the MacroGenics Territory and shall bear all costs and expenses associated with the Commercialization of Licensed Products in the MacroGenics Territory. The Party with responsibility for Commercialization in a territory and field shall be referred to as the “</w:t>
      </w:r>
      <w:r>
        <w:rPr>
          <w:rFonts w:ascii="Arial" w:cs="Arial" w:eastAsia="Arial" w:hAnsi="Arial"/>
          <w:sz w:val="14"/>
          <w:szCs w:val="14"/>
          <w:u w:val="single" w:color="auto"/>
          <w:color w:val="auto"/>
        </w:rPr>
        <w:t>Commercializing Party</w:t>
      </w:r>
      <w:r>
        <w:rPr>
          <w:rFonts w:ascii="Arial" w:cs="Arial" w:eastAsia="Arial" w:hAnsi="Arial"/>
          <w:sz w:val="14"/>
          <w:szCs w:val="14"/>
          <w:color w:val="auto"/>
        </w:rPr>
        <w:t>” for such territory.</w:t>
      </w:r>
    </w:p>
    <w:p>
      <w:pPr>
        <w:spacing w:after="0" w:line="110" w:lineRule="exact"/>
        <w:rPr>
          <w:sz w:val="20"/>
          <w:szCs w:val="20"/>
          <w:color w:val="auto"/>
        </w:rPr>
      </w:pPr>
    </w:p>
    <w:p>
      <w:pPr>
        <w:ind w:right="540" w:firstLine="458"/>
        <w:spacing w:after="0" w:line="267"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Sales and Distribution</w:t>
      </w:r>
      <w:r>
        <w:rPr>
          <w:rFonts w:ascii="Arial" w:cs="Arial" w:eastAsia="Arial" w:hAnsi="Arial"/>
          <w:sz w:val="14"/>
          <w:szCs w:val="14"/>
          <w:color w:val="auto"/>
        </w:rPr>
        <w:t>. It is understood that as between the Parties, the Commercializing Party shall be solely responsible for handling all returns, order processing, invoicing and collection, distribution, and receivables for Licensed Products in the applicable territory and indication.</w:t>
      </w:r>
    </w:p>
    <w:p>
      <w:pPr>
        <w:spacing w:after="0" w:line="101" w:lineRule="exact"/>
        <w:rPr>
          <w:sz w:val="20"/>
          <w:szCs w:val="20"/>
          <w:color w:val="auto"/>
        </w:rPr>
      </w:pPr>
    </w:p>
    <w:p>
      <w:pPr>
        <w:ind w:right="160" w:firstLine="458"/>
        <w:spacing w:after="0" w:line="321" w:lineRule="auto"/>
        <w:rPr>
          <w:sz w:val="20"/>
          <w:szCs w:val="20"/>
          <w:color w:val="auto"/>
        </w:rPr>
      </w:pPr>
      <w:r>
        <w:rPr>
          <w:rFonts w:ascii="Arial" w:cs="Arial" w:eastAsia="Arial" w:hAnsi="Arial"/>
          <w:sz w:val="12"/>
          <w:szCs w:val="12"/>
          <w:color w:val="auto"/>
        </w:rPr>
        <w:t>8.3 Ex-Territory Sales. Subject to applicable Law, neither Party shall engage in any advertising or promotional activities relating to Licensed Product directed primarily to customers or other buyers or users of Licensed Product located outside its territory or accept orders for Licensed Products from or sell Licensed Products into such other Party’s territory for its own account or for the Commercializing Party’s account, and if such other Party receives any order for Licensed Products in the Commercializing Party’s territory, it shall refer such orders to the Commercializing Party for acceptance 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-259715</wp:posOffset>
            </wp:positionV>
            <wp:extent cx="654685"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54685" cy="6350"/>
                    </a:xfrm>
                    <a:prstGeom prst="rect">
                      <a:avLst/>
                    </a:prstGeom>
                    <a:noFill/>
                  </pic:spPr>
                </pic:pic>
              </a:graphicData>
            </a:graphic>
          </wp:anchor>
        </w:drawing>
      </w:r>
    </w:p>
    <w:p>
      <w:pPr>
        <w:spacing w:after="0" w:line="53" w:lineRule="exact"/>
        <w:rPr>
          <w:sz w:val="20"/>
          <w:szCs w:val="20"/>
          <w:color w:val="auto"/>
        </w:rPr>
      </w:pPr>
    </w:p>
    <w:p>
      <w:pPr>
        <w:ind w:right="80" w:firstLine="458"/>
        <w:spacing w:after="0" w:line="255"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Commercialization Plan for Licensed Territory</w:t>
      </w:r>
      <w:r>
        <w:rPr>
          <w:rFonts w:ascii="Arial" w:cs="Arial" w:eastAsia="Arial" w:hAnsi="Arial"/>
          <w:sz w:val="14"/>
          <w:szCs w:val="14"/>
          <w:color w:val="auto"/>
        </w:rPr>
        <w:t xml:space="preserve">. Servier shall pursue Commercialization of Licensed Products in the Servier Territory, in accordance with its normal business practices for its internal products at a similar stage. Servier shall deliver an initial Commercialization plan to MacroGenics no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the anticipated date of the first filing of the first BLA for a Licensed Product in the Servier Territory (the “</w:t>
      </w:r>
      <w:r>
        <w:rPr>
          <w:rFonts w:ascii="Arial" w:cs="Arial" w:eastAsia="Arial" w:hAnsi="Arial"/>
          <w:sz w:val="14"/>
          <w:szCs w:val="14"/>
          <w:u w:val="single" w:color="auto"/>
          <w:color w:val="auto"/>
        </w:rPr>
        <w:t>Commercialization Plan</w:t>
      </w:r>
      <w:r>
        <w:rPr>
          <w:rFonts w:ascii="Arial" w:cs="Arial" w:eastAsia="Arial" w:hAnsi="Arial"/>
          <w:sz w:val="14"/>
          <w:szCs w:val="14"/>
          <w:color w:val="auto"/>
        </w:rPr>
        <w:t>”). After the establishment of the initial Commercialization Plan, Servier shall prepare updates and amendments to such Commercialization Plan at least annually and deliver such updated Commercialization Plan to MacroGenics no later than March 31</w:t>
      </w:r>
      <w:r>
        <w:rPr>
          <w:rFonts w:ascii="Arial" w:cs="Arial" w:eastAsia="Arial" w:hAnsi="Arial"/>
          <w:sz w:val="8"/>
          <w:szCs w:val="8"/>
          <w:color w:val="auto"/>
        </w:rPr>
        <w:t>st</w:t>
      </w:r>
      <w:r>
        <w:rPr>
          <w:rFonts w:ascii="Arial" w:cs="Arial" w:eastAsia="Arial" w:hAnsi="Arial"/>
          <w:sz w:val="14"/>
          <w:szCs w:val="14"/>
          <w:color w:val="auto"/>
        </w:rPr>
        <w:t xml:space="preserve"> of each Calendar Year.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Trademarks</w:t>
      </w:r>
      <w:r>
        <w:rPr>
          <w:rFonts w:ascii="Arial" w:cs="Arial" w:eastAsia="Arial" w:hAnsi="Arial"/>
          <w:sz w:val="14"/>
          <w:szCs w:val="14"/>
          <w:color w:val="auto"/>
        </w:rPr>
        <w:t>.</w:t>
      </w:r>
    </w:p>
    <w:p>
      <w:pPr>
        <w:spacing w:after="0" w:line="69" w:lineRule="exact"/>
        <w:rPr>
          <w:sz w:val="20"/>
          <w:szCs w:val="20"/>
          <w:color w:val="auto"/>
        </w:rPr>
      </w:pPr>
    </w:p>
    <w:p>
      <w:pPr>
        <w:ind w:right="60" w:firstLine="917"/>
        <w:spacing w:after="0" w:line="258" w:lineRule="auto"/>
        <w:rPr>
          <w:sz w:val="20"/>
          <w:szCs w:val="20"/>
          <w:color w:val="auto"/>
        </w:rPr>
      </w:pPr>
      <w:r>
        <w:rPr>
          <w:rFonts w:ascii="Arial" w:cs="Arial" w:eastAsia="Arial" w:hAnsi="Arial"/>
          <w:sz w:val="14"/>
          <w:szCs w:val="14"/>
          <w:color w:val="auto"/>
        </w:rPr>
        <w:t xml:space="preserve">8.5.1 </w:t>
      </w:r>
      <w:r>
        <w:rPr>
          <w:rFonts w:ascii="Arial" w:cs="Arial" w:eastAsia="Arial" w:hAnsi="Arial"/>
          <w:sz w:val="14"/>
          <w:szCs w:val="14"/>
          <w:u w:val="single" w:color="auto"/>
          <w:color w:val="auto"/>
        </w:rPr>
        <w:t>Generally</w:t>
      </w:r>
      <w:r>
        <w:rPr>
          <w:rFonts w:ascii="Arial" w:cs="Arial" w:eastAsia="Arial" w:hAnsi="Arial"/>
          <w:sz w:val="14"/>
          <w:szCs w:val="14"/>
          <w:color w:val="auto"/>
        </w:rPr>
        <w:t>. Servier and its Affiliates shall select their own trademarks under which they will market Licensed Products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such trademark shall contain the word “MacroGenics”) and shall own such trademarks. MacroGenics and its Affiliates shall select their own trademarks under which they will market Licensed Products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such trademark shall contain the word “Servier” or “Les Laboratoires Servier”) and shall own such trademarks.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8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827" w:name="page828"/>
    <w:bookmarkEnd w:id="827"/>
    <w:p>
      <w:pPr>
        <w:ind w:right="80" w:firstLine="917"/>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8.5.2 </w:t>
      </w:r>
      <w:r>
        <w:rPr>
          <w:rFonts w:ascii="Arial" w:cs="Arial" w:eastAsia="Arial" w:hAnsi="Arial"/>
          <w:sz w:val="14"/>
          <w:szCs w:val="14"/>
          <w:u w:val="single" w:color="auto"/>
          <w:color w:val="auto"/>
        </w:rPr>
        <w:t>Acknowledgement</w:t>
      </w:r>
      <w:r>
        <w:rPr>
          <w:rFonts w:ascii="Arial" w:cs="Arial" w:eastAsia="Arial" w:hAnsi="Arial"/>
          <w:sz w:val="14"/>
          <w:szCs w:val="14"/>
          <w:color w:val="auto"/>
        </w:rPr>
        <w:t>. Servier shall use, in connection with all packaging, literature, labels and other printed matters, to the extent required by Law, and where reasonably practicable in light of space limitations, an expression to the effect that the Licensed Products were developed under license from MacroGenics, together with the MacroGenics logo. The provisions of this Section 8.5.2 shall not apply to primary packaging of the Licensed Products. Primary packaging shall mean packaging that is in direct contact with the Licensed Products or the Licensed Products themselves, including vials, blister packs, tablets and capsules.</w:t>
      </w:r>
    </w:p>
    <w:p>
      <w:pPr>
        <w:spacing w:after="0" w:line="110"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8.5.3 </w:t>
      </w:r>
      <w:r>
        <w:rPr>
          <w:rFonts w:ascii="Arial" w:cs="Arial" w:eastAsia="Arial" w:hAnsi="Arial"/>
          <w:sz w:val="14"/>
          <w:szCs w:val="14"/>
          <w:u w:val="single" w:color="auto"/>
          <w:color w:val="auto"/>
        </w:rPr>
        <w:t>Housemarks</w:t>
      </w:r>
      <w:r>
        <w:rPr>
          <w:rFonts w:ascii="Arial" w:cs="Arial" w:eastAsia="Arial" w:hAnsi="Arial"/>
          <w:sz w:val="14"/>
          <w:szCs w:val="14"/>
          <w:color w:val="auto"/>
        </w:rPr>
        <w:t>. Neither Party shall, and shall ensure that its Affiliates and sublicensees will not, make any use of the trademarks or house marks of the other Party or its Affiliates or licensees (including their corporate names) or any trademark confusingly similar thereto.</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Commercial Diligence</w:t>
      </w:r>
      <w:r>
        <w:rPr>
          <w:rFonts w:ascii="Arial" w:cs="Arial" w:eastAsia="Arial" w:hAnsi="Arial"/>
          <w:sz w:val="14"/>
          <w:szCs w:val="14"/>
          <w:color w:val="auto"/>
        </w:rPr>
        <w:t>. During the License Term, Servier shall use Commercially Reasonable Efforts to Commercialize the Products throughout the Servier Territory.</w:t>
      </w:r>
    </w:p>
    <w:p>
      <w:pPr>
        <w:spacing w:after="0" w:line="132" w:lineRule="exact"/>
        <w:rPr>
          <w:sz w:val="20"/>
          <w:szCs w:val="20"/>
          <w:color w:val="auto"/>
        </w:rPr>
      </w:pPr>
    </w:p>
    <w:p>
      <w:pPr>
        <w:ind w:right="260" w:firstLine="458"/>
        <w:spacing w:after="0" w:line="267"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Standards of Conduct</w:t>
      </w:r>
      <w:r>
        <w:rPr>
          <w:rFonts w:ascii="Arial" w:cs="Arial" w:eastAsia="Arial" w:hAnsi="Arial"/>
          <w:sz w:val="14"/>
          <w:szCs w:val="14"/>
          <w:color w:val="auto"/>
        </w:rPr>
        <w:t>. Each Party shall in all respects comply with all applicable Laws and applicable guidelines concerning the advertising, sales and marketing of prescription drug products in Commercializing Products under this Agreement, including any applicable local anti-bribery laws.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9</w:t>
      </w:r>
    </w:p>
    <w:p>
      <w:pPr>
        <w:spacing w:after="0" w:line="132"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PAYMENTS</w:t>
      </w:r>
    </w:p>
    <w:p>
      <w:pPr>
        <w:spacing w:after="0" w:line="134" w:lineRule="exact"/>
        <w:rPr>
          <w:sz w:val="20"/>
          <w:szCs w:val="20"/>
          <w:color w:val="auto"/>
        </w:rPr>
      </w:pPr>
    </w:p>
    <w:p>
      <w:pPr>
        <w:ind w:right="80" w:firstLine="458"/>
        <w:spacing w:after="0" w:line="351"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Option Grant Fee</w:t>
      </w:r>
      <w:r>
        <w:rPr>
          <w:rFonts w:ascii="Arial" w:cs="Arial" w:eastAsia="Arial" w:hAnsi="Arial"/>
          <w:sz w:val="12"/>
          <w:szCs w:val="12"/>
          <w:color w:val="auto"/>
        </w:rPr>
        <w:t>. In consideration for the Option as granted by MacroGenics to Servier hereunder and to review the Option Trigger Data Package, Servier shall pay MacroGenics a non-refundable, non-creditable payment of Twenty Million Dollars ($20,000,000) (the “</w:t>
      </w:r>
      <w:r>
        <w:rPr>
          <w:rFonts w:ascii="Arial" w:cs="Arial" w:eastAsia="Arial" w:hAnsi="Arial"/>
          <w:sz w:val="12"/>
          <w:szCs w:val="12"/>
          <w:u w:val="single" w:color="auto"/>
          <w:color w:val="auto"/>
        </w:rPr>
        <w:t>Option Grant Fee</w:t>
      </w:r>
      <w:r>
        <w:rPr>
          <w:rFonts w:ascii="Arial" w:cs="Arial" w:eastAsia="Arial" w:hAnsi="Arial"/>
          <w:sz w:val="12"/>
          <w:szCs w:val="12"/>
          <w:color w:val="auto"/>
        </w:rPr>
        <w:t>”) within *** after the Effective Date and the date of receipt of the corresponding invoice.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License Grant Fee</w:t>
      </w:r>
      <w:r>
        <w:rPr>
          <w:rFonts w:ascii="Arial" w:cs="Arial" w:eastAsia="Arial" w:hAnsi="Arial"/>
          <w:sz w:val="14"/>
          <w:szCs w:val="14"/>
          <w:color w:val="auto"/>
        </w:rPr>
        <w: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9.2.1 Upon exercise of the Option and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date of receipt of the corresponding invoice, Servier shall pay MacroGenics a non-refundable, non-creditable payment (the “</w:t>
      </w:r>
      <w:r>
        <w:rPr>
          <w:rFonts w:ascii="Arial" w:cs="Arial" w:eastAsia="Arial" w:hAnsi="Arial"/>
          <w:sz w:val="12"/>
          <w:szCs w:val="12"/>
          <w:u w:val="single" w:color="auto"/>
          <w:color w:val="auto"/>
        </w:rPr>
        <w:t>License Grant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Fee</w:t>
      </w:r>
      <w:r>
        <w:rPr>
          <w:rFonts w:ascii="Arial" w:cs="Arial" w:eastAsia="Arial" w:hAnsi="Arial"/>
          <w:sz w:val="14"/>
          <w:szCs w:val="14"/>
          <w:color w:val="auto"/>
        </w:rPr>
        <w:t>”) of</w:t>
      </w:r>
    </w:p>
    <w:p>
      <w:pPr>
        <w:spacing w:after="0" w:line="63" w:lineRule="exact"/>
        <w:rPr>
          <w:sz w:val="20"/>
          <w:szCs w:val="20"/>
          <w:color w:val="auto"/>
        </w:rPr>
      </w:pPr>
    </w:p>
    <w:p>
      <w:pPr>
        <w:ind w:left="1940" w:hanging="453"/>
        <w:spacing w:after="0"/>
        <w:tabs>
          <w:tab w:leader="none" w:pos="1940" w:val="left"/>
        </w:tabs>
        <w:numPr>
          <w:ilvl w:val="0"/>
          <w:numId w:val="987"/>
        </w:numPr>
        <w:rPr>
          <w:rFonts w:ascii="Arial" w:cs="Arial" w:eastAsia="Arial" w:hAnsi="Arial"/>
          <w:sz w:val="14"/>
          <w:szCs w:val="14"/>
          <w:color w:val="auto"/>
        </w:rPr>
      </w:pPr>
      <w:r>
        <w:rPr>
          <w:rFonts w:ascii="Arial" w:cs="Arial" w:eastAsia="Arial" w:hAnsi="Arial"/>
          <w:sz w:val="14"/>
          <w:szCs w:val="14"/>
          <w:color w:val="auto"/>
        </w:rPr>
        <w:t>*** if by the date of the exercise of the Option, ***; or</w:t>
      </w:r>
    </w:p>
    <w:p>
      <w:pPr>
        <w:spacing w:after="0" w:line="68" w:lineRule="exact"/>
        <w:rPr>
          <w:rFonts w:ascii="Arial" w:cs="Arial" w:eastAsia="Arial" w:hAnsi="Arial"/>
          <w:sz w:val="14"/>
          <w:szCs w:val="14"/>
          <w:color w:val="auto"/>
        </w:rPr>
      </w:pPr>
    </w:p>
    <w:p>
      <w:pPr>
        <w:ind w:left="1940" w:hanging="453"/>
        <w:spacing w:after="0"/>
        <w:tabs>
          <w:tab w:leader="none" w:pos="1940" w:val="left"/>
        </w:tabs>
        <w:numPr>
          <w:ilvl w:val="0"/>
          <w:numId w:val="987"/>
        </w:numPr>
        <w:rPr>
          <w:rFonts w:ascii="Arial" w:cs="Arial" w:eastAsia="Arial" w:hAnsi="Arial"/>
          <w:sz w:val="14"/>
          <w:szCs w:val="14"/>
          <w:color w:val="auto"/>
        </w:rPr>
      </w:pPr>
      <w:r>
        <w:rPr>
          <w:rFonts w:ascii="Arial" w:cs="Arial" w:eastAsia="Arial" w:hAnsi="Arial"/>
          <w:sz w:val="14"/>
          <w:szCs w:val="14"/>
          <w:color w:val="auto"/>
        </w:rPr>
        <w:t>*** if by the date of the exercise of the Option, ***; or</w:t>
      </w:r>
    </w:p>
    <w:p>
      <w:pPr>
        <w:spacing w:after="0" w:line="68" w:lineRule="exact"/>
        <w:rPr>
          <w:rFonts w:ascii="Arial" w:cs="Arial" w:eastAsia="Arial" w:hAnsi="Arial"/>
          <w:sz w:val="14"/>
          <w:szCs w:val="14"/>
          <w:color w:val="auto"/>
        </w:rPr>
      </w:pPr>
    </w:p>
    <w:p>
      <w:pPr>
        <w:ind w:left="1940" w:hanging="453"/>
        <w:spacing w:after="0"/>
        <w:tabs>
          <w:tab w:leader="none" w:pos="1940" w:val="left"/>
        </w:tabs>
        <w:numPr>
          <w:ilvl w:val="0"/>
          <w:numId w:val="987"/>
        </w:numPr>
        <w:rPr>
          <w:rFonts w:ascii="Arial" w:cs="Arial" w:eastAsia="Arial" w:hAnsi="Arial"/>
          <w:sz w:val="14"/>
          <w:szCs w:val="14"/>
          <w:color w:val="auto"/>
        </w:rPr>
      </w:pPr>
      <w:r>
        <w:rPr>
          <w:rFonts w:ascii="Arial" w:cs="Arial" w:eastAsia="Arial" w:hAnsi="Arial"/>
          <w:sz w:val="14"/>
          <w:szCs w:val="14"/>
          <w:color w:val="auto"/>
        </w:rPr>
        <w:t>*** if by the date of the exercise of the Option, ***.</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8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828" w:name="page829"/>
    <w:bookmarkEnd w:id="828"/>
    <w:p>
      <w:pPr>
        <w:ind w:right="60" w:firstLine="917"/>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9.2.2 If Servier pays MacroGenics the License Grant Fee according to Section 9.2.1(a) or (b), Servier will, within *** after the date of receipt of the corresponding invoice, pay MacroGenics *** until Servier has paid MacroGenics a total of thirty million ($30,000,000) under Sections 9.2.1 and 9.2.2.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Development and Regulatory Milestones</w:t>
      </w:r>
      <w:r>
        <w:rPr>
          <w:rFonts w:ascii="Arial" w:cs="Arial" w:eastAsia="Arial" w:hAnsi="Arial"/>
          <w:sz w:val="14"/>
          <w:szCs w:val="14"/>
          <w:color w:val="auto"/>
        </w:rPr>
        <w:t>.</w:t>
      </w:r>
    </w:p>
    <w:p>
      <w:pPr>
        <w:spacing w:after="0" w:line="69" w:lineRule="exact"/>
        <w:rPr>
          <w:sz w:val="20"/>
          <w:szCs w:val="20"/>
          <w:color w:val="auto"/>
        </w:rPr>
      </w:pPr>
    </w:p>
    <w:p>
      <w:pPr>
        <w:ind w:right="220" w:firstLine="917"/>
        <w:spacing w:after="0" w:line="267" w:lineRule="auto"/>
        <w:rPr>
          <w:sz w:val="20"/>
          <w:szCs w:val="20"/>
          <w:color w:val="auto"/>
        </w:rPr>
      </w:pPr>
      <w:r>
        <w:rPr>
          <w:rFonts w:ascii="Arial" w:cs="Arial" w:eastAsia="Arial" w:hAnsi="Arial"/>
          <w:sz w:val="14"/>
          <w:szCs w:val="14"/>
          <w:color w:val="auto"/>
        </w:rPr>
        <w:t xml:space="preserve">9.3.1 </w:t>
      </w:r>
      <w:r>
        <w:rPr>
          <w:rFonts w:ascii="Arial" w:cs="Arial" w:eastAsia="Arial" w:hAnsi="Arial"/>
          <w:sz w:val="14"/>
          <w:szCs w:val="14"/>
          <w:u w:val="single" w:color="auto"/>
          <w:color w:val="auto"/>
        </w:rPr>
        <w:t>Research Term Development Milestones</w:t>
      </w:r>
      <w:r>
        <w:rPr>
          <w:rFonts w:ascii="Arial" w:cs="Arial" w:eastAsia="Arial" w:hAnsi="Arial"/>
          <w:sz w:val="14"/>
          <w:szCs w:val="14"/>
          <w:color w:val="auto"/>
        </w:rPr>
        <w:t>. Servier shall pay to MacroGenics the non-refundable, non-creditable amount of Ten Million Dollars ($10,000,000) upon closing of the first subject in the first expansion cohort of the initial Phase 1 Clinical Trial, but in no event before October 1</w:t>
      </w:r>
      <w:r>
        <w:rPr>
          <w:rFonts w:ascii="Arial" w:cs="Arial" w:eastAsia="Arial" w:hAnsi="Arial"/>
          <w:sz w:val="8"/>
          <w:szCs w:val="8"/>
          <w:color w:val="auto"/>
        </w:rPr>
        <w:t>st</w:t>
      </w:r>
      <w:r>
        <w:rPr>
          <w:rFonts w:ascii="Arial" w:cs="Arial" w:eastAsia="Arial" w:hAnsi="Arial"/>
          <w:sz w:val="14"/>
          <w:szCs w:val="14"/>
          <w:color w:val="auto"/>
        </w:rPr>
        <w:t>, 2012.</w:t>
      </w:r>
    </w:p>
    <w:p>
      <w:pPr>
        <w:spacing w:after="0" w:line="101"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9.3.2 </w:t>
      </w:r>
      <w:r>
        <w:rPr>
          <w:rFonts w:ascii="Arial" w:cs="Arial" w:eastAsia="Arial" w:hAnsi="Arial"/>
          <w:sz w:val="14"/>
          <w:szCs w:val="14"/>
          <w:u w:val="single" w:color="auto"/>
          <w:color w:val="auto"/>
        </w:rPr>
        <w:t>License Term Development and Regulatory Milestones</w:t>
      </w:r>
      <w:r>
        <w:rPr>
          <w:rFonts w:ascii="Arial" w:cs="Arial" w:eastAsia="Arial" w:hAnsi="Arial"/>
          <w:sz w:val="14"/>
          <w:szCs w:val="14"/>
          <w:color w:val="auto"/>
        </w:rPr>
        <w:t>. During the License Term, for each milestone set forth in Section 9.3.2, Servier shall pay the corresponding *** amount indicated for that milestone for the first instance of its achievement:</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0"/>
                <w:szCs w:val="10"/>
                <w:color w:val="auto"/>
              </w:rPr>
              <w:t>Milestone Event</w:t>
            </w:r>
          </w:p>
        </w:tc>
        <w:tc>
          <w:tcPr>
            <w:tcW w:w="2520" w:type="dxa"/>
            <w:vAlign w:val="bottom"/>
            <w:gridSpan w:val="2"/>
          </w:tcPr>
          <w:p>
            <w:pPr>
              <w:jc w:val="center"/>
              <w:ind w:left="2094"/>
              <w:spacing w:after="0"/>
              <w:rPr>
                <w:sz w:val="20"/>
                <w:szCs w:val="20"/>
                <w:color w:val="auto"/>
              </w:rPr>
            </w:pPr>
            <w:r>
              <w:rPr>
                <w:rFonts w:ascii="Arial" w:cs="Arial" w:eastAsia="Arial" w:hAnsi="Arial"/>
                <w:sz w:val="10"/>
                <w:szCs w:val="10"/>
                <w:color w:val="auto"/>
                <w:w w:val="91"/>
              </w:rPr>
              <w:t>Payment</w:t>
            </w:r>
          </w:p>
        </w:tc>
      </w:tr>
      <w:tr>
        <w:trPr>
          <w:trHeight w:val="140"/>
        </w:trPr>
        <w:tc>
          <w:tcPr>
            <w:tcW w:w="1380" w:type="dxa"/>
            <w:vAlign w:val="bottom"/>
          </w:tcPr>
          <w:p>
            <w:pPr>
              <w:spacing w:after="0"/>
              <w:rPr>
                <w:sz w:val="12"/>
                <w:szCs w:val="12"/>
                <w:color w:val="auto"/>
              </w:rPr>
            </w:pPr>
          </w:p>
        </w:tc>
        <w:tc>
          <w:tcPr>
            <w:tcW w:w="7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4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67"/>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4"/>
                <w:szCs w:val="14"/>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173"/>
        </w:trPr>
        <w:tc>
          <w:tcPr>
            <w:tcW w:w="21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4540" w:type="dxa"/>
            <w:vAlign w:val="bottom"/>
          </w:tcPr>
          <w:p>
            <w:pPr>
              <w:spacing w:after="0"/>
              <w:rPr>
                <w:sz w:val="15"/>
                <w:szCs w:val="15"/>
                <w:color w:val="auto"/>
              </w:rPr>
            </w:pPr>
          </w:p>
        </w:tc>
        <w:tc>
          <w:tcPr>
            <w:tcW w:w="2520" w:type="dxa"/>
            <w:vAlign w:val="bottom"/>
            <w:gridSpan w:val="2"/>
          </w:tcPr>
          <w:p>
            <w:pPr>
              <w:jc w:val="center"/>
              <w:ind w:left="2094"/>
              <w:spacing w:after="0"/>
              <w:rPr>
                <w:sz w:val="20"/>
                <w:szCs w:val="20"/>
                <w:color w:val="auto"/>
              </w:rPr>
            </w:pPr>
            <w:r>
              <w:rPr>
                <w:rFonts w:ascii="Arial" w:cs="Arial" w:eastAsia="Arial" w:hAnsi="Arial"/>
                <w:sz w:val="14"/>
                <w:szCs w:val="14"/>
                <w:color w:val="auto"/>
              </w:rPr>
              <w:t>***</w:t>
            </w:r>
          </w:p>
        </w:tc>
      </w:tr>
      <w:tr>
        <w:trPr>
          <w:trHeight w:val="293"/>
        </w:trPr>
        <w:tc>
          <w:tcPr>
            <w:tcW w:w="6640" w:type="dxa"/>
            <w:vAlign w:val="bottom"/>
            <w:gridSpan w:val="3"/>
          </w:tcPr>
          <w:p>
            <w:pPr>
              <w:spacing w:after="0"/>
              <w:rPr>
                <w:sz w:val="20"/>
                <w:szCs w:val="20"/>
                <w:color w:val="auto"/>
              </w:rPr>
            </w:pPr>
            <w:r>
              <w:rPr>
                <w:rFonts w:ascii="Arial" w:cs="Arial" w:eastAsia="Arial" w:hAnsi="Arial"/>
                <w:sz w:val="14"/>
                <w:szCs w:val="14"/>
                <w:color w:val="auto"/>
              </w:rPr>
              <w:t xml:space="preserve">In no event shall the total of the amounts paid under this Section 9.3.2 exceed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0" w:lineRule="exact"/>
        <w:rPr>
          <w:sz w:val="20"/>
          <w:szCs w:val="20"/>
          <w:color w:val="auto"/>
        </w:rPr>
      </w:pPr>
    </w:p>
    <w:p>
      <w:pPr>
        <w:ind w:right="140" w:firstLine="917"/>
        <w:spacing w:after="0" w:line="258" w:lineRule="auto"/>
        <w:rPr>
          <w:sz w:val="20"/>
          <w:szCs w:val="20"/>
          <w:color w:val="auto"/>
        </w:rPr>
      </w:pPr>
      <w:r>
        <w:rPr>
          <w:rFonts w:ascii="Arial" w:cs="Arial" w:eastAsia="Arial" w:hAnsi="Arial"/>
          <w:sz w:val="14"/>
          <w:szCs w:val="14"/>
          <w:color w:val="auto"/>
        </w:rPr>
        <w:t xml:space="preserve">9.3.3 </w:t>
      </w:r>
      <w:r>
        <w:rPr>
          <w:rFonts w:ascii="Arial" w:cs="Arial" w:eastAsia="Arial" w:hAnsi="Arial"/>
          <w:sz w:val="14"/>
          <w:szCs w:val="14"/>
          <w:u w:val="single" w:color="auto"/>
          <w:color w:val="auto"/>
        </w:rPr>
        <w:t>Milestone Payments</w:t>
      </w:r>
      <w:r>
        <w:rPr>
          <w:rFonts w:ascii="Arial" w:cs="Arial" w:eastAsia="Arial" w:hAnsi="Arial"/>
          <w:sz w:val="14"/>
          <w:szCs w:val="14"/>
          <w:color w:val="auto"/>
        </w:rPr>
        <w:t>. Servier shall make the milestone payments required by Section 9.4.1 and 9.3.2 in accordance with Section 9.3.6. If an event described in a clause in Section 9.3.2 occurs before or concurrently with another event described in a preceding clause in Section 9.3.2, Servier shall also pay the milestone payment described in such earlier clause when the milestone payment described in such later clause is paid.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40</w:t>
      </w:r>
    </w:p>
    <w:p>
      <w:pPr>
        <w:spacing w:after="0" w:line="132" w:lineRule="exact"/>
        <w:rPr>
          <w:sz w:val="20"/>
          <w:szCs w:val="20"/>
          <w:color w:val="auto"/>
        </w:rPr>
      </w:pPr>
    </w:p>
    <w:p>
      <w:pPr>
        <w:ind w:left="3840" w:right="2540" w:hanging="1139"/>
        <w:spacing w:after="0" w:line="351" w:lineRule="auto"/>
        <w:tabs>
          <w:tab w:leader="none" w:pos="2940" w:val="left"/>
        </w:tabs>
        <w:numPr>
          <w:ilvl w:val="0"/>
          <w:numId w:val="98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00"/>
          </w:cols>
          <w:pgMar w:left="220" w:top="247" w:right="379" w:bottom="1440" w:gutter="0" w:footer="0" w:header="0"/>
        </w:sectPr>
      </w:pPr>
    </w:p>
    <w:bookmarkStart w:id="829" w:name="page830"/>
    <w:bookmarkEnd w:id="829"/>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9.3.4 </w:t>
      </w:r>
      <w:r>
        <w:rPr>
          <w:rFonts w:ascii="Arial" w:cs="Arial" w:eastAsia="Arial" w:hAnsi="Arial"/>
          <w:sz w:val="14"/>
          <w:szCs w:val="14"/>
          <w:u w:val="single" w:color="auto"/>
          <w:color w:val="auto"/>
        </w:rPr>
        <w:t>Follow-On Products</w:t>
      </w:r>
      <w:r>
        <w:rPr>
          <w:rFonts w:ascii="Arial" w:cs="Arial" w:eastAsia="Arial" w:hAnsi="Arial"/>
          <w:sz w:val="14"/>
          <w:szCs w:val="14"/>
          <w:color w:val="auto"/>
        </w:rPr>
        <w:t>.</w:t>
      </w:r>
    </w:p>
    <w:p>
      <w:pPr>
        <w:spacing w:after="0" w:line="69" w:lineRule="exact"/>
        <w:rPr>
          <w:sz w:val="20"/>
          <w:szCs w:val="20"/>
          <w:color w:val="auto"/>
        </w:rPr>
      </w:pPr>
    </w:p>
    <w:p>
      <w:pPr>
        <w:ind w:left="1680" w:hanging="187"/>
        <w:spacing w:after="0"/>
        <w:tabs>
          <w:tab w:leader="none" w:pos="1680" w:val="left"/>
        </w:tabs>
        <w:numPr>
          <w:ilvl w:val="0"/>
          <w:numId w:val="990"/>
        </w:numPr>
        <w:rPr>
          <w:rFonts w:ascii="Arial" w:cs="Arial" w:eastAsia="Arial" w:hAnsi="Arial"/>
          <w:sz w:val="14"/>
          <w:szCs w:val="14"/>
          <w:color w:val="auto"/>
        </w:rPr>
      </w:pPr>
      <w:r>
        <w:rPr>
          <w:rFonts w:ascii="Arial" w:cs="Arial" w:eastAsia="Arial" w:hAnsi="Arial"/>
          <w:sz w:val="14"/>
          <w:szCs w:val="14"/>
          <w:color w:val="auto"/>
        </w:rPr>
        <w:t>Subject to the terms of this Agreement, ***.</w:t>
      </w:r>
    </w:p>
    <w:p>
      <w:pPr>
        <w:spacing w:after="0" w:line="131" w:lineRule="exact"/>
        <w:rPr>
          <w:rFonts w:ascii="Arial" w:cs="Arial" w:eastAsia="Arial" w:hAnsi="Arial"/>
          <w:sz w:val="14"/>
          <w:szCs w:val="14"/>
          <w:color w:val="auto"/>
        </w:rPr>
      </w:pPr>
    </w:p>
    <w:p>
      <w:pPr>
        <w:ind w:right="100" w:firstLine="1493"/>
        <w:spacing w:after="0" w:line="311" w:lineRule="auto"/>
        <w:tabs>
          <w:tab w:leader="none" w:pos="1682" w:val="left"/>
        </w:tabs>
        <w:numPr>
          <w:ilvl w:val="0"/>
          <w:numId w:val="990"/>
        </w:numPr>
        <w:rPr>
          <w:rFonts w:ascii="Arial" w:cs="Arial" w:eastAsia="Arial" w:hAnsi="Arial"/>
          <w:sz w:val="12"/>
          <w:szCs w:val="12"/>
          <w:color w:val="auto"/>
        </w:rPr>
      </w:pPr>
      <w:r>
        <w:rPr>
          <w:rFonts w:ascii="Arial" w:cs="Arial" w:eastAsia="Arial" w:hAnsi="Arial"/>
          <w:sz w:val="12"/>
          <w:szCs w:val="12"/>
          <w:color w:val="auto"/>
        </w:rPr>
        <w:t>If prior to the time at which a milestone payment pursuant to Section 9.3.4(a) is to be made with respect to a subsequent Licensed Product, the first Licensed Product has been substituted by a subsequent Licensed Product or development of the first Licensed Product has been discontinued, then the achievement by such subsequent Licensed Product of a milestone event to the extent the corresponding milestone payment under Section 9.3.2 has not been made with respect to such substituted or discontinued first Licensed Product, shall be deemed to be achievement of the corresponding milestone event under Section 9.3.2 by the first Licensed Product entitling MacroGenics to the corresponding milestone payment under Section 9.3.2.</w:t>
      </w:r>
    </w:p>
    <w:p>
      <w:pPr>
        <w:spacing w:after="0" w:line="79" w:lineRule="exact"/>
        <w:rPr>
          <w:sz w:val="20"/>
          <w:szCs w:val="20"/>
          <w:color w:val="auto"/>
        </w:rPr>
      </w:pPr>
    </w:p>
    <w:p>
      <w:pPr>
        <w:ind w:firstLine="917"/>
        <w:spacing w:after="0" w:line="253" w:lineRule="auto"/>
        <w:rPr>
          <w:sz w:val="20"/>
          <w:szCs w:val="20"/>
          <w:color w:val="auto"/>
        </w:rPr>
      </w:pPr>
      <w:r>
        <w:rPr>
          <w:rFonts w:ascii="Arial" w:cs="Arial" w:eastAsia="Arial" w:hAnsi="Arial"/>
          <w:sz w:val="14"/>
          <w:szCs w:val="14"/>
          <w:color w:val="auto"/>
        </w:rPr>
        <w:t xml:space="preserve">9.3.5 </w:t>
      </w:r>
      <w:r>
        <w:rPr>
          <w:rFonts w:ascii="Arial" w:cs="Arial" w:eastAsia="Arial" w:hAnsi="Arial"/>
          <w:sz w:val="14"/>
          <w:szCs w:val="14"/>
          <w:u w:val="single" w:color="auto"/>
          <w:color w:val="auto"/>
        </w:rPr>
        <w:t>Reductions in Milestones Payable for Phase 3 Clinical Trials</w:t>
      </w:r>
      <w:r>
        <w:rPr>
          <w:rFonts w:ascii="Arial" w:cs="Arial" w:eastAsia="Arial" w:hAnsi="Arial"/>
          <w:sz w:val="14"/>
          <w:szCs w:val="14"/>
          <w:color w:val="auto"/>
        </w:rPr>
        <w:t xml:space="preserve">. In the event that the conduct by Servier of a Phase 1 Clinical Trial or Phase 2 Clinical Trial for Licensed Product in accordance with the Research Plan results in Servier, its Affiliates or Sublicensees conducting a Phase 3 Clinical Trial for Licensed Product under the Global Development Plan in the same Indication as that studied in such Phase 1 Clinical Trial or Phase 2 Clinical Trial, </w:t>
      </w:r>
      <w:r>
        <w:rPr>
          <w:rFonts w:ascii="Arial" w:cs="Arial" w:eastAsia="Arial" w:hAnsi="Arial"/>
          <w:sz w:val="14"/>
          <w:szCs w:val="14"/>
          <w:b w:val="1"/>
          <w:bCs w:val="1"/>
          <w:color w:val="auto"/>
        </w:rPr>
        <w:t>***</w:t>
      </w:r>
      <w:r>
        <w:rPr>
          <w:rFonts w:ascii="Arial" w:cs="Arial" w:eastAsia="Arial" w:hAnsi="Arial"/>
          <w:sz w:val="14"/>
          <w:szCs w:val="14"/>
          <w:color w:val="auto"/>
        </w:rPr>
        <w:t xml:space="preserve">. Prior to the initiation of any such Phase 3 Clinical Trial, Servier shall provide MacroGenics </w:t>
      </w:r>
      <w:r>
        <w:rPr>
          <w:rFonts w:ascii="Arial" w:cs="Arial" w:eastAsia="Arial" w:hAnsi="Arial"/>
          <w:sz w:val="14"/>
          <w:szCs w:val="14"/>
          <w:b w:val="1"/>
          <w:bCs w:val="1"/>
          <w:color w:val="auto"/>
        </w:rPr>
        <w:t>***</w:t>
      </w:r>
      <w:r>
        <w:rPr>
          <w:rFonts w:ascii="Arial" w:cs="Arial" w:eastAsia="Arial" w:hAnsi="Arial"/>
          <w:sz w:val="14"/>
          <w:szCs w:val="14"/>
          <w:color w:val="auto"/>
        </w:rPr>
        <w:t>. MacroGenics shall have the right to have an independent public accountant reasonably acceptable to Servier audit Servier’s books and records solely for purposes of verifying such Development Costs, upon reasonable advance notice and during Servier’s business hours, subject to the confidentiality provisions of ARTICLE 11.</w:t>
      </w:r>
    </w:p>
    <w:p>
      <w:pPr>
        <w:spacing w:after="0" w:line="113" w:lineRule="exact"/>
        <w:rPr>
          <w:sz w:val="20"/>
          <w:szCs w:val="20"/>
          <w:color w:val="auto"/>
        </w:rPr>
      </w:pPr>
    </w:p>
    <w:p>
      <w:pPr>
        <w:ind w:right="480" w:firstLine="917"/>
        <w:spacing w:after="0" w:line="267" w:lineRule="auto"/>
        <w:rPr>
          <w:sz w:val="20"/>
          <w:szCs w:val="20"/>
          <w:color w:val="auto"/>
        </w:rPr>
      </w:pPr>
      <w:r>
        <w:rPr>
          <w:rFonts w:ascii="Arial" w:cs="Arial" w:eastAsia="Arial" w:hAnsi="Arial"/>
          <w:sz w:val="14"/>
          <w:szCs w:val="14"/>
          <w:color w:val="auto"/>
        </w:rPr>
        <w:t xml:space="preserve">9.3.6 </w:t>
      </w:r>
      <w:r>
        <w:rPr>
          <w:rFonts w:ascii="Arial" w:cs="Arial" w:eastAsia="Arial" w:hAnsi="Arial"/>
          <w:sz w:val="14"/>
          <w:szCs w:val="14"/>
          <w:u w:val="single" w:color="auto"/>
          <w:color w:val="auto"/>
        </w:rPr>
        <w:t>Notification; Payment</w:t>
      </w:r>
      <w:r>
        <w:rPr>
          <w:rFonts w:ascii="Arial" w:cs="Arial" w:eastAsia="Arial" w:hAnsi="Arial"/>
          <w:sz w:val="14"/>
          <w:szCs w:val="14"/>
          <w:color w:val="auto"/>
        </w:rPr>
        <w:t>. Servier shall promptly notify MacroGenics in writing of the first achievement of each of the milestones under this Section 9.3 (other than milestones under Section 9.3.1) and the corresponding milestone payment shall be due within *** after receipt of the corresponding invoice from MacroGenics.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Sales Milestones</w:t>
      </w:r>
      <w:r>
        <w:rPr>
          <w:rFonts w:ascii="Arial" w:cs="Arial" w:eastAsia="Arial" w:hAnsi="Arial"/>
          <w:sz w:val="14"/>
          <w:szCs w:val="14"/>
          <w:color w:val="auto"/>
        </w:rPr>
        <w:t>.</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9.4.1 </w:t>
      </w:r>
      <w:r>
        <w:rPr>
          <w:rFonts w:ascii="Arial" w:cs="Arial" w:eastAsia="Arial" w:hAnsi="Arial"/>
          <w:sz w:val="12"/>
          <w:szCs w:val="12"/>
          <w:u w:val="single" w:color="auto"/>
          <w:color w:val="auto"/>
        </w:rPr>
        <w:t>Sales Milestone Payments</w:t>
      </w:r>
      <w:r>
        <w:rPr>
          <w:rFonts w:ascii="Arial" w:cs="Arial" w:eastAsia="Arial" w:hAnsi="Arial"/>
          <w:sz w:val="12"/>
          <w:szCs w:val="12"/>
          <w:color w:val="auto"/>
        </w:rPr>
        <w:t>. Servier shall make the *** payments to MacroGenics set forth below upon the earliest achievement of each of the corresponding milestone events by the first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Licensed Product to achieve such milestone:</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42"/>
        </w:trPr>
        <w:tc>
          <w:tcPr>
            <w:tcW w:w="7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Milestone Event</w:t>
            </w:r>
          </w:p>
        </w:tc>
        <w:tc>
          <w:tcPr>
            <w:tcW w:w="7060" w:type="dxa"/>
            <w:vAlign w:val="bottom"/>
            <w:gridSpan w:val="2"/>
          </w:tcPr>
          <w:p>
            <w:pPr>
              <w:jc w:val="center"/>
              <w:ind w:left="6635"/>
              <w:spacing w:after="0"/>
              <w:rPr>
                <w:sz w:val="20"/>
                <w:szCs w:val="20"/>
                <w:color w:val="auto"/>
              </w:rPr>
            </w:pPr>
            <w:r>
              <w:rPr>
                <w:rFonts w:ascii="Arial" w:cs="Arial" w:eastAsia="Arial" w:hAnsi="Arial"/>
                <w:sz w:val="10"/>
                <w:szCs w:val="10"/>
                <w:color w:val="auto"/>
                <w:w w:val="91"/>
              </w:rPr>
              <w:t>Payment</w:t>
            </w:r>
          </w:p>
        </w:tc>
      </w:tr>
      <w:tr>
        <w:trPr>
          <w:trHeight w:val="140"/>
        </w:trPr>
        <w:tc>
          <w:tcPr>
            <w:tcW w:w="7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67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rPr>
              <w:t>***</w:t>
            </w:r>
          </w:p>
        </w:tc>
      </w:tr>
      <w:tr>
        <w:trPr>
          <w:trHeight w:val="167"/>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5"/>
              <w:spacing w:after="0"/>
              <w:rPr>
                <w:sz w:val="20"/>
                <w:szCs w:val="20"/>
                <w:color w:val="auto"/>
              </w:rPr>
            </w:pPr>
            <w:r>
              <w:rPr>
                <w:rFonts w:ascii="Arial" w:cs="Arial" w:eastAsia="Arial" w:hAnsi="Arial"/>
                <w:sz w:val="14"/>
                <w:szCs w:val="14"/>
                <w:color w:val="auto"/>
              </w:rPr>
              <w:t>***</w:t>
            </w:r>
          </w:p>
        </w:tc>
      </w:tr>
      <w:tr>
        <w:trPr>
          <w:trHeight w:val="167"/>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5"/>
              <w:spacing w:after="0"/>
              <w:rPr>
                <w:sz w:val="20"/>
                <w:szCs w:val="20"/>
                <w:color w:val="auto"/>
              </w:rPr>
            </w:pPr>
            <w:r>
              <w:rPr>
                <w:rFonts w:ascii="Arial" w:cs="Arial" w:eastAsia="Arial" w:hAnsi="Arial"/>
                <w:sz w:val="14"/>
                <w:szCs w:val="14"/>
                <w:color w:val="auto"/>
              </w:rPr>
              <w:t>***</w:t>
            </w:r>
          </w:p>
        </w:tc>
      </w:tr>
      <w:tr>
        <w:trPr>
          <w:trHeight w:val="173"/>
        </w:trPr>
        <w:tc>
          <w:tcPr>
            <w:tcW w:w="720" w:type="dxa"/>
            <w:vAlign w:val="bottom"/>
          </w:tcPr>
          <w:p>
            <w:pPr>
              <w:spacing w:after="0"/>
              <w:rPr>
                <w:sz w:val="20"/>
                <w:szCs w:val="20"/>
                <w:color w:val="auto"/>
              </w:rPr>
            </w:pPr>
            <w:r>
              <w:rPr>
                <w:rFonts w:ascii="Arial" w:cs="Arial" w:eastAsia="Arial" w:hAnsi="Arial"/>
                <w:sz w:val="14"/>
                <w:szCs w:val="14"/>
                <w:color w:val="auto"/>
              </w:rPr>
              <w:t>***</w:t>
            </w:r>
          </w:p>
        </w:tc>
        <w:tc>
          <w:tcPr>
            <w:tcW w:w="7060" w:type="dxa"/>
            <w:vAlign w:val="bottom"/>
            <w:gridSpan w:val="2"/>
          </w:tcPr>
          <w:p>
            <w:pPr>
              <w:jc w:val="center"/>
              <w:ind w:left="6635"/>
              <w:spacing w:after="0"/>
              <w:rPr>
                <w:sz w:val="20"/>
                <w:szCs w:val="20"/>
                <w:color w:val="auto"/>
              </w:rPr>
            </w:pPr>
            <w:r>
              <w:rPr>
                <w:rFonts w:ascii="Arial" w:cs="Arial" w:eastAsia="Arial" w:hAnsi="Arial"/>
                <w:sz w:val="14"/>
                <w:szCs w:val="14"/>
                <w:color w:val="auto"/>
              </w:rPr>
              <w:t>***</w:t>
            </w:r>
          </w:p>
        </w:tc>
      </w:tr>
      <w:tr>
        <w:trPr>
          <w:trHeight w:val="282"/>
        </w:trPr>
        <w:tc>
          <w:tcPr>
            <w:tcW w:w="720" w:type="dxa"/>
            <w:vAlign w:val="bottom"/>
          </w:tcPr>
          <w:p>
            <w:pPr>
              <w:spacing w:after="0"/>
              <w:rPr>
                <w:sz w:val="24"/>
                <w:szCs w:val="24"/>
                <w:color w:val="auto"/>
              </w:rPr>
            </w:pPr>
          </w:p>
        </w:tc>
        <w:tc>
          <w:tcPr>
            <w:tcW w:w="6700" w:type="dxa"/>
            <w:vAlign w:val="bottom"/>
          </w:tcPr>
          <w:p>
            <w:pPr>
              <w:jc w:val="right"/>
              <w:ind w:right="3395"/>
              <w:spacing w:after="0"/>
              <w:rPr>
                <w:sz w:val="20"/>
                <w:szCs w:val="20"/>
                <w:color w:val="auto"/>
              </w:rPr>
            </w:pPr>
            <w:r>
              <w:rPr>
                <w:rFonts w:ascii="Arial" w:cs="Arial" w:eastAsia="Arial" w:hAnsi="Arial"/>
                <w:sz w:val="14"/>
                <w:szCs w:val="14"/>
                <w:color w:val="auto"/>
              </w:rPr>
              <w:t>41</w:t>
            </w:r>
          </w:p>
        </w:tc>
        <w:tc>
          <w:tcPr>
            <w:tcW w:w="360" w:type="dxa"/>
            <w:vAlign w:val="bottom"/>
          </w:tcPr>
          <w:p>
            <w:pPr>
              <w:spacing w:after="0"/>
              <w:rPr>
                <w:sz w:val="24"/>
                <w:szCs w:val="24"/>
                <w:color w:val="auto"/>
              </w:rPr>
            </w:pPr>
          </w:p>
        </w:tc>
      </w:tr>
    </w:tbl>
    <w:p>
      <w:pPr>
        <w:spacing w:after="0" w:line="120" w:lineRule="exact"/>
        <w:rPr>
          <w:sz w:val="20"/>
          <w:szCs w:val="20"/>
          <w:color w:val="auto"/>
        </w:rPr>
      </w:pPr>
    </w:p>
    <w:p>
      <w:pPr>
        <w:ind w:left="3840" w:right="2640" w:hanging="1139"/>
        <w:spacing w:after="0" w:line="351" w:lineRule="auto"/>
        <w:tabs>
          <w:tab w:leader="none" w:pos="2940" w:val="left"/>
        </w:tabs>
        <w:numPr>
          <w:ilvl w:val="0"/>
          <w:numId w:val="99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8" w:right="279" w:bottom="1440" w:gutter="0" w:footer="0" w:header="0"/>
        </w:sectPr>
      </w:pPr>
    </w:p>
    <w:bookmarkStart w:id="830" w:name="page831"/>
    <w:bookmarkEnd w:id="830"/>
    <w:p>
      <w:pPr>
        <w:ind w:firstLine="917"/>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9.4.2 </w:t>
      </w:r>
      <w:r>
        <w:rPr>
          <w:rFonts w:ascii="Arial" w:cs="Arial" w:eastAsia="Arial" w:hAnsi="Arial"/>
          <w:sz w:val="12"/>
          <w:szCs w:val="12"/>
          <w:u w:val="single" w:color="auto"/>
          <w:color w:val="auto"/>
        </w:rPr>
        <w:t>Payment of Milestones</w:t>
      </w:r>
      <w:r>
        <w:rPr>
          <w:rFonts w:ascii="Arial" w:cs="Arial" w:eastAsia="Arial" w:hAnsi="Arial"/>
          <w:sz w:val="12"/>
          <w:szCs w:val="12"/>
          <w:color w:val="auto"/>
        </w:rPr>
        <w:t>. Servier shall make the milestone payments required by Section 9.4.1 in accordance with Section 9.6. If an event described in a clause in Section 9.4.1 occurs before or concurrently with another event described in a preceding clause in Section 9.4.1, Servier shall also pay the milestone payment described in such earlier clause when the milestone payment described in such later clause is paid. By way of example, if, during March 2015, ***, Servier shall pay MacroGenics the milestone payments set forth in both Sections 9.4.1(a) and (b).</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Royalties</w:t>
      </w:r>
      <w:r>
        <w:rPr>
          <w:rFonts w:ascii="Arial" w:cs="Arial" w:eastAsia="Arial" w:hAnsi="Arial"/>
          <w:sz w:val="14"/>
          <w:szCs w:val="14"/>
          <w:color w:val="auto"/>
        </w:rPr>
        <w:t>.</w:t>
      </w:r>
    </w:p>
    <w:p>
      <w:pPr>
        <w:spacing w:after="0" w:line="69"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9.5.1 Servier shall pay MacroGenics royalties on Net Sales of Licensed Products at the following rates with respect to all such Net Sales of such applicable Licensed Products achieved during the applicable Calendar Year:</w:t>
      </w:r>
    </w:p>
    <w:p>
      <w:pPr>
        <w:spacing w:after="0" w:line="133" w:lineRule="exact"/>
        <w:rPr>
          <w:sz w:val="20"/>
          <w:szCs w:val="20"/>
          <w:color w:val="auto"/>
        </w:rPr>
      </w:pPr>
    </w:p>
    <w:tbl>
      <w:tblPr>
        <w:tblLayout w:type="fixed"/>
        <w:tblInd w:w="1840" w:type="dxa"/>
        <w:tblCellMar>
          <w:top w:w="0" w:type="dxa"/>
          <w:left w:w="0" w:type="dxa"/>
          <w:bottom w:w="0" w:type="dxa"/>
          <w:right w:w="0" w:type="dxa"/>
        </w:tblCellMar>
      </w:tblPr>
      <w:tr>
        <w:trPr>
          <w:trHeight w:val="142"/>
        </w:trPr>
        <w:tc>
          <w:tcPr>
            <w:tcW w:w="1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9"/>
              </w:rPr>
              <w:t>Annual Net Sales Threshold</w:t>
            </w:r>
          </w:p>
        </w:tc>
        <w:tc>
          <w:tcPr>
            <w:tcW w:w="598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Royalty Rate</w:t>
            </w:r>
          </w:p>
        </w:tc>
      </w:tr>
      <w:tr>
        <w:trPr>
          <w:trHeight w:val="140"/>
        </w:trPr>
        <w:tc>
          <w:tcPr>
            <w:tcW w:w="126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5980" w:type="dxa"/>
            <w:vAlign w:val="bottom"/>
          </w:tcPr>
          <w:p>
            <w:pPr>
              <w:spacing w:after="0"/>
              <w:rPr>
                <w:sz w:val="12"/>
                <w:szCs w:val="12"/>
                <w:color w:val="auto"/>
              </w:rPr>
            </w:pPr>
          </w:p>
        </w:tc>
        <w:tc>
          <w:tcPr>
            <w:tcW w:w="540" w:type="dxa"/>
            <w:vAlign w:val="bottom"/>
          </w:tcPr>
          <w:p>
            <w:pPr>
              <w:jc w:val="center"/>
              <w:spacing w:after="0" w:line="141" w:lineRule="exact"/>
              <w:rPr>
                <w:sz w:val="20"/>
                <w:szCs w:val="20"/>
                <w:color w:val="auto"/>
              </w:rPr>
            </w:pPr>
            <w:r>
              <w:rPr>
                <w:rFonts w:ascii="Arial" w:cs="Arial" w:eastAsia="Arial" w:hAnsi="Arial"/>
                <w:sz w:val="14"/>
                <w:szCs w:val="14"/>
                <w:color w:val="auto"/>
              </w:rPr>
              <w:t>***</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r>
        <w:trPr>
          <w:trHeight w:val="173"/>
        </w:trPr>
        <w:tc>
          <w:tcPr>
            <w:tcW w:w="1260" w:type="dxa"/>
            <w:vAlign w:val="bottom"/>
          </w:tcPr>
          <w:p>
            <w:pPr>
              <w:spacing w:after="0"/>
              <w:rPr>
                <w:sz w:val="20"/>
                <w:szCs w:val="20"/>
                <w:color w:val="auto"/>
              </w:rPr>
            </w:pPr>
            <w:r>
              <w:rPr>
                <w:rFonts w:ascii="Arial" w:cs="Arial" w:eastAsia="Arial" w:hAnsi="Arial"/>
                <w:sz w:val="14"/>
                <w:szCs w:val="14"/>
                <w:color w:val="auto"/>
              </w:rPr>
              <w:t>***</w:t>
            </w:r>
          </w:p>
        </w:tc>
        <w:tc>
          <w:tcPr>
            <w:tcW w:w="6520" w:type="dxa"/>
            <w:vAlign w:val="bottom"/>
            <w:gridSpan w:val="2"/>
          </w:tcPr>
          <w:p>
            <w:pPr>
              <w:jc w:val="center"/>
              <w:ind w:left="5912"/>
              <w:spacing w:after="0"/>
              <w:rPr>
                <w:sz w:val="20"/>
                <w:szCs w:val="20"/>
                <w:color w:val="auto"/>
              </w:rPr>
            </w:pPr>
            <w:r>
              <w:rPr>
                <w:rFonts w:ascii="Arial" w:cs="Arial" w:eastAsia="Arial" w:hAnsi="Arial"/>
                <w:sz w:val="14"/>
                <w:szCs w:val="14"/>
                <w:color w:val="auto"/>
              </w:rPr>
              <w:t>***</w:t>
            </w:r>
          </w:p>
        </w:tc>
      </w:tr>
    </w:tbl>
    <w:p>
      <w:pPr>
        <w:spacing w:after="0" w:line="12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9.5.2 </w:t>
      </w:r>
      <w:r>
        <w:rPr>
          <w:rFonts w:ascii="Arial" w:cs="Arial" w:eastAsia="Arial" w:hAnsi="Arial"/>
          <w:sz w:val="12"/>
          <w:szCs w:val="12"/>
          <w:u w:val="single" w:color="auto"/>
          <w:color w:val="auto"/>
        </w:rPr>
        <w:t>Royalty Term</w:t>
      </w:r>
      <w:r>
        <w:rPr>
          <w:rFonts w:ascii="Arial" w:cs="Arial" w:eastAsia="Arial" w:hAnsi="Arial"/>
          <w:sz w:val="12"/>
          <w:szCs w:val="12"/>
          <w:color w:val="auto"/>
        </w:rPr>
        <w:t>. Servier’s royalty obligations to MacroGenics under this Section 9.5 shall expire on a country-by-country and Licensed Product-by-Licensed Product basis on the later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9.5.3 </w:t>
      </w:r>
      <w:r>
        <w:rPr>
          <w:rFonts w:ascii="Arial" w:cs="Arial" w:eastAsia="Arial" w:hAnsi="Arial"/>
          <w:sz w:val="14"/>
          <w:szCs w:val="14"/>
          <w:u w:val="single" w:color="auto"/>
          <w:color w:val="auto"/>
        </w:rPr>
        <w:t>Third Party Royalty Offset</w:t>
      </w:r>
      <w:r>
        <w:rPr>
          <w:rFonts w:ascii="Arial" w:cs="Arial" w:eastAsia="Arial" w:hAnsi="Arial"/>
          <w:sz w:val="14"/>
          <w:szCs w:val="14"/>
          <w:color w:val="auto"/>
        </w:rPr>
        <w:t>.</w:t>
      </w:r>
    </w:p>
    <w:p>
      <w:pPr>
        <w:spacing w:after="0" w:line="69" w:lineRule="exact"/>
        <w:rPr>
          <w:sz w:val="20"/>
          <w:szCs w:val="20"/>
          <w:color w:val="auto"/>
        </w:rPr>
      </w:pPr>
    </w:p>
    <w:p>
      <w:pPr>
        <w:ind w:firstLine="1493"/>
        <w:spacing w:after="0" w:line="294" w:lineRule="auto"/>
        <w:tabs>
          <w:tab w:leader="none" w:pos="1675" w:val="left"/>
        </w:tabs>
        <w:numPr>
          <w:ilvl w:val="0"/>
          <w:numId w:val="992"/>
        </w:numPr>
        <w:rPr>
          <w:rFonts w:ascii="Arial" w:cs="Arial" w:eastAsia="Arial" w:hAnsi="Arial"/>
          <w:sz w:val="12"/>
          <w:szCs w:val="12"/>
          <w:color w:val="auto"/>
        </w:rPr>
      </w:pPr>
      <w:r>
        <w:rPr>
          <w:rFonts w:ascii="Arial" w:cs="Arial" w:eastAsia="Arial" w:hAnsi="Arial"/>
          <w:sz w:val="12"/>
          <w:szCs w:val="12"/>
          <w:color w:val="auto"/>
        </w:rPr>
        <w:t>If after the License Grant Date, Servier, its Affiliates or its Sublicensee or designee (i) is required, as agreed by the Parties in good faith, ***, to obtain a license from any Third Party under an Identified Patent controlled by such Third Party in order to Manufacture, Develop, Commercialize or import a Program Antibody and/or a Licensed Product in any country in the Servier Territory, and pursuant to such license ***, or (ii) is required by any court of competent jurisdiction, due to infringement of an Identified Patent controlled by such Third Party in any country(ies) in the Servier Territory,</w:t>
      </w:r>
    </w:p>
    <w:p>
      <w:pPr>
        <w:ind w:right="120"/>
        <w:spacing w:after="0" w:line="341" w:lineRule="auto"/>
        <w:rPr>
          <w:rFonts w:ascii="Arial" w:cs="Arial" w:eastAsia="Arial" w:hAnsi="Arial"/>
          <w:sz w:val="12"/>
          <w:szCs w:val="12"/>
          <w:color w:val="auto"/>
        </w:rPr>
      </w:pPr>
      <w:r>
        <w:rPr>
          <w:rFonts w:ascii="Arial" w:cs="Arial" w:eastAsia="Arial" w:hAnsi="Arial"/>
          <w:sz w:val="12"/>
          <w:szCs w:val="12"/>
          <w:color w:val="auto"/>
        </w:rPr>
        <w:t>***, then Servier may deduct from the milestones (other than the milestone set forth in Section 9.3.1) and/or royalties that would otherwise be due to MacroGenics on Net Sales resulting from the sales of such Licensed Product in such country in a Calendar Quarter *** of the amount paid by Servier to such Third Party with respect to such Licensed Product for such country during such Calendar Quarter; ***.</w:t>
      </w:r>
    </w:p>
    <w:p>
      <w:pPr>
        <w:spacing w:after="0" w:line="61" w:lineRule="exact"/>
        <w:rPr>
          <w:rFonts w:ascii="Arial" w:cs="Arial" w:eastAsia="Arial" w:hAnsi="Arial"/>
          <w:sz w:val="12"/>
          <w:szCs w:val="12"/>
          <w:color w:val="auto"/>
        </w:rPr>
      </w:pPr>
    </w:p>
    <w:p>
      <w:pPr>
        <w:ind w:left="1680" w:hanging="187"/>
        <w:spacing w:after="0"/>
        <w:tabs>
          <w:tab w:leader="none" w:pos="1680" w:val="left"/>
        </w:tabs>
        <w:numPr>
          <w:ilvl w:val="0"/>
          <w:numId w:val="992"/>
        </w:numPr>
        <w:rPr>
          <w:rFonts w:ascii="Arial" w:cs="Arial" w:eastAsia="Arial" w:hAnsi="Arial"/>
          <w:sz w:val="12"/>
          <w:szCs w:val="12"/>
          <w:color w:val="auto"/>
        </w:rPr>
      </w:pPr>
      <w:r>
        <w:rPr>
          <w:rFonts w:ascii="Arial" w:cs="Arial" w:eastAsia="Arial" w:hAnsi="Arial"/>
          <w:sz w:val="12"/>
          <w:szCs w:val="12"/>
          <w:color w:val="auto"/>
        </w:rPr>
        <w:t>If, (i) in order to Manufacture, Develop, Commercialize or import a Program Antibody and/or a Licensed Product in any country in the Servier Territory, Servier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99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31" w:name="page832"/>
    <w:bookmarkEnd w:id="831"/>
    <w:p>
      <w:pPr>
        <w:ind w:right="8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its Affiliates or Sublicensees *** under a MacroGenics Third Party Agreement listed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as of the Effective Date ***, or (ii) after the License Grant Date, Servier or its sublicensee or designee: (A) is required, as agreed by the Parties in good faith, ***, to obtain a license from any Third Party under Patents (other than Identified Patents) controlled by such Third Party in order to make, have made, use, sell, offer for sale or import a Program Antibody and/or a Licensed Product in any country in the Servier Territory, and pursuant to such license ***, or (B) is required by any court of competent jurisdiction, due to infringement of patent rights (other than Identified Patents) controlled by such Third Party in any country(ies) in the Servier Territory, to pay such a royalty to such a Third Party based on sales of such Licensed Product in such country(ies), then Servier may deduct from the milestones and/or royalties that would otherwise be due to MacroGenics on Net Sales resulting from the sales of such Licensed Product in such country in a Calendar Quarter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paid by Servier to such Third Party with respect to such Licensed Product for such country during such Calendar Quarter; ***.</w:t>
      </w:r>
    </w:p>
    <w:p>
      <w:pPr>
        <w:spacing w:after="0" w:line="86" w:lineRule="exact"/>
        <w:rPr>
          <w:sz w:val="20"/>
          <w:szCs w:val="20"/>
          <w:color w:val="auto"/>
        </w:rPr>
      </w:pPr>
    </w:p>
    <w:p>
      <w:pPr>
        <w:ind w:right="120" w:firstLine="917"/>
        <w:spacing w:after="0" w:line="351" w:lineRule="auto"/>
        <w:rPr>
          <w:sz w:val="20"/>
          <w:szCs w:val="20"/>
          <w:color w:val="auto"/>
        </w:rPr>
      </w:pPr>
      <w:r>
        <w:rPr>
          <w:rFonts w:ascii="Arial" w:cs="Arial" w:eastAsia="Arial" w:hAnsi="Arial"/>
          <w:sz w:val="12"/>
          <w:szCs w:val="12"/>
          <w:color w:val="auto"/>
        </w:rPr>
        <w:t>9.5.4 If at any time following the First Commercial Sale, Generic Competition exists in any country of the Servier Territory, Servier shall deduct *** from the royalties that would otherwise be due to MacroGenics on Net Sales resulting from the sales of such Licensed Product in such country during the applicable Calendar Quarter in which such Generic Competition exists.</w:t>
      </w:r>
    </w:p>
    <w:p>
      <w:pPr>
        <w:spacing w:after="0" w:line="56" w:lineRule="exact"/>
        <w:rPr>
          <w:sz w:val="20"/>
          <w:szCs w:val="20"/>
          <w:color w:val="auto"/>
        </w:rPr>
      </w:pPr>
    </w:p>
    <w:p>
      <w:pPr>
        <w:ind w:right="200" w:firstLine="458"/>
        <w:spacing w:after="0" w:line="255"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Reports; Payments</w:t>
      </w:r>
      <w:r>
        <w:rPr>
          <w:rFonts w:ascii="Arial" w:cs="Arial" w:eastAsia="Arial" w:hAnsi="Arial"/>
          <w:sz w:val="14"/>
          <w:szCs w:val="14"/>
          <w:color w:val="auto"/>
        </w:rPr>
        <w:t>. Within *** after the end of each Calendar Quarter during which there are Net Sales giving rise to a payment obligation under Section 9.4 or 9.5, Servier shall submit to MacroGenics a report identifying for each Licensed Product, the Net Sales for such Licensed Product for each country in the Servier Territory for such Calendar Quarter, the calculation of royalties (including gross sales and all deductions taken from gross sales), and the royalties and the sales milestones payable to MacroGenics. Within *** of the delivery of each such report, Servier shall pay to MacroGenics all royalties and sales milestones payable by it under Sections 9.4 and 9.5.</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Methods of Payments</w:t>
      </w:r>
      <w:r>
        <w:rPr>
          <w:rFonts w:ascii="Arial" w:cs="Arial" w:eastAsia="Arial" w:hAnsi="Arial"/>
          <w:sz w:val="14"/>
          <w:szCs w:val="14"/>
          <w:color w:val="auto"/>
        </w:rPr>
        <w:t>.</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9.7.1 All payments due under this Agreement shall be paid in Dollars ***, by wire transfer to a bank in the United States designated in writing by MacroGenics.</w:t>
      </w:r>
    </w:p>
    <w:p>
      <w:pPr>
        <w:spacing w:after="0" w:line="132" w:lineRule="exact"/>
        <w:rPr>
          <w:sz w:val="20"/>
          <w:szCs w:val="20"/>
          <w:color w:val="auto"/>
        </w:rPr>
      </w:pPr>
    </w:p>
    <w:p>
      <w:pPr>
        <w:ind w:right="40" w:firstLine="917"/>
        <w:spacing w:after="0" w:line="351" w:lineRule="auto"/>
        <w:rPr>
          <w:sz w:val="20"/>
          <w:szCs w:val="20"/>
          <w:color w:val="auto"/>
        </w:rPr>
      </w:pPr>
      <w:r>
        <w:rPr>
          <w:rFonts w:ascii="Arial" w:cs="Arial" w:eastAsia="Arial" w:hAnsi="Arial"/>
          <w:sz w:val="12"/>
          <w:szCs w:val="12"/>
          <w:color w:val="auto"/>
        </w:rPr>
        <w:t>9.7.2 For the purposes of determining the amount of any sales milestone payment under Section 9.4 or royalties due for the relevant Calendar Quarter under Section 9.5, the amount of Net Sales in any non-Euro currency shall be converted into Euro using the average of daily closing rates of exchange published by European Central Bank for the monthly period in which Net Sales are accounted.</w:t>
      </w:r>
    </w:p>
    <w:p>
      <w:pPr>
        <w:spacing w:after="0" w:line="56" w:lineRule="exact"/>
        <w:rPr>
          <w:sz w:val="20"/>
          <w:szCs w:val="20"/>
          <w:color w:val="auto"/>
        </w:rPr>
      </w:pPr>
    </w:p>
    <w:p>
      <w:pPr>
        <w:ind w:firstLine="458"/>
        <w:spacing w:after="0" w:line="351"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u w:val="single" w:color="auto"/>
          <w:color w:val="auto"/>
        </w:rPr>
        <w:t>Late Payments</w:t>
      </w:r>
      <w:r>
        <w:rPr>
          <w:rFonts w:ascii="Arial" w:cs="Arial" w:eastAsia="Arial" w:hAnsi="Arial"/>
          <w:sz w:val="12"/>
          <w:szCs w:val="12"/>
          <w:color w:val="auto"/>
        </w:rPr>
        <w:t xml:space="preserve">. Any amount owed by Servier to MacroGenics under this Agreement that is not paid on or before the date such payment is due shall bear interest at a rate per annum equal to the lesser of (a) </w:t>
      </w:r>
      <w:r>
        <w:rPr>
          <w:rFonts w:ascii="Arial" w:cs="Arial" w:eastAsia="Arial" w:hAnsi="Arial"/>
          <w:sz w:val="12"/>
          <w:szCs w:val="12"/>
          <w:b w:val="1"/>
          <w:bCs w:val="1"/>
          <w:color w:val="auto"/>
        </w:rPr>
        <w:t>***</w:t>
      </w:r>
      <w:r>
        <w:rPr>
          <w:rFonts w:ascii="Arial" w:cs="Arial" w:eastAsia="Arial" w:hAnsi="Arial"/>
          <w:sz w:val="12"/>
          <w:szCs w:val="12"/>
          <w:color w:val="auto"/>
        </w:rPr>
        <w:t>, or (b) the highest rate permitted by applicable Law, calculated on the number of days such payments are paid after such payments are due and compounded monthly. ***.</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9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32" w:name="page833"/>
    <w:bookmarkEnd w:id="832"/>
    <w:p>
      <w:pPr>
        <w:ind w:right="40" w:firstLine="458"/>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9.9 </w:t>
      </w:r>
      <w:r>
        <w:rPr>
          <w:rFonts w:ascii="Arial" w:cs="Arial" w:eastAsia="Arial" w:hAnsi="Arial"/>
          <w:sz w:val="12"/>
          <w:szCs w:val="12"/>
          <w:u w:val="single" w:color="auto"/>
          <w:color w:val="auto"/>
        </w:rPr>
        <w:t>Taxes</w:t>
      </w:r>
      <w:r>
        <w:rPr>
          <w:rFonts w:ascii="Arial" w:cs="Arial" w:eastAsia="Arial" w:hAnsi="Arial"/>
          <w:sz w:val="12"/>
          <w:szCs w:val="12"/>
          <w:color w:val="auto"/>
        </w:rPr>
        <w:t>. All payment due and payable under this Agreement will be made without any deduction or withholding for on account of any tax by application of the Tax Treaty in force between France and The United States since August 31</w:t>
      </w:r>
      <w:r>
        <w:rPr>
          <w:rFonts w:ascii="Arial" w:cs="Arial" w:eastAsia="Arial" w:hAnsi="Arial"/>
          <w:sz w:val="7"/>
          <w:szCs w:val="7"/>
          <w:color w:val="auto"/>
        </w:rPr>
        <w:t>st</w:t>
      </w:r>
      <w:r>
        <w:rPr>
          <w:rFonts w:ascii="Arial" w:cs="Arial" w:eastAsia="Arial" w:hAnsi="Arial"/>
          <w:sz w:val="12"/>
          <w:szCs w:val="12"/>
          <w:color w:val="auto"/>
        </w:rPr>
        <w:t xml:space="preserve"> 1994 and in accordance with its amendment signed January 13</w:t>
      </w:r>
      <w:r>
        <w:rPr>
          <w:rFonts w:ascii="Arial" w:cs="Arial" w:eastAsia="Arial" w:hAnsi="Arial"/>
          <w:sz w:val="7"/>
          <w:szCs w:val="7"/>
          <w:color w:val="auto"/>
        </w:rPr>
        <w:t>th</w:t>
      </w:r>
      <w:r>
        <w:rPr>
          <w:rFonts w:ascii="Arial" w:cs="Arial" w:eastAsia="Arial" w:hAnsi="Arial"/>
          <w:sz w:val="12"/>
          <w:szCs w:val="12"/>
          <w:color w:val="auto"/>
        </w:rPr>
        <w:t xml:space="preserve"> 2009 which came into force retroactively January 1</w:t>
      </w:r>
      <w:r>
        <w:rPr>
          <w:rFonts w:ascii="Arial" w:cs="Arial" w:eastAsia="Arial" w:hAnsi="Arial"/>
          <w:sz w:val="7"/>
          <w:szCs w:val="7"/>
          <w:color w:val="auto"/>
        </w:rPr>
        <w:t>st</w:t>
      </w:r>
      <w:r>
        <w:rPr>
          <w:rFonts w:ascii="Arial" w:cs="Arial" w:eastAsia="Arial" w:hAnsi="Arial"/>
          <w:sz w:val="12"/>
          <w:szCs w:val="12"/>
          <w:color w:val="auto"/>
        </w:rPr>
        <w:t xml:space="preserve"> 2009, unless such deduction or withholding tax is required by applicable laws. If the paying Party is so required to deduct or withhold, such Party shall (a) promptly notify the other Party of such requirement, (b) pay to the relevant authorities the full amount required to be deducted or withheld promptly upon the earlier of determining that such deduction or withholding is required or receiving notice that such amount has been assessed against the other Party, and (c) promptly forward to the other Party an official receipt (or certified copy), or other documentation reasonably acceptable to the other Party evidencing such payment to such authorities.</w:t>
      </w:r>
    </w:p>
    <w:p>
      <w:pPr>
        <w:spacing w:after="0" w:line="84" w:lineRule="exact"/>
        <w:rPr>
          <w:sz w:val="20"/>
          <w:szCs w:val="20"/>
          <w:color w:val="auto"/>
        </w:rPr>
      </w:pPr>
    </w:p>
    <w:p>
      <w:pPr>
        <w:ind w:right="20" w:firstLine="458"/>
        <w:spacing w:after="0" w:line="297" w:lineRule="auto"/>
        <w:rPr>
          <w:sz w:val="20"/>
          <w:szCs w:val="20"/>
          <w:color w:val="auto"/>
        </w:rPr>
      </w:pPr>
      <w:r>
        <w:rPr>
          <w:rFonts w:ascii="Arial" w:cs="Arial" w:eastAsia="Arial" w:hAnsi="Arial"/>
          <w:sz w:val="12"/>
          <w:szCs w:val="12"/>
          <w:color w:val="auto"/>
        </w:rPr>
        <w:t xml:space="preserve">9.10 </w:t>
      </w:r>
      <w:r>
        <w:rPr>
          <w:rFonts w:ascii="Arial" w:cs="Arial" w:eastAsia="Arial" w:hAnsi="Arial"/>
          <w:sz w:val="12"/>
          <w:szCs w:val="12"/>
          <w:u w:val="single" w:color="auto"/>
          <w:color w:val="auto"/>
        </w:rPr>
        <w:t>Books and Records; Audit Rights</w:t>
      </w:r>
      <w:r>
        <w:rPr>
          <w:rFonts w:ascii="Arial" w:cs="Arial" w:eastAsia="Arial" w:hAnsi="Arial"/>
          <w:sz w:val="12"/>
          <w:szCs w:val="12"/>
          <w:color w:val="auto"/>
        </w:rPr>
        <w:t>. Each Party (the “</w:t>
      </w:r>
      <w:r>
        <w:rPr>
          <w:rFonts w:ascii="Arial" w:cs="Arial" w:eastAsia="Arial" w:hAnsi="Arial"/>
          <w:sz w:val="12"/>
          <w:szCs w:val="12"/>
          <w:u w:val="single" w:color="auto"/>
          <w:color w:val="auto"/>
        </w:rPr>
        <w:t>Audited Party</w:t>
      </w:r>
      <w:r>
        <w:rPr>
          <w:rFonts w:ascii="Arial" w:cs="Arial" w:eastAsia="Arial" w:hAnsi="Arial"/>
          <w:sz w:val="12"/>
          <w:szCs w:val="12"/>
          <w:color w:val="auto"/>
        </w:rPr>
        <w:t>”) shall keep (and, in the case of Servier, shall cause its Affiliates and Sublicensees to keep) complete, true and accurate books and records in accordance with its Accounting Standards in sufficient detail for the other Party (the “</w:t>
      </w:r>
      <w:r>
        <w:rPr>
          <w:rFonts w:ascii="Arial" w:cs="Arial" w:eastAsia="Arial" w:hAnsi="Arial"/>
          <w:sz w:val="12"/>
          <w:szCs w:val="12"/>
          <w:u w:val="single" w:color="auto"/>
          <w:color w:val="auto"/>
        </w:rPr>
        <w:t>Auditing Party</w:t>
      </w:r>
      <w:r>
        <w:rPr>
          <w:rFonts w:ascii="Arial" w:cs="Arial" w:eastAsia="Arial" w:hAnsi="Arial"/>
          <w:sz w:val="12"/>
          <w:szCs w:val="12"/>
          <w:color w:val="auto"/>
        </w:rPr>
        <w:t>”) to determine the payments due and costs incurred under this Agreement. Each Auditing Party shall have the right, once annually at its own expense, to have an independent, certified public accounting firm of nationally recognized standing, selected by the Auditing Party and reasonably acceptable to the Audited Party, review any such records of the Audited Party in the location(s) where such records are maintained by the Audited Party upon reasonable notice (which shall be no less than *** prior notice) and during regular business hours and under obligations of strict confidence, for the sole purpose of verifying the accuracy of the amounts paid under this Agreement within a *** period preceding the date of the request for review. The report of such accounting firm shall be limited to a certificate stating whether any report made or invoice or payment submitted by the Audited Party during such period is accurate or inaccurate and the actual amounts of Development Costs and the amount of any Net Sales, milestone or royalty discrepancy. No other information shall be provided to the Auditing Party. The Audited Party shall receive a copy of each such report concurrently with receipt by the Auditing Party. Should such inspection lead to the discovery of a discrepancy to the Auditing Party’s detriment, the Audited Party shall pay the amount of the discrepancy within *** after its receipt from the accounting firm of the certificate showing the amount of the discrepancy. The Auditing Party shall pay the full cost of the review unless the underpayment of milestones, royalties and/or Development Costs, is greater than *** of the amount due for the applicable period, in which case the Audited Party shall pay the reasonable costs charged by such accounting firm for such review.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OWNERSHIP OF INTELLECTUAL PROPERTY RIGHTS</w:t>
      </w:r>
    </w:p>
    <w:p>
      <w:pPr>
        <w:spacing w:after="0" w:line="126"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Inventorship</w:t>
      </w:r>
      <w:r>
        <w:rPr>
          <w:rFonts w:ascii="Arial" w:cs="Arial" w:eastAsia="Arial" w:hAnsi="Arial"/>
          <w:sz w:val="14"/>
          <w:szCs w:val="14"/>
          <w:color w:val="auto"/>
        </w:rPr>
        <w:t>. Inventorship for patentable inventions conceived or reduced to practice during the course of the performance of activities pursuant to this Agreement shall be determined in accordance with patent laws where the invention was invented.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Ownership</w:t>
      </w:r>
      <w:r>
        <w:rPr>
          <w:rFonts w:ascii="Arial" w:cs="Arial" w:eastAsia="Arial" w:hAnsi="Arial"/>
          <w:sz w:val="14"/>
          <w:szCs w:val="14"/>
          <w:color w:val="auto"/>
        </w:rPr>
        <w:t>. Subject to the licenses and rights granted to Servier under this Agreement, MacroGenics shall own the entire right, title and interest in and to all inventions and</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44</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99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33" w:name="page834"/>
    <w:bookmarkEnd w:id="833"/>
    <w:p>
      <w:pPr>
        <w:ind w:right="4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discoveries (and Patents claiming patentable inventions therein) first made or discovered solely by employees or consultants of MacroGenics or acquired solely by MacroGenics in the course of Research, Development, Manufacture or Commercialization of Program Antibodies and/or Licensed Products. Subject to the licenses and rights granted to MacroGenics under this Agreement, Servier shall own the entire right, title and interest in and to all inventions and discoveries (and Patents claiming patentable inventions therein) first made or discovered solely by employees or consultants of Servier or acquired solely by Servier in the course of Research, Development, Manufacture or Commercialization of Program Antibodies and/or Licensed Product. The Parties shall jointly own any Joint IP.</w:t>
      </w:r>
    </w:p>
    <w:p>
      <w:pPr>
        <w:spacing w:after="0" w:line="141" w:lineRule="exact"/>
        <w:rPr>
          <w:sz w:val="20"/>
          <w:szCs w:val="20"/>
          <w:color w:val="auto"/>
        </w:rPr>
      </w:pPr>
    </w:p>
    <w:p>
      <w:pPr>
        <w:jc w:val="center"/>
        <w:ind w:right="8020"/>
        <w:spacing w:after="0"/>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Prosecution and Maintenance of Patents</w:t>
      </w:r>
      <w:r>
        <w:rPr>
          <w:rFonts w:ascii="Arial" w:cs="Arial" w:eastAsia="Arial" w:hAnsi="Arial"/>
          <w:sz w:val="14"/>
          <w:szCs w:val="14"/>
          <w:color w:val="auto"/>
        </w:rPr>
        <w:t>.</w:t>
      </w:r>
    </w:p>
    <w:p>
      <w:pPr>
        <w:spacing w:after="0" w:line="69" w:lineRule="exact"/>
        <w:rPr>
          <w:sz w:val="20"/>
          <w:szCs w:val="20"/>
          <w:color w:val="auto"/>
        </w:rPr>
      </w:pPr>
    </w:p>
    <w:p>
      <w:pPr>
        <w:jc w:val="center"/>
        <w:ind w:right="8020"/>
        <w:spacing w:after="0"/>
        <w:rPr>
          <w:sz w:val="20"/>
          <w:szCs w:val="20"/>
          <w:color w:val="auto"/>
        </w:rPr>
      </w:pPr>
      <w:r>
        <w:rPr>
          <w:rFonts w:ascii="Arial" w:cs="Arial" w:eastAsia="Arial" w:hAnsi="Arial"/>
          <w:sz w:val="14"/>
          <w:szCs w:val="14"/>
          <w:color w:val="auto"/>
        </w:rPr>
        <w:t xml:space="preserve">10.3.1 </w:t>
      </w:r>
      <w:r>
        <w:rPr>
          <w:rFonts w:ascii="Arial" w:cs="Arial" w:eastAsia="Arial" w:hAnsi="Arial"/>
          <w:sz w:val="14"/>
          <w:szCs w:val="14"/>
          <w:u w:val="single" w:color="auto"/>
          <w:color w:val="auto"/>
        </w:rPr>
        <w:t>MacroGenics Patents</w:t>
      </w:r>
      <w:r>
        <w:rPr>
          <w:rFonts w:ascii="Arial" w:cs="Arial" w:eastAsia="Arial" w:hAnsi="Arial"/>
          <w:sz w:val="14"/>
          <w:szCs w:val="14"/>
          <w:color w:val="auto"/>
        </w:rPr>
        <w:t>.</w:t>
      </w:r>
    </w:p>
    <w:p>
      <w:pPr>
        <w:spacing w:after="0" w:line="69" w:lineRule="exact"/>
        <w:rPr>
          <w:sz w:val="20"/>
          <w:szCs w:val="20"/>
          <w:color w:val="auto"/>
        </w:rPr>
      </w:pPr>
    </w:p>
    <w:p>
      <w:pPr>
        <w:ind w:firstLine="1493"/>
        <w:spacing w:after="0" w:line="299" w:lineRule="auto"/>
        <w:tabs>
          <w:tab w:leader="none" w:pos="1675" w:val="left"/>
        </w:tabs>
        <w:numPr>
          <w:ilvl w:val="0"/>
          <w:numId w:val="996"/>
        </w:numPr>
        <w:rPr>
          <w:rFonts w:ascii="Arial" w:cs="Arial" w:eastAsia="Arial" w:hAnsi="Arial"/>
          <w:sz w:val="12"/>
          <w:szCs w:val="12"/>
          <w:color w:val="auto"/>
        </w:rPr>
      </w:pPr>
      <w:r>
        <w:rPr>
          <w:rFonts w:ascii="Arial" w:cs="Arial" w:eastAsia="Arial" w:hAnsi="Arial"/>
          <w:sz w:val="12"/>
          <w:szCs w:val="12"/>
          <w:color w:val="auto"/>
        </w:rPr>
        <w:t>MacroGenics shall have the sole right to, at MacroGenics’ discretion, file, prosecute, and maintain (including the defense of any interference or opposition proceedings), all MacroGenics Patents. ***. MacroGenics shall provide to Servier copies of all prosecution filings related to MacroGenics Patents comprising claims Covering Program Antibodies and/or Licensed Products (“</w:t>
      </w:r>
      <w:r>
        <w:rPr>
          <w:rFonts w:ascii="Arial" w:cs="Arial" w:eastAsia="Arial" w:hAnsi="Arial"/>
          <w:sz w:val="12"/>
          <w:szCs w:val="12"/>
          <w:u w:val="single" w:color="auto"/>
          <w:color w:val="auto"/>
        </w:rPr>
        <w:t>MacroGenics Product Patents</w:t>
      </w:r>
      <w:r>
        <w:rPr>
          <w:rFonts w:ascii="Arial" w:cs="Arial" w:eastAsia="Arial" w:hAnsi="Arial"/>
          <w:sz w:val="12"/>
          <w:szCs w:val="12"/>
          <w:color w:val="auto"/>
        </w:rPr>
        <w:t xml:space="preserve">”) sent to or received from patent offices in the Servier Territory, unless otherwise directed by Servier, and, with respect to patent applications having information not previously filed that is intended to be submitted to patent offices in the Servier Territory, shall provide Servier with a draft of each such filing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in advance of submission, provide Servier an opportunity to provide comments on and make request of MacroGenics concerning such filings and shall consider in good faith any comments regarding such draft application that Servier may timely provide. In addition, MacroGenics shall provide to Servier such other information related to prosecution of the MacroGenics Patents in the Servier Territory as Servier may from time to time reasonably request to allow Servier to track prosecution and maintenance of such Patents. If Servier no longer desires to retain its license under any MacroGenics Patent in the Servier Territory, and desires to ***, it shall have the right to terminate such license to such Patent, and ***,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Following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the Patent(s) referenced in such notice shall no longer be deemed a MacroGenics Patent(s) and Servier shall have no rights hereunder with respect to such Patent.</w:t>
      </w:r>
    </w:p>
    <w:p>
      <w:pPr>
        <w:spacing w:after="0" w:line="254" w:lineRule="exact"/>
        <w:rPr>
          <w:rFonts w:ascii="Arial" w:cs="Arial" w:eastAsia="Arial" w:hAnsi="Arial"/>
          <w:sz w:val="12"/>
          <w:szCs w:val="12"/>
          <w:color w:val="auto"/>
        </w:rPr>
      </w:pPr>
    </w:p>
    <w:p>
      <w:pPr>
        <w:ind w:right="20" w:firstLine="1493"/>
        <w:spacing w:after="0" w:line="305" w:lineRule="auto"/>
        <w:tabs>
          <w:tab w:leader="none" w:pos="1682" w:val="left"/>
        </w:tabs>
        <w:numPr>
          <w:ilvl w:val="0"/>
          <w:numId w:val="996"/>
        </w:numPr>
        <w:rPr>
          <w:rFonts w:ascii="Arial" w:cs="Arial" w:eastAsia="Arial" w:hAnsi="Arial"/>
          <w:sz w:val="12"/>
          <w:szCs w:val="12"/>
          <w:color w:val="auto"/>
        </w:rPr>
      </w:pPr>
      <w:r>
        <w:rPr>
          <w:rFonts w:ascii="Arial" w:cs="Arial" w:eastAsia="Arial" w:hAnsi="Arial"/>
          <w:sz w:val="12"/>
          <w:szCs w:val="12"/>
          <w:color w:val="auto"/>
        </w:rPr>
        <w:t>Subject to the requirements and limitations of the MacroGenics Third Party Agreements, with respect to the filing, prosecution and maintenance of the MacroGenics IP, including any rights of, and time-frames for, such Third Party licensors to comment on and review any filings and correspondence related thereto, in the event MacroGenics decides not to file a patent application on MacroGenics Know-How specific to Program Antibodies and/or Licensed Product in a country of the Servier Territory, or decides to abandon prosecution of any claim of a MacroGenics Product Patent in a country of the Servier Territory or decides to not otherwise maintain or extend any MacroGenics Product Patent in a country of the Servier Territory, MacroGenics shall give Servier written notice sufficiently in advance thereof. Unless MacroGenics’ discontinuation of filing, prosecution or maintenance of such MacroGenics Product Patent is in order to effect a settlement or to avoid an interference, opposition or other</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99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7" w:right="259" w:bottom="1440" w:gutter="0" w:footer="0" w:header="0"/>
        </w:sectPr>
      </w:pPr>
    </w:p>
    <w:bookmarkStart w:id="834" w:name="page835"/>
    <w:bookmarkEnd w:id="834"/>
    <w:p>
      <w:pPr>
        <w:ind w:right="1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proceeding in which the validity of such MacroGenics Product Patent may be determined or because another MacroGenics Product Patent of similar claim scope is being prosecuted or has been issued, Servier shall have the first right to file, prosecute, maintain and extend, as the case may be, such MacroGenics Product Patent, in Servier’s name, in such country.</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10.3.2 </w:t>
      </w:r>
      <w:r>
        <w:rPr>
          <w:rFonts w:ascii="Arial" w:cs="Arial" w:eastAsia="Arial" w:hAnsi="Arial"/>
          <w:sz w:val="14"/>
          <w:szCs w:val="14"/>
          <w:u w:val="single" w:color="auto"/>
          <w:color w:val="auto"/>
        </w:rPr>
        <w:t>Servier Collaboration Patents</w:t>
      </w:r>
    </w:p>
    <w:p>
      <w:pPr>
        <w:spacing w:after="0" w:line="69" w:lineRule="exact"/>
        <w:rPr>
          <w:sz w:val="20"/>
          <w:szCs w:val="20"/>
          <w:color w:val="auto"/>
        </w:rPr>
      </w:pPr>
    </w:p>
    <w:p>
      <w:pPr>
        <w:ind w:right="20" w:firstLine="1493"/>
        <w:spacing w:after="0" w:line="298" w:lineRule="auto"/>
        <w:tabs>
          <w:tab w:leader="none" w:pos="1675" w:val="left"/>
        </w:tabs>
        <w:numPr>
          <w:ilvl w:val="0"/>
          <w:numId w:val="998"/>
        </w:numPr>
        <w:rPr>
          <w:rFonts w:ascii="Arial" w:cs="Arial" w:eastAsia="Arial" w:hAnsi="Arial"/>
          <w:sz w:val="12"/>
          <w:szCs w:val="12"/>
          <w:color w:val="auto"/>
        </w:rPr>
      </w:pPr>
      <w:r>
        <w:rPr>
          <w:rFonts w:ascii="Arial" w:cs="Arial" w:eastAsia="Arial" w:hAnsi="Arial"/>
          <w:sz w:val="12"/>
          <w:szCs w:val="12"/>
          <w:color w:val="auto"/>
        </w:rPr>
        <w:t>Servier shall have the sole right to, at Servier’s discretion, file, prosecute, and maintain (including the defense of any interference or opposition proceedings), all Servier Collaboration Patents. MacroGenics shall reimburse Servier for the Out-of-Pocket Costs incurred in the filing, prosecution and maintenance of the Servier Collaboration Patents in the MacroGenics Territory. Servier shall provide to MacroGenics copies of all prosecution filings related to Servier Collaboration Patents comprising claims Covering Program Antibodies and/or Licensed Products (“</w:t>
      </w:r>
      <w:r>
        <w:rPr>
          <w:rFonts w:ascii="Arial" w:cs="Arial" w:eastAsia="Arial" w:hAnsi="Arial"/>
          <w:sz w:val="12"/>
          <w:szCs w:val="12"/>
          <w:u w:val="single" w:color="auto"/>
          <w:color w:val="auto"/>
        </w:rPr>
        <w:t>Servier Product</w:t>
      </w:r>
      <w:r>
        <w:rPr>
          <w:rFonts w:ascii="Arial" w:cs="Arial" w:eastAsia="Arial" w:hAnsi="Arial"/>
          <w:sz w:val="12"/>
          <w:szCs w:val="12"/>
          <w:color w:val="auto"/>
        </w:rPr>
        <w:t xml:space="preserve"> </w:t>
      </w:r>
      <w:r>
        <w:rPr>
          <w:rFonts w:ascii="Arial" w:cs="Arial" w:eastAsia="Arial" w:hAnsi="Arial"/>
          <w:sz w:val="12"/>
          <w:szCs w:val="12"/>
          <w:u w:val="single" w:color="auto"/>
          <w:color w:val="auto"/>
        </w:rPr>
        <w:t>Patents</w:t>
      </w:r>
      <w:r>
        <w:rPr>
          <w:rFonts w:ascii="Arial" w:cs="Arial" w:eastAsia="Arial" w:hAnsi="Arial"/>
          <w:sz w:val="12"/>
          <w:szCs w:val="12"/>
          <w:color w:val="auto"/>
        </w:rPr>
        <w:t xml:space="preserve">”) sent to or received from patent offices in the MacroGenics Territory, unless otherwise directed by MacroGenics, and, with respect to patent applications having information not previously filed that is intended to be submitted to patent offices in the MacroGenics Territory, shall provide MacroGenics with a draft of each such filing </w:t>
      </w:r>
      <w:r>
        <w:rPr>
          <w:rFonts w:ascii="Arial" w:cs="Arial" w:eastAsia="Arial" w:hAnsi="Arial"/>
          <w:sz w:val="12"/>
          <w:szCs w:val="12"/>
          <w:b w:val="1"/>
          <w:bCs w:val="1"/>
          <w:color w:val="auto"/>
        </w:rPr>
        <w:t>***</w:t>
      </w:r>
      <w:r>
        <w:rPr>
          <w:rFonts w:ascii="Arial" w:cs="Arial" w:eastAsia="Arial" w:hAnsi="Arial"/>
          <w:sz w:val="12"/>
          <w:szCs w:val="12"/>
          <w:color w:val="auto"/>
        </w:rPr>
        <w:t xml:space="preserve"> in advance of submission, provide MacroGenics an opportunity to provide comments on and make request of Servier concerning such filings and shall consider in good faith any comments regarding such draft application that MacroGenics may timely provide. In addition, Servier shall provide to MacroGenics such other information related to prosecution of the Servier Collaboration Patents in the MacroGenics Territory as MacroGenics may from time to time reasonably request to allow MacroGenics to track prosecution and maintenance of such Patents. If MacroGenics no longer desires to retain its license under any Servier Collaboration Patent in the MacroGenics Territory, and desires to cease payment of the costs of prosecution and maintenance thereof, it shall have the right to terminate such license to such Patent, and terminate reimbursement to Servier of such costs,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w:t>
      </w:r>
    </w:p>
    <w:p>
      <w:pPr>
        <w:spacing w:after="0" w:line="87" w:lineRule="exact"/>
        <w:rPr>
          <w:rFonts w:ascii="Arial" w:cs="Arial" w:eastAsia="Arial" w:hAnsi="Arial"/>
          <w:sz w:val="12"/>
          <w:szCs w:val="12"/>
          <w:color w:val="auto"/>
        </w:rPr>
      </w:pPr>
    </w:p>
    <w:p>
      <w:pPr>
        <w:ind w:right="120" w:firstLine="1493"/>
        <w:spacing w:after="0" w:line="305" w:lineRule="auto"/>
        <w:tabs>
          <w:tab w:leader="none" w:pos="1682" w:val="left"/>
        </w:tabs>
        <w:numPr>
          <w:ilvl w:val="0"/>
          <w:numId w:val="998"/>
        </w:numPr>
        <w:rPr>
          <w:rFonts w:ascii="Arial" w:cs="Arial" w:eastAsia="Arial" w:hAnsi="Arial"/>
          <w:sz w:val="12"/>
          <w:szCs w:val="12"/>
          <w:color w:val="auto"/>
        </w:rPr>
      </w:pPr>
      <w:r>
        <w:rPr>
          <w:rFonts w:ascii="Arial" w:cs="Arial" w:eastAsia="Arial" w:hAnsi="Arial"/>
          <w:sz w:val="12"/>
          <w:szCs w:val="12"/>
          <w:color w:val="auto"/>
        </w:rPr>
        <w:t>In the event Servier decides not to file a patent application on Servier Collaboration Know-How specific to Program Antibodies and/or Licensed Product, or decides to abandon prosecution of any claim of a Servier Product Patent or decides to not otherwise maintain or extend any Servier Product Patent, Servier shall give MacroGenics written notice sufficiently in advance thereof. Unless Servier’s discontinuation of filing, prosecution or maintenance of such Servier Product Patent is in order to effect a settlement or to avoid an interference, opposition or other proceeding in which the validity of such Servier Product Patent may be determined or because another Servier Product Patent of similar claim scope is being prosecuted or has been issued, MacroGenics shall have the first right to file, prosecute and maintain or extend at its costs, as the case may be, such Servier Product Patent, in MacroGenics’ name, in such country.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10.3.3 </w:t>
      </w:r>
      <w:r>
        <w:rPr>
          <w:rFonts w:ascii="Arial" w:cs="Arial" w:eastAsia="Arial" w:hAnsi="Arial"/>
          <w:sz w:val="14"/>
          <w:szCs w:val="14"/>
          <w:u w:val="single" w:color="auto"/>
          <w:color w:val="auto"/>
        </w:rPr>
        <w:t>Joint IP</w:t>
      </w:r>
      <w:r>
        <w:rPr>
          <w:rFonts w:ascii="Arial" w:cs="Arial" w:eastAsia="Arial" w:hAnsi="Arial"/>
          <w:sz w:val="14"/>
          <w:szCs w:val="14"/>
          <w:color w:val="auto"/>
        </w:rPr>
        <w:t>.</w:t>
      </w:r>
    </w:p>
    <w:p>
      <w:pPr>
        <w:spacing w:after="0" w:line="69" w:lineRule="exact"/>
        <w:rPr>
          <w:sz w:val="20"/>
          <w:szCs w:val="20"/>
          <w:color w:val="auto"/>
        </w:rPr>
      </w:pPr>
    </w:p>
    <w:p>
      <w:pPr>
        <w:ind w:firstLine="1493"/>
        <w:spacing w:after="0" w:line="267" w:lineRule="auto"/>
        <w:tabs>
          <w:tab w:leader="none" w:pos="1675" w:val="left"/>
        </w:tabs>
        <w:numPr>
          <w:ilvl w:val="0"/>
          <w:numId w:val="999"/>
        </w:numPr>
        <w:rPr>
          <w:rFonts w:ascii="Arial" w:cs="Arial" w:eastAsia="Arial" w:hAnsi="Arial"/>
          <w:sz w:val="14"/>
          <w:szCs w:val="14"/>
          <w:color w:val="auto"/>
        </w:rPr>
      </w:pPr>
      <w:r>
        <w:rPr>
          <w:rFonts w:ascii="Arial" w:cs="Arial" w:eastAsia="Arial" w:hAnsi="Arial"/>
          <w:sz w:val="14"/>
          <w:szCs w:val="14"/>
          <w:color w:val="auto"/>
        </w:rPr>
        <w:t>MacroGenics shall have the first right, at MacroGenics’ discretion, to file, prosecute, and maintain (including the defense of any interference or opposition proceedings), all Patents claiming patentable inventions included in the Joint IP (“</w:t>
      </w:r>
      <w:r>
        <w:rPr>
          <w:rFonts w:ascii="Arial" w:cs="Arial" w:eastAsia="Arial" w:hAnsi="Arial"/>
          <w:sz w:val="14"/>
          <w:szCs w:val="14"/>
          <w:u w:val="single" w:color="auto"/>
          <w:color w:val="auto"/>
        </w:rPr>
        <w:t>Joint Patents</w:t>
      </w:r>
      <w:r>
        <w:rPr>
          <w:rFonts w:ascii="Arial" w:cs="Arial" w:eastAsia="Arial" w:hAnsi="Arial"/>
          <w:sz w:val="14"/>
          <w:szCs w:val="14"/>
          <w:color w:val="auto"/>
        </w:rPr>
        <w: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0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35" w:name="page836"/>
    <w:bookmarkEnd w:id="835"/>
    <w:p>
      <w:pPr>
        <w:ind w:right="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the MacroGenics Territory, in the names of both MacroGenics and Servier. Servier shall have the first right, at Servier’s discretion, to file, prosecute, and maintain (including the defense of any interference or opposition proceedings), all Joint Patents in the Servier Territory, in the names of both MacroGenics and Servier.</w:t>
      </w:r>
    </w:p>
    <w:p>
      <w:pPr>
        <w:spacing w:after="0" w:line="101" w:lineRule="exact"/>
        <w:rPr>
          <w:sz w:val="20"/>
          <w:szCs w:val="20"/>
          <w:color w:val="auto"/>
        </w:rPr>
      </w:pPr>
    </w:p>
    <w:p>
      <w:pPr>
        <w:ind w:right="40" w:firstLine="1493"/>
        <w:spacing w:after="0" w:line="305" w:lineRule="auto"/>
        <w:tabs>
          <w:tab w:leader="none" w:pos="1682" w:val="left"/>
        </w:tabs>
        <w:numPr>
          <w:ilvl w:val="0"/>
          <w:numId w:val="1001"/>
        </w:numPr>
        <w:rPr>
          <w:rFonts w:ascii="Arial" w:cs="Arial" w:eastAsia="Arial" w:hAnsi="Arial"/>
          <w:sz w:val="12"/>
          <w:szCs w:val="12"/>
          <w:color w:val="auto"/>
        </w:rPr>
      </w:pPr>
      <w:r>
        <w:rPr>
          <w:rFonts w:ascii="Arial" w:cs="Arial" w:eastAsia="Arial" w:hAnsi="Arial"/>
          <w:sz w:val="12"/>
          <w:szCs w:val="12"/>
          <w:color w:val="auto"/>
        </w:rPr>
        <w:t>With respect to Joint Patents, if the Party with the responsibility for filing, prosecuting and maintaining such Patents in accordance with clause (a) above (the “</w:t>
      </w:r>
      <w:r>
        <w:rPr>
          <w:rFonts w:ascii="Arial" w:cs="Arial" w:eastAsia="Arial" w:hAnsi="Arial"/>
          <w:sz w:val="12"/>
          <w:szCs w:val="12"/>
          <w:u w:val="single" w:color="auto"/>
          <w:color w:val="auto"/>
        </w:rPr>
        <w:t>Responsible Party</w:t>
      </w:r>
      <w:r>
        <w:rPr>
          <w:rFonts w:ascii="Arial" w:cs="Arial" w:eastAsia="Arial" w:hAnsi="Arial"/>
          <w:sz w:val="12"/>
          <w:szCs w:val="12"/>
          <w:color w:val="auto"/>
        </w:rPr>
        <w:t>”) elects not to seek or continue to seek or maintain patent protection on any Joint Patent in its territory, the other Party shall have the right to seek, prosecute and maintain patent protection on such Joint Patent in the other Party’s name and the Responsible Party shall assign its entire right, title and interest in such Joint Patent to the other Party. The Responsible Party shall use Commercially Reasonable Efforts to make available to the other Party its authorized attorneys, agents or representatives, and to assist the other Party in obtaining and maintaining such patent protection. The Responsible Party shall sign or use Commercially Reasonable Efforts to have signed all legal documents necessary to file and prosecute such patent applications or to obtain or maintain such patents.</w:t>
      </w:r>
    </w:p>
    <w:p>
      <w:pPr>
        <w:spacing w:after="0" w:line="84" w:lineRule="exact"/>
        <w:rPr>
          <w:rFonts w:ascii="Arial" w:cs="Arial" w:eastAsia="Arial" w:hAnsi="Arial"/>
          <w:sz w:val="12"/>
          <w:szCs w:val="12"/>
          <w:color w:val="auto"/>
        </w:rPr>
      </w:pPr>
    </w:p>
    <w:p>
      <w:pPr>
        <w:jc w:val="both"/>
        <w:ind w:right="120" w:firstLine="1493"/>
        <w:spacing w:after="0" w:line="311" w:lineRule="auto"/>
        <w:tabs>
          <w:tab w:leader="none" w:pos="1675" w:val="left"/>
        </w:tabs>
        <w:numPr>
          <w:ilvl w:val="0"/>
          <w:numId w:val="1001"/>
        </w:numPr>
        <w:rPr>
          <w:rFonts w:ascii="Arial" w:cs="Arial" w:eastAsia="Arial" w:hAnsi="Arial"/>
          <w:sz w:val="12"/>
          <w:szCs w:val="12"/>
          <w:color w:val="auto"/>
        </w:rPr>
      </w:pPr>
      <w:r>
        <w:rPr>
          <w:rFonts w:ascii="Arial" w:cs="Arial" w:eastAsia="Arial" w:hAnsi="Arial"/>
          <w:sz w:val="12"/>
          <w:szCs w:val="12"/>
          <w:color w:val="auto"/>
        </w:rPr>
        <w:t>The Parties shall establish procedures to coordinate the filing and prosecution of Joint Patent. With respect to Joint Patents, the Responsible Party shall provide the other Party, within *** after submitting or receiving such filings or correspondence, with copies of all filings and correspondence submitted to and received from patent offices and, with respect to substantive filings and correspondence to be submitted to patent offices, shall use reasonable efforts to provide the other Party with drafts of such filings and correspondence reasonably in advance of submission and shall consider in good faith any comments regarding such filings and correspondence that the other Party may timely provide.</w:t>
      </w:r>
    </w:p>
    <w:p>
      <w:pPr>
        <w:spacing w:after="0" w:line="78" w:lineRule="exact"/>
        <w:rPr>
          <w:rFonts w:ascii="Arial" w:cs="Arial" w:eastAsia="Arial" w:hAnsi="Arial"/>
          <w:sz w:val="12"/>
          <w:szCs w:val="12"/>
          <w:color w:val="auto"/>
        </w:rPr>
      </w:pPr>
    </w:p>
    <w:p>
      <w:pPr>
        <w:ind w:left="1680" w:hanging="187"/>
        <w:spacing w:after="0"/>
        <w:tabs>
          <w:tab w:leader="none" w:pos="1680" w:val="left"/>
        </w:tabs>
        <w:numPr>
          <w:ilvl w:val="0"/>
          <w:numId w:val="1001"/>
        </w:numPr>
        <w:rPr>
          <w:rFonts w:ascii="Arial" w:cs="Arial" w:eastAsia="Arial" w:hAnsi="Arial"/>
          <w:sz w:val="14"/>
          <w:szCs w:val="14"/>
          <w:color w:val="auto"/>
        </w:rPr>
      </w:pPr>
      <w:r>
        <w:rPr>
          <w:rFonts w:ascii="Arial" w:cs="Arial" w:eastAsia="Arial" w:hAnsi="Arial"/>
          <w:sz w:val="14"/>
          <w:szCs w:val="14"/>
          <w:color w:val="auto"/>
        </w:rPr>
        <w:t>Each Party shall be responsible for the costs and expenses it occurs in connection with the filing, prosecution and maintenance of Joint Patents.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Third Party Infringement</w:t>
      </w:r>
      <w:r>
        <w:rPr>
          <w:rFonts w:ascii="Arial" w:cs="Arial" w:eastAsia="Arial" w:hAnsi="Arial"/>
          <w:sz w:val="14"/>
          <w:szCs w:val="14"/>
          <w:color w:val="auto"/>
        </w:rPr>
        <w:t>.</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10.4.1 </w:t>
      </w:r>
      <w:r>
        <w:rPr>
          <w:rFonts w:ascii="Arial" w:cs="Arial" w:eastAsia="Arial" w:hAnsi="Arial"/>
          <w:sz w:val="12"/>
          <w:szCs w:val="12"/>
          <w:u w:val="single" w:color="auto"/>
          <w:color w:val="auto"/>
        </w:rPr>
        <w:t>Notice</w:t>
      </w:r>
      <w:r>
        <w:rPr>
          <w:rFonts w:ascii="Arial" w:cs="Arial" w:eastAsia="Arial" w:hAnsi="Arial"/>
          <w:sz w:val="12"/>
          <w:szCs w:val="12"/>
          <w:color w:val="auto"/>
        </w:rPr>
        <w:t>. Each Party shall promptly report in writing to the other Party any known or suspected (i) infringement of any of the MacroGenics Patents, Servier Patents or Joint Patents,</w:t>
      </w:r>
    </w:p>
    <w:p>
      <w:pPr>
        <w:spacing w:after="0" w:line="35" w:lineRule="exact"/>
        <w:rPr>
          <w:sz w:val="20"/>
          <w:szCs w:val="20"/>
          <w:color w:val="auto"/>
        </w:rPr>
      </w:pPr>
    </w:p>
    <w:p>
      <w:pPr>
        <w:ind w:firstLine="4"/>
        <w:spacing w:after="0" w:line="307" w:lineRule="auto"/>
        <w:tabs>
          <w:tab w:leader="none" w:pos="200" w:val="left"/>
        </w:tabs>
        <w:numPr>
          <w:ilvl w:val="0"/>
          <w:numId w:val="1002"/>
        </w:numPr>
        <w:rPr>
          <w:rFonts w:ascii="Arial" w:cs="Arial" w:eastAsia="Arial" w:hAnsi="Arial"/>
          <w:sz w:val="12"/>
          <w:szCs w:val="12"/>
          <w:color w:val="auto"/>
        </w:rPr>
      </w:pPr>
      <w:r>
        <w:rPr>
          <w:rFonts w:ascii="Arial" w:cs="Arial" w:eastAsia="Arial" w:hAnsi="Arial"/>
          <w:sz w:val="12"/>
          <w:szCs w:val="12"/>
          <w:color w:val="auto"/>
        </w:rPr>
        <w:t>unauthorized use or misappropriation of any of the MacroGenics Know-How, Servier Know-How or Joint Know-How of which such Party becomes aware, or (iii) notification under the Biologics Price Competition and Innovation Act of 2009, as amended, or similar law, from a biosimilar applicant arising from the filing of an application for the Regulatory Approval of a Generic Product intending to show that the Generic Product is biosimilar to any Licensed Product that is a reference product for which a claim of infringement of any of the MacroGenics Patents, Joint Patents or Servier Patents by the manufacture or sale of the Generic Product could reasonably be asserted, and shall provide the other Party with all available evidence regarding such known or suspected infringement or unauthorized use.</w:t>
      </w:r>
    </w:p>
    <w:p>
      <w:pPr>
        <w:spacing w:after="0" w:line="8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 xml:space="preserve">10.4.2 </w:t>
      </w:r>
      <w:r>
        <w:rPr>
          <w:rFonts w:ascii="Arial" w:cs="Arial" w:eastAsia="Arial" w:hAnsi="Arial"/>
          <w:sz w:val="14"/>
          <w:szCs w:val="14"/>
          <w:u w:val="single" w:color="auto"/>
          <w:color w:val="auto"/>
        </w:rPr>
        <w:t>Enforcement Rights</w:t>
      </w:r>
      <w:r>
        <w:rPr>
          <w:rFonts w:ascii="Arial" w:cs="Arial" w:eastAsia="Arial" w:hAnsi="Arial"/>
          <w:sz w:val="14"/>
          <w:szCs w:val="14"/>
          <w:color w:val="auto"/>
        </w:rPr>
        <w:t>. Subject to the requirements and limitations of the MacroGenics Third Party Agreements with respect to the enforcement of Patents, including 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0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36" w:name="page837"/>
    <w:bookmarkEnd w:id="83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rights of, and timeframes for, such Third Party licensors to comment on and review any filings or materials related thereto, the Parties agree:</w:t>
      </w:r>
    </w:p>
    <w:p>
      <w:pPr>
        <w:spacing w:after="0" w:line="132" w:lineRule="exact"/>
        <w:rPr>
          <w:sz w:val="20"/>
          <w:szCs w:val="20"/>
          <w:color w:val="auto"/>
        </w:rPr>
      </w:pPr>
    </w:p>
    <w:p>
      <w:pPr>
        <w:ind w:right="160" w:firstLine="1493"/>
        <w:spacing w:after="0" w:line="299" w:lineRule="auto"/>
        <w:tabs>
          <w:tab w:leader="none" w:pos="1675" w:val="left"/>
        </w:tabs>
        <w:numPr>
          <w:ilvl w:val="1"/>
          <w:numId w:val="1004"/>
        </w:numPr>
        <w:rPr>
          <w:rFonts w:ascii="Arial" w:cs="Arial" w:eastAsia="Arial" w:hAnsi="Arial"/>
          <w:sz w:val="12"/>
          <w:szCs w:val="12"/>
          <w:color w:val="auto"/>
        </w:rPr>
      </w:pPr>
      <w:r>
        <w:rPr>
          <w:rFonts w:ascii="Arial" w:cs="Arial" w:eastAsia="Arial" w:hAnsi="Arial"/>
          <w:sz w:val="12"/>
          <w:szCs w:val="12"/>
          <w:color w:val="auto"/>
        </w:rPr>
        <w:t xml:space="preserve">Servier shall have the first right, but not the obligation, to initiate a lawsuit or take other reasonable action to enforce the Joint Patents and MacroGenics Product Patents in the Field in the Servier Territory to the extent such infringement or misappropriation involves the Development, Manufacture, use or Commercialization of a product or product candidate that is or may be competitive with the Program Antibodies or Licensed Products being Developed or Commercialized hereunder. Notwithstanding the foregoing sentence, Servier shall not initiate any such lawsuit or other enforcement action asserting any such Joint Patents or MacroGenics Product Patents without first consulting with MacroGenics and giving good faith consideration to any reasonable objection from MacroGenics regarding Servier’s proposed course of action. MacroGenics shall cooperate in the prosecution of such suit as may be reasonably requested by Servier;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Servier shall promptly reimburse all out-of-pocket expenses (including reasonable counsel fees and expenses) actually incurred by MacroGenics in connection with such cooperation. In connection with any such proceeding, Servier shall not enter into any settlement admitting the invalidity of, or otherwise impairing MacroGenics’ rights in, MacroGenics IP or Joint IP without the prior written consent of MacroGenics. Any recoveries resulting from such an action brought by Servier in accordance with this clause (a) shall be applied as follows:</w:t>
      </w:r>
    </w:p>
    <w:p>
      <w:pPr>
        <w:spacing w:after="0" w:line="87" w:lineRule="exact"/>
        <w:rPr>
          <w:rFonts w:ascii="Arial" w:cs="Arial" w:eastAsia="Arial" w:hAnsi="Arial"/>
          <w:sz w:val="12"/>
          <w:szCs w:val="12"/>
          <w:color w:val="auto"/>
        </w:rPr>
      </w:pPr>
    </w:p>
    <w:p>
      <w:pPr>
        <w:ind w:right="180" w:firstLine="1952"/>
        <w:spacing w:after="0" w:line="267" w:lineRule="auto"/>
        <w:tabs>
          <w:tab w:leader="none" w:pos="2110" w:val="left"/>
        </w:tabs>
        <w:numPr>
          <w:ilvl w:val="2"/>
          <w:numId w:val="1004"/>
        </w:numPr>
        <w:rPr>
          <w:rFonts w:ascii="Arial" w:cs="Arial" w:eastAsia="Arial" w:hAnsi="Arial"/>
          <w:sz w:val="14"/>
          <w:szCs w:val="14"/>
          <w:color w:val="auto"/>
        </w:rPr>
      </w:pPr>
      <w:r>
        <w:rPr>
          <w:rFonts w:ascii="Arial" w:cs="Arial" w:eastAsia="Arial" w:hAnsi="Arial"/>
          <w:sz w:val="14"/>
          <w:szCs w:val="14"/>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101" w:lineRule="exact"/>
        <w:rPr>
          <w:rFonts w:ascii="Arial" w:cs="Arial" w:eastAsia="Arial" w:hAnsi="Arial"/>
          <w:sz w:val="14"/>
          <w:szCs w:val="14"/>
          <w:color w:val="auto"/>
        </w:rPr>
      </w:pPr>
    </w:p>
    <w:p>
      <w:pPr>
        <w:ind w:left="2160" w:hanging="208"/>
        <w:spacing w:after="0"/>
        <w:tabs>
          <w:tab w:leader="none" w:pos="2160" w:val="left"/>
        </w:tabs>
        <w:numPr>
          <w:ilvl w:val="2"/>
          <w:numId w:val="1004"/>
        </w:numPr>
        <w:rPr>
          <w:rFonts w:ascii="Arial" w:cs="Arial" w:eastAsia="Arial" w:hAnsi="Arial"/>
          <w:sz w:val="14"/>
          <w:szCs w:val="14"/>
          <w:color w:val="auto"/>
        </w:rPr>
      </w:pP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firstLine="1493"/>
        <w:spacing w:after="0" w:line="302" w:lineRule="auto"/>
        <w:tabs>
          <w:tab w:leader="none" w:pos="1682" w:val="left"/>
        </w:tabs>
        <w:numPr>
          <w:ilvl w:val="1"/>
          <w:numId w:val="1004"/>
        </w:numPr>
        <w:rPr>
          <w:rFonts w:ascii="Arial" w:cs="Arial" w:eastAsia="Arial" w:hAnsi="Arial"/>
          <w:sz w:val="12"/>
          <w:szCs w:val="12"/>
          <w:color w:val="auto"/>
        </w:rPr>
      </w:pPr>
      <w:r>
        <w:rPr>
          <w:rFonts w:ascii="Arial" w:cs="Arial" w:eastAsia="Arial" w:hAnsi="Arial"/>
          <w:sz w:val="12"/>
          <w:szCs w:val="12"/>
          <w:color w:val="auto"/>
        </w:rPr>
        <w:t xml:space="preserve">MacroGenics shall have the first right, but not the obligation, to initiate a lawsuit or take other reasonable action to enforce the Joint Patents in the Field in the MacroGenics Territory. Notwithstanding the foregoing sentence, MacroGenics shall not initiate any such lawsuit or other enforcement action asserting any such Joint Patents without first consulting with Servier and giving good faith consideration to any reasonable objection from Servier regarding MacroGenics’ proposed course of action. Servier shall cooperate in the prosecution of such suit as may be reasonably requested by MacroGenics;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MacroGenics shall promptly reimburse all out-of-pocket expenses (including reasonable counsel fees and expenses) actually incurred by Servier in connection with such cooperation. In connection with any such proceeding, MacroGenics shall not enter into any settlement admitting the invalidity of, or otherwise impairing the Parties’ rights in Joint IP without the prior written consent of Servier. Any recoveries resulting from such an action brought by MacroGenics in accordance with this clause (b) shall be applied as follows:</w:t>
      </w:r>
    </w:p>
    <w:p>
      <w:pPr>
        <w:spacing w:after="0" w:line="86" w:lineRule="exact"/>
        <w:rPr>
          <w:rFonts w:ascii="Arial" w:cs="Arial" w:eastAsia="Arial" w:hAnsi="Arial"/>
          <w:sz w:val="12"/>
          <w:szCs w:val="12"/>
          <w:color w:val="auto"/>
        </w:rPr>
      </w:pPr>
    </w:p>
    <w:p>
      <w:pPr>
        <w:ind w:right="100" w:firstLine="462"/>
        <w:spacing w:after="0" w:line="267" w:lineRule="auto"/>
        <w:tabs>
          <w:tab w:leader="none" w:pos="621" w:val="left"/>
        </w:tabs>
        <w:numPr>
          <w:ilvl w:val="0"/>
          <w:numId w:val="1005"/>
        </w:numPr>
        <w:rPr>
          <w:rFonts w:ascii="Arial" w:cs="Arial" w:eastAsia="Arial" w:hAnsi="Arial"/>
          <w:sz w:val="14"/>
          <w:szCs w:val="14"/>
          <w:color w:val="auto"/>
        </w:rPr>
      </w:pPr>
      <w:r>
        <w:rPr>
          <w:rFonts w:ascii="Arial" w:cs="Arial" w:eastAsia="Arial" w:hAnsi="Arial"/>
          <w:sz w:val="14"/>
          <w:szCs w:val="14"/>
          <w:color w:val="auto"/>
        </w:rPr>
        <w:t>First, to reimburse each Party for all Out-of-Pocket Costs in connection with such proceeding (on a pro rata basis, based on each Party’s respective litigation costs, to the extent the recovery was less than all such litigation costs);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0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37" w:name="page838"/>
    <w:bookmarkEnd w:id="83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(ii)***.</w:t>
      </w:r>
    </w:p>
    <w:p>
      <w:pPr>
        <w:spacing w:after="0" w:line="132" w:lineRule="exact"/>
        <w:rPr>
          <w:sz w:val="20"/>
          <w:szCs w:val="20"/>
          <w:color w:val="auto"/>
        </w:rPr>
      </w:pPr>
    </w:p>
    <w:p>
      <w:pPr>
        <w:ind w:firstLine="1493"/>
        <w:spacing w:after="0" w:line="252" w:lineRule="auto"/>
        <w:tabs>
          <w:tab w:leader="none" w:pos="1675" w:val="left"/>
        </w:tabs>
        <w:numPr>
          <w:ilvl w:val="0"/>
          <w:numId w:val="1007"/>
        </w:numPr>
        <w:rPr>
          <w:rFonts w:ascii="Arial" w:cs="Arial" w:eastAsia="Arial" w:hAnsi="Arial"/>
          <w:sz w:val="14"/>
          <w:szCs w:val="14"/>
          <w:color w:val="auto"/>
        </w:rPr>
      </w:pPr>
      <w:r>
        <w:rPr>
          <w:rFonts w:ascii="Arial" w:cs="Arial" w:eastAsia="Arial" w:hAnsi="Arial"/>
          <w:sz w:val="14"/>
          <w:szCs w:val="14"/>
          <w:color w:val="auto"/>
        </w:rPr>
        <w:t xml:space="preserve">If Servier does not initiate a lawsuit or take other reasonable action pursuant to Section 10.4.2(a) with respect to any Joint Patents or Servier Product Patents (i) if there is no time limit for the filing of such action,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notice of alleged infringement or following a biosimilar applicant’s failure to act or (ii) if there is a time limit for the filing of such action (including those set forth in applicable Laws) within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before the time limit, then MacroGenics shall have the right (in cases where MacroGenics has standing), but not the obligation, to initiate such lawsuit or take such other action, after providing </w:t>
      </w:r>
      <w:r>
        <w:rPr>
          <w:rFonts w:ascii="Arial" w:cs="Arial" w:eastAsia="Arial" w:hAnsi="Arial"/>
          <w:sz w:val="14"/>
          <w:szCs w:val="14"/>
          <w:b w:val="1"/>
          <w:bCs w:val="1"/>
          <w:color w:val="auto"/>
        </w:rPr>
        <w:t>***</w:t>
      </w:r>
      <w:r>
        <w:rPr>
          <w:rFonts w:ascii="Arial" w:cs="Arial" w:eastAsia="Arial" w:hAnsi="Arial"/>
          <w:sz w:val="14"/>
          <w:szCs w:val="14"/>
          <w:color w:val="auto"/>
        </w:rPr>
        <w:t xml:space="preserve"> notice to Servier and giving good faith consideration to Servier’s reason(s) for not initiating a lawsuit or taking other action. For this purpose, Servier shall cooperate in the prosecution of such suit as may be reasonably requested by MacroGenics;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MacroGenics shall promptly reimburse all out-of-pocket expenses (including reasonable counsel fees and expenses) actually incurred by Servier in connection with such cooperation. Any recoveries resulting from such an action brought by MacroGenics in accordance with this clause (c) will be *** after payment of each Party’s costs and expenses.</w:t>
      </w:r>
    </w:p>
    <w:p>
      <w:pPr>
        <w:spacing w:after="0" w:line="112" w:lineRule="exact"/>
        <w:rPr>
          <w:rFonts w:ascii="Arial" w:cs="Arial" w:eastAsia="Arial" w:hAnsi="Arial"/>
          <w:sz w:val="14"/>
          <w:szCs w:val="14"/>
          <w:color w:val="auto"/>
        </w:rPr>
      </w:pPr>
    </w:p>
    <w:p>
      <w:pPr>
        <w:ind w:right="40" w:firstLine="1493"/>
        <w:spacing w:after="0" w:line="252" w:lineRule="auto"/>
        <w:tabs>
          <w:tab w:leader="none" w:pos="1682" w:val="left"/>
        </w:tabs>
        <w:numPr>
          <w:ilvl w:val="0"/>
          <w:numId w:val="1007"/>
        </w:numPr>
        <w:rPr>
          <w:rFonts w:ascii="Arial" w:cs="Arial" w:eastAsia="Arial" w:hAnsi="Arial"/>
          <w:sz w:val="14"/>
          <w:szCs w:val="14"/>
          <w:color w:val="auto"/>
        </w:rPr>
      </w:pPr>
      <w:r>
        <w:rPr>
          <w:rFonts w:ascii="Arial" w:cs="Arial" w:eastAsia="Arial" w:hAnsi="Arial"/>
          <w:sz w:val="14"/>
          <w:szCs w:val="14"/>
          <w:color w:val="auto"/>
        </w:rPr>
        <w:t xml:space="preserve">If MacroGenics does not initiate a lawsuit or take other reasonable action pursuant to Section 10.4.2(b) with respect to any Joint Patents (i) if there is no time limit for the filing of such action,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notice of alleged infringement or following a biosimilar applicant’s failure to act or (ii) if there is a time limit for the filing of such action (including those set forth in applicable Laws) within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before the time limit, then Servier shall have the right (in cases where Servier has standing), but not the obligation, to initiate such lawsuit or take such other action, after providing </w:t>
      </w:r>
      <w:r>
        <w:rPr>
          <w:rFonts w:ascii="Arial" w:cs="Arial" w:eastAsia="Arial" w:hAnsi="Arial"/>
          <w:sz w:val="14"/>
          <w:szCs w:val="14"/>
          <w:b w:val="1"/>
          <w:bCs w:val="1"/>
          <w:color w:val="auto"/>
        </w:rPr>
        <w:t>***</w:t>
      </w:r>
      <w:r>
        <w:rPr>
          <w:rFonts w:ascii="Arial" w:cs="Arial" w:eastAsia="Arial" w:hAnsi="Arial"/>
          <w:sz w:val="14"/>
          <w:szCs w:val="14"/>
          <w:color w:val="auto"/>
        </w:rPr>
        <w:t xml:space="preserve"> notice to MacroGenics and giving good faith consideration to MacroGenics’ reason(s) for not initiating a lawsuit or taking other action. For this purpose, MacroGenics shall cooperate in the prosecution of such suit as may be reasonably requested by Servier;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Servier shall promptly reimburse all out-of-pocket expenses (including reasonable counsel fees and expenses) actually incurred by MacroGenics in connection with such cooperation. Any recoveries resulting from such an action brought by Servier in accordance with this clause (d) will be *** after payment of each Party’s costs and expenses.</w:t>
      </w:r>
    </w:p>
    <w:p>
      <w:pPr>
        <w:spacing w:after="0" w:line="112" w:lineRule="exact"/>
        <w:rPr>
          <w:sz w:val="20"/>
          <w:szCs w:val="20"/>
          <w:color w:val="auto"/>
        </w:rPr>
      </w:pPr>
    </w:p>
    <w:p>
      <w:pPr>
        <w:jc w:val="both"/>
        <w:ind w:right="60" w:firstLine="917"/>
        <w:spacing w:after="0" w:line="321" w:lineRule="auto"/>
        <w:rPr>
          <w:sz w:val="20"/>
          <w:szCs w:val="20"/>
          <w:color w:val="auto"/>
        </w:rPr>
      </w:pPr>
      <w:r>
        <w:rPr>
          <w:rFonts w:ascii="Arial" w:cs="Arial" w:eastAsia="Arial" w:hAnsi="Arial"/>
          <w:sz w:val="12"/>
          <w:szCs w:val="12"/>
          <w:color w:val="auto"/>
        </w:rPr>
        <w:t xml:space="preserve">10.4.3 </w:t>
      </w:r>
      <w:r>
        <w:rPr>
          <w:rFonts w:ascii="Arial" w:cs="Arial" w:eastAsia="Arial" w:hAnsi="Arial"/>
          <w:sz w:val="12"/>
          <w:szCs w:val="12"/>
          <w:u w:val="single" w:color="auto"/>
          <w:color w:val="auto"/>
        </w:rPr>
        <w:t>Conduct of Certain Actions; Costs</w:t>
      </w:r>
      <w:r>
        <w:rPr>
          <w:rFonts w:ascii="Arial" w:cs="Arial" w:eastAsia="Arial" w:hAnsi="Arial"/>
          <w:sz w:val="12"/>
          <w:szCs w:val="12"/>
          <w:color w:val="auto"/>
        </w:rPr>
        <w:t>. The Party initiating legal action shall have the sole and exclusive right to select counsel for any suit initiated by it pursuant to Section 10.3.2 or 10.3.3 (the “</w:t>
      </w:r>
      <w:r>
        <w:rPr>
          <w:rFonts w:ascii="Arial" w:cs="Arial" w:eastAsia="Arial" w:hAnsi="Arial"/>
          <w:sz w:val="12"/>
          <w:szCs w:val="12"/>
          <w:u w:val="single" w:color="auto"/>
          <w:color w:val="auto"/>
        </w:rPr>
        <w:t>Initiating Party</w:t>
      </w:r>
      <w:r>
        <w:rPr>
          <w:rFonts w:ascii="Arial" w:cs="Arial" w:eastAsia="Arial" w:hAnsi="Arial"/>
          <w:sz w:val="12"/>
          <w:szCs w:val="12"/>
          <w:color w:val="auto"/>
        </w:rPr>
        <w:t>”). Unless otherwise expressly provided, the Initiating Party shall bear its own out-of-pocket costs incurred in any such legal action, including the fees and expenses of the counsel selected by it. The other Party shall have the right to participate and be represented in any such legal action (in cases where such other Party has standing) by its own counsel at its own expense.</w:t>
      </w:r>
    </w:p>
    <w:p>
      <w:pPr>
        <w:spacing w:after="0" w:line="73" w:lineRule="exact"/>
        <w:rPr>
          <w:sz w:val="20"/>
          <w:szCs w:val="20"/>
          <w:color w:val="auto"/>
        </w:rPr>
      </w:pPr>
    </w:p>
    <w:p>
      <w:pPr>
        <w:jc w:val="both"/>
        <w:ind w:right="60" w:firstLine="458"/>
        <w:spacing w:after="0" w:line="258"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Patent Invalidity Claim</w:t>
      </w:r>
      <w:r>
        <w:rPr>
          <w:rFonts w:ascii="Arial" w:cs="Arial" w:eastAsia="Arial" w:hAnsi="Arial"/>
          <w:sz w:val="14"/>
          <w:szCs w:val="14"/>
          <w:color w:val="auto"/>
        </w:rPr>
        <w:t>. Each Party shall promptly notify the other in the event of any legal or administrative action by any Third Party against a Joint Patent, MacroGenics Patent or Servier Patent of which it becomes aware, including any nullity, revocation, reexamination or compulsory license proceeding. Servier shall have the first right, but not the obligation, at its expense, to defend against any such action relating to the Servier Patents. MacroGenics shall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0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38" w:name="page839"/>
    <w:bookmarkEnd w:id="838"/>
    <w:p>
      <w:pPr>
        <w:ind w:right="32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have the first right, but not the obligation, at its expense, to defend against any such action relating to the MacroGenics Patents or the Joint Patents. If MacroGenics does not defend against any such action involving a MacroGenics Product Patent or a Joint Patent, then Servier shall have the right, but not the obligation, to defend such action at Servier’s expense.</w:t>
      </w:r>
    </w:p>
    <w:p>
      <w:pPr>
        <w:spacing w:after="0" w:line="56"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Patent Term Extensions</w:t>
      </w:r>
      <w:r>
        <w:rPr>
          <w:rFonts w:ascii="Arial" w:cs="Arial" w:eastAsia="Arial" w:hAnsi="Arial"/>
          <w:sz w:val="14"/>
          <w:szCs w:val="14"/>
          <w:color w:val="auto"/>
        </w:rPr>
        <w:t>. The Parties shall cooperate with each other in obtaining patent term extensions or supplemental protection certificates or their equivalents in any country, where applicable to Joint Patents, MacroGenics Patents and Servier Patents.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Patent Marking</w:t>
      </w:r>
      <w:r>
        <w:rPr>
          <w:rFonts w:ascii="Arial" w:cs="Arial" w:eastAsia="Arial" w:hAnsi="Arial"/>
          <w:sz w:val="14"/>
          <w:szCs w:val="14"/>
          <w:color w:val="auto"/>
        </w:rPr>
        <w:t>. Servier shall comply with the patent marking statutes in each country in which a Licensed Product is sold by Servier, its Affiliates and/or its Sublicensees.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ARTICLE 11</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CONFIDENTIALITY</w:t>
      </w:r>
    </w:p>
    <w:p>
      <w:pPr>
        <w:spacing w:after="0" w:line="126" w:lineRule="exact"/>
        <w:rPr>
          <w:sz w:val="20"/>
          <w:szCs w:val="20"/>
          <w:color w:val="auto"/>
        </w:rPr>
      </w:pPr>
    </w:p>
    <w:p>
      <w:pPr>
        <w:ind w:firstLine="458"/>
        <w:spacing w:after="0" w:line="311"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Confidentiality; Exceptions</w:t>
      </w:r>
      <w:r>
        <w:rPr>
          <w:rFonts w:ascii="Arial" w:cs="Arial" w:eastAsia="Arial" w:hAnsi="Arial"/>
          <w:sz w:val="12"/>
          <w:szCs w:val="12"/>
          <w:color w:val="auto"/>
        </w:rPr>
        <w:t>. Except to the extent expressly authorized by this Agreement or otherwise agreed in writing, the Parties agree that the receiving Party (the “</w:t>
      </w:r>
      <w:r>
        <w:rPr>
          <w:rFonts w:ascii="Arial" w:cs="Arial" w:eastAsia="Arial" w:hAnsi="Arial"/>
          <w:sz w:val="12"/>
          <w:szCs w:val="12"/>
          <w:u w:val="single" w:color="auto"/>
          <w:color w:val="auto"/>
        </w:rPr>
        <w:t>Receiving Party</w:t>
      </w:r>
      <w:r>
        <w:rPr>
          <w:rFonts w:ascii="Arial" w:cs="Arial" w:eastAsia="Arial" w:hAnsi="Arial"/>
          <w:sz w:val="12"/>
          <w:szCs w:val="12"/>
          <w:color w:val="auto"/>
        </w:rPr>
        <w:t>”) shall keep confidential and shall not publish or otherwise disclose or use for any purpose other than as provided for in this Agreement any Know-How in any form (written, oral, photographic, electronic, magnetic, or otherwise) that is disclosed to it by the other Party (the “</w:t>
      </w:r>
      <w:r>
        <w:rPr>
          <w:rFonts w:ascii="Arial" w:cs="Arial" w:eastAsia="Arial" w:hAnsi="Arial"/>
          <w:sz w:val="12"/>
          <w:szCs w:val="12"/>
          <w:u w:val="single" w:color="auto"/>
          <w:color w:val="auto"/>
        </w:rPr>
        <w:t>Disclosing Party</w:t>
      </w:r>
      <w:r>
        <w:rPr>
          <w:rFonts w:ascii="Arial" w:cs="Arial" w:eastAsia="Arial" w:hAnsi="Arial"/>
          <w:sz w:val="12"/>
          <w:szCs w:val="12"/>
          <w:color w:val="auto"/>
        </w:rPr>
        <w:t>”) or otherwise received or accessed by a Receiving Party in the course of performing its obligations or exercising its rights under this Agreement (collectively,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except to the extent that it can be established by the Receiving Party that such Confidential Information:</w:t>
      </w:r>
    </w:p>
    <w:p>
      <w:pPr>
        <w:spacing w:after="0" w:line="79" w:lineRule="exact"/>
        <w:rPr>
          <w:sz w:val="20"/>
          <w:szCs w:val="20"/>
          <w:color w:val="auto"/>
        </w:rPr>
      </w:pPr>
    </w:p>
    <w:p>
      <w:pPr>
        <w:ind w:right="40" w:firstLine="917"/>
        <w:spacing w:after="0" w:line="351" w:lineRule="auto"/>
        <w:rPr>
          <w:sz w:val="20"/>
          <w:szCs w:val="20"/>
          <w:color w:val="auto"/>
        </w:rPr>
      </w:pPr>
      <w:r>
        <w:rPr>
          <w:rFonts w:ascii="Arial" w:cs="Arial" w:eastAsia="Arial" w:hAnsi="Arial"/>
          <w:sz w:val="12"/>
          <w:szCs w:val="12"/>
          <w:color w:val="auto"/>
        </w:rPr>
        <w:t>11.1.1 was in the lawful knowledge and possession of the Receiving Party prior to the time it was disclosed to, or learned by, the Receiving Party, or was otherwise developed independently by the Receiving Party, as evidenced by written records kept in the ordinary course of business, or other documentary proof of actual use by the Receiving Party;</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11.1.2 was generally available to the public or otherwise part of the public domain at the time of its disclosure to the Receiving Party;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11.1.3 became generally available to the public or otherwise part of the public domain after its disclosure and other than through any act or omission of the Receiving Party in breach of this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Agreement; or</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11.1.4 was disclosed to the Receiving Party, other than under an obligation of confidentiality, by a Third Party who had no obligation to the Disclosing Party not to disclose such information to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others.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Authorized Disclosure</w:t>
      </w:r>
      <w:r>
        <w:rPr>
          <w:rFonts w:ascii="Arial" w:cs="Arial" w:eastAsia="Arial" w:hAnsi="Arial"/>
          <w:sz w:val="12"/>
          <w:szCs w:val="12"/>
          <w:color w:val="auto"/>
        </w:rPr>
        <w:t>. Except as expressly provided otherwise in this Agreement, a Receiving Party may use and disclose Confidential Information of the Disclosing Party as follows: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11.2.1 under appropriate confidentiality provisions similar to those in this Agreement, in connection with the performance of its obligations or exercise of rights granted or reserved in this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132" w:lineRule="exact"/>
        <w:rPr>
          <w:sz w:val="20"/>
          <w:szCs w:val="20"/>
          <w:color w:val="auto"/>
        </w:rPr>
      </w:pPr>
    </w:p>
    <w:p>
      <w:pPr>
        <w:ind w:left="3840" w:right="2640" w:hanging="1139"/>
        <w:spacing w:after="0" w:line="351" w:lineRule="auto"/>
        <w:tabs>
          <w:tab w:leader="none" w:pos="2940" w:val="left"/>
        </w:tabs>
        <w:numPr>
          <w:ilvl w:val="0"/>
          <w:numId w:val="100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6" w:right="279" w:bottom="1440" w:gutter="0" w:footer="0" w:header="0"/>
        </w:sectPr>
      </w:pPr>
    </w:p>
    <w:bookmarkStart w:id="839" w:name="page840"/>
    <w:bookmarkEnd w:id="839"/>
    <w:p>
      <w:pPr>
        <w:ind w:firstLine="917"/>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11.2.2 to the extent such disclosure is reasonably necessary in filing or prosecuting patent and copyright applications, prosecuting or defending litigation, complying with applicable governmental regulations (including the rules and regulations of any stock exchange or NASDAQ), conducting non-clinical activities and clinical activities, preparing and submitting filings to Regulatory Authorities or is otherwise required by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a Receiving Party is required by Law to make any such disclosure of a Disclosing Party’s Confidential Information (other than a disclosure to a Regulatory Authority in a filing required by Law) it will give reasonable advance notice to the Disclosing Party of such disclosure requirement and shall furnish only that portion of the Disclosing Party’s Confidential Information that the Receiving Party is legally required to furnish;</w:t>
      </w:r>
    </w:p>
    <w:p>
      <w:pPr>
        <w:spacing w:after="0" w:line="113" w:lineRule="exact"/>
        <w:rPr>
          <w:sz w:val="20"/>
          <w:szCs w:val="20"/>
          <w:color w:val="auto"/>
        </w:rPr>
      </w:pPr>
    </w:p>
    <w:p>
      <w:pPr>
        <w:ind w:right="260" w:firstLine="917"/>
        <w:spacing w:after="0" w:line="267" w:lineRule="auto"/>
        <w:rPr>
          <w:sz w:val="20"/>
          <w:szCs w:val="20"/>
          <w:color w:val="auto"/>
        </w:rPr>
      </w:pPr>
      <w:r>
        <w:rPr>
          <w:rFonts w:ascii="Arial" w:cs="Arial" w:eastAsia="Arial" w:hAnsi="Arial"/>
          <w:sz w:val="14"/>
          <w:szCs w:val="14"/>
          <w:color w:val="auto"/>
        </w:rPr>
        <w:t>11.2.3 in communications with existing or prospective acquirers, investors, consultants, advisors, licensees or collaborators or others on a need to know basis, in each case under appropriate confidentiality provisions substantially equivalent to those of this Agreement; or</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11.2.4 to the extent mutually agreed to in writing by the Parties.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Press Release; Disclosure of Agreement</w:t>
      </w:r>
      <w:r>
        <w:rPr>
          <w:rFonts w:ascii="Arial" w:cs="Arial" w:eastAsia="Arial" w:hAnsi="Arial"/>
          <w:sz w:val="14"/>
          <w:szCs w:val="14"/>
          <w:color w:val="auto"/>
        </w:rPr>
        <w:t>.</w:t>
      </w:r>
    </w:p>
    <w:p>
      <w:pPr>
        <w:spacing w:after="0" w:line="69" w:lineRule="exact"/>
        <w:rPr>
          <w:sz w:val="20"/>
          <w:szCs w:val="20"/>
          <w:color w:val="auto"/>
        </w:rPr>
      </w:pPr>
    </w:p>
    <w:p>
      <w:pPr>
        <w:ind w:right="120" w:firstLine="917"/>
        <w:spacing w:after="0" w:line="302" w:lineRule="auto"/>
        <w:rPr>
          <w:sz w:val="20"/>
          <w:szCs w:val="20"/>
          <w:color w:val="auto"/>
        </w:rPr>
      </w:pPr>
      <w:r>
        <w:rPr>
          <w:rFonts w:ascii="Arial" w:cs="Arial" w:eastAsia="Arial" w:hAnsi="Arial"/>
          <w:sz w:val="12"/>
          <w:szCs w:val="12"/>
          <w:color w:val="auto"/>
        </w:rPr>
        <w:t xml:space="preserve">11.3.1 On or promptly after the Effective Date, the Parties shall jointly issue a public announcement of the execution of this Agreement in the form attached hereto as </w:t>
      </w:r>
      <w:r>
        <w:rPr>
          <w:rFonts w:ascii="Arial" w:cs="Arial" w:eastAsia="Arial" w:hAnsi="Arial"/>
          <w:sz w:val="12"/>
          <w:szCs w:val="12"/>
          <w:u w:val="single" w:color="auto"/>
          <w:color w:val="auto"/>
        </w:rPr>
        <w:t>Exhibit D</w:t>
      </w:r>
      <w:r>
        <w:rPr>
          <w:rFonts w:ascii="Arial" w:cs="Arial" w:eastAsia="Arial" w:hAnsi="Arial"/>
          <w:sz w:val="12"/>
          <w:szCs w:val="12"/>
          <w:color w:val="auto"/>
        </w:rPr>
        <w:t>. Neither Party shall issue any subsequent press release or make other disclosures regarding this Agreement or the Parties’ activities hereunder, or any results or data arising hereunder, except (a) with the other Party’s prior written consent; (b) in accordance with Section 11.6; or (c) for any disclosure that is reasonably necessary to comply with applicable securities exchange listing requirements or other applicable Laws. Notwithstanding the foregoing, to the extent information regarding this Agreement has already been publicly disclosed, either Party may subsequently disclose the same information to the public without the consent of the other Party. Each Party shall be permitted to disclose the terms of this Agreement, in each case under appropriate confidentiality provisions substantially equivalent to those of this Agreement, to any actual or potential acquirers, merger partners, licensees, sublicensees, investors and professional advisors on a need to know basis.</w:t>
      </w:r>
    </w:p>
    <w:p>
      <w:pPr>
        <w:spacing w:after="0" w:line="86" w:lineRule="exact"/>
        <w:rPr>
          <w:sz w:val="20"/>
          <w:szCs w:val="20"/>
          <w:color w:val="auto"/>
        </w:rPr>
      </w:pPr>
    </w:p>
    <w:p>
      <w:pPr>
        <w:ind w:right="180" w:firstLine="917"/>
        <w:spacing w:after="0" w:line="255" w:lineRule="auto"/>
        <w:rPr>
          <w:sz w:val="20"/>
          <w:szCs w:val="20"/>
          <w:color w:val="auto"/>
        </w:rPr>
      </w:pPr>
      <w:r>
        <w:rPr>
          <w:rFonts w:ascii="Arial" w:cs="Arial" w:eastAsia="Arial" w:hAnsi="Arial"/>
          <w:sz w:val="14"/>
          <w:szCs w:val="14"/>
          <w:color w:val="auto"/>
        </w:rPr>
        <w:t>11.3.2 Each Party shall, if practicable, give the other Party a reasonable opportunity to review those portions of all filings with the United States Securities and Exchange Commission (or any stock exchange, including Nasdaq, or any similar regulatory agency in any country other than the United States) describing the terms of this Agreement (including any filings of this Agreement) prior to submission of such filings, and shall give due consideration to any reasonable comments by the non-filing Party relating to such filing, including the provisions of this Agreement for which confidential treatment should be sought.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1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40" w:name="page841"/>
    <w:bookmarkEnd w:id="840"/>
    <w:p>
      <w:pPr>
        <w:ind w:right="460" w:firstLine="458"/>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11.4 </w:t>
      </w:r>
      <w:r>
        <w:rPr>
          <w:rFonts w:ascii="Arial" w:cs="Arial" w:eastAsia="Arial" w:hAnsi="Arial"/>
          <w:sz w:val="12"/>
          <w:szCs w:val="12"/>
          <w:u w:val="single" w:color="auto"/>
          <w:color w:val="auto"/>
        </w:rPr>
        <w:t>Existing Confidentiality Agreement</w:t>
      </w:r>
      <w:r>
        <w:rPr>
          <w:rFonts w:ascii="Arial" w:cs="Arial" w:eastAsia="Arial" w:hAnsi="Arial"/>
          <w:sz w:val="12"/>
          <w:szCs w:val="12"/>
          <w:color w:val="auto"/>
        </w:rPr>
        <w:t xml:space="preserve">. For the avoidance of doubt, any information disclosed by MacroGenics to Servier prior to the Effective Date pursuant to the Non-Disclosure Disclosure Agreement between MacroGenics and Servier dated </w:t>
      </w:r>
      <w:r>
        <w:rPr>
          <w:rFonts w:ascii="Arial" w:cs="Arial" w:eastAsia="Arial" w:hAnsi="Arial"/>
          <w:sz w:val="12"/>
          <w:szCs w:val="12"/>
          <w:b w:val="1"/>
          <w:bCs w:val="1"/>
          <w:color w:val="auto"/>
        </w:rPr>
        <w:t>***</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Existing Confidentiality Agreement</w:t>
      </w:r>
      <w:r>
        <w:rPr>
          <w:rFonts w:ascii="Arial" w:cs="Arial" w:eastAsia="Arial" w:hAnsi="Arial"/>
          <w:sz w:val="12"/>
          <w:szCs w:val="12"/>
          <w:color w:val="auto"/>
        </w:rPr>
        <w:t>”) shall be treated as Confidential Information for all purposes under this Agreement.</w:t>
      </w:r>
    </w:p>
    <w:p>
      <w:pPr>
        <w:spacing w:after="0" w:line="56" w:lineRule="exact"/>
        <w:rPr>
          <w:sz w:val="20"/>
          <w:szCs w:val="20"/>
          <w:color w:val="auto"/>
        </w:rPr>
      </w:pPr>
    </w:p>
    <w:p>
      <w:pPr>
        <w:ind w:right="60" w:firstLine="458"/>
        <w:spacing w:after="0" w:line="351" w:lineRule="auto"/>
        <w:rPr>
          <w:sz w:val="20"/>
          <w:szCs w:val="20"/>
          <w:color w:val="auto"/>
        </w:rPr>
      </w:pPr>
      <w:r>
        <w:rPr>
          <w:rFonts w:ascii="Arial" w:cs="Arial" w:eastAsia="Arial" w:hAnsi="Arial"/>
          <w:sz w:val="12"/>
          <w:szCs w:val="12"/>
          <w:color w:val="auto"/>
        </w:rPr>
        <w:t xml:space="preserve">11.5 </w:t>
      </w:r>
      <w:r>
        <w:rPr>
          <w:rFonts w:ascii="Arial" w:cs="Arial" w:eastAsia="Arial" w:hAnsi="Arial"/>
          <w:sz w:val="12"/>
          <w:szCs w:val="12"/>
          <w:u w:val="single" w:color="auto"/>
          <w:color w:val="auto"/>
        </w:rPr>
        <w:t>Remedies</w:t>
      </w:r>
      <w:r>
        <w:rPr>
          <w:rFonts w:ascii="Arial" w:cs="Arial" w:eastAsia="Arial" w:hAnsi="Arial"/>
          <w:sz w:val="12"/>
          <w:szCs w:val="12"/>
          <w:color w:val="auto"/>
        </w:rPr>
        <w:t>. In the event a Party breaches the confidentiality obligations set forth in this ARTICLE 11, the other Party shall be entitled to seek, in addition to any other right or remedy it may have, at Law or in equity, a temporary injunction, without the posting of any bond or other security, enjoining or restraining the breaching Party from any violation or threatened violation of this ARTICLE 11.</w:t>
      </w:r>
    </w:p>
    <w:p>
      <w:pPr>
        <w:spacing w:after="0" w:line="56" w:lineRule="exact"/>
        <w:rPr>
          <w:sz w:val="20"/>
          <w:szCs w:val="20"/>
          <w:color w:val="auto"/>
        </w:rPr>
      </w:pPr>
    </w:p>
    <w:p>
      <w:pPr>
        <w:ind w:firstLine="458"/>
        <w:spacing w:after="0" w:line="292" w:lineRule="auto"/>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Publications</w:t>
      </w:r>
      <w:r>
        <w:rPr>
          <w:rFonts w:ascii="Arial" w:cs="Arial" w:eastAsia="Arial" w:hAnsi="Arial"/>
          <w:sz w:val="12"/>
          <w:szCs w:val="12"/>
          <w:color w:val="auto"/>
        </w:rPr>
        <w:t xml:space="preserve">. Neither Party nor its Affiliates shall publish or publicly disclose the results of any of the Research or Development activities conducted by either Party under this Agreement without the prior written consent of the other Party, except as expressly permitted in this Section 11.6 or otherwise in this Agreement. The Parties recognize that it may be useful or required to publish or publicly disclose the results of Research and Development work on Program Antibodies and Licensed Products, and each Party (and its Affiliates) shall be free to publish or publicly disclose such results, subject to the prior review by the other Party for patentability and protection of its Confidential Information as described in this Section 11.6. The Party that desires to publish results hereunder shall provide the other Party with a copy of such proposed abstract, manuscript, or presentation no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to its intended submission for publication. The reviewing Party shall respond in writing promptly and in no event later than </w:t>
      </w:r>
      <w:r>
        <w:rPr>
          <w:rFonts w:ascii="Arial" w:cs="Arial" w:eastAsia="Arial" w:hAnsi="Arial"/>
          <w:sz w:val="12"/>
          <w:szCs w:val="12"/>
          <w:b w:val="1"/>
          <w:bCs w:val="1"/>
          <w:color w:val="auto"/>
        </w:rPr>
        <w:t>***</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2"/>
          <w:szCs w:val="12"/>
          <w:color w:val="auto"/>
        </w:rPr>
        <w:t>after receipt of the proposed material, with one or more of the following: (a) comments on the proposed material, which the publishing Party shall consider in good faith, (b) a specific statement of concern, based upon the need to seek patent protection, or (c) an identification of the reviewing Party’s Confidential Information that is contained in the material reviewed. In the event of concern over patent protection, the publishing Party agrees not to submit such publication or to make such presentation that contains such information until the reviewing Party is given a reasonable period of time, and in no event less than</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to seek patent protection for any material in such publication or presentation which it believes is patentable. Any Confidential Information of the reviewing Party shall, if requested by the reviewing Party,</w:t>
      </w:r>
      <w:r>
        <w:rPr>
          <w:rFonts w:ascii="Arial" w:cs="Arial" w:eastAsia="Arial" w:hAnsi="Arial"/>
          <w:sz w:val="14"/>
          <w:szCs w:val="14"/>
          <w:b w:val="1"/>
          <w:bCs w:val="1"/>
          <w:color w:val="auto"/>
        </w:rPr>
        <w:t xml:space="preserve"> </w:t>
      </w:r>
      <w:r>
        <w:rPr>
          <w:rFonts w:ascii="Arial" w:cs="Arial" w:eastAsia="Arial" w:hAnsi="Arial"/>
          <w:sz w:val="14"/>
          <w:szCs w:val="14"/>
          <w:color w:val="auto"/>
        </w:rPr>
        <w:t>be removed by the other Party.</w:t>
      </w:r>
    </w:p>
    <w:p>
      <w:pPr>
        <w:spacing w:after="0" w:line="108" w:lineRule="exact"/>
        <w:rPr>
          <w:sz w:val="20"/>
          <w:szCs w:val="20"/>
          <w:color w:val="auto"/>
        </w:rPr>
      </w:pPr>
    </w:p>
    <w:p>
      <w:pPr>
        <w:ind w:right="80" w:firstLine="458"/>
        <w:spacing w:after="0" w:line="305" w:lineRule="auto"/>
        <w:rPr>
          <w:sz w:val="20"/>
          <w:szCs w:val="20"/>
          <w:color w:val="auto"/>
        </w:rPr>
      </w:pPr>
      <w:r>
        <w:rPr>
          <w:rFonts w:ascii="Arial" w:cs="Arial" w:eastAsia="Arial" w:hAnsi="Arial"/>
          <w:sz w:val="12"/>
          <w:szCs w:val="12"/>
          <w:color w:val="auto"/>
        </w:rPr>
        <w:t xml:space="preserve">11.7 </w:t>
      </w:r>
      <w:r>
        <w:rPr>
          <w:rFonts w:ascii="Arial" w:cs="Arial" w:eastAsia="Arial" w:hAnsi="Arial"/>
          <w:sz w:val="12"/>
          <w:szCs w:val="12"/>
          <w:u w:val="single" w:color="auto"/>
          <w:color w:val="auto"/>
        </w:rPr>
        <w:t>Return of Confidential Information</w:t>
      </w:r>
      <w:r>
        <w:rPr>
          <w:rFonts w:ascii="Arial" w:cs="Arial" w:eastAsia="Arial" w:hAnsi="Arial"/>
          <w:sz w:val="12"/>
          <w:szCs w:val="12"/>
          <w:color w:val="auto"/>
        </w:rPr>
        <w:t>. Upon the expiration or termination of this Agreement, the Receiving Party shall return to the Disclosing Party all Confidential Information received by the Receiving Party from the Disclosing Party (and all copies and reproductions thereof). In addition, the Receiving Party shall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Alternatively, upon written request of the Disclosing Party, the Receiving Party shall destroy all Confidential Information received by the Receiving Party from the Disclosing Party (and all copies and reproductions thereof) and any notes, reports or other documents prepared by the Receiving Party which contain Confidential Information of the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1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41" w:name="page842"/>
    <w:bookmarkEnd w:id="841"/>
    <w:p>
      <w:pPr>
        <w:ind w:right="60"/>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Disclosing Party. Nothing in this Section 11.7 shall require the alteration, modification, deletion or destruction of archival tapes or other electronic back-up media made in the ordinary course of business; provided that the Receiving Party shall continue to be bound by its obligations of confidentiality and other obligations under this ARTICLE 11 with respect to any Confidential Information contained in such archival tapes or other electronic back-up media. Any requested destruction of Confidential Information shall be certified in writing to the Disclosing Party by an authorized officer of the Receiving Party supervising such destruction. Notwithstanding the foregoing, (i) the Receiving Party’s legal counsel may retain one copy of the Disclosing Party’s Confidential Information solely for the purpose of determining the Receiving Party’s continuing obligations under this ARTICLE 11 and (ii) the Receiving Party may retain the Disclosing Party’s Confidential Information and its own notes, reports and other documents</w:t>
      </w:r>
    </w:p>
    <w:p>
      <w:pPr>
        <w:spacing w:after="0" w:line="2" w:lineRule="exact"/>
        <w:rPr>
          <w:sz w:val="20"/>
          <w:szCs w:val="20"/>
          <w:color w:val="auto"/>
        </w:rPr>
      </w:pPr>
    </w:p>
    <w:p>
      <w:pPr>
        <w:ind w:firstLine="4"/>
        <w:spacing w:after="0" w:line="252" w:lineRule="auto"/>
        <w:tabs>
          <w:tab w:leader="none" w:pos="222" w:val="left"/>
        </w:tabs>
        <w:numPr>
          <w:ilvl w:val="0"/>
          <w:numId w:val="1012"/>
        </w:numPr>
        <w:rPr>
          <w:rFonts w:ascii="Arial" w:cs="Arial" w:eastAsia="Arial" w:hAnsi="Arial"/>
          <w:sz w:val="14"/>
          <w:szCs w:val="14"/>
          <w:color w:val="auto"/>
        </w:rPr>
      </w:pPr>
      <w:r>
        <w:rPr>
          <w:rFonts w:ascii="Arial" w:cs="Arial" w:eastAsia="Arial" w:hAnsi="Arial"/>
          <w:sz w:val="14"/>
          <w:szCs w:val="14"/>
          <w:color w:val="auto"/>
        </w:rPr>
        <w:t>to the extent reasonably required (i) to comply with applicable Law and regulatory requirements; (ii) to exercise the rights and licenses of the Receiving Party expressly surviving expiration or termination of this Agreement; and (iii) to perform the obligations of the Receiving Party expressly surviving expiration or termination of this Agreement; or (B) to the extent it is impracticable to do so without incurring disproportionate cost. Notwithstanding the return or destruction of the Disclosing Party’s Confidential Information, the Receiving Party shall continue to be bound by its obligations of confidentiality and other obligations under this ARTICLE 11.</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12</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REPRESENTATIONS AND WARRANTIES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Representations and Warranties of Both Parties</w:t>
      </w:r>
      <w:r>
        <w:rPr>
          <w:rFonts w:ascii="Arial" w:cs="Arial" w:eastAsia="Arial" w:hAnsi="Arial"/>
          <w:sz w:val="14"/>
          <w:szCs w:val="14"/>
          <w:color w:val="auto"/>
        </w:rPr>
        <w:t>. Each Party hereby represents and warrants to the other Party, as of the Effective Date, that:</w:t>
      </w:r>
    </w:p>
    <w:p>
      <w:pPr>
        <w:spacing w:after="0" w:line="132" w:lineRule="exact"/>
        <w:rPr>
          <w:sz w:val="20"/>
          <w:szCs w:val="20"/>
          <w:color w:val="auto"/>
        </w:rPr>
      </w:pPr>
    </w:p>
    <w:p>
      <w:pPr>
        <w:ind w:right="320" w:firstLine="917"/>
        <w:spacing w:after="0" w:line="267" w:lineRule="auto"/>
        <w:rPr>
          <w:sz w:val="20"/>
          <w:szCs w:val="20"/>
          <w:color w:val="auto"/>
        </w:rPr>
      </w:pPr>
      <w:r>
        <w:rPr>
          <w:rFonts w:ascii="Arial" w:cs="Arial" w:eastAsia="Arial" w:hAnsi="Arial"/>
          <w:sz w:val="14"/>
          <w:szCs w:val="14"/>
          <w:color w:val="auto"/>
        </w:rPr>
        <w:t>12.1.1 such Party is duly organized, validly existing and in good standing under the Laws of the jurisdiction of its incorporation and has full corporate power and authority to enter into this Agreement and to carry out the provisions hereof;</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12.1.2 such Party has taken all necessary action on its part to authorize the execution and delivery of this Agreement and the performance of its obligations hereunder;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12.1.3 this Agreement has been duly executed and delivered on behalf of such Party, and constitutes a legal, valid, binding obligation, enforceable against it in accordance with the terms hereof;</w:t>
      </w:r>
    </w:p>
    <w:p>
      <w:pPr>
        <w:spacing w:after="0" w:line="155" w:lineRule="exact"/>
        <w:rPr>
          <w:sz w:val="20"/>
          <w:szCs w:val="20"/>
          <w:color w:val="auto"/>
        </w:rPr>
      </w:pPr>
    </w:p>
    <w:p>
      <w:pPr>
        <w:ind w:right="380" w:firstLine="917"/>
        <w:spacing w:after="0" w:line="351" w:lineRule="auto"/>
        <w:rPr>
          <w:sz w:val="20"/>
          <w:szCs w:val="20"/>
          <w:color w:val="auto"/>
        </w:rPr>
      </w:pPr>
      <w:r>
        <w:rPr>
          <w:rFonts w:ascii="Arial" w:cs="Arial" w:eastAsia="Arial" w:hAnsi="Arial"/>
          <w:sz w:val="12"/>
          <w:szCs w:val="12"/>
          <w:color w:val="auto"/>
        </w:rPr>
        <w:t>12.1.4 the execution, delivery and performance of this Agreement by such Party does not conflict with any agreement or any provision thereof, or any instrument or understanding, oral or written, to which it is a party or by which it is bound, nor violate any Law of any court, governmental body or administrative or other agency having jurisdiction over such Party; and</w:t>
      </w:r>
    </w:p>
    <w:p>
      <w:pPr>
        <w:spacing w:after="0" w:line="56" w:lineRule="exact"/>
        <w:rPr>
          <w:sz w:val="20"/>
          <w:szCs w:val="20"/>
          <w:color w:val="auto"/>
        </w:rPr>
      </w:pPr>
    </w:p>
    <w:p>
      <w:pPr>
        <w:ind w:right="520" w:firstLine="917"/>
        <w:spacing w:after="0" w:line="267" w:lineRule="auto"/>
        <w:rPr>
          <w:sz w:val="20"/>
          <w:szCs w:val="20"/>
          <w:color w:val="auto"/>
        </w:rPr>
      </w:pPr>
      <w:r>
        <w:rPr>
          <w:rFonts w:ascii="Arial" w:cs="Arial" w:eastAsia="Arial" w:hAnsi="Arial"/>
          <w:sz w:val="14"/>
          <w:szCs w:val="14"/>
          <w:color w:val="auto"/>
        </w:rPr>
        <w:t>12.1.5 no government authorization, consent, approval, license, exemption of or filing or registration with any court or governmental department, commission, board, bureau, agency or instrumentality, domestic or foreign, under any applicable Laws currently in effect, is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1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42" w:name="page843"/>
    <w:bookmarkEnd w:id="842"/>
    <w:p>
      <w:pPr>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or will be necessary for, or in connection with, the transaction contemplated by this Agreement, or for the performance by it of its obligations under this Agreement, except as necessary to conduct clinical trials or to seek or obtain Regulatory Approvals.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Representations and Warranties of MacroGenics and its Affiliates</w:t>
      </w:r>
      <w:r>
        <w:rPr>
          <w:rFonts w:ascii="Arial" w:cs="Arial" w:eastAsia="Arial" w:hAnsi="Arial"/>
          <w:sz w:val="14"/>
          <w:szCs w:val="14"/>
          <w:color w:val="auto"/>
        </w:rPr>
        <w:t>. ***, MacroGenics and its Affiliates hereby represent and warrant to Servier that: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12.2.1 As of the Effective Date, MacroGenics is the owner of, or has Control via a license to, the MacroGenics Patents listed on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32" w:lineRule="exact"/>
        <w:rPr>
          <w:sz w:val="20"/>
          <w:szCs w:val="20"/>
          <w:color w:val="auto"/>
        </w:rPr>
      </w:pPr>
    </w:p>
    <w:p>
      <w:pPr>
        <w:ind w:right="140" w:firstLine="917"/>
        <w:spacing w:after="0" w:line="258" w:lineRule="auto"/>
        <w:rPr>
          <w:sz w:val="20"/>
          <w:szCs w:val="20"/>
          <w:color w:val="auto"/>
        </w:rPr>
      </w:pPr>
      <w:r>
        <w:rPr>
          <w:rFonts w:ascii="Arial" w:cs="Arial" w:eastAsia="Arial" w:hAnsi="Arial"/>
          <w:sz w:val="14"/>
          <w:szCs w:val="14"/>
          <w:color w:val="auto"/>
        </w:rPr>
        <w:t>12.2.2 There are not as of the Effective Date, nor have there been over the *** period immediately preceding the Effective Date, any claims, lawsuits, arbitrations, legal or administrative or regulatory proceedings, charges, complaints or investigations by any Government Authority (except in the ordinary administrative course of the granting of patents and proceedings relating thereto) or by any Third Party relating to the MacroGenics Patents or MacroGenics Know-How;</w:t>
      </w:r>
    </w:p>
    <w:p>
      <w:pPr>
        <w:spacing w:after="0" w:line="108" w:lineRule="exact"/>
        <w:rPr>
          <w:sz w:val="20"/>
          <w:szCs w:val="20"/>
          <w:color w:val="auto"/>
        </w:rPr>
      </w:pPr>
    </w:p>
    <w:p>
      <w:pPr>
        <w:ind w:right="80" w:firstLine="917"/>
        <w:spacing w:after="0" w:line="267" w:lineRule="auto"/>
        <w:rPr>
          <w:sz w:val="20"/>
          <w:szCs w:val="20"/>
          <w:color w:val="auto"/>
        </w:rPr>
      </w:pPr>
      <w:r>
        <w:rPr>
          <w:rFonts w:ascii="Arial" w:cs="Arial" w:eastAsia="Arial" w:hAnsi="Arial"/>
          <w:sz w:val="14"/>
          <w:szCs w:val="14"/>
          <w:color w:val="auto"/>
        </w:rPr>
        <w:t>12.2.3 As of the Effective Date, to MacroGenics’ and its Affiliates knowledge, the exercise by Servier of the rights and licenses granted to Servier by MacroGenics under this Agreement shall not infringe any rights owned or controlled by any Third Party in the Servier Territory;</w:t>
      </w:r>
    </w:p>
    <w:p>
      <w:pPr>
        <w:spacing w:after="0" w:line="101" w:lineRule="exact"/>
        <w:rPr>
          <w:sz w:val="20"/>
          <w:szCs w:val="20"/>
          <w:color w:val="auto"/>
        </w:rPr>
      </w:pPr>
    </w:p>
    <w:p>
      <w:pPr>
        <w:ind w:firstLine="917"/>
        <w:spacing w:after="0" w:line="258" w:lineRule="auto"/>
        <w:rPr>
          <w:sz w:val="20"/>
          <w:szCs w:val="20"/>
          <w:color w:val="auto"/>
        </w:rPr>
      </w:pPr>
      <w:r>
        <w:rPr>
          <w:rFonts w:ascii="Arial" w:cs="Arial" w:eastAsia="Arial" w:hAnsi="Arial"/>
          <w:sz w:val="14"/>
          <w:szCs w:val="14"/>
          <w:color w:val="auto"/>
        </w:rPr>
        <w:t>12.2.4 As to the Effective Date, to MacroGenics’ and its Affiliates knowledge *** it has not (i) employed and has not used a contractor or consultant that has employed, any individual or entity debarred by the FDA (or subject to a similar sanction of EMA), or, (ii) employed any individual who or entity that is the subject of an FDA debarment investigation or proceeding (or similar proceeding of EMA), in the conduct of any pre-clinical activities or clinical studies of Program Antibodies;</w:t>
      </w:r>
    </w:p>
    <w:p>
      <w:pPr>
        <w:spacing w:after="0" w:line="108" w:lineRule="exact"/>
        <w:rPr>
          <w:sz w:val="20"/>
          <w:szCs w:val="20"/>
          <w:color w:val="auto"/>
        </w:rPr>
      </w:pPr>
    </w:p>
    <w:p>
      <w:pPr>
        <w:ind w:right="60" w:firstLine="917"/>
        <w:spacing w:after="0" w:line="351" w:lineRule="auto"/>
        <w:rPr>
          <w:sz w:val="20"/>
          <w:szCs w:val="20"/>
          <w:color w:val="auto"/>
        </w:rPr>
      </w:pPr>
      <w:r>
        <w:rPr>
          <w:rFonts w:ascii="Arial" w:cs="Arial" w:eastAsia="Arial" w:hAnsi="Arial"/>
          <w:sz w:val="12"/>
          <w:szCs w:val="12"/>
          <w:color w:val="auto"/>
        </w:rPr>
        <w:t>12.2.5 As to the Effective Date, MacroGenics has the right to grant all rights and licenses it purports to grant to Servier with respect to the MacroGenics IP under this Agreement and it has not granted any license, right or interest in, to or under MacroGenics IP to any Third Party that is inconsistent with the licenses and rights granted to Servier under Section 4.1;</w:t>
      </w:r>
    </w:p>
    <w:p>
      <w:pPr>
        <w:spacing w:after="0" w:line="56" w:lineRule="exact"/>
        <w:rPr>
          <w:sz w:val="20"/>
          <w:szCs w:val="20"/>
          <w:color w:val="auto"/>
        </w:rPr>
      </w:pPr>
    </w:p>
    <w:p>
      <w:pPr>
        <w:ind w:right="80" w:firstLine="917"/>
        <w:spacing w:after="0" w:line="351" w:lineRule="auto"/>
        <w:rPr>
          <w:sz w:val="20"/>
          <w:szCs w:val="20"/>
          <w:color w:val="auto"/>
        </w:rPr>
      </w:pPr>
      <w:r>
        <w:rPr>
          <w:rFonts w:ascii="Arial" w:cs="Arial" w:eastAsia="Arial" w:hAnsi="Arial"/>
          <w:sz w:val="12"/>
          <w:szCs w:val="12"/>
          <w:color w:val="auto"/>
        </w:rPr>
        <w:t>12.2.6 As of the Effective Date, to MacroGenics and its Affiliates’ knowledge the MacroGenics IP are all of the Patents and Know-How Controlled by MacroGenics or its Affiliates which are reasonably necessary for the Development, Manufacture, Commercialization of the Program Antibody and/or Licensed Products in the Field in the Servier Territory;</w:t>
      </w:r>
    </w:p>
    <w:p>
      <w:pPr>
        <w:spacing w:after="0" w:line="56" w:lineRule="exact"/>
        <w:rPr>
          <w:sz w:val="20"/>
          <w:szCs w:val="20"/>
          <w:color w:val="auto"/>
        </w:rPr>
      </w:pPr>
    </w:p>
    <w:p>
      <w:pPr>
        <w:ind w:right="240" w:firstLine="917"/>
        <w:spacing w:after="0" w:line="267" w:lineRule="auto"/>
        <w:rPr>
          <w:sz w:val="20"/>
          <w:szCs w:val="20"/>
          <w:color w:val="auto"/>
        </w:rPr>
      </w:pPr>
      <w:r>
        <w:rPr>
          <w:rFonts w:ascii="Arial" w:cs="Arial" w:eastAsia="Arial" w:hAnsi="Arial"/>
          <w:sz w:val="14"/>
          <w:szCs w:val="14"/>
          <w:color w:val="auto"/>
        </w:rPr>
        <w:t>12.2.7 To MacroGenics knowledge, the Research and Development of the Program Antibody and the Licensed Product prior to the Effective Date by or on behalf of MacroGenics has been carried out without infringing any Patent owned or controlled by a Third Party;</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54</w:t>
      </w:r>
    </w:p>
    <w:p>
      <w:pPr>
        <w:spacing w:after="0" w:line="132" w:lineRule="exact"/>
        <w:rPr>
          <w:sz w:val="20"/>
          <w:szCs w:val="20"/>
          <w:color w:val="auto"/>
        </w:rPr>
      </w:pPr>
    </w:p>
    <w:p>
      <w:pPr>
        <w:ind w:left="3840" w:right="2620" w:hanging="1139"/>
        <w:spacing w:after="0" w:line="351" w:lineRule="auto"/>
        <w:tabs>
          <w:tab w:leader="none" w:pos="2940" w:val="left"/>
        </w:tabs>
        <w:numPr>
          <w:ilvl w:val="0"/>
          <w:numId w:val="101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20" w:top="247" w:right="299" w:bottom="1440" w:gutter="0" w:footer="0" w:header="0"/>
        </w:sectPr>
      </w:pPr>
    </w:p>
    <w:bookmarkStart w:id="843" w:name="page844"/>
    <w:bookmarkEnd w:id="843"/>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12.2.8 As of the Effective Date, to MacroGenics’ knowledge, there are no activities by Third Party that would constitute infringement or misappropriation of the MacroGenics IP;</w:t>
      </w:r>
    </w:p>
    <w:p>
      <w:pPr>
        <w:spacing w:after="0" w:line="155" w:lineRule="exact"/>
        <w:rPr>
          <w:sz w:val="20"/>
          <w:szCs w:val="20"/>
          <w:color w:val="auto"/>
        </w:rPr>
      </w:pPr>
    </w:p>
    <w:p>
      <w:pPr>
        <w:jc w:val="both"/>
        <w:ind w:right="100" w:firstLine="917"/>
        <w:spacing w:after="0" w:line="321" w:lineRule="auto"/>
        <w:rPr>
          <w:sz w:val="20"/>
          <w:szCs w:val="20"/>
          <w:color w:val="auto"/>
        </w:rPr>
      </w:pPr>
      <w:r>
        <w:rPr>
          <w:rFonts w:ascii="Arial" w:cs="Arial" w:eastAsia="Arial" w:hAnsi="Arial"/>
          <w:sz w:val="12"/>
          <w:szCs w:val="12"/>
          <w:color w:val="auto"/>
        </w:rPr>
        <w:t>12.2.9 As of the Effective Date, to MacroGenics’ knowledge, there is no reason for MacroGenics or a count of competent jurisdiction to reasonably conclude that the MacroGenics Patents are invalid or unenforceable. To MacroGenics’ knowledge, the claims included in any issued MacroGenics Patent are valid and in full force and effect. All fees required to be paid to the governmental authorities prior to the Effective Date to prosecute or maintain the MacroGenics Patent in the Servier Territory have been filed and have been paid;</w:t>
      </w:r>
    </w:p>
    <w:p>
      <w:pPr>
        <w:spacing w:after="0" w:line="73" w:lineRule="exact"/>
        <w:rPr>
          <w:sz w:val="20"/>
          <w:szCs w:val="20"/>
          <w:color w:val="auto"/>
        </w:rPr>
      </w:pPr>
    </w:p>
    <w:p>
      <w:pPr>
        <w:ind w:right="40" w:firstLine="917"/>
        <w:spacing w:after="0" w:line="267" w:lineRule="auto"/>
        <w:rPr>
          <w:sz w:val="20"/>
          <w:szCs w:val="20"/>
          <w:color w:val="auto"/>
        </w:rPr>
      </w:pPr>
      <w:r>
        <w:rPr>
          <w:rFonts w:ascii="Arial" w:cs="Arial" w:eastAsia="Arial" w:hAnsi="Arial"/>
          <w:sz w:val="14"/>
          <w:szCs w:val="14"/>
          <w:color w:val="auto"/>
        </w:rPr>
        <w:t>12.2.10 MacroGenics has maintained prior to the Effective Date and, unless agreed to otherwise by Servier and except as provided in this Agreement, during the Agreement Term will maintain and keep in full force and effect all agreements and filings (including Patent filings) necessary to perform its obligations hereunder; and</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12.2.11 As of the Effective Date, to MacroGenics and its Affiliates’ knowledge, all material Safety Data arising from the Initial Phase 1 Clinical Trial has been provided to Servier.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u w:val="single" w:color="auto"/>
          <w:color w:val="auto"/>
        </w:rPr>
        <w:t>Representation and Warranty of LLS</w:t>
      </w:r>
      <w:r>
        <w:rPr>
          <w:rFonts w:ascii="Arial" w:cs="Arial" w:eastAsia="Arial" w:hAnsi="Arial"/>
          <w:sz w:val="14"/>
          <w:szCs w:val="14"/>
          <w:color w:val="auto"/>
        </w:rPr>
        <w:t>. LLS hereby represents and warrants to MacroGenics that IdRS is an Affiliate of LLS.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u w:val="single" w:color="auto"/>
          <w:color w:val="auto"/>
        </w:rPr>
        <w:t>Mutual Covenants</w:t>
      </w:r>
      <w:r>
        <w:rPr>
          <w:rFonts w:ascii="Arial" w:cs="Arial" w:eastAsia="Arial" w:hAnsi="Arial"/>
          <w:sz w:val="14"/>
          <w:szCs w:val="14"/>
          <w:color w:val="auto"/>
        </w:rPr>
        <w:t>. Each Party hereby covenants to the other Party that: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12.4.1 Such Party shall comply with all applicable Laws in connection with this Agreement and the transactions contemplated hereby.</w:t>
      </w:r>
    </w:p>
    <w:p>
      <w:pPr>
        <w:spacing w:after="0" w:line="132" w:lineRule="exact"/>
        <w:rPr>
          <w:sz w:val="20"/>
          <w:szCs w:val="20"/>
          <w:color w:val="auto"/>
        </w:rPr>
      </w:pPr>
    </w:p>
    <w:p>
      <w:pPr>
        <w:ind w:right="260" w:firstLine="917"/>
        <w:spacing w:after="0" w:line="267" w:lineRule="auto"/>
        <w:rPr>
          <w:sz w:val="20"/>
          <w:szCs w:val="20"/>
          <w:color w:val="auto"/>
        </w:rPr>
      </w:pPr>
      <w:r>
        <w:rPr>
          <w:rFonts w:ascii="Arial" w:cs="Arial" w:eastAsia="Arial" w:hAnsi="Arial"/>
          <w:sz w:val="14"/>
          <w:szCs w:val="14"/>
          <w:color w:val="auto"/>
        </w:rPr>
        <w:t>12.4.2 All employees of such Party or its Affiliates working under this Agreement will be under the obligation to assign all right, title and interest in and to their inventions and discoveries, whether or not patentable, to such Party as the sole owner thereof;</w:t>
      </w:r>
    </w:p>
    <w:p>
      <w:pPr>
        <w:spacing w:after="0" w:line="101" w:lineRule="exact"/>
        <w:rPr>
          <w:sz w:val="20"/>
          <w:szCs w:val="20"/>
          <w:color w:val="auto"/>
        </w:rPr>
      </w:pPr>
    </w:p>
    <w:p>
      <w:pPr>
        <w:ind w:right="200" w:firstLine="917"/>
        <w:spacing w:after="0" w:line="258" w:lineRule="auto"/>
        <w:rPr>
          <w:sz w:val="20"/>
          <w:szCs w:val="20"/>
          <w:color w:val="auto"/>
        </w:rPr>
      </w:pPr>
      <w:r>
        <w:rPr>
          <w:rFonts w:ascii="Arial" w:cs="Arial" w:eastAsia="Arial" w:hAnsi="Arial"/>
          <w:sz w:val="14"/>
          <w:szCs w:val="14"/>
          <w:color w:val="auto"/>
        </w:rPr>
        <w:t>12.4.3 To its knowledge *** such Party will not (a) employ or use any contractor or consultant that employs, any individual or entity debarred by the FDA (or subject to a similar sanction of EMA) or, (b) employ any individual who or entity that is the subject of an FDA debarment investigation or proceeding (or similar proceeding of EMA), in each of clauses (a) and (b) in the conduct of its activities under this Agreement;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12.4.4 Such Party shall perform its activities pursuant to this Agreement in compliance in all material respects with GLP, GCP and cGMP (including those specified by the ICH), in each case 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applicable; and</w:t>
      </w:r>
    </w:p>
    <w:p>
      <w:pPr>
        <w:spacing w:after="0" w:line="126" w:lineRule="exact"/>
        <w:rPr>
          <w:sz w:val="20"/>
          <w:szCs w:val="20"/>
          <w:color w:val="auto"/>
        </w:rPr>
      </w:pPr>
    </w:p>
    <w:p>
      <w:pPr>
        <w:ind w:right="200" w:firstLine="917"/>
        <w:spacing w:after="0" w:line="267" w:lineRule="auto"/>
        <w:rPr>
          <w:sz w:val="20"/>
          <w:szCs w:val="20"/>
          <w:color w:val="auto"/>
        </w:rPr>
      </w:pPr>
      <w:r>
        <w:rPr>
          <w:rFonts w:ascii="Arial" w:cs="Arial" w:eastAsia="Arial" w:hAnsi="Arial"/>
          <w:sz w:val="14"/>
          <w:szCs w:val="14"/>
          <w:color w:val="auto"/>
        </w:rPr>
        <w:t>12.4.5 Neither Party shall, during the Agreement Term grant any right or license to any Third Party relating to any of the intellectual property rights it owns or Controls which would conflict with any of the rights or licenses granted or to be granted to the other Party hereunder pursuant to the provisions of ARTICLE 4.</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55</w:t>
      </w:r>
    </w:p>
    <w:p>
      <w:pPr>
        <w:spacing w:after="0" w:line="132" w:lineRule="exact"/>
        <w:rPr>
          <w:sz w:val="20"/>
          <w:szCs w:val="20"/>
          <w:color w:val="auto"/>
        </w:rPr>
      </w:pPr>
    </w:p>
    <w:p>
      <w:pPr>
        <w:ind w:left="3840" w:right="2640" w:hanging="1139"/>
        <w:spacing w:after="0" w:line="351" w:lineRule="auto"/>
        <w:tabs>
          <w:tab w:leader="none" w:pos="2940" w:val="left"/>
        </w:tabs>
        <w:numPr>
          <w:ilvl w:val="0"/>
          <w:numId w:val="101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7" w:right="279" w:bottom="1440" w:gutter="0" w:footer="0" w:header="0"/>
        </w:sectPr>
      </w:pPr>
    </w:p>
    <w:bookmarkStart w:id="844" w:name="page845"/>
    <w:bookmarkEnd w:id="844"/>
    <w:p>
      <w:pPr>
        <w:ind w:right="140" w:firstLine="458"/>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12.5 </w:t>
      </w:r>
      <w:r>
        <w:rPr>
          <w:rFonts w:ascii="Arial" w:cs="Arial" w:eastAsia="Arial" w:hAnsi="Arial"/>
          <w:sz w:val="14"/>
          <w:szCs w:val="14"/>
          <w:u w:val="single" w:color="auto"/>
          <w:color w:val="auto"/>
        </w:rPr>
        <w:t>Disclaimer</w:t>
      </w:r>
      <w:r>
        <w:rPr>
          <w:rFonts w:ascii="Arial" w:cs="Arial" w:eastAsia="Arial" w:hAnsi="Arial"/>
          <w:sz w:val="14"/>
          <w:szCs w:val="14"/>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 Without limiting the generality of the foregoing except as otherwise expressly set forth in this Agreement, each Party disclaims any warranties with regards to: (a) the success of any study or test commenced under this Agreement, (b) the safety or usefulness for any purpose of the technology or materials, including any compounds, it provides or discovers under this Agreement; or (c) the validity, enforceability, or non-infringement of any intellectual property rights or technology it provides or licenses to the other Party under this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INDEMNIFICATION</w:t>
      </w:r>
    </w:p>
    <w:p>
      <w:pPr>
        <w:spacing w:after="0" w:line="126" w:lineRule="exact"/>
        <w:rPr>
          <w:sz w:val="20"/>
          <w:szCs w:val="20"/>
          <w:color w:val="auto"/>
        </w:rPr>
      </w:pPr>
    </w:p>
    <w:p>
      <w:pPr>
        <w:ind w:firstLine="458"/>
        <w:spacing w:after="0" w:line="298"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u w:val="single" w:color="auto"/>
          <w:color w:val="auto"/>
        </w:rPr>
        <w:t>Indemnification by Servier</w:t>
      </w:r>
      <w:r>
        <w:rPr>
          <w:rFonts w:ascii="Arial" w:cs="Arial" w:eastAsia="Arial" w:hAnsi="Arial"/>
          <w:sz w:val="12"/>
          <w:szCs w:val="12"/>
          <w:color w:val="auto"/>
        </w:rPr>
        <w:t>. Servier shall defend, indemnify and hold harmless the MacroGenics Indemnitees from and against any and all losses, damages, fees, expenses, settlement amounts or costs (including reasonable attorneys’ fees and witness fees) (“</w:t>
      </w:r>
      <w:r>
        <w:rPr>
          <w:rFonts w:ascii="Arial" w:cs="Arial" w:eastAsia="Arial" w:hAnsi="Arial"/>
          <w:sz w:val="12"/>
          <w:szCs w:val="12"/>
          <w:u w:val="single" w:color="auto"/>
          <w:color w:val="auto"/>
        </w:rPr>
        <w:t>Losses</w:t>
      </w:r>
      <w:r>
        <w:rPr>
          <w:rFonts w:ascii="Arial" w:cs="Arial" w:eastAsia="Arial" w:hAnsi="Arial"/>
          <w:sz w:val="12"/>
          <w:szCs w:val="12"/>
          <w:color w:val="auto"/>
        </w:rPr>
        <w:t xml:space="preserve">”) relating to or in connection with a Third Party claim in the Servier Territory arising out of (a) any actual death, personal bodily injury or damage to real or tangible personal property proven to result, directly or indirectly, from the possession, use or consumption of, or treatment with, a Program Antibody or Licensed Product Researched, Developed, Manufactured or Commercialized in the Servier Territory by or on behalf of Servier or its Affiliates or Sublicensees, including any product liability claims; (b) any breach by Servier of its representations, warranties or covenants made under this Agreement; or (c) any negligent act or omission or willful misconduct of Servier or its Affiliates or Sublicensees or any of their employees, contractors or agents, in performing Servier’s obligations or exercising Servier’s rights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indemnity shall not apply to the extent that any such Losses (i) are attributable to the gross negligence or willful misconduct of the MacroGenics Indemnitees, or (ii) are otherwise subject to an obligation by MacroGenics to indemnify the Servier Indemnitees under Section 13.2. For purposes of clarity, notwithstanding anything to the contrary in this Agreement, Servier shall not be liable for any Losses resulting from any claim in the MacroGenics Territory that results from any acts or omissions of MacroGenics, its Affiliates or Sublicensees, even if Servier had knowledge of, reviewed, commented on, or approved such acts or omissions of MacroGenics’ or its Affiliates’ or Sublicensees’ plans with respect thereto.</w:t>
      </w:r>
    </w:p>
    <w:p>
      <w:pPr>
        <w:spacing w:after="0" w:line="255" w:lineRule="exact"/>
        <w:rPr>
          <w:sz w:val="20"/>
          <w:szCs w:val="20"/>
          <w:color w:val="auto"/>
        </w:rPr>
      </w:pPr>
    </w:p>
    <w:p>
      <w:pPr>
        <w:ind w:right="240" w:firstLine="458"/>
        <w:spacing w:after="0" w:line="351"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Indemnification by MacroGenics</w:t>
      </w:r>
      <w:r>
        <w:rPr>
          <w:rFonts w:ascii="Arial" w:cs="Arial" w:eastAsia="Arial" w:hAnsi="Arial"/>
          <w:sz w:val="12"/>
          <w:szCs w:val="12"/>
          <w:color w:val="auto"/>
        </w:rPr>
        <w:t>. MacroGenics shall defend, indemnify and hold harmless the Servier Indemnitees from and against any and all Losses relating to or in connection with a Third Party claim in the MacroGenics Territory arising out of (a) any actual death, personal bodily injury or damage to real or tangible personal property proven to result, directly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1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45" w:name="page846"/>
    <w:bookmarkEnd w:id="845"/>
    <w:p>
      <w:pPr>
        <w:spacing w:after="0" w:line="29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or indirectly, from the possession, use or consumption of, or treatment with, a Program Antibody or Licensed Product Researched, Developed, Manufactured or Commercialized in the MacroGenics Territory by or on behalf of MacroGenics or its Affiliates or Sublicensees, including any product liability claims; (b) any breach by MacroGenics of its representations, warranties or covenants made under this Agreement; or</w:t>
      </w:r>
    </w:p>
    <w:p>
      <w:pPr>
        <w:spacing w:after="0" w:line="1" w:lineRule="exact"/>
        <w:rPr>
          <w:sz w:val="20"/>
          <w:szCs w:val="20"/>
          <w:color w:val="auto"/>
        </w:rPr>
      </w:pPr>
    </w:p>
    <w:p>
      <w:pPr>
        <w:ind w:right="80" w:firstLine="4"/>
        <w:spacing w:after="0" w:line="303" w:lineRule="auto"/>
        <w:tabs>
          <w:tab w:leader="none" w:pos="185" w:val="left"/>
        </w:tabs>
        <w:numPr>
          <w:ilvl w:val="0"/>
          <w:numId w:val="1017"/>
        </w:numPr>
        <w:rPr>
          <w:rFonts w:ascii="Arial" w:cs="Arial" w:eastAsia="Arial" w:hAnsi="Arial"/>
          <w:sz w:val="12"/>
          <w:szCs w:val="12"/>
          <w:color w:val="auto"/>
        </w:rPr>
      </w:pPr>
      <w:r>
        <w:rPr>
          <w:rFonts w:ascii="Arial" w:cs="Arial" w:eastAsia="Arial" w:hAnsi="Arial"/>
          <w:sz w:val="12"/>
          <w:szCs w:val="12"/>
          <w:color w:val="auto"/>
        </w:rPr>
        <w:t xml:space="preserve">any negligent act or omission or willful misconduct of MacroGenics or its Affiliates or Sublicenses or any of their employees, contractors or agents, in performing MacroGenics’ obligations or exercising MacroGenics’ rights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indemnity shall not apply to the extent that any such Losses are attributable to (i) the gross negligence or willful misconduct of the Servier Indemnitees, or (ii) are otherwise subject to an obligation by Servier to indemnify the MacroGenics Indemnitees under Section 13.1. For purposes of clarity, notwithstanding anything to the contrary in this Agreement, MacroGenics shall not be liable for any Losses resulting from any claim in the Servier Territory that results from any acts or omissions of Servier, its Affiliates or Sublicensees, even if MacroGenics had knowledge of, reviewed, commented on, or approved such acts or omissions of Servier’s or its Affiliates’ or Sublicensees’ plans with respect thereto.</w:t>
      </w:r>
    </w:p>
    <w:p>
      <w:pPr>
        <w:spacing w:after="0" w:line="84" w:lineRule="exact"/>
        <w:rPr>
          <w:sz w:val="20"/>
          <w:szCs w:val="20"/>
          <w:color w:val="auto"/>
        </w:rPr>
      </w:pPr>
    </w:p>
    <w:p>
      <w:pPr>
        <w:ind w:right="20" w:firstLine="458"/>
        <w:spacing w:after="0" w:line="295" w:lineRule="auto"/>
        <w:rPr>
          <w:sz w:val="20"/>
          <w:szCs w:val="20"/>
          <w:color w:val="auto"/>
        </w:rPr>
      </w:pPr>
      <w:r>
        <w:rPr>
          <w:rFonts w:ascii="Arial" w:cs="Arial" w:eastAsia="Arial" w:hAnsi="Arial"/>
          <w:sz w:val="12"/>
          <w:szCs w:val="12"/>
          <w:color w:val="auto"/>
        </w:rPr>
        <w:t xml:space="preserve">13.3 </w:t>
      </w:r>
      <w:r>
        <w:rPr>
          <w:rFonts w:ascii="Arial" w:cs="Arial" w:eastAsia="Arial" w:hAnsi="Arial"/>
          <w:sz w:val="12"/>
          <w:szCs w:val="12"/>
          <w:u w:val="single" w:color="auto"/>
          <w:color w:val="auto"/>
        </w:rPr>
        <w:t>Procedure</w:t>
      </w:r>
      <w:r>
        <w:rPr>
          <w:rFonts w:ascii="Arial" w:cs="Arial" w:eastAsia="Arial" w:hAnsi="Arial"/>
          <w:sz w:val="12"/>
          <w:szCs w:val="12"/>
          <w:color w:val="auto"/>
        </w:rPr>
        <w:t>. In the event of a claim by a Third Party against any Person entitled to indemnification under this Agreement, the Party claiming indemnification (in such capacity, the “</w:t>
      </w:r>
      <w:r>
        <w:rPr>
          <w:rFonts w:ascii="Arial" w:cs="Arial" w:eastAsia="Arial" w:hAnsi="Arial"/>
          <w:sz w:val="12"/>
          <w:szCs w:val="12"/>
          <w:u w:val="single" w:color="auto"/>
          <w:color w:val="auto"/>
        </w:rPr>
        <w:t>Indemnified</w:t>
      </w:r>
      <w:r>
        <w:rPr>
          <w:rFonts w:ascii="Arial" w:cs="Arial" w:eastAsia="Arial" w:hAnsi="Arial"/>
          <w:sz w:val="12"/>
          <w:szCs w:val="12"/>
          <w:color w:val="auto"/>
        </w:rPr>
        <w:t xml:space="preserve"> </w:t>
      </w:r>
      <w:r>
        <w:rPr>
          <w:rFonts w:ascii="Arial" w:cs="Arial" w:eastAsia="Arial" w:hAnsi="Arial"/>
          <w:sz w:val="12"/>
          <w:szCs w:val="12"/>
          <w:u w:val="single" w:color="auto"/>
          <w:color w:val="auto"/>
        </w:rPr>
        <w:t>Party</w:t>
      </w:r>
      <w:r>
        <w:rPr>
          <w:rFonts w:ascii="Arial" w:cs="Arial" w:eastAsia="Arial" w:hAnsi="Arial"/>
          <w:sz w:val="12"/>
          <w:szCs w:val="12"/>
          <w:color w:val="auto"/>
        </w:rPr>
        <w:t>”) shall promptly notify the other Party (in such capacity, the “</w:t>
      </w:r>
      <w:r>
        <w:rPr>
          <w:rFonts w:ascii="Arial" w:cs="Arial" w:eastAsia="Arial" w:hAnsi="Arial"/>
          <w:sz w:val="12"/>
          <w:szCs w:val="12"/>
          <w:u w:val="single" w:color="auto"/>
          <w:color w:val="auto"/>
        </w:rPr>
        <w:t>Indemnifying Party</w:t>
      </w:r>
      <w:r>
        <w:rPr>
          <w:rFonts w:ascii="Arial" w:cs="Arial" w:eastAsia="Arial" w:hAnsi="Arial"/>
          <w:sz w:val="12"/>
          <w:szCs w:val="12"/>
          <w:color w:val="auto"/>
        </w:rPr>
        <w:t xml:space="preserve">”) in writing of the claim (it being understood that the failure by the Indemnified Party to give prompt notice of a Third Party claim as provided in this Section 13.3 shall not relieve the Indemnifying Party of its indemnification obligation under this Agreement except and only to the extent that such Indemnifying Party is actually prejudiced as a result of such failure to give prompt notice).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delivery of such notification, the Indemnifying Party may, upon written notice thereof to the Indemnified Party, undertake and solely manage and control, at its sole expense and with counsel reasonably satisfactory to the Indemnified Party, the defense of the claim. If the Indemnifying Party does not undertake such defense, the Indemnified Party shall control such defense. The Party not controlling such defense shall cooperate with the other Party and may, at its option and expense, participate in such defense with counsel of its choice; </w:t>
      </w:r>
      <w:r>
        <w:rPr>
          <w:rFonts w:ascii="Arial" w:cs="Arial" w:eastAsia="Arial" w:hAnsi="Arial"/>
          <w:sz w:val="12"/>
          <w:szCs w:val="12"/>
          <w:u w:val="single" w:color="auto"/>
          <w:color w:val="auto"/>
        </w:rPr>
        <w:t>provided</w:t>
      </w:r>
      <w:r>
        <w:rPr>
          <w:rFonts w:ascii="Arial" w:cs="Arial" w:eastAsia="Arial" w:hAnsi="Arial"/>
          <w:sz w:val="12"/>
          <w:szCs w:val="12"/>
          <w:color w:val="auto"/>
        </w:rPr>
        <w:t>, that, if the Indemnifying Party assumes control of such defense and the Indemnified Party in good faith concludes, based on advice from counsel, that the Indemnifying Party and the Indemnified Party (or the relevant MacroGenics Indemnitee or Servier Indemnitee seeking indemnification) have conflicting interests with respect to such action, suit, proceeding or claim, the Indemnified Party’s counsels may fully participate in such defense and the Indemnifying Party shall be responsible for the reasonable fees and expenses of one counsel to the indemnified Persons solely in connection therewith. The Party controlling such defense shall keep the other Party advised of the status of such action, suit, proceeding or claim and the defense thereof and shall consider recommendations made by the other Party with respect thereto. Except if the Indemnifying Party did not undertake defense of the claim or if the Indemnifying Party and the Indemnified Party (or the relevant MacroGenics Indemnitee or Servier Indemnitee seeking indemnification) have conflicting interests with respect to such action, suit, proceeding or claim and the Indemnified Party engages separate counsel, as provided above, the Indemnifying Party shall not be liable for any litigation costs or expenses incurred by the Indemnified Party without the Indemnifying Party’s written consent. The Indemnified Party shall not settle any such action, suit, proceeding or claim without the prior written consent of the Indemnifying Party, which shall</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1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46" w:name="page847"/>
    <w:bookmarkEnd w:id="846"/>
    <w:p>
      <w:pPr>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not be unreasonably withheld, delayed or conditioned. The Indemnifying Party shall not settle, without the prior written consent of the Indemnified Party, any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108" w:lineRule="exact"/>
        <w:rPr>
          <w:sz w:val="20"/>
          <w:szCs w:val="20"/>
          <w:color w:val="auto"/>
        </w:rPr>
      </w:pPr>
    </w:p>
    <w:p>
      <w:pPr>
        <w:ind w:right="100" w:firstLine="458"/>
        <w:spacing w:after="0" w:line="351"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Allocation</w:t>
      </w:r>
      <w:r>
        <w:rPr>
          <w:rFonts w:ascii="Arial" w:cs="Arial" w:eastAsia="Arial" w:hAnsi="Arial"/>
          <w:sz w:val="12"/>
          <w:szCs w:val="12"/>
          <w:color w:val="auto"/>
        </w:rPr>
        <w:t>. In the event a claim is based partially on an indemnified claim and partially on a non-indemnified claim or based partially on a claim indemnified by one Party and partially on a claim indemnified by the other Party, any payments in connection with such claims are to be apportioned between the Parties in accordance with the degree of cause attributable to each Party.</w:t>
      </w:r>
    </w:p>
    <w:p>
      <w:pPr>
        <w:spacing w:after="0" w:line="56" w:lineRule="exact"/>
        <w:rPr>
          <w:sz w:val="20"/>
          <w:szCs w:val="20"/>
          <w:color w:val="auto"/>
        </w:rPr>
      </w:pPr>
    </w:p>
    <w:p>
      <w:pPr>
        <w:ind w:right="120" w:firstLine="458"/>
        <w:spacing w:after="0" w:line="253" w:lineRule="auto"/>
        <w:rPr>
          <w:sz w:val="20"/>
          <w:szCs w:val="20"/>
          <w:color w:val="auto"/>
        </w:rPr>
      </w:pPr>
      <w:r>
        <w:rPr>
          <w:rFonts w:ascii="Arial" w:cs="Arial" w:eastAsia="Arial" w:hAnsi="Arial"/>
          <w:sz w:val="14"/>
          <w:szCs w:val="14"/>
          <w:color w:val="auto"/>
        </w:rPr>
        <w:t xml:space="preserve">13.5 </w:t>
      </w:r>
      <w:r>
        <w:rPr>
          <w:rFonts w:ascii="Arial" w:cs="Arial" w:eastAsia="Arial" w:hAnsi="Arial"/>
          <w:sz w:val="14"/>
          <w:szCs w:val="14"/>
          <w:u w:val="single" w:color="auto"/>
          <w:color w:val="auto"/>
        </w:rPr>
        <w:t>EXCLUSION OF CONSEQUENTIAL DAMAGES</w:t>
      </w:r>
      <w:r>
        <w:rPr>
          <w:rFonts w:ascii="Arial" w:cs="Arial" w:eastAsia="Arial" w:hAnsi="Arial"/>
          <w:sz w:val="14"/>
          <w:szCs w:val="14"/>
          <w:color w:val="auto"/>
        </w:rPr>
        <w:t>. EXCEPT WITH RESPECT TO A BREACH OF ARTICLE 11 OR THIRD PARTY CLAIMS THAT ARE SUBJECT TO INDEMNIFICATION UNDER THIS ARTICLE 13, NEITHER MACROGENICS NOR SERVIER, NOR ANY OF THEIR RESPECTIVE AFFILIATES, WILL BE LIABLE FOR ANY INDIRECT, INCIDENTAL, CONSEQUENTIAL, SPECIAL OR PUNITIVE DAMAGES, WHETHER LIABILITY IS ASSERTED IN CONTRACT, TORT (INCLUDING NEGLIGENCE AND STRICT PRODUCT LIABILITY), INDEMNITY OR CONTRIBUTION, AND IRRESPECTIVE OF WHETHER SUCH PARTY OR ANY REPRESENTATIVE OF SUCH PARTY HAS BEEN ADVISED OF, OR OTHERWISE MIGHT HAVE ANTICIPATED THE POSSIBILITY OF, ANY SUCH LOSS OR DAMAGE.</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14</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TERM AND TERMINATION</w:t>
      </w:r>
    </w:p>
    <w:p>
      <w:pPr>
        <w:spacing w:after="0" w:line="126" w:lineRule="exact"/>
        <w:rPr>
          <w:sz w:val="20"/>
          <w:szCs w:val="20"/>
          <w:color w:val="auto"/>
        </w:rPr>
      </w:pPr>
    </w:p>
    <w:p>
      <w:pPr>
        <w:ind w:right="60" w:firstLine="458"/>
        <w:spacing w:after="0" w:line="311"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Agreement Term; Expiration</w:t>
      </w:r>
      <w:r>
        <w:rPr>
          <w:rFonts w:ascii="Arial" w:cs="Arial" w:eastAsia="Arial" w:hAnsi="Arial"/>
          <w:sz w:val="12"/>
          <w:szCs w:val="12"/>
          <w:color w:val="auto"/>
        </w:rPr>
        <w:t>. This Agreement shall become effective as of the Effective Date, and, in the event Servier does not exercise the Option by the end of the Option Period, shall expire at the end of the Option Period, unless earlier terminated in accordance with this ARTICLE 14. In the event Servier exercises the Option in accordance with Section 3.3, this Agreement shall continue in full force until the last to expire Royalty Term for a Licensed Product in the Servier Territory. After the last to expire Royalty Term for a Licensed Product in a country in the Servier Territory, Servier shall be granted a fully paid-up non-exclusive license to use MacroGenics Know-How to Manufacture and Commercialize such Licensed Product in the Field in such country in the Servier Territory.</w:t>
      </w:r>
    </w:p>
    <w:p>
      <w:pPr>
        <w:spacing w:after="0" w:line="79" w:lineRule="exact"/>
        <w:rPr>
          <w:sz w:val="20"/>
          <w:szCs w:val="20"/>
          <w:color w:val="auto"/>
        </w:rPr>
      </w:pPr>
    </w:p>
    <w:p>
      <w:pPr>
        <w:ind w:right="40" w:firstLine="458"/>
        <w:spacing w:after="0" w:line="294" w:lineRule="auto"/>
        <w:rPr>
          <w:sz w:val="20"/>
          <w:szCs w:val="20"/>
          <w:color w:val="auto"/>
        </w:rPr>
      </w:pPr>
      <w:r>
        <w:rPr>
          <w:rFonts w:ascii="Arial" w:cs="Arial" w:eastAsia="Arial" w:hAnsi="Arial"/>
          <w:sz w:val="12"/>
          <w:szCs w:val="12"/>
          <w:color w:val="auto"/>
        </w:rPr>
        <w:t xml:space="preserve">14.2 </w:t>
      </w:r>
      <w:r>
        <w:rPr>
          <w:rFonts w:ascii="Arial" w:cs="Arial" w:eastAsia="Arial" w:hAnsi="Arial"/>
          <w:sz w:val="12"/>
          <w:szCs w:val="12"/>
          <w:u w:val="single" w:color="auto"/>
          <w:color w:val="auto"/>
        </w:rPr>
        <w:t>Termination for Cause</w:t>
      </w:r>
      <w:r>
        <w:rPr>
          <w:rFonts w:ascii="Arial" w:cs="Arial" w:eastAsia="Arial" w:hAnsi="Arial"/>
          <w:sz w:val="12"/>
          <w:szCs w:val="12"/>
          <w:color w:val="auto"/>
        </w:rPr>
        <w:t>. Either Party (the “</w:t>
      </w:r>
      <w:r>
        <w:rPr>
          <w:rFonts w:ascii="Arial" w:cs="Arial" w:eastAsia="Arial" w:hAnsi="Arial"/>
          <w:sz w:val="12"/>
          <w:szCs w:val="12"/>
          <w:u w:val="single" w:color="auto"/>
          <w:color w:val="auto"/>
        </w:rPr>
        <w:t>Non-Breaching Party</w:t>
      </w:r>
      <w:r>
        <w:rPr>
          <w:rFonts w:ascii="Arial" w:cs="Arial" w:eastAsia="Arial" w:hAnsi="Arial"/>
          <w:sz w:val="12"/>
          <w:szCs w:val="12"/>
          <w:color w:val="auto"/>
        </w:rPr>
        <w:t>”) may, without prejudice to any other remedies available to it under applicable Law or in equity, terminate this Agreement if the other Party (the “</w:t>
      </w:r>
      <w:r>
        <w:rPr>
          <w:rFonts w:ascii="Arial" w:cs="Arial" w:eastAsia="Arial" w:hAnsi="Arial"/>
          <w:sz w:val="12"/>
          <w:szCs w:val="12"/>
          <w:u w:val="single" w:color="auto"/>
          <w:color w:val="auto"/>
        </w:rPr>
        <w:t>Breaching Party</w:t>
      </w:r>
      <w:r>
        <w:rPr>
          <w:rFonts w:ascii="Arial" w:cs="Arial" w:eastAsia="Arial" w:hAnsi="Arial"/>
          <w:sz w:val="12"/>
          <w:szCs w:val="12"/>
          <w:color w:val="auto"/>
        </w:rPr>
        <w:t xml:space="preserve">”) shall have materially breached or defaulted in the performance of its obligations hereunder, and such default shall have continued for </w:t>
      </w:r>
      <w:r>
        <w:rPr>
          <w:rFonts w:ascii="Arial" w:cs="Arial" w:eastAsia="Arial" w:hAnsi="Arial"/>
          <w:sz w:val="12"/>
          <w:szCs w:val="12"/>
          <w:b w:val="1"/>
          <w:bCs w:val="1"/>
          <w:color w:val="auto"/>
        </w:rPr>
        <w:t>***</w:t>
      </w:r>
      <w:r>
        <w:rPr>
          <w:rFonts w:ascii="Arial" w:cs="Arial" w:eastAsia="Arial" w:hAnsi="Arial"/>
          <w:sz w:val="12"/>
          <w:szCs w:val="12"/>
          <w:color w:val="auto"/>
        </w:rPr>
        <w:t xml:space="preserve"> after written notice thereof was provided to the Breaching Party by the Non-Breaching Party, such notice describing the alleged breach. Any such termination of this Agreement under this Section 14.2 shall become effective at the end of such</w:t>
      </w:r>
    </w:p>
    <w:p>
      <w:pPr>
        <w:ind w:left="5660" w:right="4440" w:hanging="5656"/>
        <w:spacing w:after="0" w:line="423" w:lineRule="auto"/>
        <w:tabs>
          <w:tab w:leader="none" w:pos="235" w:val="left"/>
        </w:tabs>
        <w:numPr>
          <w:ilvl w:val="0"/>
          <w:numId w:val="1019"/>
        </w:numPr>
        <w:rPr>
          <w:rFonts w:ascii="Arial" w:cs="Arial" w:eastAsia="Arial" w:hAnsi="Arial"/>
          <w:sz w:val="14"/>
          <w:szCs w:val="14"/>
          <w:b w:val="1"/>
          <w:bCs w:val="1"/>
          <w:color w:val="auto"/>
        </w:rPr>
      </w:pPr>
      <w:r>
        <w:rPr>
          <w:rFonts w:ascii="Arial" w:cs="Arial" w:eastAsia="Arial" w:hAnsi="Arial"/>
          <w:sz w:val="14"/>
          <w:szCs w:val="14"/>
          <w:color w:val="auto"/>
        </w:rPr>
        <w:t>cure period, unless the Breaching Party has cured such breach or default prior to the expiration of such cure period provided 58</w:t>
      </w:r>
    </w:p>
    <w:p>
      <w:pPr>
        <w:spacing w:after="0" w:line="1" w:lineRule="exact"/>
        <w:rPr>
          <w:rFonts w:ascii="Arial" w:cs="Arial" w:eastAsia="Arial" w:hAnsi="Arial"/>
          <w:sz w:val="14"/>
          <w:szCs w:val="14"/>
          <w:b w:val="1"/>
          <w:bCs w:val="1"/>
          <w:color w:val="auto"/>
        </w:rPr>
      </w:pPr>
    </w:p>
    <w:p>
      <w:pPr>
        <w:ind w:left="3840" w:right="2660" w:hanging="1139"/>
        <w:spacing w:after="0" w:line="351" w:lineRule="auto"/>
        <w:tabs>
          <w:tab w:leader="none" w:pos="2940" w:val="left"/>
        </w:tabs>
        <w:numPr>
          <w:ilvl w:val="1"/>
          <w:numId w:val="101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47" w:name="page848"/>
    <w:bookmarkEnd w:id="847"/>
    <w:p>
      <w:pPr>
        <w:jc w:val="both"/>
        <w:ind w:right="16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however that if the Breaching Party notifies the Non-Breaching Party within such *** period that the Breaching Party disagrees in good faith with such asserted basis for termination, this Agreement shall not terminate unless and until the matter has been finally resolved in accordance with section 16.2 “Arbitration” and the arbitration award rendered in accordance with section 16.2 specify that the Non-Breaching Party shall have the right to terminate this Agreement based on such asserted Breach. The right of either Party to terminate this Agreement as provided in this Section 14.2 shall not be affected in any way by such Party’s waiver or failure to take action with respect to any previous default.</w:t>
      </w:r>
    </w:p>
    <w:p>
      <w:pPr>
        <w:spacing w:after="0" w:line="110" w:lineRule="exact"/>
        <w:rPr>
          <w:sz w:val="20"/>
          <w:szCs w:val="20"/>
          <w:color w:val="auto"/>
        </w:rPr>
      </w:pPr>
    </w:p>
    <w:p>
      <w:pPr>
        <w:ind w:firstLine="458"/>
        <w:spacing w:after="0" w:line="305" w:lineRule="auto"/>
        <w:rPr>
          <w:sz w:val="20"/>
          <w:szCs w:val="20"/>
          <w:color w:val="auto"/>
        </w:rPr>
      </w:pPr>
      <w:r>
        <w:rPr>
          <w:rFonts w:ascii="Arial" w:cs="Arial" w:eastAsia="Arial" w:hAnsi="Arial"/>
          <w:sz w:val="12"/>
          <w:szCs w:val="12"/>
          <w:color w:val="auto"/>
        </w:rPr>
        <w:t xml:space="preserve">14.3 </w:t>
      </w:r>
      <w:r>
        <w:rPr>
          <w:rFonts w:ascii="Arial" w:cs="Arial" w:eastAsia="Arial" w:hAnsi="Arial"/>
          <w:sz w:val="12"/>
          <w:szCs w:val="12"/>
          <w:u w:val="single" w:color="auto"/>
          <w:color w:val="auto"/>
        </w:rPr>
        <w:t>Termination for Patent Challenge</w:t>
      </w:r>
      <w:r>
        <w:rPr>
          <w:rFonts w:ascii="Arial" w:cs="Arial" w:eastAsia="Arial" w:hAnsi="Arial"/>
          <w:sz w:val="12"/>
          <w:szCs w:val="12"/>
          <w:color w:val="auto"/>
        </w:rPr>
        <w:t xml:space="preserve">. If either Party or any of its Affiliates or Sublicensees: (a) commences or otherwise voluntarily determines to participate in any action or proceeding (including any patent opposition or re-examination proceeding), challenging or denying the validity of any of the other Party’s Patents or Joint Patents licensed hereunder or any claim thereof, or (b) actively assists any other Person in bringing or prosecuting any action or proceeding (including any patent opposition or re-examination proceeding) challenging or denying the validity of any of such Patents or any claim thereof, the non-challenging Party shall have the right to terminate this Agreement upon </w:t>
      </w:r>
      <w:r>
        <w:rPr>
          <w:rFonts w:ascii="Arial" w:cs="Arial" w:eastAsia="Arial" w:hAnsi="Arial"/>
          <w:sz w:val="12"/>
          <w:szCs w:val="12"/>
          <w:b w:val="1"/>
          <w:bCs w:val="1"/>
          <w:color w:val="auto"/>
        </w:rPr>
        <w:t>***</w:t>
      </w:r>
      <w:r>
        <w:rPr>
          <w:rFonts w:ascii="Arial" w:cs="Arial" w:eastAsia="Arial" w:hAnsi="Arial"/>
          <w:sz w:val="12"/>
          <w:szCs w:val="12"/>
          <w:color w:val="auto"/>
        </w:rPr>
        <w:t xml:space="preserve"> written notice to the other Party. Any such termination shall only become effective if the challenging Party or its Affiliate or Sublicensee, as applicable, has not withdrawn such action before the end of the above notice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14.4.1 </w:t>
      </w:r>
      <w:r>
        <w:rPr>
          <w:rFonts w:ascii="Arial" w:cs="Arial" w:eastAsia="Arial" w:hAnsi="Arial"/>
          <w:sz w:val="12"/>
          <w:szCs w:val="12"/>
          <w:u w:val="single" w:color="auto"/>
          <w:color w:val="auto"/>
        </w:rPr>
        <w:t>During the Research Term</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Servier shall have the right to terminate this Agreement in its entirety upon not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written notice thereof to MacroGenics.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xml:space="preserve">14.4.2 </w:t>
      </w:r>
      <w:r>
        <w:rPr>
          <w:rFonts w:ascii="Arial" w:cs="Arial" w:eastAsia="Arial" w:hAnsi="Arial"/>
          <w:sz w:val="12"/>
          <w:szCs w:val="12"/>
          <w:u w:val="single" w:color="auto"/>
          <w:color w:val="auto"/>
        </w:rPr>
        <w:t>During the License Term</w:t>
      </w:r>
      <w:r>
        <w:rPr>
          <w:rFonts w:ascii="Arial" w:cs="Arial" w:eastAsia="Arial" w:hAnsi="Arial"/>
          <w:sz w:val="12"/>
          <w:szCs w:val="12"/>
          <w:color w:val="auto"/>
        </w:rPr>
        <w:t>. At any time during the License Term, Servier shall have the right to terminate this Agreement in its entirety or on a country-by-country basis upon not less than</w:t>
      </w:r>
    </w:p>
    <w:p>
      <w:pPr>
        <w:spacing w:after="0" w:line="35" w:lineRule="exact"/>
        <w:rPr>
          <w:sz w:val="20"/>
          <w:szCs w:val="20"/>
          <w:color w:val="auto"/>
        </w:rPr>
      </w:pPr>
    </w:p>
    <w:p>
      <w:pPr>
        <w:ind w:left="240" w:hanging="236"/>
        <w:spacing w:after="0"/>
        <w:tabs>
          <w:tab w:leader="none" w:pos="240" w:val="left"/>
        </w:tabs>
        <w:numPr>
          <w:ilvl w:val="0"/>
          <w:numId w:val="1020"/>
        </w:numPr>
        <w:rPr>
          <w:rFonts w:ascii="Arial" w:cs="Arial" w:eastAsia="Arial" w:hAnsi="Arial"/>
          <w:sz w:val="14"/>
          <w:szCs w:val="14"/>
          <w:b w:val="1"/>
          <w:bCs w:val="1"/>
          <w:color w:val="auto"/>
        </w:rPr>
      </w:pPr>
      <w:r>
        <w:rPr>
          <w:rFonts w:ascii="Arial" w:cs="Arial" w:eastAsia="Arial" w:hAnsi="Arial"/>
          <w:sz w:val="14"/>
          <w:szCs w:val="14"/>
          <w:color w:val="auto"/>
        </w:rPr>
        <w:t>prior written notice thereof to MacroGenics.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14.5 </w:t>
      </w:r>
      <w:r>
        <w:rPr>
          <w:rFonts w:ascii="Arial" w:cs="Arial" w:eastAsia="Arial" w:hAnsi="Arial"/>
          <w:sz w:val="14"/>
          <w:szCs w:val="14"/>
          <w:u w:val="single" w:color="auto"/>
          <w:color w:val="auto"/>
        </w:rPr>
        <w:t>Termination for Insolvency Event</w:t>
      </w:r>
      <w:r>
        <w:rPr>
          <w:rFonts w:ascii="Arial" w:cs="Arial" w:eastAsia="Arial" w:hAnsi="Arial"/>
          <w:sz w:val="14"/>
          <w:szCs w:val="14"/>
          <w:color w:val="auto"/>
        </w:rPr>
        <w:t>: Either Party may terminate this Agreement upon written notice to the other Party if the other Party suffers an Insolvency Event.</w:t>
      </w:r>
    </w:p>
    <w:p>
      <w:pPr>
        <w:spacing w:after="0" w:line="132" w:lineRule="exact"/>
        <w:rPr>
          <w:sz w:val="20"/>
          <w:szCs w:val="20"/>
          <w:color w:val="auto"/>
        </w:rPr>
      </w:pPr>
    </w:p>
    <w:p>
      <w:pPr>
        <w:ind w:right="40" w:firstLine="458"/>
        <w:spacing w:after="0" w:line="311" w:lineRule="auto"/>
        <w:rPr>
          <w:sz w:val="20"/>
          <w:szCs w:val="20"/>
          <w:color w:val="auto"/>
        </w:rPr>
      </w:pPr>
      <w:r>
        <w:rPr>
          <w:rFonts w:ascii="Arial" w:cs="Arial" w:eastAsia="Arial" w:hAnsi="Arial"/>
          <w:sz w:val="12"/>
          <w:szCs w:val="12"/>
          <w:color w:val="auto"/>
        </w:rPr>
        <w:t xml:space="preserve">14.6 </w:t>
      </w:r>
      <w:r>
        <w:rPr>
          <w:rFonts w:ascii="Arial" w:cs="Arial" w:eastAsia="Arial" w:hAnsi="Arial"/>
          <w:sz w:val="12"/>
          <w:szCs w:val="12"/>
          <w:u w:val="single" w:color="auto"/>
          <w:color w:val="auto"/>
        </w:rPr>
        <w:t>Termination by Servier for Safety or Public Health Reasons</w:t>
      </w:r>
      <w:r>
        <w:rPr>
          <w:rFonts w:ascii="Arial" w:cs="Arial" w:eastAsia="Arial" w:hAnsi="Arial"/>
          <w:sz w:val="12"/>
          <w:szCs w:val="12"/>
          <w:color w:val="auto"/>
        </w:rPr>
        <w:t>. If Servier reasonably determines that a safety or public health issue has arisen which (a) is demonstrated by clinically relevant events which are documented and (b) relates to a Program Antibody or a Licensed Product, such that the medical risk/benefit of such Program Antibody of Licensed Product is sufficiently unfavorable as to be incompatible with the welfare of patients to Develop or Commercialize or to continue to Develop or Commercialize such Program Antibody or Licensed Product, Servier shall immediately notify MacroGenics, and Servier shall be permitted to terminate this Agreement in its entirety upon written notice to MacroGenics, but in any event within *** of Servier’s determination of such issue.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14.7 </w:t>
      </w:r>
      <w:r>
        <w:rPr>
          <w:rFonts w:ascii="Arial" w:cs="Arial" w:eastAsia="Arial" w:hAnsi="Arial"/>
          <w:sz w:val="14"/>
          <w:szCs w:val="14"/>
          <w:u w:val="single" w:color="auto"/>
          <w:color w:val="auto"/>
        </w:rPr>
        <w:t>Effect of Expiration or Termination</w:t>
      </w:r>
      <w:r>
        <w:rPr>
          <w:rFonts w:ascii="Arial" w:cs="Arial" w:eastAsia="Arial" w:hAnsi="Arial"/>
          <w:sz w:val="14"/>
          <w:szCs w:val="14"/>
          <w:color w:val="auto"/>
        </w:rPr>
        <w:t>.</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14.7.1 Upon termination of this Agreement by MacroGenics in whole or with respect to one or more Terminated Territories pursuant to Sections 14.2, 14.3, or 14.5 or by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2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48" w:name="page849"/>
    <w:bookmarkEnd w:id="84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Servier in whole or with respect to one or more Terminated Territories pursuant to Sections 14.4 or 14.6:</w:t>
      </w:r>
    </w:p>
    <w:p>
      <w:pPr>
        <w:spacing w:after="0" w:line="132" w:lineRule="exact"/>
        <w:rPr>
          <w:sz w:val="20"/>
          <w:szCs w:val="20"/>
          <w:color w:val="auto"/>
        </w:rPr>
      </w:pPr>
    </w:p>
    <w:p>
      <w:pPr>
        <w:ind w:firstLine="1493"/>
        <w:spacing w:after="0" w:line="267" w:lineRule="auto"/>
        <w:tabs>
          <w:tab w:leader="none" w:pos="1675" w:val="left"/>
        </w:tabs>
        <w:numPr>
          <w:ilvl w:val="1"/>
          <w:numId w:val="1022"/>
        </w:numPr>
        <w:rPr>
          <w:rFonts w:ascii="Arial" w:cs="Arial" w:eastAsia="Arial" w:hAnsi="Arial"/>
          <w:sz w:val="14"/>
          <w:szCs w:val="14"/>
          <w:color w:val="auto"/>
        </w:rPr>
      </w:pPr>
      <w:r>
        <w:rPr>
          <w:rFonts w:ascii="Arial" w:cs="Arial" w:eastAsia="Arial" w:hAnsi="Arial"/>
          <w:sz w:val="14"/>
          <w:szCs w:val="14"/>
          <w:color w:val="auto"/>
        </w:rPr>
        <w:t>all rights, licenses and options granted by MacroGenics to Servier with respect to each Terminated Territories hereunder shall terminate and Servier shall not have any rights to use or exercise any rights under the MacroGenics IP with respect to any Terminated Territory;</w:t>
      </w:r>
    </w:p>
    <w:p>
      <w:pPr>
        <w:spacing w:after="0" w:line="101" w:lineRule="exact"/>
        <w:rPr>
          <w:rFonts w:ascii="Arial" w:cs="Arial" w:eastAsia="Arial" w:hAnsi="Arial"/>
          <w:sz w:val="14"/>
          <w:szCs w:val="14"/>
          <w:color w:val="auto"/>
        </w:rPr>
      </w:pPr>
    </w:p>
    <w:p>
      <w:pPr>
        <w:ind w:right="60" w:firstLine="1493"/>
        <w:spacing w:after="0" w:line="295" w:lineRule="auto"/>
        <w:tabs>
          <w:tab w:leader="none" w:pos="1682" w:val="left"/>
        </w:tabs>
        <w:numPr>
          <w:ilvl w:val="1"/>
          <w:numId w:val="1022"/>
        </w:numPr>
        <w:rPr>
          <w:rFonts w:ascii="Arial" w:cs="Arial" w:eastAsia="Arial" w:hAnsi="Arial"/>
          <w:sz w:val="12"/>
          <w:szCs w:val="12"/>
          <w:color w:val="auto"/>
        </w:rPr>
      </w:pPr>
      <w:r>
        <w:rPr>
          <w:rFonts w:ascii="Arial" w:cs="Arial" w:eastAsia="Arial" w:hAnsi="Arial"/>
          <w:sz w:val="12"/>
          <w:szCs w:val="12"/>
          <w:color w:val="auto"/>
        </w:rPr>
        <w:t>if such termination occurs during the Research Term, (i) Servier shall Complete any ongoing Clinical Studies for Licensed Product in the Servier Territory where such completion is required by any applicable Law, requested by any Regulatory Authority or would be dictated by any applicable Institutional Review Board with oversight of such Clinical Study in the Servier Territory; and</w:t>
      </w:r>
    </w:p>
    <w:p>
      <w:pPr>
        <w:ind w:left="200" w:hanging="196"/>
        <w:spacing w:after="0"/>
        <w:tabs>
          <w:tab w:leader="none" w:pos="200" w:val="left"/>
        </w:tabs>
        <w:numPr>
          <w:ilvl w:val="0"/>
          <w:numId w:val="1023"/>
        </w:numPr>
        <w:rPr>
          <w:rFonts w:ascii="Arial" w:cs="Arial" w:eastAsia="Arial" w:hAnsi="Arial"/>
          <w:sz w:val="14"/>
          <w:szCs w:val="14"/>
          <w:color w:val="auto"/>
        </w:rPr>
      </w:pPr>
      <w:r>
        <w:rPr>
          <w:rFonts w:ascii="Arial" w:cs="Arial" w:eastAsia="Arial" w:hAnsi="Arial"/>
          <w:sz w:val="14"/>
          <w:szCs w:val="14"/>
          <w:color w:val="auto"/>
        </w:rPr>
        <w:t>Servier shall promptly transfer and assign to MacroGenics all Supplemental Data and ***; and</w:t>
      </w:r>
    </w:p>
    <w:p>
      <w:pPr>
        <w:spacing w:after="0" w:line="125" w:lineRule="exact"/>
        <w:rPr>
          <w:rFonts w:ascii="Arial" w:cs="Arial" w:eastAsia="Arial" w:hAnsi="Arial"/>
          <w:sz w:val="14"/>
          <w:szCs w:val="14"/>
          <w:color w:val="auto"/>
        </w:rPr>
      </w:pPr>
    </w:p>
    <w:p>
      <w:pPr>
        <w:ind w:left="1680" w:hanging="187"/>
        <w:spacing w:after="0"/>
        <w:tabs>
          <w:tab w:leader="none" w:pos="1680" w:val="left"/>
        </w:tabs>
        <w:numPr>
          <w:ilvl w:val="1"/>
          <w:numId w:val="1023"/>
        </w:numPr>
        <w:rPr>
          <w:rFonts w:ascii="Arial" w:cs="Arial" w:eastAsia="Arial" w:hAnsi="Arial"/>
          <w:sz w:val="14"/>
          <w:szCs w:val="14"/>
          <w:color w:val="auto"/>
        </w:rPr>
      </w:pPr>
      <w:r>
        <w:rPr>
          <w:rFonts w:ascii="Arial" w:cs="Arial" w:eastAsia="Arial" w:hAnsi="Arial"/>
          <w:sz w:val="14"/>
          <w:szCs w:val="14"/>
          <w:color w:val="auto"/>
        </w:rPr>
        <w:t>if such termination occurs during the License Term:</w:t>
      </w:r>
    </w:p>
    <w:p>
      <w:pPr>
        <w:spacing w:after="0" w:line="131" w:lineRule="exact"/>
        <w:rPr>
          <w:rFonts w:ascii="Arial" w:cs="Arial" w:eastAsia="Arial" w:hAnsi="Arial"/>
          <w:sz w:val="14"/>
          <w:szCs w:val="14"/>
          <w:color w:val="auto"/>
        </w:rPr>
      </w:pPr>
    </w:p>
    <w:p>
      <w:pPr>
        <w:ind w:right="120" w:firstLine="1952"/>
        <w:spacing w:after="0" w:line="267" w:lineRule="auto"/>
        <w:tabs>
          <w:tab w:leader="none" w:pos="2110" w:val="left"/>
        </w:tabs>
        <w:numPr>
          <w:ilvl w:val="2"/>
          <w:numId w:val="1023"/>
        </w:numPr>
        <w:rPr>
          <w:rFonts w:ascii="Arial" w:cs="Arial" w:eastAsia="Arial" w:hAnsi="Arial"/>
          <w:sz w:val="14"/>
          <w:szCs w:val="14"/>
          <w:color w:val="auto"/>
        </w:rPr>
      </w:pPr>
      <w:r>
        <w:rPr>
          <w:rFonts w:ascii="Arial" w:cs="Arial" w:eastAsia="Arial" w:hAnsi="Arial"/>
          <w:sz w:val="14"/>
          <w:szCs w:val="14"/>
          <w:color w:val="auto"/>
        </w:rPr>
        <w:t>Servier shall provide to MacroGenics a fair and accurate detailed written description of the status of the Development and Commercialization of the Program Antibodies and Licensed Products in each Terminated Territory through the effective date of termination within *** of such termination;</w:t>
      </w:r>
    </w:p>
    <w:p>
      <w:pPr>
        <w:spacing w:after="0" w:line="101" w:lineRule="exact"/>
        <w:rPr>
          <w:rFonts w:ascii="Arial" w:cs="Arial" w:eastAsia="Arial" w:hAnsi="Arial"/>
          <w:sz w:val="14"/>
          <w:szCs w:val="14"/>
          <w:color w:val="auto"/>
        </w:rPr>
      </w:pPr>
    </w:p>
    <w:p>
      <w:pPr>
        <w:ind w:left="2160" w:hanging="208"/>
        <w:spacing w:after="0"/>
        <w:tabs>
          <w:tab w:leader="none" w:pos="2160" w:val="left"/>
        </w:tabs>
        <w:numPr>
          <w:ilvl w:val="2"/>
          <w:numId w:val="1023"/>
        </w:numPr>
        <w:rPr>
          <w:rFonts w:ascii="Arial" w:cs="Arial" w:eastAsia="Arial" w:hAnsi="Arial"/>
          <w:sz w:val="14"/>
          <w:szCs w:val="14"/>
          <w:color w:val="auto"/>
        </w:rPr>
      </w:pPr>
      <w:r>
        <w:rPr>
          <w:rFonts w:ascii="Arial" w:cs="Arial" w:eastAsia="Arial" w:hAnsi="Arial"/>
          <w:sz w:val="14"/>
          <w:szCs w:val="14"/>
          <w:color w:val="auto"/>
        </w:rPr>
        <w:t>the licenses granted to MacroGenics pursuant to Section 4.2 shall remain in effect and shall become irrevocable;</w:t>
      </w:r>
    </w:p>
    <w:p>
      <w:pPr>
        <w:spacing w:after="0" w:line="131" w:lineRule="exact"/>
        <w:rPr>
          <w:rFonts w:ascii="Arial" w:cs="Arial" w:eastAsia="Arial" w:hAnsi="Arial"/>
          <w:sz w:val="14"/>
          <w:szCs w:val="14"/>
          <w:color w:val="auto"/>
        </w:rPr>
      </w:pPr>
    </w:p>
    <w:p>
      <w:pPr>
        <w:ind w:left="2180" w:hanging="228"/>
        <w:spacing w:after="0"/>
        <w:tabs>
          <w:tab w:leader="none" w:pos="2180" w:val="left"/>
        </w:tabs>
        <w:numPr>
          <w:ilvl w:val="2"/>
          <w:numId w:val="1023"/>
        </w:numPr>
        <w:rPr>
          <w:rFonts w:ascii="Arial" w:cs="Arial" w:eastAsia="Arial" w:hAnsi="Arial"/>
          <w:sz w:val="14"/>
          <w:szCs w:val="14"/>
          <w:color w:val="auto"/>
        </w:rPr>
      </w:pPr>
      <w:r>
        <w:rPr>
          <w:rFonts w:ascii="Arial" w:cs="Arial" w:eastAsia="Arial" w:hAnsi="Arial"/>
          <w:sz w:val="14"/>
          <w:szCs w:val="14"/>
          <w:color w:val="auto"/>
        </w:rPr>
        <w:t>Servier hereby grants to MacroGenics, effective upon the request of MacroGenics, ***.</w:t>
      </w:r>
    </w:p>
    <w:p>
      <w:pPr>
        <w:spacing w:after="0" w:line="131" w:lineRule="exact"/>
        <w:rPr>
          <w:rFonts w:ascii="Arial" w:cs="Arial" w:eastAsia="Arial" w:hAnsi="Arial"/>
          <w:sz w:val="14"/>
          <w:szCs w:val="14"/>
          <w:color w:val="auto"/>
        </w:rPr>
      </w:pPr>
    </w:p>
    <w:p>
      <w:pPr>
        <w:ind w:right="280" w:firstLine="1952"/>
        <w:spacing w:after="0" w:line="267" w:lineRule="auto"/>
        <w:tabs>
          <w:tab w:leader="none" w:pos="2178" w:val="left"/>
        </w:tabs>
        <w:numPr>
          <w:ilvl w:val="2"/>
          <w:numId w:val="1023"/>
        </w:numPr>
        <w:rPr>
          <w:rFonts w:ascii="Arial" w:cs="Arial" w:eastAsia="Arial" w:hAnsi="Arial"/>
          <w:sz w:val="14"/>
          <w:szCs w:val="14"/>
          <w:color w:val="auto"/>
        </w:rPr>
      </w:pPr>
      <w:r>
        <w:rPr>
          <w:rFonts w:ascii="Arial" w:cs="Arial" w:eastAsia="Arial" w:hAnsi="Arial"/>
          <w:sz w:val="14"/>
          <w:szCs w:val="14"/>
          <w:color w:val="auto"/>
        </w:rPr>
        <w:t>In the event that MacroGenics requests a license under clause (iii) above and Servier has previously Completed a Phase 3 Clinical Trial for a Licensed Product in the Terminated Territory before the effective date of termination, MacroGenics shall ***;</w:t>
      </w:r>
    </w:p>
    <w:p>
      <w:pPr>
        <w:spacing w:after="0" w:line="101" w:lineRule="exact"/>
        <w:rPr>
          <w:rFonts w:ascii="Arial" w:cs="Arial" w:eastAsia="Arial" w:hAnsi="Arial"/>
          <w:sz w:val="14"/>
          <w:szCs w:val="14"/>
          <w:color w:val="auto"/>
        </w:rPr>
      </w:pPr>
    </w:p>
    <w:p>
      <w:pPr>
        <w:ind w:right="380" w:firstLine="1952"/>
        <w:spacing w:after="0" w:line="321" w:lineRule="auto"/>
        <w:tabs>
          <w:tab w:leader="none" w:pos="2141" w:val="left"/>
        </w:tabs>
        <w:numPr>
          <w:ilvl w:val="2"/>
          <w:numId w:val="1023"/>
        </w:numPr>
        <w:rPr>
          <w:rFonts w:ascii="Arial" w:cs="Arial" w:eastAsia="Arial" w:hAnsi="Arial"/>
          <w:sz w:val="12"/>
          <w:szCs w:val="12"/>
          <w:color w:val="auto"/>
        </w:rPr>
      </w:pPr>
      <w:r>
        <w:rPr>
          <w:rFonts w:ascii="Arial" w:cs="Arial" w:eastAsia="Arial" w:hAnsi="Arial"/>
          <w:sz w:val="12"/>
          <w:szCs w:val="12"/>
          <w:color w:val="auto"/>
        </w:rPr>
        <w:t xml:space="preserve">Servier shall promptly transfer and assign to MacroGenics all Regulatory Documentation and other technical and other information or materials in Servier’s or its Affiliates’ possession or control which are necessary or useful for the Research, Development or Commercialization of the Program Antibodies or Licensed Products in each Terminated Territory or, if no country remains in the Servier Territory, anywhere in the world; </w:t>
      </w:r>
      <w:r>
        <w:rPr>
          <w:rFonts w:ascii="Arial" w:cs="Arial" w:eastAsia="Arial" w:hAnsi="Arial"/>
          <w:sz w:val="12"/>
          <w:szCs w:val="12"/>
          <w:u w:val="single" w:color="auto"/>
          <w:color w:val="auto"/>
        </w:rPr>
        <w:t>provided</w:t>
      </w:r>
      <w:r>
        <w:rPr>
          <w:rFonts w:ascii="Arial" w:cs="Arial" w:eastAsia="Arial" w:hAnsi="Arial"/>
          <w:sz w:val="12"/>
          <w:szCs w:val="12"/>
          <w:color w:val="auto"/>
        </w:rPr>
        <w:t>, that Servier may retain a single copy of such items for its records;</w:t>
      </w:r>
    </w:p>
    <w:p>
      <w:pPr>
        <w:spacing w:after="0" w:line="73" w:lineRule="exact"/>
        <w:rPr>
          <w:rFonts w:ascii="Arial" w:cs="Arial" w:eastAsia="Arial" w:hAnsi="Arial"/>
          <w:sz w:val="12"/>
          <w:szCs w:val="12"/>
          <w:color w:val="auto"/>
        </w:rPr>
      </w:pPr>
    </w:p>
    <w:p>
      <w:pPr>
        <w:jc w:val="both"/>
        <w:ind w:right="40" w:firstLine="1952"/>
        <w:spacing w:after="0" w:line="321" w:lineRule="auto"/>
        <w:tabs>
          <w:tab w:leader="none" w:pos="2178" w:val="left"/>
        </w:tabs>
        <w:numPr>
          <w:ilvl w:val="2"/>
          <w:numId w:val="1023"/>
        </w:numPr>
        <w:rPr>
          <w:rFonts w:ascii="Arial" w:cs="Arial" w:eastAsia="Arial" w:hAnsi="Arial"/>
          <w:sz w:val="12"/>
          <w:szCs w:val="12"/>
          <w:color w:val="auto"/>
        </w:rPr>
      </w:pPr>
      <w:r>
        <w:rPr>
          <w:rFonts w:ascii="Arial" w:cs="Arial" w:eastAsia="Arial" w:hAnsi="Arial"/>
          <w:sz w:val="12"/>
          <w:szCs w:val="12"/>
          <w:color w:val="auto"/>
        </w:rPr>
        <w:t>Promptly upon request by MacroGenics, but in no event commencing later than *** after the effective date of termination or continuing for more than *** (except to the extent that requirements of a Regulatory Authority necessitate a longer period), Servier shall provide such assistance to MacroGenics as may be reasonably necessary or useful for MacroGenics to commence or continue Developing, Manufacturing or Commercializing Licensed Products in the Terminated Territory, to the extent Servier is then</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102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49" w:name="page850"/>
    <w:bookmarkEnd w:id="849"/>
    <w:p>
      <w:pPr>
        <w:ind w:right="4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performing or having performed such activities, including transferring or amending as appropriate, upon request of MacroGenics, any agreements or arrangements with Third Party vendors to Develop, Manufacture or Commercialize Licensed Products in such Terminated Territory. To the extent that any such contract between Servier and a Third Party is not assignable to MacroGenics, Servier shall reasonably cooperate with MacroGenics to arrange to continue to provide such services for a reasonable time after termination, not exceeding ***. Within *** after MacroGenics’ receipt of a proper invoice therefor, MacroGenics shall reimburse Servier for Servier’s and its Affiliates’ reasonable Out-of-Pocket Costs incurred in connection with any technology transfer conducted pursuant to this clause (vi); and</w:t>
      </w:r>
    </w:p>
    <w:p>
      <w:pPr>
        <w:spacing w:after="0" w:line="79" w:lineRule="exact"/>
        <w:rPr>
          <w:sz w:val="20"/>
          <w:szCs w:val="20"/>
          <w:color w:val="auto"/>
        </w:rPr>
      </w:pPr>
    </w:p>
    <w:p>
      <w:pPr>
        <w:ind w:right="80" w:firstLine="1952"/>
        <w:spacing w:after="0" w:line="305" w:lineRule="auto"/>
        <w:tabs>
          <w:tab w:leader="none" w:pos="2216" w:val="left"/>
        </w:tabs>
        <w:numPr>
          <w:ilvl w:val="0"/>
          <w:numId w:val="1025"/>
        </w:numPr>
        <w:rPr>
          <w:rFonts w:ascii="Arial" w:cs="Arial" w:eastAsia="Arial" w:hAnsi="Arial"/>
          <w:sz w:val="12"/>
          <w:szCs w:val="12"/>
          <w:color w:val="auto"/>
        </w:rPr>
      </w:pPr>
      <w:r>
        <w:rPr>
          <w:rFonts w:ascii="Arial" w:cs="Arial" w:eastAsia="Arial" w:hAnsi="Arial"/>
          <w:sz w:val="12"/>
          <w:szCs w:val="12"/>
          <w:color w:val="auto"/>
        </w:rPr>
        <w:t>in the event this Agreement is terminated pursuant to Section 14.6, Servier shall reasonably cooperate with MacroGenics to either (A) wind down any ongoing Global Clinical Trial conducted under a Global Development Plan previously approved by Servier or (B) which is conducted by Servier in the Servier Territory for the Licensed Product, and/or diligently perform any follow-up of a clinical trial initiated in Servier Territory requested by any Regulatory Authority or dictated by any applicable Institutional Review Board. *** the activities mentioned in (A) above and *** shall entirely fund the activities mentioned in (B) above. Servier and Servier’s Affiliates shall provide MacroGenics written notice of the quantity of Licensed Product that Servier has in inventory for sale in each Terminated Territory and permit MacroGenics, at MacroGenics’ option, to purchase all or any part of Servier’s worldwide unsold inventory of such Licensed Product ***.</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14.7.2 Upon termination of this Agreement by Servier pursuant to sections 14.2 or 14.3:</w:t>
      </w:r>
    </w:p>
    <w:p>
      <w:pPr>
        <w:spacing w:after="0" w:line="132" w:lineRule="exact"/>
        <w:rPr>
          <w:sz w:val="20"/>
          <w:szCs w:val="20"/>
          <w:color w:val="auto"/>
        </w:rPr>
      </w:pPr>
    </w:p>
    <w:p>
      <w:pPr>
        <w:ind w:left="640" w:hanging="178"/>
        <w:spacing w:after="0"/>
        <w:tabs>
          <w:tab w:leader="none" w:pos="640" w:val="left"/>
        </w:tabs>
        <w:numPr>
          <w:ilvl w:val="0"/>
          <w:numId w:val="1026"/>
        </w:numPr>
        <w:rPr>
          <w:rFonts w:ascii="Arial" w:cs="Arial" w:eastAsia="Arial" w:hAnsi="Arial"/>
          <w:sz w:val="14"/>
          <w:szCs w:val="14"/>
          <w:color w:val="auto"/>
        </w:rPr>
      </w:pPr>
      <w:r>
        <w:rPr>
          <w:rFonts w:ascii="Arial" w:cs="Arial" w:eastAsia="Arial" w:hAnsi="Arial"/>
          <w:sz w:val="14"/>
          <w:szCs w:val="14"/>
          <w:color w:val="auto"/>
        </w:rPr>
        <w:t>all rights, licenses and options granted to Servier, its Affiliates or Sublicensees pursuant to this Agreement shall remain in effect;</w:t>
      </w:r>
    </w:p>
    <w:p>
      <w:pPr>
        <w:spacing w:after="0" w:line="131" w:lineRule="exact"/>
        <w:rPr>
          <w:rFonts w:ascii="Arial" w:cs="Arial" w:eastAsia="Arial" w:hAnsi="Arial"/>
          <w:sz w:val="14"/>
          <w:szCs w:val="14"/>
          <w:color w:val="auto"/>
        </w:rPr>
      </w:pPr>
    </w:p>
    <w:p>
      <w:pPr>
        <w:ind w:left="660" w:hanging="198"/>
        <w:spacing w:after="0"/>
        <w:tabs>
          <w:tab w:leader="none" w:pos="660" w:val="left"/>
        </w:tabs>
        <w:numPr>
          <w:ilvl w:val="0"/>
          <w:numId w:val="1026"/>
        </w:numPr>
        <w:rPr>
          <w:rFonts w:ascii="Arial" w:cs="Arial" w:eastAsia="Arial" w:hAnsi="Arial"/>
          <w:sz w:val="14"/>
          <w:szCs w:val="14"/>
          <w:color w:val="auto"/>
        </w:rPr>
      </w:pPr>
      <w:r>
        <w:rPr>
          <w:rFonts w:ascii="Arial" w:cs="Arial" w:eastAsia="Arial" w:hAnsi="Arial"/>
          <w:sz w:val="14"/>
          <w:szCs w:val="14"/>
          <w:color w:val="auto"/>
        </w:rPr>
        <w:t>all payment obligations under ARTICLE 8 shall remain in effect; and</w:t>
      </w:r>
    </w:p>
    <w:p>
      <w:pPr>
        <w:spacing w:after="0" w:line="131" w:lineRule="exact"/>
        <w:rPr>
          <w:rFonts w:ascii="Arial" w:cs="Arial" w:eastAsia="Arial" w:hAnsi="Arial"/>
          <w:sz w:val="14"/>
          <w:szCs w:val="14"/>
          <w:color w:val="auto"/>
        </w:rPr>
      </w:pPr>
    </w:p>
    <w:p>
      <w:pPr>
        <w:ind w:left="640" w:hanging="178"/>
        <w:spacing w:after="0"/>
        <w:tabs>
          <w:tab w:leader="none" w:pos="640" w:val="left"/>
        </w:tabs>
        <w:numPr>
          <w:ilvl w:val="0"/>
          <w:numId w:val="1026"/>
        </w:numPr>
        <w:rPr>
          <w:rFonts w:ascii="Arial" w:cs="Arial" w:eastAsia="Arial" w:hAnsi="Arial"/>
          <w:sz w:val="14"/>
          <w:szCs w:val="14"/>
          <w:color w:val="auto"/>
        </w:rPr>
      </w:pPr>
      <w:r>
        <w:rPr>
          <w:rFonts w:ascii="Arial" w:cs="Arial" w:eastAsia="Arial" w:hAnsi="Arial"/>
          <w:sz w:val="14"/>
          <w:szCs w:val="14"/>
          <w:color w:val="auto"/>
        </w:rPr>
        <w:t>all licenses granted by Servier, its Affiliates or Sublicensees pursuant to this Agreement, including pursuant to section 4.2, shall terminate.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14.8 </w:t>
      </w:r>
      <w:r>
        <w:rPr>
          <w:rFonts w:ascii="Arial" w:cs="Arial" w:eastAsia="Arial" w:hAnsi="Arial"/>
          <w:sz w:val="14"/>
          <w:szCs w:val="14"/>
          <w:u w:val="single" w:color="auto"/>
          <w:color w:val="auto"/>
        </w:rPr>
        <w:t>Accrued Rights; Surviving Provisions of the Agreement</w:t>
      </w:r>
      <w:r>
        <w:rPr>
          <w:rFonts w:ascii="Arial" w:cs="Arial" w:eastAsia="Arial" w:hAnsi="Arial"/>
          <w:sz w:val="14"/>
          <w:szCs w:val="14"/>
          <w:color w:val="auto"/>
        </w:rPr>
        <w:t>.</w:t>
      </w:r>
    </w:p>
    <w:p>
      <w:pPr>
        <w:spacing w:after="0" w:line="69" w:lineRule="exact"/>
        <w:rPr>
          <w:sz w:val="20"/>
          <w:szCs w:val="20"/>
          <w:color w:val="auto"/>
        </w:rPr>
      </w:pPr>
    </w:p>
    <w:p>
      <w:pPr>
        <w:ind w:right="180" w:firstLine="917"/>
        <w:spacing w:after="0" w:line="258" w:lineRule="auto"/>
        <w:rPr>
          <w:sz w:val="20"/>
          <w:szCs w:val="20"/>
          <w:color w:val="auto"/>
        </w:rPr>
      </w:pPr>
      <w:r>
        <w:rPr>
          <w:rFonts w:ascii="Arial" w:cs="Arial" w:eastAsia="Arial" w:hAnsi="Arial"/>
          <w:sz w:val="14"/>
          <w:szCs w:val="14"/>
          <w:color w:val="auto"/>
        </w:rPr>
        <w:t xml:space="preserve">14.8.1 </w:t>
      </w:r>
      <w:r>
        <w:rPr>
          <w:rFonts w:ascii="Arial" w:cs="Arial" w:eastAsia="Arial" w:hAnsi="Arial"/>
          <w:sz w:val="14"/>
          <w:szCs w:val="14"/>
          <w:u w:val="single" w:color="auto"/>
          <w:color w:val="auto"/>
        </w:rPr>
        <w:t>Accrued Rights</w:t>
      </w:r>
      <w:r>
        <w:rPr>
          <w:rFonts w:ascii="Arial" w:cs="Arial" w:eastAsia="Arial" w:hAnsi="Arial"/>
          <w:sz w:val="14"/>
          <w:szCs w:val="14"/>
          <w:color w:val="auto"/>
        </w:rPr>
        <w:t>. Termination or expiration of this Agreement for any reason shall be without prejudice to any rights that shall have accrued to the benefit of any Party prior to such termination or expiration including the payment obligations under ARTICLE 9 hereof, and any and all damages or remedies arising from any breach hereunder. Such termination or expiration shall not relieve any Party from obligations which are expressly indicated to survive termination of this Agreement.</w:t>
      </w:r>
    </w:p>
    <w:p>
      <w:pPr>
        <w:spacing w:after="0" w:line="108"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14.8.2 </w:t>
      </w:r>
      <w:r>
        <w:rPr>
          <w:rFonts w:ascii="Arial" w:cs="Arial" w:eastAsia="Arial" w:hAnsi="Arial"/>
          <w:sz w:val="14"/>
          <w:szCs w:val="14"/>
          <w:u w:val="single" w:color="auto"/>
          <w:color w:val="auto"/>
        </w:rPr>
        <w:t>Surviving Provisions of the Agreement</w:t>
      </w:r>
      <w:r>
        <w:rPr>
          <w:rFonts w:ascii="Arial" w:cs="Arial" w:eastAsia="Arial" w:hAnsi="Arial"/>
          <w:sz w:val="14"/>
          <w:szCs w:val="14"/>
          <w:color w:val="auto"/>
        </w:rPr>
        <w:t>. The provisions of Sections 3.3.3(c), 6.1.2, 9.6-9.9 (with regard to accrued but unpaid amounts), 9.10, 10.3.3, 12.5, 14.7 and 14.8 and ARTICLE 13 and ARTICLE 16, and any applicable definitions in ARTICLE 1, shall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2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50" w:name="page851"/>
    <w:bookmarkEnd w:id="850"/>
    <w:p>
      <w:pPr>
        <w:ind w:right="420"/>
        <w:spacing w:after="0" w:line="35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survive the termination of this Agreement in its entirety or expiration of this Agreement for any reason, in accordance with their respective terms and conditions, and for the duration stated, and where no duration is stated, shall survive indefinitely. ARTICLE 11 shall survive for a period of *** after the effective date of termination or expiration of this Agreement.</w:t>
      </w:r>
    </w:p>
    <w:p>
      <w:pPr>
        <w:spacing w:after="0" w:line="179"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ARTICLE 15</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STANDSTILL</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16</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MISCELLANEOUS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u w:val="single" w:color="auto"/>
          <w:color w:val="auto"/>
        </w:rPr>
        <w:t>Disputes</w:t>
      </w:r>
      <w:r>
        <w:rPr>
          <w:rFonts w:ascii="Arial" w:cs="Arial" w:eastAsia="Arial" w:hAnsi="Arial"/>
          <w:sz w:val="14"/>
          <w:szCs w:val="14"/>
          <w:color w:val="auto"/>
        </w:rPr>
        <w:t>.</w:t>
      </w:r>
    </w:p>
    <w:p>
      <w:pPr>
        <w:spacing w:after="0" w:line="69" w:lineRule="exact"/>
        <w:rPr>
          <w:sz w:val="20"/>
          <w:szCs w:val="20"/>
          <w:color w:val="auto"/>
        </w:rPr>
      </w:pPr>
    </w:p>
    <w:p>
      <w:pPr>
        <w:ind w:right="40" w:firstLine="917"/>
        <w:spacing w:after="0" w:line="253" w:lineRule="auto"/>
        <w:rPr>
          <w:sz w:val="20"/>
          <w:szCs w:val="20"/>
          <w:color w:val="auto"/>
        </w:rPr>
      </w:pPr>
      <w:r>
        <w:rPr>
          <w:rFonts w:ascii="Arial" w:cs="Arial" w:eastAsia="Arial" w:hAnsi="Arial"/>
          <w:sz w:val="14"/>
          <w:szCs w:val="14"/>
          <w:color w:val="auto"/>
        </w:rPr>
        <w:t>16.1.1 In the event any dispute arises out of or in relation to or in connection with this Agreement, including failure to perform under or breach of, this Agreement or any issue relating to the interpretation or application of this Agreement, the Parties shall use good faith efforts to resolve such dispute within *** after a Party notifies the other Party of such dispute, whether through the JEC, JSC, JRDC or any subcommittee, as applicable, if the dispute is within the responsibilities of such a committee, or otherwise. If the Parties are unable to resolve such dispute, at the JSC, JRDC or subcommittee level or otherwise, within such *** period, either Party may, by written notice to the other Party refer such dispute to the JEC for resolution, and the JEC shall attempt in good faith to resolve such dispute within *** after such notice.</w:t>
      </w:r>
    </w:p>
    <w:p>
      <w:pPr>
        <w:spacing w:after="0" w:line="113" w:lineRule="exact"/>
        <w:rPr>
          <w:sz w:val="20"/>
          <w:szCs w:val="20"/>
          <w:color w:val="auto"/>
        </w:rPr>
      </w:pPr>
    </w:p>
    <w:p>
      <w:pPr>
        <w:ind w:right="100" w:firstLine="917"/>
        <w:spacing w:after="0" w:line="351" w:lineRule="auto"/>
        <w:rPr>
          <w:sz w:val="20"/>
          <w:szCs w:val="20"/>
          <w:color w:val="auto"/>
        </w:rPr>
      </w:pPr>
      <w:r>
        <w:rPr>
          <w:rFonts w:ascii="Arial" w:cs="Arial" w:eastAsia="Arial" w:hAnsi="Arial"/>
          <w:sz w:val="12"/>
          <w:szCs w:val="12"/>
          <w:color w:val="auto"/>
        </w:rPr>
        <w:t>16.1.2 Any dispute with respect to which a Party has final decision-making authority pursuant to Section 2.9.3 or any dispute between the Parties concerning the validity, scope, enforceability, inventorship, or ownership of intellectual property rights (each, a “</w:t>
      </w:r>
      <w:r>
        <w:rPr>
          <w:rFonts w:ascii="Arial" w:cs="Arial" w:eastAsia="Arial" w:hAnsi="Arial"/>
          <w:sz w:val="12"/>
          <w:szCs w:val="12"/>
          <w:u w:val="single" w:color="auto"/>
          <w:color w:val="auto"/>
        </w:rPr>
        <w:t>Non-Arbitrable Dispute</w:t>
      </w:r>
      <w:r>
        <w:rPr>
          <w:rFonts w:ascii="Arial" w:cs="Arial" w:eastAsia="Arial" w:hAnsi="Arial"/>
          <w:sz w:val="12"/>
          <w:szCs w:val="12"/>
          <w:color w:val="auto"/>
        </w:rPr>
        <w:t>”), shall not be subject to resolution by binding arbitration under 16.2.</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16.2 </w:t>
      </w:r>
      <w:r>
        <w:rPr>
          <w:rFonts w:ascii="Arial" w:cs="Arial" w:eastAsia="Arial" w:hAnsi="Arial"/>
          <w:sz w:val="12"/>
          <w:szCs w:val="12"/>
          <w:u w:val="single" w:color="auto"/>
          <w:color w:val="auto"/>
        </w:rPr>
        <w:t>Arbitration</w:t>
      </w:r>
      <w:r>
        <w:rPr>
          <w:rFonts w:ascii="Arial" w:cs="Arial" w:eastAsia="Arial" w:hAnsi="Arial"/>
          <w:sz w:val="12"/>
          <w:szCs w:val="12"/>
          <w:color w:val="auto"/>
        </w:rPr>
        <w:t xml:space="preserve">. If the JEC is unable to resolve a given dispute referred to it pursuant to Section 2.9.3(b) or 16.1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such referral of such dispute to the JEC, except for any Non-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Arbitrable Disputes, either Party may have the given dispute settled by binding arbitration in the manner described below:</w:t>
      </w:r>
    </w:p>
    <w:p>
      <w:pPr>
        <w:spacing w:after="0" w:line="126" w:lineRule="exact"/>
        <w:rPr>
          <w:sz w:val="20"/>
          <w:szCs w:val="20"/>
          <w:color w:val="auto"/>
        </w:rPr>
      </w:pPr>
    </w:p>
    <w:p>
      <w:pPr>
        <w:ind w:right="100" w:firstLine="917"/>
        <w:spacing w:after="0" w:line="267" w:lineRule="auto"/>
        <w:rPr>
          <w:sz w:val="20"/>
          <w:szCs w:val="20"/>
          <w:color w:val="auto"/>
        </w:rPr>
      </w:pPr>
      <w:r>
        <w:rPr>
          <w:rFonts w:ascii="Arial" w:cs="Arial" w:eastAsia="Arial" w:hAnsi="Arial"/>
          <w:sz w:val="14"/>
          <w:szCs w:val="14"/>
          <w:color w:val="auto"/>
        </w:rPr>
        <w:t xml:space="preserve">16.2.1 </w:t>
      </w:r>
      <w:r>
        <w:rPr>
          <w:rFonts w:ascii="Arial" w:cs="Arial" w:eastAsia="Arial" w:hAnsi="Arial"/>
          <w:sz w:val="14"/>
          <w:szCs w:val="14"/>
          <w:u w:val="single" w:color="auto"/>
          <w:color w:val="auto"/>
        </w:rPr>
        <w:t>Arbitration Request</w:t>
      </w:r>
      <w:r>
        <w:rPr>
          <w:rFonts w:ascii="Arial" w:cs="Arial" w:eastAsia="Arial" w:hAnsi="Arial"/>
          <w:sz w:val="14"/>
          <w:szCs w:val="14"/>
          <w:color w:val="auto"/>
        </w:rPr>
        <w:t>. If a Party intends to begin an arbitration to resolve a dispute arising under this Agreement, such Party shall provide written notice (the “</w:t>
      </w:r>
      <w:r>
        <w:rPr>
          <w:rFonts w:ascii="Arial" w:cs="Arial" w:eastAsia="Arial" w:hAnsi="Arial"/>
          <w:sz w:val="14"/>
          <w:szCs w:val="14"/>
          <w:u w:val="single" w:color="auto"/>
          <w:color w:val="auto"/>
        </w:rPr>
        <w:t>Arbitration Request</w:t>
      </w:r>
      <w:r>
        <w:rPr>
          <w:rFonts w:ascii="Arial" w:cs="Arial" w:eastAsia="Arial" w:hAnsi="Arial"/>
          <w:sz w:val="14"/>
          <w:szCs w:val="14"/>
          <w:color w:val="auto"/>
        </w:rPr>
        <w:t>”) to the other Party of such intention and the issues for resolution.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16.2.2 </w:t>
      </w:r>
      <w:r>
        <w:rPr>
          <w:rFonts w:ascii="Arial" w:cs="Arial" w:eastAsia="Arial" w:hAnsi="Arial"/>
          <w:sz w:val="14"/>
          <w:szCs w:val="14"/>
          <w:u w:val="single" w:color="auto"/>
          <w:color w:val="auto"/>
        </w:rPr>
        <w:t>Additional Issues</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receipt of the Arbitration Request, the other Party may, by written notice, add additional issues for resolution.</w:t>
      </w:r>
    </w:p>
    <w:p>
      <w:pPr>
        <w:spacing w:after="0" w:line="134" w:lineRule="exact"/>
        <w:rPr>
          <w:sz w:val="20"/>
          <w:szCs w:val="20"/>
          <w:color w:val="auto"/>
        </w:rPr>
      </w:pPr>
    </w:p>
    <w:p>
      <w:pPr>
        <w:jc w:val="both"/>
        <w:ind w:firstLine="917"/>
        <w:spacing w:after="0" w:line="258" w:lineRule="auto"/>
        <w:rPr>
          <w:sz w:val="20"/>
          <w:szCs w:val="20"/>
          <w:color w:val="auto"/>
        </w:rPr>
      </w:pPr>
      <w:r>
        <w:rPr>
          <w:rFonts w:ascii="Arial" w:cs="Arial" w:eastAsia="Arial" w:hAnsi="Arial"/>
          <w:sz w:val="14"/>
          <w:szCs w:val="14"/>
          <w:color w:val="auto"/>
        </w:rPr>
        <w:t xml:space="preserve">16.2.3 </w:t>
      </w:r>
      <w:r>
        <w:rPr>
          <w:rFonts w:ascii="Arial" w:cs="Arial" w:eastAsia="Arial" w:hAnsi="Arial"/>
          <w:sz w:val="14"/>
          <w:szCs w:val="14"/>
          <w:u w:val="single" w:color="auto"/>
          <w:color w:val="auto"/>
        </w:rPr>
        <w:t>Arbitration Rules; Location</w:t>
      </w:r>
      <w:r>
        <w:rPr>
          <w:rFonts w:ascii="Arial" w:cs="Arial" w:eastAsia="Arial" w:hAnsi="Arial"/>
          <w:sz w:val="14"/>
          <w:szCs w:val="14"/>
          <w:color w:val="auto"/>
        </w:rPr>
        <w:t xml:space="preserve">. Except as expressly provided herein, the sole mechanism for resolution of any claim, dispute or controversy arising out of or in connection with or relating to this Agreement or the breach or alleged breach thereof shall be arbitration by the </w:t>
      </w:r>
      <w:r>
        <w:rPr>
          <w:rFonts w:ascii="Arial" w:cs="Arial" w:eastAsia="Arial" w:hAnsi="Arial"/>
          <w:sz w:val="14"/>
          <w:szCs w:val="14"/>
          <w:b w:val="1"/>
          <w:bCs w:val="1"/>
          <w:color w:val="auto"/>
        </w:rPr>
        <w:t>***</w:t>
      </w:r>
      <w:r>
        <w:rPr>
          <w:rFonts w:ascii="Arial" w:cs="Arial" w:eastAsia="Arial" w:hAnsi="Arial"/>
          <w:sz w:val="14"/>
          <w:szCs w:val="14"/>
          <w:color w:val="auto"/>
        </w:rPr>
        <w:t xml:space="preserve"> then in effect except as provided herein. Neither Party shall be required to give general discovery of documents, but may be required to produce documents or testimony</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102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51" w:name="page852"/>
    <w:bookmarkEnd w:id="851"/>
    <w:p>
      <w:pPr>
        <w:ind w:right="2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which are considered relevant by the arbitrators to the dispute. The production of electronic documents shall be limited to those located in sources that are used in the ordinary course of business. Neither Party shall be ordered to restore backup tapes; erased, damaged or fragmented data, or data normally deleted in the ordinary course of business. When the cost and burden of discovery are disproportionate to the likely importance of the requested materials, the arbitrator may deny the requests or require that the requesting party advance the reasonable cost of production to the other Party. The Parties can further agree to limit the extent of discovery in any arbitration undertaken pursuant to this Agreement. The arbitration shall take place in ***.</w:t>
      </w:r>
    </w:p>
    <w:p>
      <w:pPr>
        <w:spacing w:after="0" w:line="79" w:lineRule="exact"/>
        <w:rPr>
          <w:sz w:val="20"/>
          <w:szCs w:val="20"/>
          <w:color w:val="auto"/>
        </w:rPr>
      </w:pPr>
    </w:p>
    <w:p>
      <w:pPr>
        <w:ind w:right="180" w:firstLine="917"/>
        <w:spacing w:after="0" w:line="267" w:lineRule="auto"/>
        <w:rPr>
          <w:sz w:val="20"/>
          <w:szCs w:val="20"/>
          <w:color w:val="auto"/>
        </w:rPr>
      </w:pPr>
      <w:r>
        <w:rPr>
          <w:rFonts w:ascii="Arial" w:cs="Arial" w:eastAsia="Arial" w:hAnsi="Arial"/>
          <w:sz w:val="14"/>
          <w:szCs w:val="14"/>
          <w:color w:val="auto"/>
        </w:rPr>
        <w:t xml:space="preserve">16.2.4 </w:t>
      </w:r>
      <w:r>
        <w:rPr>
          <w:rFonts w:ascii="Arial" w:cs="Arial" w:eastAsia="Arial" w:hAnsi="Arial"/>
          <w:sz w:val="14"/>
          <w:szCs w:val="14"/>
          <w:u w:val="single" w:color="auto"/>
          <w:color w:val="auto"/>
        </w:rPr>
        <w:t>Privileges</w:t>
      </w:r>
      <w:r>
        <w:rPr>
          <w:rFonts w:ascii="Arial" w:cs="Arial" w:eastAsia="Arial" w:hAnsi="Arial"/>
          <w:sz w:val="14"/>
          <w:szCs w:val="14"/>
          <w:color w:val="auto"/>
        </w:rPr>
        <w:t>. If a Party is entitled to attorney-client or attorney work product privileges from disclosure established under public policy provisions, such privileges shall apply and may be invoked by the other Party.</w:t>
      </w:r>
    </w:p>
    <w:p>
      <w:pPr>
        <w:spacing w:after="0" w:line="101" w:lineRule="exact"/>
        <w:rPr>
          <w:sz w:val="20"/>
          <w:szCs w:val="20"/>
          <w:color w:val="auto"/>
        </w:rPr>
      </w:pPr>
    </w:p>
    <w:p>
      <w:pPr>
        <w:ind w:firstLine="917"/>
        <w:spacing w:after="0" w:line="267" w:lineRule="auto"/>
        <w:rPr>
          <w:sz w:val="20"/>
          <w:szCs w:val="20"/>
          <w:color w:val="auto"/>
        </w:rPr>
      </w:pPr>
      <w:r>
        <w:rPr>
          <w:rFonts w:ascii="Arial" w:cs="Arial" w:eastAsia="Arial" w:hAnsi="Arial"/>
          <w:sz w:val="14"/>
          <w:szCs w:val="14"/>
          <w:color w:val="auto"/>
        </w:rPr>
        <w:t xml:space="preserve">16.2.5 </w:t>
      </w:r>
      <w:r>
        <w:rPr>
          <w:rFonts w:ascii="Arial" w:cs="Arial" w:eastAsia="Arial" w:hAnsi="Arial"/>
          <w:sz w:val="14"/>
          <w:szCs w:val="14"/>
          <w:u w:val="single" w:color="auto"/>
          <w:color w:val="auto"/>
        </w:rPr>
        <w:t>English Language</w:t>
      </w:r>
      <w:r>
        <w:rPr>
          <w:rFonts w:ascii="Arial" w:cs="Arial" w:eastAsia="Arial" w:hAnsi="Arial"/>
          <w:sz w:val="14"/>
          <w:szCs w:val="14"/>
          <w:color w:val="auto"/>
        </w:rPr>
        <w:t>. All proceedings shall be held in English and a transcribed record prepared in English. Documents submitted in the arbitration (the originals of which are not in English) shall be submitted together with a reasonably complete and accurate English translation.</w:t>
      </w:r>
    </w:p>
    <w:p>
      <w:pPr>
        <w:spacing w:after="0" w:line="99" w:lineRule="exact"/>
        <w:rPr>
          <w:sz w:val="20"/>
          <w:szCs w:val="20"/>
          <w:color w:val="auto"/>
        </w:rPr>
      </w:pPr>
    </w:p>
    <w:p>
      <w:pPr>
        <w:ind w:right="140" w:firstLine="917"/>
        <w:spacing w:after="0" w:line="256" w:lineRule="auto"/>
        <w:rPr>
          <w:sz w:val="20"/>
          <w:szCs w:val="20"/>
          <w:color w:val="auto"/>
        </w:rPr>
      </w:pPr>
      <w:r>
        <w:rPr>
          <w:rFonts w:ascii="Arial" w:cs="Arial" w:eastAsia="Arial" w:hAnsi="Arial"/>
          <w:sz w:val="14"/>
          <w:szCs w:val="14"/>
          <w:color w:val="auto"/>
        </w:rPr>
        <w:t xml:space="preserve">16.2.6 </w:t>
      </w:r>
      <w:r>
        <w:rPr>
          <w:rFonts w:ascii="Arial" w:cs="Arial" w:eastAsia="Arial" w:hAnsi="Arial"/>
          <w:sz w:val="14"/>
          <w:szCs w:val="14"/>
          <w:u w:val="single" w:color="auto"/>
          <w:color w:val="auto"/>
        </w:rPr>
        <w:t>Selection of Arbitrators</w:t>
      </w:r>
      <w:r>
        <w:rPr>
          <w:rFonts w:ascii="Arial" w:cs="Arial" w:eastAsia="Arial" w:hAnsi="Arial"/>
          <w:sz w:val="14"/>
          <w:szCs w:val="14"/>
          <w:color w:val="auto"/>
        </w:rPr>
        <w:t xml:space="preserve">. The Parties shall each choose one arbitrator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receipt of notice of the intent to arbitrate and the said two arbitrators shall select by mutual agreement a third arbitrator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they have been selected as arbitrators. If no arbitrator is appointed within the times herein provided or any extension of time that is mutually agreed on, </w:t>
      </w:r>
      <w:r>
        <w:rPr>
          <w:rFonts w:ascii="Arial" w:cs="Arial" w:eastAsia="Arial" w:hAnsi="Arial"/>
          <w:sz w:val="14"/>
          <w:szCs w:val="14"/>
          <w:b w:val="1"/>
          <w:bCs w:val="1"/>
          <w:color w:val="auto"/>
        </w:rPr>
        <w:t>***</w:t>
      </w:r>
      <w:r>
        <w:rPr>
          <w:rFonts w:ascii="Arial" w:cs="Arial" w:eastAsia="Arial" w:hAnsi="Arial"/>
          <w:sz w:val="14"/>
          <w:szCs w:val="14"/>
          <w:color w:val="auto"/>
        </w:rPr>
        <w:t xml:space="preserve"> shall make such appointment (i.e. shall appoint three arbitrators)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such failure. Additionally, if the two arbitrators selected by the Parties fail to appoint a third arbitrator within the time provided, *** shall appoint the third arbitrator.</w:t>
      </w:r>
    </w:p>
    <w:p>
      <w:pPr>
        <w:spacing w:after="0" w:line="109" w:lineRule="exact"/>
        <w:rPr>
          <w:sz w:val="20"/>
          <w:szCs w:val="20"/>
          <w:color w:val="auto"/>
        </w:rPr>
      </w:pPr>
    </w:p>
    <w:p>
      <w:pPr>
        <w:ind w:right="400" w:firstLine="917"/>
        <w:spacing w:after="0" w:line="267" w:lineRule="auto"/>
        <w:rPr>
          <w:sz w:val="20"/>
          <w:szCs w:val="20"/>
          <w:color w:val="auto"/>
        </w:rPr>
      </w:pPr>
      <w:r>
        <w:rPr>
          <w:rFonts w:ascii="Arial" w:cs="Arial" w:eastAsia="Arial" w:hAnsi="Arial"/>
          <w:sz w:val="14"/>
          <w:szCs w:val="14"/>
          <w:color w:val="auto"/>
        </w:rPr>
        <w:t xml:space="preserve">16.2.7 </w:t>
      </w:r>
      <w:r>
        <w:rPr>
          <w:rFonts w:ascii="Arial" w:cs="Arial" w:eastAsia="Arial" w:hAnsi="Arial"/>
          <w:sz w:val="14"/>
          <w:szCs w:val="14"/>
          <w:u w:val="single" w:color="auto"/>
          <w:color w:val="auto"/>
        </w:rPr>
        <w:t>Experience</w:t>
      </w:r>
      <w:r>
        <w:rPr>
          <w:rFonts w:ascii="Arial" w:cs="Arial" w:eastAsia="Arial" w:hAnsi="Arial"/>
          <w:sz w:val="14"/>
          <w:szCs w:val="14"/>
          <w:color w:val="auto"/>
        </w:rPr>
        <w:t>. If the issues in dispute involve scientific or technical matters, any arbitrators chosen hereunder shall have educational training or experience sufficient to demonstrate a reasonable level of knowledge in the pharmaceutical and biotechnology fields.</w:t>
      </w:r>
    </w:p>
    <w:p>
      <w:pPr>
        <w:spacing w:after="0" w:line="101" w:lineRule="exact"/>
        <w:rPr>
          <w:sz w:val="20"/>
          <w:szCs w:val="20"/>
          <w:color w:val="auto"/>
        </w:rPr>
      </w:pPr>
    </w:p>
    <w:p>
      <w:pPr>
        <w:ind w:right="160" w:firstLine="917"/>
        <w:spacing w:after="0" w:line="267" w:lineRule="auto"/>
        <w:rPr>
          <w:sz w:val="20"/>
          <w:szCs w:val="20"/>
          <w:color w:val="auto"/>
        </w:rPr>
      </w:pPr>
      <w:r>
        <w:rPr>
          <w:rFonts w:ascii="Arial" w:cs="Arial" w:eastAsia="Arial" w:hAnsi="Arial"/>
          <w:sz w:val="14"/>
          <w:szCs w:val="14"/>
          <w:color w:val="auto"/>
        </w:rPr>
        <w:t xml:space="preserve">16.2.8 </w:t>
      </w:r>
      <w:r>
        <w:rPr>
          <w:rFonts w:ascii="Arial" w:cs="Arial" w:eastAsia="Arial" w:hAnsi="Arial"/>
          <w:sz w:val="14"/>
          <w:szCs w:val="14"/>
          <w:u w:val="single" w:color="auto"/>
          <w:color w:val="auto"/>
        </w:rPr>
        <w:t>Powers of Arbitrators</w:t>
      </w:r>
      <w:r>
        <w:rPr>
          <w:rFonts w:ascii="Arial" w:cs="Arial" w:eastAsia="Arial" w:hAnsi="Arial"/>
          <w:sz w:val="14"/>
          <w:szCs w:val="14"/>
          <w:color w:val="auto"/>
        </w:rPr>
        <w:t>. The arbitrators shall be limited in the scope of their authority to resolving only the specific matter which the Parties have referred to arbitration for resolution and shall not have authority to render any decision or award on any other issues. Without limiting the foregoing, the arbitrators:</w:t>
      </w:r>
    </w:p>
    <w:p>
      <w:pPr>
        <w:spacing w:after="0" w:line="101" w:lineRule="exact"/>
        <w:rPr>
          <w:sz w:val="20"/>
          <w:szCs w:val="20"/>
          <w:color w:val="auto"/>
        </w:rPr>
      </w:pPr>
    </w:p>
    <w:p>
      <w:pPr>
        <w:ind w:left="640" w:hanging="178"/>
        <w:spacing w:after="0"/>
        <w:tabs>
          <w:tab w:leader="none" w:pos="640" w:val="left"/>
        </w:tabs>
        <w:numPr>
          <w:ilvl w:val="0"/>
          <w:numId w:val="1029"/>
        </w:numPr>
        <w:rPr>
          <w:rFonts w:ascii="Arial" w:cs="Arial" w:eastAsia="Arial" w:hAnsi="Arial"/>
          <w:sz w:val="12"/>
          <w:szCs w:val="12"/>
          <w:color w:val="auto"/>
        </w:rPr>
      </w:pPr>
      <w:r>
        <w:rPr>
          <w:rFonts w:ascii="Arial" w:cs="Arial" w:eastAsia="Arial" w:hAnsi="Arial"/>
          <w:sz w:val="12"/>
          <w:szCs w:val="12"/>
          <w:color w:val="auto"/>
        </w:rPr>
        <w:t>shall not have any power or authority to add to, alter, amend or modify the terms of this Agreement but shall specify rules sufficient to allow reasonable discovery by the Parties;</w:t>
      </w:r>
    </w:p>
    <w:p>
      <w:pPr>
        <w:spacing w:after="0" w:line="154" w:lineRule="exact"/>
        <w:rPr>
          <w:rFonts w:ascii="Arial" w:cs="Arial" w:eastAsia="Arial" w:hAnsi="Arial"/>
          <w:sz w:val="12"/>
          <w:szCs w:val="12"/>
          <w:color w:val="auto"/>
        </w:rPr>
      </w:pPr>
    </w:p>
    <w:p>
      <w:pPr>
        <w:ind w:right="60" w:firstLine="462"/>
        <w:spacing w:after="0" w:line="267" w:lineRule="auto"/>
        <w:tabs>
          <w:tab w:leader="none" w:pos="651" w:val="left"/>
        </w:tabs>
        <w:numPr>
          <w:ilvl w:val="0"/>
          <w:numId w:val="1029"/>
        </w:numPr>
        <w:rPr>
          <w:rFonts w:ascii="Arial" w:cs="Arial" w:eastAsia="Arial" w:hAnsi="Arial"/>
          <w:sz w:val="14"/>
          <w:szCs w:val="14"/>
          <w:color w:val="auto"/>
        </w:rPr>
      </w:pPr>
      <w:r>
        <w:rPr>
          <w:rFonts w:ascii="Arial" w:cs="Arial" w:eastAsia="Arial" w:hAnsi="Arial"/>
          <w:sz w:val="14"/>
          <w:szCs w:val="14"/>
          <w:color w:val="auto"/>
        </w:rPr>
        <w:t>shall establish and enforce appropriate rules to ensure that the proceedings, including the decision, be kept confidential and that all Confidential Information of the Parties be kept confidential and be used for no purpose other than the arbitration; and</w:t>
      </w:r>
    </w:p>
    <w:p>
      <w:pPr>
        <w:spacing w:after="0" w:line="101" w:lineRule="exact"/>
        <w:rPr>
          <w:rFonts w:ascii="Arial" w:cs="Arial" w:eastAsia="Arial" w:hAnsi="Arial"/>
          <w:sz w:val="14"/>
          <w:szCs w:val="14"/>
          <w:color w:val="auto"/>
        </w:rPr>
      </w:pPr>
    </w:p>
    <w:p>
      <w:pPr>
        <w:ind w:left="640" w:hanging="178"/>
        <w:spacing w:after="0"/>
        <w:tabs>
          <w:tab w:leader="none" w:pos="640" w:val="left"/>
        </w:tabs>
        <w:numPr>
          <w:ilvl w:val="0"/>
          <w:numId w:val="1029"/>
        </w:numPr>
        <w:rPr>
          <w:rFonts w:ascii="Arial" w:cs="Arial" w:eastAsia="Arial" w:hAnsi="Arial"/>
          <w:sz w:val="14"/>
          <w:szCs w:val="14"/>
          <w:color w:val="auto"/>
        </w:rPr>
      </w:pPr>
      <w:r>
        <w:rPr>
          <w:rFonts w:ascii="Arial" w:cs="Arial" w:eastAsia="Arial" w:hAnsi="Arial"/>
          <w:sz w:val="14"/>
          <w:szCs w:val="14"/>
          <w:color w:val="auto"/>
        </w:rPr>
        <w:t>shall issue all preliminary awards and the final award in writing.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3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52" w:name="page853"/>
    <w:bookmarkEnd w:id="852"/>
    <w:p>
      <w:pPr>
        <w:ind w:right="60" w:firstLine="917"/>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16.2.9 </w:t>
      </w:r>
      <w:r>
        <w:rPr>
          <w:rFonts w:ascii="Arial" w:cs="Arial" w:eastAsia="Arial" w:hAnsi="Arial"/>
          <w:sz w:val="14"/>
          <w:szCs w:val="14"/>
          <w:u w:val="single" w:color="auto"/>
          <w:color w:val="auto"/>
        </w:rPr>
        <w:t>Injunctive Relief</w:t>
      </w:r>
      <w:r>
        <w:rPr>
          <w:rFonts w:ascii="Arial" w:cs="Arial" w:eastAsia="Arial" w:hAnsi="Arial"/>
          <w:sz w:val="14"/>
          <w:szCs w:val="14"/>
          <w:color w:val="auto"/>
        </w:rPr>
        <w:t>. Nothing in this Agreement shall be deemed as preventing either Party from seeking injunctive relief (or any other provisional remedy such as temporary restraining order, preliminary injunction or other interim equitable relief) from the arbitrators or from any court having jurisdiction over the Parties (and prior to or during any arbitration if necessary to protect the interests of such Party in avoiding irreparable harm or to preserve the status quo pending the arbitration proceeding) and the subject matter of the dispute as necessary to protect either Party’s name, proprietary information, Know-How or any other proprietary right or otherwise to avoid irreparable harm.</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16.2.10 </w:t>
      </w:r>
      <w:r>
        <w:rPr>
          <w:rFonts w:ascii="Arial" w:cs="Arial" w:eastAsia="Arial" w:hAnsi="Arial"/>
          <w:sz w:val="14"/>
          <w:szCs w:val="14"/>
          <w:u w:val="single" w:color="auto"/>
          <w:color w:val="auto"/>
        </w:rPr>
        <w:t>Costs; Exclusion from Award</w:t>
      </w:r>
      <w:r>
        <w:rPr>
          <w:rFonts w:ascii="Arial" w:cs="Arial" w:eastAsia="Arial" w:hAnsi="Arial"/>
          <w:sz w:val="14"/>
          <w:szCs w:val="14"/>
          <w:color w:val="auto"/>
        </w:rPr>
        <w:t xml:space="preserve">. The award rendered by the arbitrators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16.2.11 </w:t>
      </w:r>
      <w:r>
        <w:rPr>
          <w:rFonts w:ascii="Arial" w:cs="Arial" w:eastAsia="Arial" w:hAnsi="Arial"/>
          <w:sz w:val="14"/>
          <w:szCs w:val="14"/>
          <w:u w:val="single" w:color="auto"/>
          <w:color w:val="auto"/>
        </w:rPr>
        <w:t>Survivability</w:t>
      </w:r>
      <w:r>
        <w:rPr>
          <w:rFonts w:ascii="Arial" w:cs="Arial" w:eastAsia="Arial" w:hAnsi="Arial"/>
          <w:sz w:val="14"/>
          <w:szCs w:val="14"/>
          <w:color w:val="auto"/>
        </w:rPr>
        <w:t>. Any duty to arbitrate under this Agreement shall remain in effect and be enforceable after termination of this Agreement.</w:t>
      </w:r>
    </w:p>
    <w:p>
      <w:pPr>
        <w:spacing w:after="0" w:line="130"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u w:val="single" w:color="auto"/>
          <w:color w:val="auto"/>
        </w:rPr>
        <w:t>Governing Law</w:t>
      </w:r>
      <w:r>
        <w:rPr>
          <w:rFonts w:ascii="Arial" w:cs="Arial" w:eastAsia="Arial" w:hAnsi="Arial"/>
          <w:sz w:val="14"/>
          <w:szCs w:val="14"/>
          <w:color w:val="auto"/>
        </w:rPr>
        <w:t xml:space="preserve">. This Agreement and any dispute arising from the performance or breach hereof shall be governed by and construed and enforced in accordance with the </w:t>
      </w:r>
      <w:r>
        <w:rPr>
          <w:rFonts w:ascii="Arial" w:cs="Arial" w:eastAsia="Arial" w:hAnsi="Arial"/>
          <w:sz w:val="14"/>
          <w:szCs w:val="14"/>
          <w:b w:val="1"/>
          <w:bCs w:val="1"/>
          <w:color w:val="auto"/>
        </w:rPr>
        <w:t>***</w:t>
      </w:r>
      <w:r>
        <w:rPr>
          <w:rFonts w:ascii="Arial" w:cs="Arial" w:eastAsia="Arial" w:hAnsi="Arial"/>
          <w:sz w:val="14"/>
          <w:szCs w:val="14"/>
          <w:color w:val="auto"/>
        </w:rPr>
        <w:t xml:space="preserve"> without reference to conflicts of laws principles. </w:t>
      </w:r>
      <w:r>
        <w:rPr>
          <w:rFonts w:ascii="Arial" w:cs="Arial" w:eastAsia="Arial" w:hAnsi="Arial"/>
          <w:sz w:val="14"/>
          <w:szCs w:val="14"/>
          <w:b w:val="1"/>
          <w:bCs w:val="1"/>
          <w:color w:val="auto"/>
        </w:rPr>
        <w:t>***</w:t>
      </w:r>
    </w:p>
    <w:p>
      <w:pPr>
        <w:spacing w:after="0" w:line="99"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 xml:space="preserve">16.4 </w:t>
      </w:r>
      <w:r>
        <w:rPr>
          <w:rFonts w:ascii="Arial" w:cs="Arial" w:eastAsia="Arial" w:hAnsi="Arial"/>
          <w:sz w:val="12"/>
          <w:szCs w:val="12"/>
          <w:u w:val="single" w:color="auto"/>
          <w:color w:val="auto"/>
        </w:rPr>
        <w:t>Assignment</w:t>
      </w:r>
      <w:r>
        <w:rPr>
          <w:rFonts w:ascii="Arial" w:cs="Arial" w:eastAsia="Arial" w:hAnsi="Arial"/>
          <w:sz w:val="12"/>
          <w:szCs w:val="12"/>
          <w:color w:val="auto"/>
        </w:rPr>
        <w:t xml:space="preserve">. Neither this Agreement nor any right or obligation hereunder may be assigned or otherwise transferred by any Party without the consent of the other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any Party may, without such consent, assign this Agreement, in whole or in part: (a) to any of its respective Affiliates;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assigning Party shall remain jointly and severally liable with such Affiliate in respect of all obligations so assigned, or (b) to any successor in interest by way of merger, acquisition or sale of all or substantially all of its assets to which this Agreement relates (an “</w:t>
      </w:r>
      <w:r>
        <w:rPr>
          <w:rFonts w:ascii="Arial" w:cs="Arial" w:eastAsia="Arial" w:hAnsi="Arial"/>
          <w:sz w:val="12"/>
          <w:szCs w:val="12"/>
          <w:u w:val="single" w:color="auto"/>
          <w:color w:val="auto"/>
        </w:rPr>
        <w:t>M&amp;A Event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successor agrees in writing to be bound by the terms of this Agreement as if it were the assigning party. Any assignment not in accordance with this Section 16.4 shall be void. Each Party agrees that, notwithstanding any provisions of this Agreement to the contrary, if this Agreement is assigned by a Party in connection with an M&amp;A Event, such assignment shall not provide the non-assigning Party with rights or access to any intellectual property or technology of the acquirer of the assigning Party. ***.</w:t>
      </w:r>
    </w:p>
    <w:p>
      <w:pPr>
        <w:spacing w:after="0" w:line="86" w:lineRule="exact"/>
        <w:rPr>
          <w:sz w:val="20"/>
          <w:szCs w:val="20"/>
          <w:color w:val="auto"/>
        </w:rPr>
      </w:pPr>
    </w:p>
    <w:p>
      <w:pPr>
        <w:ind w:right="80" w:firstLine="458"/>
        <w:spacing w:after="0" w:line="302" w:lineRule="auto"/>
        <w:rPr>
          <w:sz w:val="20"/>
          <w:szCs w:val="20"/>
          <w:color w:val="auto"/>
        </w:rPr>
      </w:pPr>
      <w:r>
        <w:rPr>
          <w:rFonts w:ascii="Arial" w:cs="Arial" w:eastAsia="Arial" w:hAnsi="Arial"/>
          <w:sz w:val="12"/>
          <w:szCs w:val="12"/>
          <w:color w:val="auto"/>
        </w:rPr>
        <w:t xml:space="preserve">16.5 </w:t>
      </w:r>
      <w:r>
        <w:rPr>
          <w:rFonts w:ascii="Arial" w:cs="Arial" w:eastAsia="Arial" w:hAnsi="Arial"/>
          <w:sz w:val="12"/>
          <w:szCs w:val="12"/>
          <w:u w:val="single" w:color="auto"/>
          <w:color w:val="auto"/>
        </w:rPr>
        <w:t>Force Majeure</w:t>
      </w:r>
      <w:r>
        <w:rPr>
          <w:rFonts w:ascii="Arial" w:cs="Arial" w:eastAsia="Arial" w:hAnsi="Arial"/>
          <w:sz w:val="12"/>
          <w:szCs w:val="12"/>
          <w:color w:val="auto"/>
        </w:rPr>
        <w:t>. No Party shall be held liable or responsible to the other Party nor be deemed to be in default under, or in breach of any provision of, this Agreement for failure or delay in fulfilling or performing any obligation (other than a payment obligation) of this Agreement when such failure or delay is due to force majeure, and without the fault or negligence of the Party so failing or delaying. For purposes of this Agreement, force majeure is defined as causes beyond the control of the Party, including acts of God; war; civil commotion; destruction of production facilities or materials by fire, flood, earthquake, explosion or storm; external labor disturbances; epidemic; and failure of public utilities or common carriers. In such event MacroGenics or Servier,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132" w:lineRule="exact"/>
        <w:rPr>
          <w:sz w:val="20"/>
          <w:szCs w:val="20"/>
          <w:color w:val="auto"/>
        </w:rPr>
      </w:pPr>
    </w:p>
    <w:p>
      <w:pPr>
        <w:ind w:left="3840" w:right="2660" w:hanging="1139"/>
        <w:spacing w:after="0" w:line="351" w:lineRule="auto"/>
        <w:tabs>
          <w:tab w:leader="none" w:pos="2940" w:val="left"/>
        </w:tabs>
        <w:numPr>
          <w:ilvl w:val="0"/>
          <w:numId w:val="103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20"/>
          </w:cols>
          <w:pgMar w:left="220" w:top="248" w:right="259" w:bottom="1440" w:gutter="0" w:footer="0" w:header="0"/>
        </w:sectPr>
      </w:pPr>
    </w:p>
    <w:bookmarkStart w:id="853" w:name="page854"/>
    <w:bookmarkEnd w:id="853"/>
    <w:p>
      <w:pPr>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after which time MacroGenics and Servier shall promptly meet to discuss in good faith how to best proceed in a manner that maintains and abides by this Agreement. To the extent possible, each Party shall use reasonable efforts to minimize the duration of any force majeure. If a force majeure event prevents a Party from performing any of its Development obligations for a Global Clinical Trial or Manufacturing obligations hereunder that would delay the Development or Manufacture of Licensed Product in the non-affected Party’s Territory, then, if the Parties can not agree on how to best proceed following such discussions, then, notwithstanding the exclusive license grants hereunder, the Party not affected by the force majeure event shall be permitted to either perform directly or engage a Third Party clinical research organization or contract manufacturing organization to perform such Development and/or Manufacturing obligations for the duration of such force majeure event.</w:t>
      </w:r>
    </w:p>
    <w:p>
      <w:pPr>
        <w:spacing w:after="0" w:line="84"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4"/>
          <w:szCs w:val="14"/>
          <w:color w:val="auto"/>
        </w:rPr>
        <w:t xml:space="preserve">16.6 </w:t>
      </w:r>
      <w:r>
        <w:rPr>
          <w:rFonts w:ascii="Arial" w:cs="Arial" w:eastAsia="Arial" w:hAnsi="Arial"/>
          <w:sz w:val="14"/>
          <w:szCs w:val="14"/>
          <w:u w:val="single" w:color="auto"/>
          <w:color w:val="auto"/>
        </w:rPr>
        <w:t>Notices</w:t>
      </w:r>
      <w:r>
        <w:rPr>
          <w:rFonts w:ascii="Arial" w:cs="Arial" w:eastAsia="Arial" w:hAnsi="Arial"/>
          <w:sz w:val="14"/>
          <w:szCs w:val="14"/>
          <w:color w:val="auto"/>
        </w:rPr>
        <w:t>. Any notice or request required or permitted to be given under or in connection with this Agreement shall be deemed to have been sufficiently given if in writing and personally delivered or sent by certified mail (return receipt requested), facsimile transmission (receipt verified), or reputable international business courier (signature required), prepaid, to the Party for which such notice is intended, at the address set forth for such Party below:</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to MacroGenics,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addressed to:</w:t>
      </w:r>
    </w:p>
    <w:p>
      <w:pPr>
        <w:spacing w:after="0" w:line="145" w:lineRule="exact"/>
        <w:rPr>
          <w:sz w:val="20"/>
          <w:szCs w:val="20"/>
          <w:color w:val="auto"/>
        </w:rPr>
      </w:pPr>
    </w:p>
    <w:tbl>
      <w:tblPr>
        <w:tblLayout w:type="fixed"/>
        <w:tblInd w:w="4020" w:type="dxa"/>
        <w:tblCellMar>
          <w:top w:w="0" w:type="dxa"/>
          <w:left w:w="0" w:type="dxa"/>
          <w:bottom w:w="0" w:type="dxa"/>
          <w:right w:w="0" w:type="dxa"/>
        </w:tblCellMar>
      </w:tblPr>
      <w:tr>
        <w:trPr>
          <w:trHeight w:val="16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Prior to December 1, 2011:</w:t>
            </w:r>
          </w:p>
        </w:tc>
        <w:tc>
          <w:tcPr>
            <w:tcW w:w="264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After December 1, 2011:</w:t>
            </w:r>
          </w:p>
        </w:tc>
        <w:tc>
          <w:tcPr>
            <w:tcW w:w="520" w:type="dxa"/>
            <w:vAlign w:val="bottom"/>
          </w:tcPr>
          <w:p>
            <w:pPr>
              <w:spacing w:after="0"/>
              <w:rPr>
                <w:sz w:val="14"/>
                <w:szCs w:val="14"/>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MacroGenics, Inc.</w:t>
            </w:r>
          </w:p>
        </w:tc>
        <w:tc>
          <w:tcPr>
            <w:tcW w:w="1880" w:type="dxa"/>
            <w:vAlign w:val="bottom"/>
            <w:gridSpan w:val="2"/>
          </w:tcPr>
          <w:p>
            <w:pPr>
              <w:spacing w:after="0"/>
              <w:rPr>
                <w:sz w:val="20"/>
                <w:szCs w:val="20"/>
                <w:color w:val="auto"/>
              </w:rPr>
            </w:pPr>
            <w:r>
              <w:rPr>
                <w:rFonts w:ascii="Arial" w:cs="Arial" w:eastAsia="Arial" w:hAnsi="Arial"/>
                <w:sz w:val="14"/>
                <w:szCs w:val="14"/>
                <w:color w:val="auto"/>
              </w:rPr>
              <w:t>MacroGenics, Inc.</w:t>
            </w: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1500 East Gude Drive</w:t>
            </w:r>
          </w:p>
        </w:tc>
        <w:tc>
          <w:tcPr>
            <w:tcW w:w="1880" w:type="dxa"/>
            <w:vAlign w:val="bottom"/>
            <w:gridSpan w:val="2"/>
          </w:tcPr>
          <w:p>
            <w:pPr>
              <w:spacing w:after="0"/>
              <w:rPr>
                <w:sz w:val="20"/>
                <w:szCs w:val="20"/>
                <w:color w:val="auto"/>
              </w:rPr>
            </w:pPr>
            <w:r>
              <w:rPr>
                <w:rFonts w:ascii="Arial" w:cs="Arial" w:eastAsia="Arial" w:hAnsi="Arial"/>
                <w:sz w:val="14"/>
                <w:szCs w:val="14"/>
                <w:color w:val="auto"/>
              </w:rPr>
              <w:t>9640 Medical Center Drive</w:t>
            </w: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Rockville, MD 20850</w:t>
            </w:r>
          </w:p>
        </w:tc>
        <w:tc>
          <w:tcPr>
            <w:tcW w:w="1880" w:type="dxa"/>
            <w:vAlign w:val="bottom"/>
            <w:gridSpan w:val="2"/>
          </w:tcPr>
          <w:p>
            <w:pPr>
              <w:spacing w:after="0"/>
              <w:rPr>
                <w:sz w:val="20"/>
                <w:szCs w:val="20"/>
                <w:color w:val="auto"/>
              </w:rPr>
            </w:pPr>
            <w:r>
              <w:rPr>
                <w:rFonts w:ascii="Arial" w:cs="Arial" w:eastAsia="Arial" w:hAnsi="Arial"/>
                <w:sz w:val="14"/>
                <w:szCs w:val="14"/>
                <w:color w:val="auto"/>
              </w:rPr>
              <w:t>Rockville, MD 20850</w:t>
            </w: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Attention: Chief Executive Officer</w:t>
            </w:r>
          </w:p>
        </w:tc>
        <w:tc>
          <w:tcPr>
            <w:tcW w:w="1880" w:type="dxa"/>
            <w:vAlign w:val="bottom"/>
            <w:gridSpan w:val="2"/>
          </w:tcPr>
          <w:p>
            <w:pPr>
              <w:spacing w:after="0"/>
              <w:rPr>
                <w:sz w:val="20"/>
                <w:szCs w:val="20"/>
                <w:color w:val="auto"/>
              </w:rPr>
            </w:pPr>
            <w:r>
              <w:rPr>
                <w:rFonts w:ascii="Arial" w:cs="Arial" w:eastAsia="Arial" w:hAnsi="Arial"/>
                <w:sz w:val="14"/>
                <w:szCs w:val="14"/>
                <w:color w:val="auto"/>
                <w:w w:val="90"/>
              </w:rPr>
              <w:t>Attention: Chief Executive Officer</w:t>
            </w:r>
          </w:p>
        </w:tc>
      </w:tr>
      <w:tr>
        <w:trPr>
          <w:trHeight w:val="173"/>
        </w:trPr>
        <w:tc>
          <w:tcPr>
            <w:tcW w:w="4120" w:type="dxa"/>
            <w:vAlign w:val="bottom"/>
            <w:gridSpan w:val="2"/>
          </w:tcPr>
          <w:p>
            <w:pPr>
              <w:spacing w:after="0"/>
              <w:rPr>
                <w:sz w:val="20"/>
                <w:szCs w:val="20"/>
                <w:color w:val="auto"/>
              </w:rPr>
            </w:pPr>
            <w:r>
              <w:rPr>
                <w:rFonts w:ascii="Arial" w:cs="Arial" w:eastAsia="Arial" w:hAnsi="Arial"/>
                <w:sz w:val="14"/>
                <w:szCs w:val="14"/>
                <w:color w:val="auto"/>
              </w:rPr>
              <w:t>Facsimile: ***</w:t>
            </w:r>
          </w:p>
        </w:tc>
        <w:tc>
          <w:tcPr>
            <w:tcW w:w="1880" w:type="dxa"/>
            <w:vAlign w:val="bottom"/>
            <w:gridSpan w:val="2"/>
          </w:tcPr>
          <w:p>
            <w:pPr>
              <w:spacing w:after="0"/>
              <w:rPr>
                <w:sz w:val="20"/>
                <w:szCs w:val="20"/>
                <w:color w:val="auto"/>
              </w:rPr>
            </w:pPr>
            <w:r>
              <w:rPr>
                <w:rFonts w:ascii="Arial" w:cs="Arial" w:eastAsia="Arial" w:hAnsi="Arial"/>
                <w:sz w:val="14"/>
                <w:szCs w:val="14"/>
                <w:color w:val="auto"/>
              </w:rPr>
              <w:t>Facsimile: ***</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Wilmer Cutler Pickering Hale and Dorr LLP</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399 Park Avenue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If to Servier,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addressed to:</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Les Laboratoires Servier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50 rue Carnot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3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7" w:right="239" w:bottom="1440" w:gutter="0" w:footer="0" w:header="0"/>
        </w:sectPr>
      </w:pPr>
    </w:p>
    <w:bookmarkStart w:id="854" w:name="page855"/>
    <w:bookmarkEnd w:id="85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92284 Suresnes Cedex</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France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Facsimile: </w:t>
      </w:r>
      <w:r>
        <w:rPr>
          <w:rFonts w:ascii="Arial" w:cs="Arial" w:eastAsia="Arial" w:hAnsi="Arial"/>
          <w:sz w:val="14"/>
          <w:szCs w:val="14"/>
          <w:b w:val="1"/>
          <w:bCs w:val="1"/>
          <w:color w:val="auto"/>
        </w:rPr>
        <w:t>***</w:t>
      </w:r>
    </w:p>
    <w:p>
      <w:pPr>
        <w:spacing w:after="0" w:line="126" w:lineRule="exact"/>
        <w:rPr>
          <w:sz w:val="20"/>
          <w:szCs w:val="20"/>
          <w:color w:val="auto"/>
        </w:rPr>
      </w:pPr>
    </w:p>
    <w:p>
      <w:pPr>
        <w:jc w:val="both"/>
        <w:ind w:right="120" w:firstLine="458"/>
        <w:spacing w:after="0" w:line="267" w:lineRule="auto"/>
        <w:rPr>
          <w:sz w:val="20"/>
          <w:szCs w:val="20"/>
          <w:color w:val="auto"/>
        </w:rPr>
      </w:pPr>
      <w:r>
        <w:rPr>
          <w:rFonts w:ascii="Arial" w:cs="Arial" w:eastAsia="Arial" w:hAnsi="Arial"/>
          <w:sz w:val="14"/>
          <w:szCs w:val="14"/>
          <w:color w:val="auto"/>
        </w:rPr>
        <w:t xml:space="preserve">or to such other address for such Party as it shall have specified by like notice to the other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notices of a change of address shall be effective only upon receipt thereof. The effective date of any notice shall be the actual date of receipt by the Party receiving the same.</w:t>
      </w:r>
    </w:p>
    <w:p>
      <w:pPr>
        <w:spacing w:after="0" w:line="101" w:lineRule="exact"/>
        <w:rPr>
          <w:sz w:val="20"/>
          <w:szCs w:val="20"/>
          <w:color w:val="auto"/>
        </w:rPr>
      </w:pPr>
    </w:p>
    <w:p>
      <w:pPr>
        <w:ind w:right="320" w:firstLine="458"/>
        <w:spacing w:after="0" w:line="267" w:lineRule="auto"/>
        <w:rPr>
          <w:sz w:val="20"/>
          <w:szCs w:val="20"/>
          <w:color w:val="auto"/>
        </w:rPr>
      </w:pPr>
      <w:r>
        <w:rPr>
          <w:rFonts w:ascii="Arial" w:cs="Arial" w:eastAsia="Arial" w:hAnsi="Arial"/>
          <w:sz w:val="14"/>
          <w:szCs w:val="14"/>
          <w:color w:val="auto"/>
        </w:rPr>
        <w:t xml:space="preserve">16.7 </w:t>
      </w:r>
      <w:r>
        <w:rPr>
          <w:rFonts w:ascii="Arial" w:cs="Arial" w:eastAsia="Arial" w:hAnsi="Arial"/>
          <w:sz w:val="14"/>
          <w:szCs w:val="14"/>
          <w:u w:val="single" w:color="auto"/>
          <w:color w:val="auto"/>
        </w:rPr>
        <w:t>Export Clause</w:t>
      </w:r>
      <w:r>
        <w:rPr>
          <w:rFonts w:ascii="Arial" w:cs="Arial" w:eastAsia="Arial" w:hAnsi="Arial"/>
          <w:sz w:val="14"/>
          <w:szCs w:val="14"/>
          <w:color w:val="auto"/>
        </w:rPr>
        <w:t>. Each Party agrees that, as of the Effective Date, it will not export or re-export restricted commodities or the technical data of the other Party in any form without the appropriate United States and non-United States government licenses.</w:t>
      </w:r>
    </w:p>
    <w:p>
      <w:pPr>
        <w:spacing w:after="0" w:line="101" w:lineRule="exact"/>
        <w:rPr>
          <w:sz w:val="20"/>
          <w:szCs w:val="20"/>
          <w:color w:val="auto"/>
        </w:rPr>
      </w:pPr>
    </w:p>
    <w:p>
      <w:pPr>
        <w:jc w:val="both"/>
        <w:ind w:right="100" w:firstLine="458"/>
        <w:spacing w:after="0" w:line="258" w:lineRule="auto"/>
        <w:rPr>
          <w:sz w:val="20"/>
          <w:szCs w:val="20"/>
          <w:color w:val="auto"/>
        </w:rPr>
      </w:pPr>
      <w:r>
        <w:rPr>
          <w:rFonts w:ascii="Arial" w:cs="Arial" w:eastAsia="Arial" w:hAnsi="Arial"/>
          <w:sz w:val="14"/>
          <w:szCs w:val="14"/>
          <w:color w:val="auto"/>
        </w:rPr>
        <w:t xml:space="preserve">16.8 </w:t>
      </w:r>
      <w:r>
        <w:rPr>
          <w:rFonts w:ascii="Arial" w:cs="Arial" w:eastAsia="Arial" w:hAnsi="Arial"/>
          <w:sz w:val="14"/>
          <w:szCs w:val="14"/>
          <w:u w:val="single" w:color="auto"/>
          <w:color w:val="auto"/>
        </w:rPr>
        <w:t>Waiver</w:t>
      </w:r>
      <w:r>
        <w:rPr>
          <w:rFonts w:ascii="Arial" w:cs="Arial" w:eastAsia="Arial" w:hAnsi="Arial"/>
          <w:sz w:val="14"/>
          <w:szCs w:val="14"/>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08" w:lineRule="exact"/>
        <w:rPr>
          <w:sz w:val="20"/>
          <w:szCs w:val="20"/>
          <w:color w:val="auto"/>
        </w:rPr>
      </w:pPr>
    </w:p>
    <w:p>
      <w:pPr>
        <w:ind w:right="60" w:firstLine="458"/>
        <w:spacing w:after="0" w:line="321" w:lineRule="auto"/>
        <w:rPr>
          <w:sz w:val="20"/>
          <w:szCs w:val="20"/>
          <w:color w:val="auto"/>
        </w:rPr>
      </w:pPr>
      <w:r>
        <w:rPr>
          <w:rFonts w:ascii="Arial" w:cs="Arial" w:eastAsia="Arial" w:hAnsi="Arial"/>
          <w:sz w:val="12"/>
          <w:szCs w:val="12"/>
          <w:color w:val="auto"/>
        </w:rPr>
        <w:t xml:space="preserve">16.9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73" w:lineRule="exact"/>
        <w:rPr>
          <w:sz w:val="20"/>
          <w:szCs w:val="20"/>
          <w:color w:val="auto"/>
        </w:rPr>
      </w:pPr>
    </w:p>
    <w:p>
      <w:pPr>
        <w:ind w:right="80" w:firstLine="458"/>
        <w:spacing w:after="0" w:line="302" w:lineRule="auto"/>
        <w:rPr>
          <w:sz w:val="20"/>
          <w:szCs w:val="20"/>
          <w:color w:val="auto"/>
        </w:rPr>
      </w:pPr>
      <w:r>
        <w:rPr>
          <w:rFonts w:ascii="Arial" w:cs="Arial" w:eastAsia="Arial" w:hAnsi="Arial"/>
          <w:sz w:val="12"/>
          <w:szCs w:val="12"/>
          <w:color w:val="auto"/>
        </w:rPr>
        <w:t xml:space="preserve">16.10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together with the Schedules and Exhibits hereto, set forth all the covenants, promises, agreements, warranties, representations, conditions and understandings between the Parties as to the subject matter of this Agreement and supersedes and terminates all prior agreements and understanding between the Parties with respect to the subject matter hereof.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as to the subject matter of this Agreement other than as set forth herein and therein. No subsequent alteration, amendment, change or addition to this Agreement shall be binding upon the Parties hereto unless reduced to writing and signed by the respective authorized officers of the Parties.</w:t>
      </w:r>
    </w:p>
    <w:p>
      <w:pPr>
        <w:spacing w:after="0" w:line="86"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4"/>
          <w:szCs w:val="14"/>
          <w:color w:val="auto"/>
        </w:rPr>
        <w:t xml:space="preserve">16.11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3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55" w:name="page856"/>
    <w:bookmarkEnd w:id="855"/>
    <w:p>
      <w:pPr>
        <w:ind w:firstLine="458"/>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16.12 </w:t>
      </w:r>
      <w:r>
        <w:rPr>
          <w:rFonts w:ascii="Arial" w:cs="Arial" w:eastAsia="Arial" w:hAnsi="Arial"/>
          <w:sz w:val="12"/>
          <w:szCs w:val="12"/>
          <w:u w:val="single" w:color="auto"/>
          <w:color w:val="auto"/>
        </w:rPr>
        <w:t>Headings; Construction; Interpretation</w:t>
      </w:r>
      <w:r>
        <w:rPr>
          <w:rFonts w:ascii="Arial" w:cs="Arial" w:eastAsia="Arial" w:hAnsi="Arial"/>
          <w:sz w:val="12"/>
          <w:szCs w:val="12"/>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as from time to time enacted, repealed or amended, (c) the words “herein,” “hereof” and “hereunder,” and words of similar import, refer to this Agreement in its entirety and not to any particular provision hereof, (d) the words “include,” “includes,” “including,” “exclude,” “excludes,” and “excluding,” shall be deemed to be followed by the phrase “but not limited to,” “without limitation” or words of similar import.</w:t>
      </w:r>
    </w:p>
    <w:p>
      <w:pPr>
        <w:spacing w:after="0" w:line="256" w:lineRule="exact"/>
        <w:rPr>
          <w:sz w:val="20"/>
          <w:szCs w:val="20"/>
          <w:color w:val="auto"/>
        </w:rPr>
      </w:pPr>
    </w:p>
    <w:p>
      <w:pPr>
        <w:ind w:right="320" w:firstLine="458"/>
        <w:spacing w:after="0" w:line="267" w:lineRule="auto"/>
        <w:rPr>
          <w:sz w:val="20"/>
          <w:szCs w:val="20"/>
          <w:color w:val="auto"/>
        </w:rPr>
      </w:pPr>
      <w:r>
        <w:rPr>
          <w:rFonts w:ascii="Arial" w:cs="Arial" w:eastAsia="Arial" w:hAnsi="Arial"/>
          <w:sz w:val="14"/>
          <w:szCs w:val="14"/>
          <w:color w:val="auto"/>
        </w:rPr>
        <w:t xml:space="preserve">16.13 </w:t>
      </w:r>
      <w:r>
        <w:rPr>
          <w:rFonts w:ascii="Arial" w:cs="Arial" w:eastAsia="Arial" w:hAnsi="Arial"/>
          <w:sz w:val="14"/>
          <w:szCs w:val="14"/>
          <w:u w:val="single" w:color="auto"/>
          <w:color w:val="auto"/>
        </w:rPr>
        <w:t>Further Actions</w:t>
      </w:r>
      <w:r>
        <w:rPr>
          <w:rFonts w:ascii="Arial" w:cs="Arial" w:eastAsia="Arial" w:hAnsi="Arial"/>
          <w:sz w:val="14"/>
          <w:szCs w:val="14"/>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101"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16.14 </w:t>
      </w:r>
      <w:r>
        <w:rPr>
          <w:rFonts w:ascii="Arial" w:cs="Arial" w:eastAsia="Arial" w:hAnsi="Arial"/>
          <w:sz w:val="14"/>
          <w:szCs w:val="14"/>
          <w:u w:val="single" w:color="auto"/>
          <w:color w:val="auto"/>
        </w:rPr>
        <w:t>Parties in Interest</w:t>
      </w:r>
      <w:r>
        <w:rPr>
          <w:rFonts w:ascii="Arial" w:cs="Arial" w:eastAsia="Arial" w:hAnsi="Arial"/>
          <w:sz w:val="14"/>
          <w:szCs w:val="14"/>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16.15 </w:t>
      </w:r>
      <w:r>
        <w:rPr>
          <w:rFonts w:ascii="Arial" w:cs="Arial" w:eastAsia="Arial" w:hAnsi="Arial"/>
          <w:sz w:val="12"/>
          <w:szCs w:val="12"/>
          <w:u w:val="single" w:color="auto"/>
          <w:color w:val="auto"/>
        </w:rPr>
        <w:t>Performance by Affiliates</w:t>
      </w:r>
      <w:r>
        <w:rPr>
          <w:rFonts w:ascii="Arial" w:cs="Arial" w:eastAsia="Arial" w:hAnsi="Arial"/>
          <w:sz w:val="12"/>
          <w:szCs w:val="12"/>
          <w:color w:val="auto"/>
        </w:rPr>
        <w:t>. To the extent that this Agreement imposes obligations on Affiliates of a Party, such Party agrees to cause its Affiliates to perform such obligations.</w:t>
      </w:r>
    </w:p>
    <w:p>
      <w:pPr>
        <w:spacing w:after="0" w:line="155" w:lineRule="exact"/>
        <w:rPr>
          <w:sz w:val="20"/>
          <w:szCs w:val="20"/>
          <w:color w:val="auto"/>
        </w:rPr>
      </w:pPr>
    </w:p>
    <w:p>
      <w:pPr>
        <w:ind w:right="140" w:firstLine="458"/>
        <w:spacing w:after="0" w:line="258" w:lineRule="auto"/>
        <w:rPr>
          <w:sz w:val="20"/>
          <w:szCs w:val="20"/>
          <w:color w:val="auto"/>
        </w:rPr>
      </w:pPr>
      <w:r>
        <w:rPr>
          <w:rFonts w:ascii="Arial" w:cs="Arial" w:eastAsia="Arial" w:hAnsi="Arial"/>
          <w:sz w:val="14"/>
          <w:szCs w:val="14"/>
          <w:color w:val="auto"/>
        </w:rPr>
        <w:t xml:space="preserve">16.16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portable document format (PDF) shall be treated as original signatures.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Signature page to follow</w:t>
      </w:r>
      <w:r>
        <w:rPr>
          <w:rFonts w:ascii="Arial" w:cs="Arial" w:eastAsia="Arial" w:hAnsi="Arial"/>
          <w:sz w:val="14"/>
          <w:szCs w:val="14"/>
          <w:b w:val="1"/>
          <w:bCs w:val="1"/>
          <w:i w:val="1"/>
          <w:iCs w:val="1"/>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132" w:lineRule="exact"/>
        <w:rPr>
          <w:sz w:val="20"/>
          <w:szCs w:val="20"/>
          <w:color w:val="auto"/>
        </w:rPr>
      </w:pPr>
    </w:p>
    <w:p>
      <w:pPr>
        <w:ind w:left="3840" w:right="2680" w:hanging="1139"/>
        <w:spacing w:after="0" w:line="351" w:lineRule="auto"/>
        <w:tabs>
          <w:tab w:leader="none" w:pos="2940" w:val="left"/>
        </w:tabs>
        <w:numPr>
          <w:ilvl w:val="0"/>
          <w:numId w:val="103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40"/>
          </w:cols>
          <w:pgMar w:left="220" w:top="248" w:right="239" w:bottom="1440" w:gutter="0" w:footer="0" w:header="0"/>
        </w:sectPr>
      </w:pPr>
    </w:p>
    <w:bookmarkStart w:id="856" w:name="page857"/>
    <w:bookmarkEnd w:id="85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 and intending to be legally bound hereby, the Parties have caused this Agreement to be executed by their duly authorized representatives as of the Effective Date.</w:t>
      </w:r>
    </w:p>
    <w:p>
      <w:pPr>
        <w:sectPr>
          <w:pgSz w:w="11900" w:h="16838" w:orient="portrait"/>
          <w:cols w:equalWidth="0" w:num="1">
            <w:col w:w="10280"/>
          </w:cols>
          <w:pgMar w:left="680" w:top="247" w:right="93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MACROGENICS, INC.</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Scott Koenig</w:t>
            </w:r>
          </w:p>
        </w:tc>
      </w:tr>
      <w:tr>
        <w:trPr>
          <w:trHeight w:val="160"/>
        </w:trPr>
        <w:tc>
          <w:tcPr>
            <w:tcW w:w="640" w:type="dxa"/>
            <w:vAlign w:val="bottom"/>
          </w:tcPr>
          <w:p>
            <w:pPr>
              <w:spacing w:after="0"/>
              <w:rPr>
                <w:sz w:val="20"/>
                <w:szCs w:val="20"/>
                <w:color w:val="auto"/>
              </w:rPr>
            </w:pPr>
            <w:r>
              <w:rPr>
                <w:rFonts w:ascii="Arial" w:cs="Arial" w:eastAsia="Arial" w:hAnsi="Arial"/>
                <w:sz w:val="14"/>
                <w:szCs w:val="14"/>
                <w:color w:val="auto"/>
              </w:rPr>
              <w:t>Name:</w:t>
            </w:r>
          </w:p>
        </w:tc>
        <w:tc>
          <w:tcPr>
            <w:tcW w:w="3460" w:type="dxa"/>
            <w:vAlign w:val="bottom"/>
          </w:tcPr>
          <w:p>
            <w:pPr>
              <w:spacing w:after="0"/>
              <w:rPr>
                <w:sz w:val="20"/>
                <w:szCs w:val="20"/>
                <w:color w:val="auto"/>
              </w:rPr>
            </w:pPr>
            <w:r>
              <w:rPr>
                <w:rFonts w:ascii="Arial" w:cs="Arial" w:eastAsia="Arial" w:hAnsi="Arial"/>
                <w:sz w:val="14"/>
                <w:szCs w:val="14"/>
                <w:color w:val="auto"/>
              </w:rPr>
              <w:t>Scott Koenig</w:t>
            </w:r>
          </w:p>
        </w:tc>
      </w:tr>
      <w:tr>
        <w:trPr>
          <w:trHeight w:val="173"/>
        </w:trPr>
        <w:tc>
          <w:tcPr>
            <w:tcW w:w="640" w:type="dxa"/>
            <w:vAlign w:val="bottom"/>
          </w:tcPr>
          <w:p>
            <w:pPr>
              <w:spacing w:after="0"/>
              <w:rPr>
                <w:sz w:val="20"/>
                <w:szCs w:val="20"/>
                <w:color w:val="auto"/>
              </w:rPr>
            </w:pPr>
            <w:r>
              <w:rPr>
                <w:rFonts w:ascii="Arial" w:cs="Arial" w:eastAsia="Arial" w:hAnsi="Arial"/>
                <w:sz w:val="14"/>
                <w:szCs w:val="14"/>
                <w:color w:val="auto"/>
              </w:rPr>
              <w:t>Title:</w:t>
            </w:r>
          </w:p>
        </w:tc>
        <w:tc>
          <w:tcPr>
            <w:tcW w:w="3460" w:type="dxa"/>
            <w:vAlign w:val="bottom"/>
          </w:tcPr>
          <w:p>
            <w:pPr>
              <w:spacing w:after="0"/>
              <w:rPr>
                <w:sz w:val="20"/>
                <w:szCs w:val="20"/>
                <w:color w:val="auto"/>
              </w:rPr>
            </w:pPr>
            <w:r>
              <w:rPr>
                <w:rFonts w:ascii="Arial" w:cs="Arial" w:eastAsia="Arial" w:hAnsi="Arial"/>
                <w:sz w:val="14"/>
                <w:szCs w:val="14"/>
                <w:color w:val="auto"/>
              </w:rPr>
              <w:t>CEO</w:t>
            </w:r>
          </w:p>
        </w:tc>
      </w:tr>
    </w:tbl>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LES LABORATOIRES SERVIER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wp:posOffset>
            </wp:positionV>
            <wp:extent cx="2202815" cy="63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202815" cy="6350"/>
                    </a:xfrm>
                    <a:prstGeom prst="rect">
                      <a:avLst/>
                    </a:prstGeom>
                    <a:noFill/>
                  </pic:spPr>
                </pic:pic>
              </a:graphicData>
            </a:graphic>
          </wp:anchor>
        </w:drawing>
      </w:r>
    </w:p>
    <w:p>
      <w:pPr>
        <w:ind w:left="20"/>
        <w:spacing w:after="0"/>
        <w:tabs>
          <w:tab w:leader="none" w:pos="6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w:t>
      </w:r>
    </w:p>
    <w:p>
      <w:pPr>
        <w:spacing w:after="0" w:line="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wp:posOffset>
            </wp:positionV>
            <wp:extent cx="2202815" cy="63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202815" cy="6350"/>
                    </a:xfrm>
                    <a:prstGeom prst="rect">
                      <a:avLst/>
                    </a:prstGeom>
                    <a:noFill/>
                  </pic:spPr>
                </pic:pic>
              </a:graphicData>
            </a:graphic>
          </wp:anchor>
        </w:drawing>
      </w:r>
    </w:p>
    <w:p>
      <w:pPr>
        <w:ind w:left="20"/>
        <w:spacing w:after="0"/>
        <w:tabs>
          <w:tab w:leader="none" w:pos="6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w:t>
      </w:r>
    </w:p>
    <w:p>
      <w:pPr>
        <w:spacing w:after="0" w:line="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INSTITUT DE RECHERCHES SERVIER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wp:posOffset>
            </wp:positionV>
            <wp:extent cx="2202815" cy="635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202815" cy="6350"/>
                    </a:xfrm>
                    <a:prstGeom prst="rect">
                      <a:avLst/>
                    </a:prstGeom>
                    <a:noFill/>
                  </pic:spPr>
                </pic:pic>
              </a:graphicData>
            </a:graphic>
          </wp:anchor>
        </w:drawing>
      </w:r>
    </w:p>
    <w:p>
      <w:pPr>
        <w:ind w:left="20"/>
        <w:spacing w:after="0"/>
        <w:tabs>
          <w:tab w:leader="none" w:pos="6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w:t>
      </w:r>
    </w:p>
    <w:p>
      <w:pPr>
        <w:spacing w:after="0" w:line="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68</w:t>
      </w:r>
    </w:p>
    <w:p>
      <w:pPr>
        <w:spacing w:after="0" w:line="132" w:lineRule="exact"/>
        <w:rPr>
          <w:sz w:val="20"/>
          <w:szCs w:val="20"/>
          <w:color w:val="auto"/>
        </w:rPr>
      </w:pPr>
    </w:p>
    <w:p>
      <w:pPr>
        <w:ind w:left="3380" w:right="1980" w:hanging="1139"/>
        <w:spacing w:after="0" w:line="351" w:lineRule="auto"/>
        <w:tabs>
          <w:tab w:leader="none" w:pos="2480" w:val="left"/>
        </w:tabs>
        <w:numPr>
          <w:ilvl w:val="0"/>
          <w:numId w:val="103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80"/>
          </w:cols>
          <w:pgMar w:left="680" w:top="247" w:right="939" w:bottom="1440" w:gutter="0" w:footer="0" w:header="0"/>
          <w:type w:val="continuous"/>
        </w:sectPr>
      </w:pPr>
    </w:p>
    <w:bookmarkStart w:id="857" w:name="page858"/>
    <w:bookmarkEnd w:id="857"/>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A-1</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Back-Up Program Antibodies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69</w:t>
      </w:r>
    </w:p>
    <w:p>
      <w:pPr>
        <w:spacing w:after="0" w:line="132" w:lineRule="exact"/>
        <w:rPr>
          <w:sz w:val="20"/>
          <w:szCs w:val="20"/>
          <w:color w:val="auto"/>
        </w:rPr>
      </w:pPr>
    </w:p>
    <w:p>
      <w:pPr>
        <w:ind w:left="3840" w:right="1479" w:hanging="1139"/>
        <w:spacing w:after="0" w:line="351" w:lineRule="auto"/>
        <w:tabs>
          <w:tab w:leader="none" w:pos="2940" w:val="left"/>
        </w:tabs>
        <w:numPr>
          <w:ilvl w:val="0"/>
          <w:numId w:val="103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858" w:name="page859"/>
    <w:bookmarkEnd w:id="858"/>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A-2</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MGA271</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1</w:t>
      </w:r>
    </w:p>
    <w:p>
      <w:pPr>
        <w:spacing w:after="0" w:line="132" w:lineRule="exact"/>
        <w:rPr>
          <w:sz w:val="20"/>
          <w:szCs w:val="20"/>
          <w:color w:val="auto"/>
        </w:rPr>
      </w:pPr>
    </w:p>
    <w:p>
      <w:pPr>
        <w:ind w:left="3840" w:right="1479" w:hanging="1139"/>
        <w:spacing w:after="0" w:line="351" w:lineRule="auto"/>
        <w:tabs>
          <w:tab w:leader="none" w:pos="2940" w:val="left"/>
        </w:tabs>
        <w:numPr>
          <w:ilvl w:val="0"/>
          <w:numId w:val="103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859" w:name="page860"/>
    <w:bookmarkEnd w:id="859"/>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B</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MacroGenics Patents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9"/>
              </w:rPr>
              <w:t>Country</w:t>
            </w:r>
          </w:p>
        </w:tc>
        <w:tc>
          <w:tcPr>
            <w:tcW w:w="3020" w:type="dxa"/>
            <w:vAlign w:val="bottom"/>
          </w:tcPr>
          <w:p>
            <w:pPr>
              <w:spacing w:after="0"/>
              <w:rPr>
                <w:sz w:val="12"/>
                <w:szCs w:val="12"/>
                <w:color w:val="auto"/>
              </w:rPr>
            </w:pPr>
          </w:p>
        </w:tc>
        <w:tc>
          <w:tcPr>
            <w:tcW w:w="200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Appl Serial No.</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Borders>
              <w:bottom w:val="single" w:sz="8" w:color="auto"/>
            </w:tcBorders>
          </w:tcPr>
          <w:p>
            <w:pPr>
              <w:jc w:val="right"/>
              <w:ind w:right="908"/>
              <w:spacing w:after="0"/>
              <w:rPr>
                <w:sz w:val="20"/>
                <w:szCs w:val="20"/>
                <w:color w:val="auto"/>
              </w:rPr>
            </w:pPr>
            <w:r>
              <w:rPr>
                <w:rFonts w:ascii="Arial" w:cs="Arial" w:eastAsia="Arial" w:hAnsi="Arial"/>
                <w:sz w:val="10"/>
                <w:szCs w:val="10"/>
                <w:b w:val="1"/>
                <w:bCs w:val="1"/>
                <w:color w:val="auto"/>
              </w:rPr>
              <w:t>Publication No.</w:t>
            </w:r>
          </w:p>
        </w:tc>
        <w:tc>
          <w:tcPr>
            <w:tcW w:w="100" w:type="dxa"/>
            <w:vAlign w:val="bottom"/>
          </w:tcPr>
          <w:p>
            <w:pPr>
              <w:spacing w:after="0"/>
              <w:rPr>
                <w:sz w:val="12"/>
                <w:szCs w:val="12"/>
                <w:color w:val="auto"/>
              </w:rPr>
            </w:pPr>
          </w:p>
        </w:tc>
        <w:tc>
          <w:tcPr>
            <w:tcW w:w="2500" w:type="dxa"/>
            <w:vAlign w:val="bottom"/>
            <w:tcBorders>
              <w:bottom w:val="single" w:sz="8" w:color="auto"/>
            </w:tcBorders>
          </w:tcPr>
          <w:p>
            <w:pPr>
              <w:jc w:val="right"/>
              <w:ind w:right="948"/>
              <w:spacing w:after="0"/>
              <w:rPr>
                <w:sz w:val="20"/>
                <w:szCs w:val="20"/>
                <w:color w:val="auto"/>
              </w:rPr>
            </w:pPr>
            <w:r>
              <w:rPr>
                <w:rFonts w:ascii="Arial" w:cs="Arial" w:eastAsia="Arial" w:hAnsi="Arial"/>
                <w:sz w:val="10"/>
                <w:szCs w:val="10"/>
                <w:b w:val="1"/>
                <w:bCs w:val="1"/>
                <w:color w:val="auto"/>
              </w:rPr>
              <w:t>Patent No.</w:t>
            </w:r>
          </w:p>
        </w:tc>
      </w:tr>
      <w:tr>
        <w:trPr>
          <w:trHeight w:val="130"/>
        </w:trPr>
        <w:tc>
          <w:tcPr>
            <w:tcW w:w="40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30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3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173"/>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020" w:type="dxa"/>
            <w:vAlign w:val="bottom"/>
            <w:gridSpan w:val="2"/>
          </w:tcPr>
          <w:p>
            <w:pPr>
              <w:jc w:val="right"/>
              <w:ind w:right="1748"/>
              <w:spacing w:after="0"/>
              <w:rPr>
                <w:sz w:val="20"/>
                <w:szCs w:val="20"/>
                <w:color w:val="auto"/>
              </w:rPr>
            </w:pPr>
            <w:r>
              <w:rPr>
                <w:rFonts w:ascii="Arial" w:cs="Arial" w:eastAsia="Arial" w:hAnsi="Arial"/>
                <w:sz w:val="14"/>
                <w:szCs w:val="14"/>
                <w:color w:val="auto"/>
              </w:rPr>
              <w:t>***</w:t>
            </w:r>
          </w:p>
        </w:tc>
        <w:tc>
          <w:tcPr>
            <w:tcW w:w="3440" w:type="dxa"/>
            <w:vAlign w:val="bottom"/>
            <w:gridSpan w:val="3"/>
          </w:tcPr>
          <w:p>
            <w:pPr>
              <w:jc w:val="right"/>
              <w:ind w:right="2348"/>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2228"/>
              <w:spacing w:after="0"/>
              <w:rPr>
                <w:sz w:val="20"/>
                <w:szCs w:val="20"/>
                <w:color w:val="auto"/>
              </w:rPr>
            </w:pPr>
            <w:r>
              <w:rPr>
                <w:rFonts w:ascii="Arial" w:cs="Arial" w:eastAsia="Arial" w:hAnsi="Arial"/>
                <w:sz w:val="14"/>
                <w:szCs w:val="14"/>
                <w:color w:val="auto"/>
              </w:rPr>
              <w:t>***</w:t>
            </w:r>
          </w:p>
        </w:tc>
      </w:tr>
      <w:tr>
        <w:trPr>
          <w:trHeight w:val="282"/>
        </w:trPr>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0" w:type="dxa"/>
            <w:vAlign w:val="bottom"/>
          </w:tcPr>
          <w:p>
            <w:pPr>
              <w:jc w:val="right"/>
              <w:ind w:right="31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860" w:name="page861"/>
    <w:bookmarkEnd w:id="860"/>
    <w:tbl>
      <w:tblPr>
        <w:tblLayout w:type="fixed"/>
        <w:tblInd w:w="0" w:type="dxa"/>
        <w:tblCellMar>
          <w:top w:w="0" w:type="dxa"/>
          <w:left w:w="0" w:type="dxa"/>
          <w:bottom w:w="0" w:type="dxa"/>
          <w:right w:w="0" w:type="dxa"/>
        </w:tblCellMar>
      </w:tblP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73"/>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282"/>
        </w:trPr>
        <w:tc>
          <w:tcPr>
            <w:tcW w:w="1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60" w:type="dxa"/>
            <w:vAlign w:val="bottom"/>
          </w:tcPr>
          <w:p>
            <w:pPr>
              <w:jc w:val="right"/>
              <w:ind w:right="1892"/>
              <w:spacing w:after="0"/>
              <w:rPr>
                <w:sz w:val="20"/>
                <w:szCs w:val="20"/>
                <w:color w:val="auto"/>
              </w:rPr>
            </w:pPr>
            <w:r>
              <w:rPr>
                <w:rFonts w:ascii="Arial" w:cs="Arial" w:eastAsia="Arial" w:hAnsi="Arial"/>
                <w:sz w:val="14"/>
                <w:szCs w:val="14"/>
                <w:color w:val="auto"/>
              </w:rPr>
              <w:t>2</w:t>
            </w:r>
          </w:p>
        </w:tc>
        <w:tc>
          <w:tcPr>
            <w:tcW w:w="3740" w:type="dxa"/>
            <w:vAlign w:val="bottom"/>
          </w:tcPr>
          <w:p>
            <w:pPr>
              <w:spacing w:after="0"/>
              <w:rPr>
                <w:sz w:val="24"/>
                <w:szCs w:val="24"/>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61" w:name="page862"/>
    <w:bookmarkEnd w:id="861"/>
    <w:tbl>
      <w:tblPr>
        <w:tblLayout w:type="fixed"/>
        <w:tblInd w:w="0" w:type="dxa"/>
        <w:tblCellMar>
          <w:top w:w="0" w:type="dxa"/>
          <w:left w:w="0" w:type="dxa"/>
          <w:bottom w:w="0" w:type="dxa"/>
          <w:right w:w="0" w:type="dxa"/>
        </w:tblCellMar>
      </w:tblP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67"/>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173"/>
        </w:trPr>
        <w:tc>
          <w:tcPr>
            <w:tcW w:w="1820" w:type="dxa"/>
            <w:vAlign w:val="bottom"/>
          </w:tcPr>
          <w:p>
            <w:pPr>
              <w:jc w:val="right"/>
              <w:ind w:right="1552"/>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972"/>
              <w:spacing w:after="0"/>
              <w:rPr>
                <w:sz w:val="20"/>
                <w:szCs w:val="20"/>
                <w:color w:val="auto"/>
              </w:rPr>
            </w:pPr>
            <w:r>
              <w:rPr>
                <w:rFonts w:ascii="Arial" w:cs="Arial" w:eastAsia="Arial" w:hAnsi="Arial"/>
                <w:sz w:val="14"/>
                <w:szCs w:val="14"/>
                <w:color w:val="auto"/>
              </w:rPr>
              <w:t>***</w:t>
            </w:r>
          </w:p>
        </w:tc>
        <w:tc>
          <w:tcPr>
            <w:tcW w:w="3060" w:type="dxa"/>
            <w:vAlign w:val="bottom"/>
          </w:tcPr>
          <w:p>
            <w:pPr>
              <w:jc w:val="right"/>
              <w:ind w:right="1192"/>
              <w:spacing w:after="0"/>
              <w:rPr>
                <w:sz w:val="20"/>
                <w:szCs w:val="20"/>
                <w:color w:val="auto"/>
              </w:rPr>
            </w:pPr>
            <w:r>
              <w:rPr>
                <w:rFonts w:ascii="Arial" w:cs="Arial" w:eastAsia="Arial" w:hAnsi="Arial"/>
                <w:sz w:val="14"/>
                <w:szCs w:val="14"/>
                <w:color w:val="auto"/>
              </w:rPr>
              <w:t>***</w:t>
            </w:r>
          </w:p>
        </w:tc>
        <w:tc>
          <w:tcPr>
            <w:tcW w:w="3740" w:type="dxa"/>
            <w:vAlign w:val="bottom"/>
          </w:tcPr>
          <w:p>
            <w:pPr>
              <w:jc w:val="right"/>
              <w:ind w:right="2212"/>
              <w:spacing w:after="0"/>
              <w:rPr>
                <w:sz w:val="20"/>
                <w:szCs w:val="20"/>
                <w:color w:val="auto"/>
              </w:rPr>
            </w:pPr>
            <w:r>
              <w:rPr>
                <w:rFonts w:ascii="Arial" w:cs="Arial" w:eastAsia="Arial" w:hAnsi="Arial"/>
                <w:sz w:val="14"/>
                <w:szCs w:val="14"/>
                <w:color w:val="auto"/>
              </w:rPr>
              <w:t>***</w:t>
            </w:r>
          </w:p>
        </w:tc>
      </w:tr>
      <w:tr>
        <w:trPr>
          <w:trHeight w:val="282"/>
        </w:trPr>
        <w:tc>
          <w:tcPr>
            <w:tcW w:w="1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60" w:type="dxa"/>
            <w:vAlign w:val="bottom"/>
          </w:tcPr>
          <w:p>
            <w:pPr>
              <w:jc w:val="right"/>
              <w:ind w:right="1892"/>
              <w:spacing w:after="0"/>
              <w:rPr>
                <w:sz w:val="20"/>
                <w:szCs w:val="20"/>
                <w:color w:val="auto"/>
              </w:rPr>
            </w:pPr>
            <w:r>
              <w:rPr>
                <w:rFonts w:ascii="Arial" w:cs="Arial" w:eastAsia="Arial" w:hAnsi="Arial"/>
                <w:sz w:val="14"/>
                <w:szCs w:val="14"/>
                <w:color w:val="auto"/>
              </w:rPr>
              <w:t>3</w:t>
            </w:r>
          </w:p>
        </w:tc>
        <w:tc>
          <w:tcPr>
            <w:tcW w:w="3740" w:type="dxa"/>
            <w:vAlign w:val="bottom"/>
          </w:tcPr>
          <w:p>
            <w:pPr>
              <w:spacing w:after="0"/>
              <w:rPr>
                <w:sz w:val="24"/>
                <w:szCs w:val="24"/>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 Portions of this exhibit have been omitted pursuant to a request for confidential treatment. An unredacted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62" w:name="page863"/>
    <w:bookmarkEnd w:id="862"/>
    <w:p>
      <w:pPr>
        <w:jc w:val="center"/>
        <w:ind w:right="-121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C</w:t>
      </w:r>
    </w:p>
    <w:p>
      <w:pPr>
        <w:spacing w:after="0" w:line="132" w:lineRule="exact"/>
        <w:rPr>
          <w:sz w:val="20"/>
          <w:szCs w:val="20"/>
          <w:color w:val="auto"/>
        </w:rPr>
      </w:pPr>
    </w:p>
    <w:p>
      <w:pPr>
        <w:jc w:val="center"/>
        <w:ind w:right="-1216"/>
        <w:spacing w:after="0"/>
        <w:rPr>
          <w:sz w:val="20"/>
          <w:szCs w:val="20"/>
          <w:color w:val="auto"/>
        </w:rPr>
      </w:pPr>
      <w:r>
        <w:rPr>
          <w:rFonts w:ascii="Arial" w:cs="Arial" w:eastAsia="Arial" w:hAnsi="Arial"/>
          <w:sz w:val="14"/>
          <w:szCs w:val="14"/>
          <w:b w:val="1"/>
          <w:bCs w:val="1"/>
          <w:color w:val="auto"/>
        </w:rPr>
        <w:t>MacroGenics Third Party Agreements</w:t>
      </w:r>
    </w:p>
    <w:p>
      <w:pPr>
        <w:spacing w:after="0" w:line="165" w:lineRule="exact"/>
        <w:rPr>
          <w:sz w:val="20"/>
          <w:szCs w:val="20"/>
          <w:color w:val="auto"/>
        </w:rPr>
      </w:pPr>
    </w:p>
    <w:p>
      <w:pPr>
        <w:ind w:left="456" w:hanging="456"/>
        <w:spacing w:after="0"/>
        <w:tabs>
          <w:tab w:leader="none" w:pos="456" w:val="left"/>
        </w:tabs>
        <w:numPr>
          <w:ilvl w:val="0"/>
          <w:numId w:val="1038"/>
        </w:numPr>
        <w:rPr>
          <w:rFonts w:ascii="Arial" w:cs="Arial" w:eastAsia="Arial" w:hAnsi="Arial"/>
          <w:sz w:val="14"/>
          <w:szCs w:val="14"/>
          <w:color w:val="auto"/>
        </w:rPr>
      </w:pPr>
      <w:r>
        <w:rPr>
          <w:rFonts w:ascii="Arial" w:cs="Arial" w:eastAsia="Arial" w:hAnsi="Arial"/>
          <w:sz w:val="14"/>
          <w:szCs w:val="14"/>
          <w:color w:val="auto"/>
        </w:rPr>
        <w:t>***</w:t>
      </w:r>
    </w:p>
    <w:p>
      <w:pPr>
        <w:spacing w:after="0" w:line="121" w:lineRule="exact"/>
        <w:rPr>
          <w:sz w:val="20"/>
          <w:szCs w:val="20"/>
          <w:color w:val="auto"/>
        </w:rPr>
      </w:pPr>
    </w:p>
    <w:p>
      <w:pPr>
        <w:ind w:left="5696"/>
        <w:spacing w:after="0"/>
        <w:rPr>
          <w:sz w:val="20"/>
          <w:szCs w:val="20"/>
          <w:color w:val="auto"/>
        </w:rPr>
      </w:pPr>
      <w:r>
        <w:rPr>
          <w:rFonts w:ascii="Arial" w:cs="Arial" w:eastAsia="Arial" w:hAnsi="Arial"/>
          <w:sz w:val="14"/>
          <w:szCs w:val="14"/>
          <w:color w:val="auto"/>
        </w:rPr>
        <w:t>1</w:t>
      </w:r>
    </w:p>
    <w:p>
      <w:pPr>
        <w:spacing w:after="0" w:line="132" w:lineRule="exact"/>
        <w:rPr>
          <w:sz w:val="20"/>
          <w:szCs w:val="20"/>
          <w:color w:val="auto"/>
        </w:rPr>
      </w:pPr>
    </w:p>
    <w:p>
      <w:pPr>
        <w:ind w:left="3836" w:right="1479" w:hanging="1139"/>
        <w:spacing w:after="0" w:line="351" w:lineRule="auto"/>
        <w:tabs>
          <w:tab w:leader="none" w:pos="2936" w:val="left"/>
        </w:tabs>
        <w:numPr>
          <w:ilvl w:val="0"/>
          <w:numId w:val="103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6"/>
          </w:cols>
          <w:pgMar w:left="224" w:top="245" w:right="1440" w:bottom="1440" w:gutter="0" w:footer="0" w:header="0"/>
        </w:sectPr>
      </w:pPr>
    </w:p>
    <w:bookmarkStart w:id="863" w:name="page864"/>
    <w:bookmarkEnd w:id="863"/>
    <w:p>
      <w:pPr>
        <w:ind w:left="5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Exhibit D</w:t>
      </w:r>
    </w:p>
    <w:p>
      <w:pPr>
        <w:spacing w:after="0" w:line="132"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Press Release</w:t>
      </w:r>
    </w:p>
    <w:p>
      <w:pPr>
        <w:spacing w:after="0" w:line="132"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MacroGenics and Servier Enter Development and Commercialization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Agreement for Novel Anti-Cancer Drug</w:t>
      </w:r>
    </w:p>
    <w:p>
      <w:pPr>
        <w:spacing w:after="0" w:line="157" w:lineRule="exact"/>
        <w:rPr>
          <w:sz w:val="20"/>
          <w:szCs w:val="20"/>
          <w:color w:val="auto"/>
        </w:rPr>
      </w:pPr>
    </w:p>
    <w:p>
      <w:pPr>
        <w:ind w:left="900" w:hanging="332"/>
        <w:spacing w:after="0"/>
        <w:tabs>
          <w:tab w:leader="none" w:pos="900" w:val="left"/>
        </w:tabs>
        <w:numPr>
          <w:ilvl w:val="0"/>
          <w:numId w:val="1040"/>
        </w:numPr>
        <w:rPr>
          <w:rFonts w:ascii="Arial" w:cs="Arial" w:eastAsia="Arial" w:hAnsi="Arial"/>
          <w:sz w:val="12"/>
          <w:szCs w:val="12"/>
          <w:color w:val="auto"/>
        </w:rPr>
      </w:pPr>
      <w:r>
        <w:rPr>
          <w:rFonts w:ascii="Arial" w:cs="Arial" w:eastAsia="Arial" w:hAnsi="Arial"/>
          <w:sz w:val="12"/>
          <w:szCs w:val="12"/>
          <w:color w:val="auto"/>
        </w:rPr>
        <w:t>MGA271 is a therapeutic monoclonal antibody that recognizes B7-H3, a member of the B7 family of immune regulators, that is over-expressed on a wide variety of solid tumors</w:t>
      </w:r>
    </w:p>
    <w:p>
      <w:pPr>
        <w:spacing w:after="0" w:line="91" w:lineRule="exact"/>
        <w:rPr>
          <w:rFonts w:ascii="Arial" w:cs="Arial" w:eastAsia="Arial" w:hAnsi="Arial"/>
          <w:sz w:val="12"/>
          <w:szCs w:val="12"/>
          <w:color w:val="auto"/>
        </w:rPr>
      </w:pPr>
    </w:p>
    <w:p>
      <w:pPr>
        <w:ind w:left="900" w:hanging="332"/>
        <w:spacing w:after="0"/>
        <w:tabs>
          <w:tab w:leader="none" w:pos="900" w:val="left"/>
        </w:tabs>
        <w:numPr>
          <w:ilvl w:val="0"/>
          <w:numId w:val="1040"/>
        </w:numPr>
        <w:rPr>
          <w:rFonts w:ascii="Arial" w:cs="Arial" w:eastAsia="Arial" w:hAnsi="Arial"/>
          <w:sz w:val="14"/>
          <w:szCs w:val="14"/>
          <w:color w:val="auto"/>
        </w:rPr>
      </w:pPr>
      <w:r>
        <w:rPr>
          <w:rFonts w:ascii="Arial" w:cs="Arial" w:eastAsia="Arial" w:hAnsi="Arial"/>
          <w:sz w:val="14"/>
          <w:szCs w:val="14"/>
          <w:color w:val="auto"/>
        </w:rPr>
        <w:t>MacroGenics retains full program rights in North America, Japan, Korea and India</w:t>
      </w:r>
    </w:p>
    <w:p>
      <w:pPr>
        <w:spacing w:after="0" w:line="68" w:lineRule="exact"/>
        <w:rPr>
          <w:rFonts w:ascii="Arial" w:cs="Arial" w:eastAsia="Arial" w:hAnsi="Arial"/>
          <w:sz w:val="14"/>
          <w:szCs w:val="14"/>
          <w:color w:val="auto"/>
        </w:rPr>
      </w:pPr>
    </w:p>
    <w:p>
      <w:pPr>
        <w:ind w:left="900" w:hanging="332"/>
        <w:spacing w:after="0"/>
        <w:tabs>
          <w:tab w:leader="none" w:pos="900" w:val="left"/>
        </w:tabs>
        <w:numPr>
          <w:ilvl w:val="0"/>
          <w:numId w:val="1040"/>
        </w:numPr>
        <w:rPr>
          <w:rFonts w:ascii="Arial" w:cs="Arial" w:eastAsia="Arial" w:hAnsi="Arial"/>
          <w:sz w:val="14"/>
          <w:szCs w:val="14"/>
          <w:color w:val="auto"/>
        </w:rPr>
      </w:pPr>
      <w:r>
        <w:rPr>
          <w:rFonts w:ascii="Arial" w:cs="Arial" w:eastAsia="Arial" w:hAnsi="Arial"/>
          <w:sz w:val="14"/>
          <w:szCs w:val="14"/>
          <w:color w:val="auto"/>
        </w:rPr>
        <w:t>Servier has an option to obtain an exclusive license to develop and commercialize MGA271 in the rest of the world.</w:t>
      </w:r>
    </w:p>
    <w:p>
      <w:pPr>
        <w:spacing w:after="0" w:line="132" w:lineRule="exact"/>
        <w:rPr>
          <w:sz w:val="20"/>
          <w:szCs w:val="20"/>
          <w:color w:val="auto"/>
        </w:rPr>
      </w:pPr>
    </w:p>
    <w:p>
      <w:pPr>
        <w:ind w:right="80"/>
        <w:spacing w:after="0" w:line="321" w:lineRule="auto"/>
        <w:rPr>
          <w:sz w:val="20"/>
          <w:szCs w:val="20"/>
          <w:color w:val="auto"/>
        </w:rPr>
      </w:pPr>
      <w:r>
        <w:rPr>
          <w:rFonts w:ascii="Arial" w:cs="Arial" w:eastAsia="Arial" w:hAnsi="Arial"/>
          <w:sz w:val="12"/>
          <w:szCs w:val="12"/>
          <w:color w:val="auto"/>
        </w:rPr>
        <w:t>ROCKVILLE, Maryland and SURESNES , France – , 2011 – MacroGenics, Inc., a privately held biotechnology company that develops next generation antibody therapeutics, and Servier, France’s largest privately-held pharmaceutical company, announced today that they have entered into an option and license agreement for the development and commercialization of MGA271, MacroGenics’ proprietary product candidate. MGA271 is a first-in-class, Fc-optimized monoclonal antibody that targets B7-H3 and is currently being studied in a Phase 1 clinical trial for the treatment of solid tumors.</w:t>
      </w:r>
    </w:p>
    <w:p>
      <w:pPr>
        <w:spacing w:after="0" w:line="73"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MGA271 is a next generation monoclonal antibody which incorporates multiple complementary mechanisms of action including enhanced immuno-stimulatory properties and targeting of tumor vasculature. B7-H3 target is overexpressed in several malignancies requiring innovative therapeutic approaches. Following very promising pre-clinical results, we will work together to define the clinical indications and the best drug combinations and to identify early biomarkers predictive of response”, said Dr. Stéphane Depil, MD, PhD, in charge of Oncology Research &amp; Development at Servier. “Today’s announcement underscores Servier’s commitment to develop novel targeted therapies that address significant unmet medical needs for cancer patients,” added Dr. Emmanuel Canet, MD, PhD, President Research &amp; development at Servier. “MGA271 is a novel immunotherapeutic with a compelling product profile and the potential to treat a broad spectrum of solid tumors. We have been deeply impressed by both the excellence of science being conducted by MacroGenics and their world class antibody development capabilities. We are looking forward to building a long-term strategic collaboration with MacroGenics.” Under the terms of the agreement, MacroGenics retains full development and commercialization rights to MGA271 in the U.S., Canada, Mexico, Japan, Korea and India, while Servier has an option to obtain an exclusive license covering the rest of the world. Prior to the exercise of Servier’s option, both parties will fund and conduct specified research and development activities. MacroGenics will receive a $20 million upfront payment. If Servier exercises its option upon completion of the Phase 1 study and its expansion cohorts, MacroGenics will receive an option exercise fee which, combined with the up-front and early development milestone payments, will total $60 million. In addition, MacroGenics could receive up to an additional $390 million in clinical, regulatory and commercialization milestone payments. Finally, MacroGenics may receive tiered, double-digit royalties on future net sales. Both parties will share the clinical development costs following the option exercise.</w:t>
      </w:r>
    </w:p>
    <w:p>
      <w:pPr>
        <w:spacing w:after="0" w:line="92"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“We are delighted to enter into this collaboration with Servier. It will significantly broaden and accelerate our clinical plans for MGA271, enabling us to further investigate the multiple solid tumor types for which MGA271 may have activity,” said Dr. Scott Koenig, President and CEO of MacroGenics. “This important collaboration highlights the rapidly growing excitement surrounding the B7 family of immune regulators in oncology immunotherapy as well as our Fc engineering platform.”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4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864" w:name="page865"/>
    <w:bookmarkEnd w:id="864"/>
    <w:p>
      <w:pPr>
        <w:ind w:right="2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“Servier is a world-class pharmaceutical company with a long history of successful innovation and a dedication to research for the benefit of patients,” Dr. Koenig continued. “They have an expansive global footprint and are an ideal partner to maximize the potential of MGA271.”</w:t>
      </w:r>
    </w:p>
    <w:p>
      <w:pPr>
        <w:spacing w:after="0" w:line="101" w:lineRule="exact"/>
        <w:rPr>
          <w:sz w:val="20"/>
          <w:szCs w:val="20"/>
          <w:color w:val="auto"/>
        </w:rPr>
      </w:pPr>
    </w:p>
    <w:p>
      <w:pPr>
        <w:spacing w:after="0" w:line="321" w:lineRule="auto"/>
        <w:rPr>
          <w:sz w:val="20"/>
          <w:szCs w:val="20"/>
          <w:color w:val="auto"/>
        </w:rPr>
      </w:pPr>
      <w:r>
        <w:rPr>
          <w:rFonts w:ascii="Arial" w:cs="Arial" w:eastAsia="Arial" w:hAnsi="Arial"/>
          <w:sz w:val="12"/>
          <w:szCs w:val="12"/>
          <w:color w:val="auto"/>
        </w:rPr>
        <w:t>MGA271 is currently being tested in an open-label, multi-dose, single-arm, dose-escalation Phase 1 study in patients with refractory B7-H3-expressing neoplasms. The trial employs a companion diagnostic for B7-H3 which will enable prospective screening of patients for expression of the target antigen. Enrollment of the first dosing cohort has been completed. Clinical investigators include Dr. Howard Burris at Sarah Cannon Research Institute, Dr. Roger Cohen at Hospital of the University of Pennsylvania/Abramson Cancer Center and Dr. Keith Flaherty at Massachusetts General Hospital.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MGA271</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MGA271 is a humanized IgG1/kappa monoclonal antibody that recognizes human B7-H3, a novel member of the B7 family of immune regulators. B7-H3 is an attractive target for immunotherapy, as it is over-expressed in a variety of solid tumors, including prostate, pancreatic, melanoma, renal cell, ovarian, colorectal, gastric, bladder, and non-small cell lung cancers. MGA271 has been Fc-optimized using MacroGenics’ proprietary Fc-engineering platform to further augment its tumor killing activity. The product’s Fc region imparts increased affinity for the human activating Fc-gamma receptor IIIA (Fc-gamma RIIIA, CD16A) and decreased affinity for the inhibitory Fc-gamma RIIB (CD32B).</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MacroGenics</w:t>
      </w:r>
    </w:p>
    <w:p>
      <w:pPr>
        <w:spacing w:after="0" w:line="71" w:lineRule="exact"/>
        <w:rPr>
          <w:sz w:val="20"/>
          <w:szCs w:val="20"/>
          <w:color w:val="auto"/>
        </w:rPr>
      </w:pPr>
    </w:p>
    <w:p>
      <w:pPr>
        <w:ind w:right="20"/>
        <w:spacing w:after="0" w:line="305" w:lineRule="auto"/>
        <w:rPr>
          <w:sz w:val="20"/>
          <w:szCs w:val="20"/>
          <w:color w:val="auto"/>
        </w:rPr>
      </w:pPr>
      <w:r>
        <w:rPr>
          <w:rFonts w:ascii="Arial" w:cs="Arial" w:eastAsia="Arial" w:hAnsi="Arial"/>
          <w:sz w:val="12"/>
          <w:szCs w:val="12"/>
          <w:color w:val="auto"/>
        </w:rPr>
        <w:t>MacroGenics is a private, venture-backed biotechnology company that focuses on the discovery, development and delivery to patients of novel biologics for cancer, autoimmune disorders and infectious diseases. The company has built a fully-integrated set of capabilities in antibody-based product development which supports its innovative pipeline of clinical stage product candidates. MacroGenics’ proprietary research is based on three core technology platforms, which include: (1) a leading research capability for screening and targeting cancer stem-like cells; (2) Dual-Affinity Re-Targeting (or DART) technology, which allows the incorporation of multiple specificities within a single recombinant molecule; and (3) Fc optimization, which enhances antibody-dependent effector functions. The company has global product development collaborations with Boehringer Ingelheim and Pfizer Inc. which employ its DART technology. For more information about MacroGenics, please visit www.macrogenics.com.</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Servier</w:t>
      </w:r>
    </w:p>
    <w:p>
      <w:pPr>
        <w:spacing w:after="0" w:line="7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Servier is the leading independent French pharmaceutical company with a 2011 turnover of €3.9 billion. The Servier Group is established in 140 countries with its main therapeutic products used to treat diabetes, cardiovascular disease, CNS disorders, oncology and rheumatology. More than 25% of Servier’s revenue is invested in Research &amp; Development. Servier has 20,000 employees worldwide, including nearly 3,000 in R&amp;D. For further information, please visit www.servier.com.</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4"/>
          <w:szCs w:val="14"/>
          <w:i w:val="1"/>
          <w:iCs w:val="1"/>
          <w:color w:val="auto"/>
        </w:rPr>
        <w:t>Statements made in this news release that are not historical facts are forward-looking statements within the meaning of the Private Securities Litigation Reform Act of 1995. Words such as “expects,” “believes,” “intends,” and similar expressions are intended to identify forward-looking statements. Actual results may differ materially from those projected in any forward-looking statement. Specifically, there are a number of important factors that could cause actual results to differ materially from those anticipated, such as the Company’s ability to raise additional capital, and risks related to the Company’s ability to initiate, and enroll patients in, planned clinical trials. You should not place undue reliance on any forward-looking statements. The Company assumes no obligation to update any forward-looking statements as a result of new information, future events or developments,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Contacts: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Scott Koenig, M.D., Ph.D., President and CEO</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or Jim Karrels, Vice President, CFO</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both of MacroGenics, Inc., +1-301-251-5172, info@macrogenics.com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32" w:lineRule="exact"/>
        <w:rPr>
          <w:sz w:val="20"/>
          <w:szCs w:val="20"/>
          <w:color w:val="auto"/>
        </w:rPr>
      </w:pPr>
    </w:p>
    <w:p>
      <w:pPr>
        <w:ind w:left="3840" w:right="2700" w:hanging="1139"/>
        <w:spacing w:after="0" w:line="351" w:lineRule="auto"/>
        <w:tabs>
          <w:tab w:leader="none" w:pos="2940" w:val="left"/>
        </w:tabs>
        <w:numPr>
          <w:ilvl w:val="0"/>
          <w:numId w:val="10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865" w:name="page866"/>
    <w:bookmarkEnd w:id="865"/>
    <w:p>
      <w:pPr>
        <w:jc w:val="right"/>
        <w:spacing w:after="0"/>
        <w:rPr>
          <w:sz w:val="20"/>
          <w:szCs w:val="20"/>
          <w:color w:val="auto"/>
        </w:rPr>
      </w:pPr>
      <w:r>
        <w:rPr>
          <w:rFonts w:ascii="Arial" w:cs="Arial" w:eastAsia="Arial" w:hAnsi="Arial"/>
          <w:sz w:val="14"/>
          <w:szCs w:val="14"/>
          <w:b w:val="1"/>
          <w:bCs w:val="1"/>
          <w:color w:val="auto"/>
        </w:rPr>
        <w:t>Exhibit 10.22</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Execution Version</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1"/>
          <w:szCs w:val="11"/>
          <w:b w:val="1"/>
          <w:bCs w:val="1"/>
          <w:i w:val="1"/>
          <w:iCs w:val="1"/>
          <w:color w:val="auto"/>
        </w:rPr>
        <w:t>Confidential Materials omitted and filed separately with the Securities and Exchange Commission.</w:t>
      </w:r>
    </w:p>
    <w:p>
      <w:pPr>
        <w:spacing w:after="0" w:line="4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RESEARCH COLLABORATION AND LICENSE AGREEMENT</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BY AND BETWEEN</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PFIZER INC.</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AND</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MACROGENICS, INC.</w:t>
      </w:r>
    </w:p>
    <w:p>
      <w:pPr>
        <w:spacing w:after="0" w:line="257"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OCTOBER 13, 2010</w:t>
      </w:r>
    </w:p>
    <w:p>
      <w:pPr>
        <w:sectPr>
          <w:pgSz w:w="11900" w:h="16838" w:orient="portrait"/>
          <w:cols w:equalWidth="0" w:num="1">
            <w:col w:w="10240"/>
          </w:cols>
          <w:pgMar w:left="1440" w:top="130" w:right="219" w:bottom="1440" w:gutter="0" w:footer="0" w:header="0"/>
        </w:sectPr>
      </w:pPr>
    </w:p>
    <w:bookmarkStart w:id="866" w:name="page867"/>
    <w:bookmarkEnd w:id="866"/>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0" w:type="dxa"/>
            <w:vAlign w:val="bottom"/>
          </w:tcPr>
          <w:p>
            <w:pPr>
              <w:ind w:left="4480"/>
              <w:spacing w:after="0"/>
              <w:rPr>
                <w:sz w:val="20"/>
                <w:szCs w:val="20"/>
                <w:color w:val="auto"/>
              </w:rPr>
            </w:pPr>
            <w:r>
              <w:rPr>
                <w:rFonts w:ascii="Arial" w:cs="Arial" w:eastAsia="Arial" w:hAnsi="Arial"/>
                <w:sz w:val="14"/>
                <w:szCs w:val="14"/>
                <w:b w:val="1"/>
                <w:bCs w:val="1"/>
                <w:color w:val="auto"/>
              </w:rPr>
              <w:t>TABLE OF CONTENTS</w:t>
            </w:r>
          </w:p>
        </w:tc>
        <w:tc>
          <w:tcPr>
            <w:tcW w:w="2480" w:type="dxa"/>
            <w:vAlign w:val="bottom"/>
          </w:tcPr>
          <w:p>
            <w:pPr>
              <w:spacing w:after="0"/>
              <w:rPr>
                <w:sz w:val="15"/>
                <w:szCs w:val="15"/>
                <w:color w:val="auto"/>
              </w:rPr>
            </w:pPr>
          </w:p>
        </w:tc>
      </w:tr>
      <w:tr>
        <w:trPr>
          <w:trHeight w:val="318"/>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8760" w:type="dxa"/>
            <w:vAlign w:val="bottom"/>
            <w:gridSpan w:val="2"/>
          </w:tcPr>
          <w:p>
            <w:pPr>
              <w:ind w:left="40"/>
              <w:spacing w:after="0"/>
              <w:rPr>
                <w:sz w:val="20"/>
                <w:szCs w:val="20"/>
                <w:color w:val="auto"/>
              </w:rPr>
            </w:pPr>
            <w:r>
              <w:rPr>
                <w:rFonts w:ascii="Arial" w:cs="Arial" w:eastAsia="Arial" w:hAnsi="Arial"/>
                <w:sz w:val="14"/>
                <w:szCs w:val="14"/>
                <w:color w:val="auto"/>
              </w:rPr>
              <w:t>DEFINITIONS.</w:t>
            </w:r>
          </w:p>
        </w:tc>
        <w:tc>
          <w:tcPr>
            <w:tcW w:w="24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8760" w:type="dxa"/>
            <w:vAlign w:val="bottom"/>
            <w:gridSpan w:val="2"/>
          </w:tcPr>
          <w:p>
            <w:pPr>
              <w:ind w:left="40"/>
              <w:spacing w:after="0"/>
              <w:rPr>
                <w:sz w:val="20"/>
                <w:szCs w:val="20"/>
                <w:color w:val="auto"/>
              </w:rPr>
            </w:pPr>
            <w:r>
              <w:rPr>
                <w:rFonts w:ascii="Arial" w:cs="Arial" w:eastAsia="Arial" w:hAnsi="Arial"/>
                <w:sz w:val="14"/>
                <w:szCs w:val="14"/>
                <w:color w:val="auto"/>
              </w:rPr>
              <w:t>RESEARCH PROGRAM.</w:t>
            </w:r>
          </w:p>
        </w:tc>
        <w:tc>
          <w:tcPr>
            <w:tcW w:w="24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2.1.</w:t>
            </w:r>
          </w:p>
        </w:tc>
        <w:tc>
          <w:tcPr>
            <w:tcW w:w="8400" w:type="dxa"/>
            <w:vAlign w:val="bottom"/>
          </w:tcPr>
          <w:p>
            <w:pPr>
              <w:ind w:left="60"/>
              <w:spacing w:after="0"/>
              <w:rPr>
                <w:sz w:val="20"/>
                <w:szCs w:val="20"/>
                <w:color w:val="auto"/>
              </w:rPr>
            </w:pPr>
            <w:r>
              <w:rPr>
                <w:rFonts w:ascii="Arial" w:cs="Arial" w:eastAsia="Arial" w:hAnsi="Arial"/>
                <w:sz w:val="14"/>
                <w:szCs w:val="14"/>
                <w:color w:val="auto"/>
              </w:rPr>
              <w:t>Selection of Research Project Targets.</w:t>
            </w:r>
          </w:p>
        </w:tc>
        <w:tc>
          <w:tcPr>
            <w:tcW w:w="24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2.2.</w:t>
            </w:r>
          </w:p>
        </w:tc>
        <w:tc>
          <w:tcPr>
            <w:tcW w:w="8400" w:type="dxa"/>
            <w:vAlign w:val="bottom"/>
          </w:tcPr>
          <w:p>
            <w:pPr>
              <w:ind w:left="60"/>
              <w:spacing w:after="0"/>
              <w:rPr>
                <w:sz w:val="20"/>
                <w:szCs w:val="20"/>
                <w:color w:val="auto"/>
              </w:rPr>
            </w:pPr>
            <w:r>
              <w:rPr>
                <w:rFonts w:ascii="Arial" w:cs="Arial" w:eastAsia="Arial" w:hAnsi="Arial"/>
                <w:sz w:val="14"/>
                <w:szCs w:val="14"/>
                <w:color w:val="auto"/>
              </w:rPr>
              <w:t>Scope and Conduct of the Research Program.</w:t>
            </w:r>
          </w:p>
        </w:tc>
        <w:tc>
          <w:tcPr>
            <w:tcW w:w="24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2.3.</w:t>
            </w:r>
          </w:p>
        </w:tc>
        <w:tc>
          <w:tcPr>
            <w:tcW w:w="8400" w:type="dxa"/>
            <w:vAlign w:val="bottom"/>
          </w:tcPr>
          <w:p>
            <w:pPr>
              <w:ind w:left="60"/>
              <w:spacing w:after="0"/>
              <w:rPr>
                <w:sz w:val="20"/>
                <w:szCs w:val="20"/>
                <w:color w:val="auto"/>
              </w:rPr>
            </w:pPr>
            <w:r>
              <w:rPr>
                <w:rFonts w:ascii="Arial" w:cs="Arial" w:eastAsia="Arial" w:hAnsi="Arial"/>
                <w:sz w:val="14"/>
                <w:szCs w:val="14"/>
                <w:color w:val="auto"/>
              </w:rPr>
              <w:t>Research Plans.</w:t>
            </w:r>
          </w:p>
        </w:tc>
        <w:tc>
          <w:tcPr>
            <w:tcW w:w="24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2.4.</w:t>
            </w:r>
          </w:p>
        </w:tc>
        <w:tc>
          <w:tcPr>
            <w:tcW w:w="8400" w:type="dxa"/>
            <w:vAlign w:val="bottom"/>
          </w:tcPr>
          <w:p>
            <w:pPr>
              <w:ind w:left="60"/>
              <w:spacing w:after="0"/>
              <w:rPr>
                <w:sz w:val="20"/>
                <w:szCs w:val="20"/>
                <w:color w:val="auto"/>
              </w:rPr>
            </w:pPr>
            <w:r>
              <w:rPr>
                <w:rFonts w:ascii="Arial" w:cs="Arial" w:eastAsia="Arial" w:hAnsi="Arial"/>
                <w:sz w:val="14"/>
                <w:szCs w:val="14"/>
                <w:color w:val="auto"/>
              </w:rPr>
              <w:t>Research Program Antibodies and Passed MacroGenics Antibodies.</w:t>
            </w:r>
          </w:p>
        </w:tc>
        <w:tc>
          <w:tcPr>
            <w:tcW w:w="24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2.5.</w:t>
            </w:r>
          </w:p>
        </w:tc>
        <w:tc>
          <w:tcPr>
            <w:tcW w:w="8400" w:type="dxa"/>
            <w:vAlign w:val="bottom"/>
          </w:tcPr>
          <w:p>
            <w:pPr>
              <w:ind w:left="60"/>
              <w:spacing w:after="0"/>
              <w:rPr>
                <w:sz w:val="20"/>
                <w:szCs w:val="20"/>
                <w:color w:val="auto"/>
              </w:rPr>
            </w:pPr>
            <w:r>
              <w:rPr>
                <w:rFonts w:ascii="Arial" w:cs="Arial" w:eastAsia="Arial" w:hAnsi="Arial"/>
                <w:sz w:val="14"/>
                <w:szCs w:val="14"/>
                <w:color w:val="auto"/>
              </w:rPr>
              <w:t>Governance of the Research Program.</w:t>
            </w:r>
          </w:p>
        </w:tc>
        <w:tc>
          <w:tcPr>
            <w:tcW w:w="24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2.6.</w:t>
            </w:r>
          </w:p>
        </w:tc>
        <w:tc>
          <w:tcPr>
            <w:tcW w:w="8400" w:type="dxa"/>
            <w:vAlign w:val="bottom"/>
          </w:tcPr>
          <w:p>
            <w:pPr>
              <w:ind w:left="60"/>
              <w:spacing w:after="0"/>
              <w:rPr>
                <w:sz w:val="20"/>
                <w:szCs w:val="20"/>
                <w:color w:val="auto"/>
              </w:rPr>
            </w:pPr>
            <w:r>
              <w:rPr>
                <w:rFonts w:ascii="Arial" w:cs="Arial" w:eastAsia="Arial" w:hAnsi="Arial"/>
                <w:sz w:val="14"/>
                <w:szCs w:val="14"/>
                <w:color w:val="auto"/>
              </w:rPr>
              <w:t>Alliance Managers.</w:t>
            </w:r>
          </w:p>
        </w:tc>
        <w:tc>
          <w:tcPr>
            <w:tcW w:w="24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2.7.</w:t>
            </w:r>
          </w:p>
        </w:tc>
        <w:tc>
          <w:tcPr>
            <w:tcW w:w="8400" w:type="dxa"/>
            <w:vAlign w:val="bottom"/>
          </w:tcPr>
          <w:p>
            <w:pPr>
              <w:ind w:left="60"/>
              <w:spacing w:after="0"/>
              <w:rPr>
                <w:sz w:val="20"/>
                <w:szCs w:val="20"/>
                <w:color w:val="auto"/>
              </w:rPr>
            </w:pPr>
            <w:r>
              <w:rPr>
                <w:rFonts w:ascii="Arial" w:cs="Arial" w:eastAsia="Arial" w:hAnsi="Arial"/>
                <w:sz w:val="14"/>
                <w:szCs w:val="14"/>
                <w:color w:val="auto"/>
              </w:rPr>
              <w:t>Conformance with Law.</w:t>
            </w:r>
          </w:p>
        </w:tc>
        <w:tc>
          <w:tcPr>
            <w:tcW w:w="24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2.8.</w:t>
            </w:r>
          </w:p>
        </w:tc>
        <w:tc>
          <w:tcPr>
            <w:tcW w:w="8400" w:type="dxa"/>
            <w:vAlign w:val="bottom"/>
          </w:tcPr>
          <w:p>
            <w:pPr>
              <w:ind w:left="60"/>
              <w:spacing w:after="0"/>
              <w:rPr>
                <w:sz w:val="20"/>
                <w:szCs w:val="20"/>
                <w:color w:val="auto"/>
              </w:rPr>
            </w:pPr>
            <w:r>
              <w:rPr>
                <w:rFonts w:ascii="Arial" w:cs="Arial" w:eastAsia="Arial" w:hAnsi="Arial"/>
                <w:sz w:val="14"/>
                <w:szCs w:val="14"/>
                <w:color w:val="auto"/>
              </w:rPr>
              <w:t>MacroGenics Personnel Matters.</w:t>
            </w:r>
          </w:p>
        </w:tc>
        <w:tc>
          <w:tcPr>
            <w:tcW w:w="24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2.9.</w:t>
            </w:r>
          </w:p>
        </w:tc>
        <w:tc>
          <w:tcPr>
            <w:tcW w:w="8400" w:type="dxa"/>
            <w:vAlign w:val="bottom"/>
          </w:tcPr>
          <w:p>
            <w:pPr>
              <w:ind w:left="60"/>
              <w:spacing w:after="0"/>
              <w:rPr>
                <w:sz w:val="20"/>
                <w:szCs w:val="20"/>
                <w:color w:val="auto"/>
              </w:rPr>
            </w:pPr>
            <w:r>
              <w:rPr>
                <w:rFonts w:ascii="Arial" w:cs="Arial" w:eastAsia="Arial" w:hAnsi="Arial"/>
                <w:sz w:val="14"/>
                <w:szCs w:val="14"/>
                <w:color w:val="auto"/>
              </w:rPr>
              <w:t>Debarment Certification.</w:t>
            </w:r>
          </w:p>
        </w:tc>
        <w:tc>
          <w:tcPr>
            <w:tcW w:w="24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2.10.</w:t>
            </w:r>
          </w:p>
        </w:tc>
        <w:tc>
          <w:tcPr>
            <w:tcW w:w="8400" w:type="dxa"/>
            <w:vAlign w:val="bottom"/>
          </w:tcPr>
          <w:p>
            <w:pPr>
              <w:ind w:left="60"/>
              <w:spacing w:after="0"/>
              <w:rPr>
                <w:sz w:val="20"/>
                <w:szCs w:val="20"/>
                <w:color w:val="auto"/>
              </w:rPr>
            </w:pPr>
            <w:r>
              <w:rPr>
                <w:rFonts w:ascii="Arial" w:cs="Arial" w:eastAsia="Arial" w:hAnsi="Arial"/>
                <w:sz w:val="14"/>
                <w:szCs w:val="14"/>
                <w:color w:val="auto"/>
              </w:rPr>
              <w:t>Subcontractors.</w:t>
            </w:r>
          </w:p>
        </w:tc>
        <w:tc>
          <w:tcPr>
            <w:tcW w:w="24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2.11.</w:t>
            </w:r>
          </w:p>
        </w:tc>
        <w:tc>
          <w:tcPr>
            <w:tcW w:w="8400" w:type="dxa"/>
            <w:vAlign w:val="bottom"/>
          </w:tcPr>
          <w:p>
            <w:pPr>
              <w:ind w:left="60"/>
              <w:spacing w:after="0"/>
              <w:rPr>
                <w:sz w:val="20"/>
                <w:szCs w:val="20"/>
                <w:color w:val="auto"/>
              </w:rPr>
            </w:pPr>
            <w:r>
              <w:rPr>
                <w:rFonts w:ascii="Arial" w:cs="Arial" w:eastAsia="Arial" w:hAnsi="Arial"/>
                <w:sz w:val="14"/>
                <w:szCs w:val="14"/>
                <w:color w:val="auto"/>
              </w:rPr>
              <w:t>Inspections.</w:t>
            </w:r>
          </w:p>
        </w:tc>
        <w:tc>
          <w:tcPr>
            <w:tcW w:w="24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2.12.</w:t>
            </w:r>
          </w:p>
        </w:tc>
        <w:tc>
          <w:tcPr>
            <w:tcW w:w="8400" w:type="dxa"/>
            <w:vAlign w:val="bottom"/>
          </w:tcPr>
          <w:p>
            <w:pPr>
              <w:ind w:left="60"/>
              <w:spacing w:after="0"/>
              <w:rPr>
                <w:sz w:val="20"/>
                <w:szCs w:val="20"/>
                <w:color w:val="auto"/>
              </w:rPr>
            </w:pPr>
            <w:r>
              <w:rPr>
                <w:rFonts w:ascii="Arial" w:cs="Arial" w:eastAsia="Arial" w:hAnsi="Arial"/>
                <w:sz w:val="14"/>
                <w:szCs w:val="14"/>
                <w:color w:val="auto"/>
              </w:rPr>
              <w:t>Records.</w:t>
            </w:r>
          </w:p>
        </w:tc>
        <w:tc>
          <w:tcPr>
            <w:tcW w:w="24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2.13.</w:t>
            </w:r>
          </w:p>
        </w:tc>
        <w:tc>
          <w:tcPr>
            <w:tcW w:w="8400" w:type="dxa"/>
            <w:vAlign w:val="bottom"/>
          </w:tcPr>
          <w:p>
            <w:pPr>
              <w:ind w:left="60"/>
              <w:spacing w:after="0"/>
              <w:rPr>
                <w:sz w:val="20"/>
                <w:szCs w:val="20"/>
                <w:color w:val="auto"/>
              </w:rPr>
            </w:pPr>
            <w:r>
              <w:rPr>
                <w:rFonts w:ascii="Arial" w:cs="Arial" w:eastAsia="Arial" w:hAnsi="Arial"/>
                <w:sz w:val="14"/>
                <w:szCs w:val="14"/>
                <w:color w:val="auto"/>
              </w:rPr>
              <w:t>Transfer and Use of Pfizer Proprietary Materials.</w:t>
            </w:r>
          </w:p>
        </w:tc>
        <w:tc>
          <w:tcPr>
            <w:tcW w:w="24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7"/>
        </w:trPr>
        <w:tc>
          <w:tcPr>
            <w:tcW w:w="8920" w:type="dxa"/>
            <w:vAlign w:val="bottom"/>
            <w:gridSpan w:val="3"/>
          </w:tcPr>
          <w:p>
            <w:pPr>
              <w:spacing w:after="0"/>
              <w:rPr>
                <w:sz w:val="20"/>
                <w:szCs w:val="20"/>
                <w:color w:val="auto"/>
              </w:rPr>
            </w:pPr>
            <w:r>
              <w:rPr>
                <w:rFonts w:ascii="Arial" w:cs="Arial" w:eastAsia="Arial" w:hAnsi="Arial"/>
                <w:sz w:val="14"/>
                <w:szCs w:val="14"/>
                <w:color w:val="auto"/>
              </w:rPr>
              <w:t>3.  PRODUCT DEVELOPMENT, MANUFACTURING, COMMERCIALIZATION AND REGULATORY MATTERS.</w:t>
            </w:r>
          </w:p>
        </w:tc>
        <w:tc>
          <w:tcPr>
            <w:tcW w:w="24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3.1.</w:t>
            </w:r>
          </w:p>
        </w:tc>
        <w:tc>
          <w:tcPr>
            <w:tcW w:w="8400" w:type="dxa"/>
            <w:vAlign w:val="bottom"/>
          </w:tcPr>
          <w:p>
            <w:pPr>
              <w:ind w:left="60"/>
              <w:spacing w:after="0"/>
              <w:rPr>
                <w:sz w:val="20"/>
                <w:szCs w:val="20"/>
                <w:color w:val="auto"/>
              </w:rPr>
            </w:pPr>
            <w:r>
              <w:rPr>
                <w:rFonts w:ascii="Arial" w:cs="Arial" w:eastAsia="Arial" w:hAnsi="Arial"/>
                <w:sz w:val="14"/>
                <w:szCs w:val="14"/>
                <w:color w:val="auto"/>
              </w:rPr>
              <w:t>General.</w:t>
            </w:r>
          </w:p>
        </w:tc>
        <w:tc>
          <w:tcPr>
            <w:tcW w:w="24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3.2.</w:t>
            </w:r>
          </w:p>
        </w:tc>
        <w:tc>
          <w:tcPr>
            <w:tcW w:w="8400" w:type="dxa"/>
            <w:vAlign w:val="bottom"/>
          </w:tcPr>
          <w:p>
            <w:pPr>
              <w:ind w:left="60"/>
              <w:spacing w:after="0"/>
              <w:rPr>
                <w:sz w:val="20"/>
                <w:szCs w:val="20"/>
                <w:color w:val="auto"/>
              </w:rPr>
            </w:pPr>
            <w:r>
              <w:rPr>
                <w:rFonts w:ascii="Arial" w:cs="Arial" w:eastAsia="Arial" w:hAnsi="Arial"/>
                <w:sz w:val="14"/>
                <w:szCs w:val="14"/>
                <w:color w:val="auto"/>
              </w:rPr>
              <w:t>Diligence.</w:t>
            </w:r>
          </w:p>
        </w:tc>
        <w:tc>
          <w:tcPr>
            <w:tcW w:w="24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3.3.</w:t>
            </w:r>
          </w:p>
        </w:tc>
        <w:tc>
          <w:tcPr>
            <w:tcW w:w="8400" w:type="dxa"/>
            <w:vAlign w:val="bottom"/>
          </w:tcPr>
          <w:p>
            <w:pPr>
              <w:ind w:left="60"/>
              <w:spacing w:after="0"/>
              <w:rPr>
                <w:sz w:val="20"/>
                <w:szCs w:val="20"/>
                <w:color w:val="auto"/>
              </w:rPr>
            </w:pPr>
            <w:r>
              <w:rPr>
                <w:rFonts w:ascii="Arial" w:cs="Arial" w:eastAsia="Arial" w:hAnsi="Arial"/>
                <w:sz w:val="14"/>
                <w:szCs w:val="14"/>
                <w:color w:val="auto"/>
              </w:rPr>
              <w:t>Regulatory Approvals.</w:t>
            </w:r>
          </w:p>
        </w:tc>
        <w:tc>
          <w:tcPr>
            <w:tcW w:w="24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3.4.</w:t>
            </w:r>
          </w:p>
        </w:tc>
        <w:tc>
          <w:tcPr>
            <w:tcW w:w="8400" w:type="dxa"/>
            <w:vAlign w:val="bottom"/>
          </w:tcPr>
          <w:p>
            <w:pPr>
              <w:ind w:left="60"/>
              <w:spacing w:after="0"/>
              <w:rPr>
                <w:sz w:val="20"/>
                <w:szCs w:val="20"/>
                <w:color w:val="auto"/>
              </w:rPr>
            </w:pPr>
            <w:r>
              <w:rPr>
                <w:rFonts w:ascii="Arial" w:cs="Arial" w:eastAsia="Arial" w:hAnsi="Arial"/>
                <w:sz w:val="14"/>
                <w:szCs w:val="14"/>
                <w:color w:val="auto"/>
              </w:rPr>
              <w:t>Control of Commercialization Activities.</w:t>
            </w:r>
          </w:p>
        </w:tc>
        <w:tc>
          <w:tcPr>
            <w:tcW w:w="24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3.5.</w:t>
            </w:r>
          </w:p>
        </w:tc>
        <w:tc>
          <w:tcPr>
            <w:tcW w:w="8400" w:type="dxa"/>
            <w:vAlign w:val="bottom"/>
          </w:tcPr>
          <w:p>
            <w:pPr>
              <w:ind w:left="60"/>
              <w:spacing w:after="0"/>
              <w:rPr>
                <w:sz w:val="20"/>
                <w:szCs w:val="20"/>
                <w:color w:val="auto"/>
              </w:rPr>
            </w:pPr>
            <w:r>
              <w:rPr>
                <w:rFonts w:ascii="Arial" w:cs="Arial" w:eastAsia="Arial" w:hAnsi="Arial"/>
                <w:sz w:val="14"/>
                <w:szCs w:val="14"/>
                <w:color w:val="auto"/>
              </w:rPr>
              <w:t>Manufacturing.</w:t>
            </w:r>
          </w:p>
        </w:tc>
        <w:tc>
          <w:tcPr>
            <w:tcW w:w="24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3.6.</w:t>
            </w:r>
          </w:p>
        </w:tc>
        <w:tc>
          <w:tcPr>
            <w:tcW w:w="8400" w:type="dxa"/>
            <w:vAlign w:val="bottom"/>
          </w:tcPr>
          <w:p>
            <w:pPr>
              <w:ind w:left="60"/>
              <w:spacing w:after="0"/>
              <w:rPr>
                <w:sz w:val="20"/>
                <w:szCs w:val="20"/>
                <w:color w:val="auto"/>
              </w:rPr>
            </w:pPr>
            <w:r>
              <w:rPr>
                <w:rFonts w:ascii="Arial" w:cs="Arial" w:eastAsia="Arial" w:hAnsi="Arial"/>
                <w:sz w:val="14"/>
                <w:szCs w:val="14"/>
                <w:color w:val="auto"/>
              </w:rPr>
              <w:t>Progress Reporting.</w:t>
            </w:r>
          </w:p>
        </w:tc>
        <w:tc>
          <w:tcPr>
            <w:tcW w:w="24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7"/>
        </w:trPr>
        <w:tc>
          <w:tcPr>
            <w:tcW w:w="8920" w:type="dxa"/>
            <w:vAlign w:val="bottom"/>
            <w:gridSpan w:val="3"/>
          </w:tcPr>
          <w:p>
            <w:pPr>
              <w:spacing w:after="0"/>
              <w:rPr>
                <w:sz w:val="20"/>
                <w:szCs w:val="20"/>
                <w:color w:val="auto"/>
              </w:rPr>
            </w:pPr>
            <w:r>
              <w:rPr>
                <w:rFonts w:ascii="Arial" w:cs="Arial" w:eastAsia="Arial" w:hAnsi="Arial"/>
                <w:sz w:val="14"/>
                <w:szCs w:val="14"/>
                <w:color w:val="auto"/>
              </w:rPr>
              <w:t>4.  LICENSES AND RELATED GRANTS OF RIGHTS.</w:t>
            </w:r>
          </w:p>
        </w:tc>
        <w:tc>
          <w:tcPr>
            <w:tcW w:w="24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4.1.</w:t>
            </w:r>
          </w:p>
        </w:tc>
        <w:tc>
          <w:tcPr>
            <w:tcW w:w="8400" w:type="dxa"/>
            <w:vAlign w:val="bottom"/>
          </w:tcPr>
          <w:p>
            <w:pPr>
              <w:ind w:left="60"/>
              <w:spacing w:after="0"/>
              <w:rPr>
                <w:sz w:val="20"/>
                <w:szCs w:val="20"/>
                <w:color w:val="auto"/>
              </w:rPr>
            </w:pPr>
            <w:r>
              <w:rPr>
                <w:rFonts w:ascii="Arial" w:cs="Arial" w:eastAsia="Arial" w:hAnsi="Arial"/>
                <w:sz w:val="14"/>
                <w:szCs w:val="14"/>
                <w:color w:val="auto"/>
              </w:rPr>
              <w:t>Grants to Pfizer.</w:t>
            </w:r>
          </w:p>
        </w:tc>
        <w:tc>
          <w:tcPr>
            <w:tcW w:w="24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4.2.</w:t>
            </w:r>
          </w:p>
        </w:tc>
        <w:tc>
          <w:tcPr>
            <w:tcW w:w="8400" w:type="dxa"/>
            <w:vAlign w:val="bottom"/>
          </w:tcPr>
          <w:p>
            <w:pPr>
              <w:ind w:left="60"/>
              <w:spacing w:after="0"/>
              <w:rPr>
                <w:sz w:val="20"/>
                <w:szCs w:val="20"/>
                <w:color w:val="auto"/>
              </w:rPr>
            </w:pPr>
            <w:r>
              <w:rPr>
                <w:rFonts w:ascii="Arial" w:cs="Arial" w:eastAsia="Arial" w:hAnsi="Arial"/>
                <w:sz w:val="14"/>
                <w:szCs w:val="14"/>
                <w:color w:val="auto"/>
              </w:rPr>
              <w:t>Grants to MacroGenics.</w:t>
            </w:r>
          </w:p>
        </w:tc>
        <w:tc>
          <w:tcPr>
            <w:tcW w:w="24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4.3.</w:t>
            </w:r>
          </w:p>
        </w:tc>
        <w:tc>
          <w:tcPr>
            <w:tcW w:w="8400" w:type="dxa"/>
            <w:vAlign w:val="bottom"/>
          </w:tcPr>
          <w:p>
            <w:pPr>
              <w:ind w:left="60"/>
              <w:spacing w:after="0"/>
              <w:rPr>
                <w:sz w:val="20"/>
                <w:szCs w:val="20"/>
                <w:color w:val="auto"/>
              </w:rPr>
            </w:pPr>
            <w:r>
              <w:rPr>
                <w:rFonts w:ascii="Arial" w:cs="Arial" w:eastAsia="Arial" w:hAnsi="Arial"/>
                <w:sz w:val="14"/>
                <w:szCs w:val="14"/>
                <w:color w:val="auto"/>
              </w:rPr>
              <w:t>Reciprocal Non-Exclusive Research License for Disclosed Know-How and Confidential Information.</w:t>
            </w:r>
          </w:p>
        </w:tc>
        <w:tc>
          <w:tcPr>
            <w:tcW w:w="24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4.4.</w:t>
            </w:r>
          </w:p>
        </w:tc>
        <w:tc>
          <w:tcPr>
            <w:tcW w:w="8400" w:type="dxa"/>
            <w:vAlign w:val="bottom"/>
          </w:tcPr>
          <w:p>
            <w:pPr>
              <w:ind w:left="60"/>
              <w:spacing w:after="0"/>
              <w:rPr>
                <w:sz w:val="20"/>
                <w:szCs w:val="20"/>
                <w:color w:val="auto"/>
              </w:rPr>
            </w:pPr>
            <w:r>
              <w:rPr>
                <w:rFonts w:ascii="Arial" w:cs="Arial" w:eastAsia="Arial" w:hAnsi="Arial"/>
                <w:sz w:val="14"/>
                <w:szCs w:val="14"/>
                <w:color w:val="auto"/>
              </w:rPr>
              <w:t>Retained Rights to Antibodies.</w:t>
            </w:r>
          </w:p>
        </w:tc>
        <w:tc>
          <w:tcPr>
            <w:tcW w:w="24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4.5.</w:t>
            </w:r>
          </w:p>
        </w:tc>
        <w:tc>
          <w:tcPr>
            <w:tcW w:w="8400" w:type="dxa"/>
            <w:vAlign w:val="bottom"/>
          </w:tcPr>
          <w:p>
            <w:pPr>
              <w:ind w:left="60"/>
              <w:spacing w:after="0"/>
              <w:rPr>
                <w:sz w:val="20"/>
                <w:szCs w:val="20"/>
                <w:color w:val="auto"/>
              </w:rPr>
            </w:pPr>
            <w:r>
              <w:rPr>
                <w:rFonts w:ascii="Arial" w:cs="Arial" w:eastAsia="Arial" w:hAnsi="Arial"/>
                <w:sz w:val="14"/>
                <w:szCs w:val="14"/>
                <w:color w:val="auto"/>
              </w:rPr>
              <w:t>Exclusivity.</w:t>
            </w:r>
          </w:p>
        </w:tc>
        <w:tc>
          <w:tcPr>
            <w:tcW w:w="24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4.6.</w:t>
            </w:r>
          </w:p>
        </w:tc>
        <w:tc>
          <w:tcPr>
            <w:tcW w:w="8400" w:type="dxa"/>
            <w:vAlign w:val="bottom"/>
          </w:tcPr>
          <w:p>
            <w:pPr>
              <w:ind w:left="60"/>
              <w:spacing w:after="0"/>
              <w:rPr>
                <w:sz w:val="20"/>
                <w:szCs w:val="20"/>
                <w:color w:val="auto"/>
              </w:rPr>
            </w:pPr>
            <w:r>
              <w:rPr>
                <w:rFonts w:ascii="Arial" w:cs="Arial" w:eastAsia="Arial" w:hAnsi="Arial"/>
                <w:sz w:val="14"/>
                <w:szCs w:val="14"/>
                <w:color w:val="auto"/>
              </w:rPr>
              <w:t>Section 365(n) of Bankruptcy Code.</w:t>
            </w:r>
          </w:p>
        </w:tc>
        <w:tc>
          <w:tcPr>
            <w:tcW w:w="24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4.7.</w:t>
            </w:r>
          </w:p>
        </w:tc>
        <w:tc>
          <w:tcPr>
            <w:tcW w:w="8400" w:type="dxa"/>
            <w:vAlign w:val="bottom"/>
          </w:tcPr>
          <w:p>
            <w:pPr>
              <w:ind w:left="60"/>
              <w:spacing w:after="0"/>
              <w:rPr>
                <w:sz w:val="20"/>
                <w:szCs w:val="20"/>
                <w:color w:val="auto"/>
              </w:rPr>
            </w:pPr>
            <w:r>
              <w:rPr>
                <w:rFonts w:ascii="Arial" w:cs="Arial" w:eastAsia="Arial" w:hAnsi="Arial"/>
                <w:sz w:val="14"/>
                <w:szCs w:val="14"/>
                <w:color w:val="auto"/>
              </w:rPr>
              <w:t>No Implied Rights.</w:t>
            </w:r>
          </w:p>
        </w:tc>
        <w:tc>
          <w:tcPr>
            <w:tcW w:w="24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rPr>
              <w:t>5.</w:t>
            </w:r>
          </w:p>
        </w:tc>
        <w:tc>
          <w:tcPr>
            <w:tcW w:w="8760" w:type="dxa"/>
            <w:vAlign w:val="bottom"/>
            <w:gridSpan w:val="2"/>
          </w:tcPr>
          <w:p>
            <w:pPr>
              <w:ind w:left="40"/>
              <w:spacing w:after="0"/>
              <w:rPr>
                <w:sz w:val="20"/>
                <w:szCs w:val="20"/>
                <w:color w:val="auto"/>
              </w:rPr>
            </w:pPr>
            <w:r>
              <w:rPr>
                <w:rFonts w:ascii="Arial" w:cs="Arial" w:eastAsia="Arial" w:hAnsi="Arial"/>
                <w:sz w:val="14"/>
                <w:szCs w:val="14"/>
                <w:color w:val="auto"/>
              </w:rPr>
              <w:t>PAYMENTS TO MACROGENICS.</w:t>
            </w:r>
          </w:p>
        </w:tc>
        <w:tc>
          <w:tcPr>
            <w:tcW w:w="24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5.1.</w:t>
            </w:r>
          </w:p>
        </w:tc>
        <w:tc>
          <w:tcPr>
            <w:tcW w:w="8400" w:type="dxa"/>
            <w:vAlign w:val="bottom"/>
          </w:tcPr>
          <w:p>
            <w:pPr>
              <w:ind w:left="60"/>
              <w:spacing w:after="0"/>
              <w:rPr>
                <w:sz w:val="20"/>
                <w:szCs w:val="20"/>
                <w:color w:val="auto"/>
              </w:rPr>
            </w:pPr>
            <w:r>
              <w:rPr>
                <w:rFonts w:ascii="Arial" w:cs="Arial" w:eastAsia="Arial" w:hAnsi="Arial"/>
                <w:sz w:val="14"/>
                <w:szCs w:val="14"/>
                <w:color w:val="auto"/>
              </w:rPr>
              <w:t>Upfront License Payment.</w:t>
            </w:r>
          </w:p>
        </w:tc>
        <w:tc>
          <w:tcPr>
            <w:tcW w:w="24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5.2.</w:t>
            </w:r>
          </w:p>
        </w:tc>
        <w:tc>
          <w:tcPr>
            <w:tcW w:w="8400" w:type="dxa"/>
            <w:vAlign w:val="bottom"/>
          </w:tcPr>
          <w:p>
            <w:pPr>
              <w:ind w:left="60"/>
              <w:spacing w:after="0"/>
              <w:rPr>
                <w:sz w:val="20"/>
                <w:szCs w:val="20"/>
                <w:color w:val="auto"/>
              </w:rPr>
            </w:pPr>
            <w:r>
              <w:rPr>
                <w:rFonts w:ascii="Arial" w:cs="Arial" w:eastAsia="Arial" w:hAnsi="Arial"/>
                <w:sz w:val="14"/>
                <w:szCs w:val="14"/>
                <w:color w:val="auto"/>
              </w:rPr>
              <w:t>Research Support Funding.</w:t>
            </w:r>
          </w:p>
        </w:tc>
        <w:tc>
          <w:tcPr>
            <w:tcW w:w="24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5.3.</w:t>
            </w:r>
          </w:p>
        </w:tc>
        <w:tc>
          <w:tcPr>
            <w:tcW w:w="8400" w:type="dxa"/>
            <w:vAlign w:val="bottom"/>
          </w:tcPr>
          <w:p>
            <w:pPr>
              <w:ind w:left="60"/>
              <w:spacing w:after="0"/>
              <w:rPr>
                <w:sz w:val="20"/>
                <w:szCs w:val="20"/>
                <w:color w:val="auto"/>
              </w:rPr>
            </w:pPr>
            <w:r>
              <w:rPr>
                <w:rFonts w:ascii="Arial" w:cs="Arial" w:eastAsia="Arial" w:hAnsi="Arial"/>
                <w:sz w:val="14"/>
                <w:szCs w:val="14"/>
                <w:color w:val="auto"/>
              </w:rPr>
              <w:t>Milestones.</w:t>
            </w:r>
          </w:p>
        </w:tc>
        <w:tc>
          <w:tcPr>
            <w:tcW w:w="24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5.4.</w:t>
            </w:r>
          </w:p>
        </w:tc>
        <w:tc>
          <w:tcPr>
            <w:tcW w:w="8400" w:type="dxa"/>
            <w:vAlign w:val="bottom"/>
          </w:tcPr>
          <w:p>
            <w:pPr>
              <w:ind w:left="60"/>
              <w:spacing w:after="0"/>
              <w:rPr>
                <w:sz w:val="20"/>
                <w:szCs w:val="20"/>
                <w:color w:val="auto"/>
              </w:rPr>
            </w:pPr>
            <w:r>
              <w:rPr>
                <w:rFonts w:ascii="Arial" w:cs="Arial" w:eastAsia="Arial" w:hAnsi="Arial"/>
                <w:sz w:val="14"/>
                <w:szCs w:val="14"/>
                <w:color w:val="auto"/>
              </w:rPr>
              <w:t>Royalties.</w:t>
            </w:r>
          </w:p>
        </w:tc>
        <w:tc>
          <w:tcPr>
            <w:tcW w:w="24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5.5.</w:t>
            </w:r>
          </w:p>
        </w:tc>
        <w:tc>
          <w:tcPr>
            <w:tcW w:w="8400" w:type="dxa"/>
            <w:vAlign w:val="bottom"/>
          </w:tcPr>
          <w:p>
            <w:pPr>
              <w:ind w:left="60"/>
              <w:spacing w:after="0"/>
              <w:rPr>
                <w:sz w:val="20"/>
                <w:szCs w:val="20"/>
                <w:color w:val="auto"/>
              </w:rPr>
            </w:pPr>
            <w:r>
              <w:rPr>
                <w:rFonts w:ascii="Arial" w:cs="Arial" w:eastAsia="Arial" w:hAnsi="Arial"/>
                <w:sz w:val="14"/>
                <w:szCs w:val="14"/>
                <w:color w:val="auto"/>
              </w:rPr>
              <w:t>Reports and Payments.</w:t>
            </w:r>
          </w:p>
        </w:tc>
        <w:tc>
          <w:tcPr>
            <w:tcW w:w="24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5.6.</w:t>
            </w:r>
          </w:p>
        </w:tc>
        <w:tc>
          <w:tcPr>
            <w:tcW w:w="8400" w:type="dxa"/>
            <w:vAlign w:val="bottom"/>
          </w:tcPr>
          <w:p>
            <w:pPr>
              <w:ind w:left="60"/>
              <w:spacing w:after="0"/>
              <w:rPr>
                <w:sz w:val="20"/>
                <w:szCs w:val="20"/>
                <w:color w:val="auto"/>
              </w:rPr>
            </w:pPr>
            <w:r>
              <w:rPr>
                <w:rFonts w:ascii="Arial" w:cs="Arial" w:eastAsia="Arial" w:hAnsi="Arial"/>
                <w:sz w:val="14"/>
                <w:szCs w:val="14"/>
                <w:color w:val="auto"/>
              </w:rPr>
              <w:t>Maintenance of Records; Audits.</w:t>
            </w:r>
          </w:p>
        </w:tc>
        <w:tc>
          <w:tcPr>
            <w:tcW w:w="24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5.7.</w:t>
            </w:r>
          </w:p>
        </w:tc>
        <w:tc>
          <w:tcPr>
            <w:tcW w:w="8400" w:type="dxa"/>
            <w:vAlign w:val="bottom"/>
          </w:tcPr>
          <w:p>
            <w:pPr>
              <w:ind w:left="60"/>
              <w:spacing w:after="0"/>
              <w:rPr>
                <w:sz w:val="20"/>
                <w:szCs w:val="20"/>
                <w:color w:val="auto"/>
              </w:rPr>
            </w:pPr>
            <w:r>
              <w:rPr>
                <w:rFonts w:ascii="Arial" w:cs="Arial" w:eastAsia="Arial" w:hAnsi="Arial"/>
                <w:sz w:val="14"/>
                <w:szCs w:val="14"/>
                <w:color w:val="auto"/>
              </w:rPr>
              <w:t>Late Payments.</w:t>
            </w:r>
          </w:p>
        </w:tc>
        <w:tc>
          <w:tcPr>
            <w:tcW w:w="24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7"/>
        </w:trPr>
        <w:tc>
          <w:tcPr>
            <w:tcW w:w="160" w:type="dxa"/>
            <w:vAlign w:val="bottom"/>
          </w:tcPr>
          <w:p>
            <w:pPr>
              <w:spacing w:after="0"/>
              <w:rPr>
                <w:sz w:val="20"/>
                <w:szCs w:val="20"/>
                <w:color w:val="auto"/>
              </w:rPr>
            </w:pPr>
            <w:r>
              <w:rPr>
                <w:rFonts w:ascii="Arial" w:cs="Arial" w:eastAsia="Arial" w:hAnsi="Arial"/>
                <w:sz w:val="14"/>
                <w:szCs w:val="14"/>
                <w:color w:val="auto"/>
              </w:rPr>
              <w:t>6.</w:t>
            </w:r>
          </w:p>
        </w:tc>
        <w:tc>
          <w:tcPr>
            <w:tcW w:w="8760" w:type="dxa"/>
            <w:vAlign w:val="bottom"/>
            <w:gridSpan w:val="2"/>
          </w:tcPr>
          <w:p>
            <w:pPr>
              <w:ind w:left="40"/>
              <w:spacing w:after="0"/>
              <w:rPr>
                <w:sz w:val="20"/>
                <w:szCs w:val="20"/>
                <w:color w:val="auto"/>
              </w:rPr>
            </w:pPr>
            <w:r>
              <w:rPr>
                <w:rFonts w:ascii="Arial" w:cs="Arial" w:eastAsia="Arial" w:hAnsi="Arial"/>
                <w:sz w:val="14"/>
                <w:szCs w:val="14"/>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7"/>
        </w:trPr>
        <w:tc>
          <w:tcPr>
            <w:tcW w:w="16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6.1.</w:t>
            </w:r>
          </w:p>
        </w:tc>
        <w:tc>
          <w:tcPr>
            <w:tcW w:w="8400" w:type="dxa"/>
            <w:vAlign w:val="bottom"/>
          </w:tcPr>
          <w:p>
            <w:pPr>
              <w:ind w:left="60"/>
              <w:spacing w:after="0"/>
              <w:rPr>
                <w:sz w:val="20"/>
                <w:szCs w:val="20"/>
                <w:color w:val="auto"/>
              </w:rPr>
            </w:pPr>
            <w:r>
              <w:rPr>
                <w:rFonts w:ascii="Arial" w:cs="Arial" w:eastAsia="Arial" w:hAnsi="Arial"/>
                <w:sz w:val="14"/>
                <w:szCs w:val="14"/>
                <w:color w:val="auto"/>
              </w:rPr>
              <w:t>Inventions.</w:t>
            </w:r>
          </w:p>
        </w:tc>
        <w:tc>
          <w:tcPr>
            <w:tcW w:w="24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73"/>
        </w:trPr>
        <w:tc>
          <w:tcPr>
            <w:tcW w:w="16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6.2.</w:t>
            </w:r>
          </w:p>
        </w:tc>
        <w:tc>
          <w:tcPr>
            <w:tcW w:w="8400" w:type="dxa"/>
            <w:vAlign w:val="bottom"/>
          </w:tcPr>
          <w:p>
            <w:pPr>
              <w:ind w:left="60"/>
              <w:spacing w:after="0"/>
              <w:rPr>
                <w:sz w:val="20"/>
                <w:szCs w:val="20"/>
                <w:color w:val="auto"/>
              </w:rPr>
            </w:pPr>
            <w:r>
              <w:rPr>
                <w:rFonts w:ascii="Arial" w:cs="Arial" w:eastAsia="Arial" w:hAnsi="Arial"/>
                <w:sz w:val="14"/>
                <w:szCs w:val="14"/>
                <w:color w:val="auto"/>
              </w:rPr>
              <w:t>Patent Rights.</w:t>
            </w:r>
          </w:p>
        </w:tc>
        <w:tc>
          <w:tcPr>
            <w:tcW w:w="248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i</w:t>
      </w:r>
    </w:p>
    <w:p>
      <w:pPr>
        <w:spacing w:after="0" w:line="12" w:lineRule="exact"/>
        <w:rPr>
          <w:sz w:val="20"/>
          <w:szCs w:val="20"/>
          <w:color w:val="auto"/>
        </w:rPr>
      </w:pPr>
    </w:p>
    <w:p>
      <w:pPr>
        <w:ind w:left="3840" w:right="2640" w:hanging="1135"/>
        <w:spacing w:after="0" w:line="341" w:lineRule="auto"/>
        <w:tabs>
          <w:tab w:leader="none" w:pos="2944" w:val="left"/>
        </w:tabs>
        <w:numPr>
          <w:ilvl w:val="0"/>
          <w:numId w:val="104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00"/>
          </w:cols>
          <w:pgMar w:left="220" w:top="245" w:right="279" w:bottom="1440" w:gutter="0" w:footer="0" w:header="0"/>
        </w:sectPr>
      </w:pPr>
    </w:p>
    <w:bookmarkStart w:id="867" w:name="page868"/>
    <w:bookmarkEnd w:id="867"/>
    <w:tbl>
      <w:tblPr>
        <w:tblLayout w:type="fixed"/>
        <w:tblInd w:w="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6.3.</w:t>
            </w:r>
          </w:p>
        </w:tc>
        <w:tc>
          <w:tcPr>
            <w:tcW w:w="8500" w:type="dxa"/>
            <w:vAlign w:val="bottom"/>
          </w:tcPr>
          <w:p>
            <w:pPr>
              <w:ind w:left="60"/>
              <w:spacing w:after="0"/>
              <w:rPr>
                <w:sz w:val="20"/>
                <w:szCs w:val="20"/>
                <w:color w:val="auto"/>
              </w:rPr>
            </w:pPr>
            <w:r>
              <w:rPr>
                <w:rFonts w:ascii="Arial" w:cs="Arial" w:eastAsia="Arial" w:hAnsi="Arial"/>
                <w:sz w:val="14"/>
                <w:szCs w:val="14"/>
                <w:color w:val="auto"/>
              </w:rPr>
              <w:t>Recording.</w:t>
            </w:r>
          </w:p>
        </w:tc>
        <w:tc>
          <w:tcPr>
            <w:tcW w:w="21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6.4.</w:t>
            </w:r>
          </w:p>
        </w:tc>
        <w:tc>
          <w:tcPr>
            <w:tcW w:w="8500" w:type="dxa"/>
            <w:vAlign w:val="bottom"/>
          </w:tcPr>
          <w:p>
            <w:pPr>
              <w:ind w:left="60"/>
              <w:spacing w:after="0"/>
              <w:rPr>
                <w:sz w:val="20"/>
                <w:szCs w:val="20"/>
                <w:color w:val="auto"/>
              </w:rPr>
            </w:pPr>
            <w:r>
              <w:rPr>
                <w:rFonts w:ascii="Arial" w:cs="Arial" w:eastAsia="Arial" w:hAnsi="Arial"/>
                <w:sz w:val="14"/>
                <w:szCs w:val="14"/>
                <w:color w:val="auto"/>
              </w:rPr>
              <w:t>Trademarks.</w:t>
            </w:r>
          </w:p>
        </w:tc>
        <w:tc>
          <w:tcPr>
            <w:tcW w:w="21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240" w:type="dxa"/>
            <w:vAlign w:val="bottom"/>
          </w:tcPr>
          <w:p>
            <w:pPr>
              <w:spacing w:after="0"/>
              <w:rPr>
                <w:sz w:val="20"/>
                <w:szCs w:val="20"/>
                <w:color w:val="auto"/>
              </w:rPr>
            </w:pPr>
            <w:r>
              <w:rPr>
                <w:rFonts w:ascii="Arial" w:cs="Arial" w:eastAsia="Arial" w:hAnsi="Arial"/>
                <w:sz w:val="14"/>
                <w:szCs w:val="14"/>
                <w:color w:val="auto"/>
              </w:rPr>
              <w:t>7.</w:t>
            </w:r>
          </w:p>
        </w:tc>
        <w:tc>
          <w:tcPr>
            <w:tcW w:w="8960" w:type="dxa"/>
            <w:vAlign w:val="bottom"/>
            <w:gridSpan w:val="2"/>
          </w:tcPr>
          <w:p>
            <w:pPr>
              <w:ind w:left="60"/>
              <w:spacing w:after="0"/>
              <w:rPr>
                <w:sz w:val="20"/>
                <w:szCs w:val="20"/>
                <w:color w:val="auto"/>
              </w:rPr>
            </w:pPr>
            <w:r>
              <w:rPr>
                <w:rFonts w:ascii="Arial" w:cs="Arial" w:eastAsia="Arial" w:hAnsi="Arial"/>
                <w:sz w:val="14"/>
                <w:szCs w:val="14"/>
                <w:color w:val="auto"/>
              </w:rPr>
              <w:t>CONFIDENTIALITY</w:t>
            </w:r>
          </w:p>
        </w:tc>
        <w:tc>
          <w:tcPr>
            <w:tcW w:w="21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7.1.</w:t>
            </w:r>
          </w:p>
        </w:tc>
        <w:tc>
          <w:tcPr>
            <w:tcW w:w="8500" w:type="dxa"/>
            <w:vAlign w:val="bottom"/>
          </w:tcPr>
          <w:p>
            <w:pPr>
              <w:ind w:left="60"/>
              <w:spacing w:after="0"/>
              <w:rPr>
                <w:sz w:val="20"/>
                <w:szCs w:val="20"/>
                <w:color w:val="auto"/>
              </w:rPr>
            </w:pPr>
            <w:r>
              <w:rPr>
                <w:rFonts w:ascii="Arial" w:cs="Arial" w:eastAsia="Arial" w:hAnsi="Arial"/>
                <w:sz w:val="14"/>
                <w:szCs w:val="14"/>
                <w:color w:val="auto"/>
              </w:rPr>
              <w:t>Confidentiality.</w:t>
            </w:r>
          </w:p>
        </w:tc>
        <w:tc>
          <w:tcPr>
            <w:tcW w:w="21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7.2.</w:t>
            </w:r>
          </w:p>
        </w:tc>
        <w:tc>
          <w:tcPr>
            <w:tcW w:w="8500" w:type="dxa"/>
            <w:vAlign w:val="bottom"/>
          </w:tcPr>
          <w:p>
            <w:pPr>
              <w:ind w:left="60"/>
              <w:spacing w:after="0"/>
              <w:rPr>
                <w:sz w:val="20"/>
                <w:szCs w:val="20"/>
                <w:color w:val="auto"/>
              </w:rPr>
            </w:pPr>
            <w:r>
              <w:rPr>
                <w:rFonts w:ascii="Arial" w:cs="Arial" w:eastAsia="Arial" w:hAnsi="Arial"/>
                <w:sz w:val="14"/>
                <w:szCs w:val="14"/>
                <w:color w:val="auto"/>
              </w:rPr>
              <w:t>Authorized Disclosure.</w:t>
            </w:r>
          </w:p>
        </w:tc>
        <w:tc>
          <w:tcPr>
            <w:tcW w:w="21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7.3.</w:t>
            </w:r>
          </w:p>
        </w:tc>
        <w:tc>
          <w:tcPr>
            <w:tcW w:w="8500" w:type="dxa"/>
            <w:vAlign w:val="bottom"/>
          </w:tcPr>
          <w:p>
            <w:pPr>
              <w:ind w:left="60"/>
              <w:spacing w:after="0"/>
              <w:rPr>
                <w:sz w:val="20"/>
                <w:szCs w:val="20"/>
                <w:color w:val="auto"/>
              </w:rPr>
            </w:pPr>
            <w:r>
              <w:rPr>
                <w:rFonts w:ascii="Arial" w:cs="Arial" w:eastAsia="Arial" w:hAnsi="Arial"/>
                <w:sz w:val="14"/>
                <w:szCs w:val="14"/>
                <w:color w:val="auto"/>
              </w:rPr>
              <w:t>Public Announcements; Publications.</w:t>
            </w:r>
          </w:p>
        </w:tc>
        <w:tc>
          <w:tcPr>
            <w:tcW w:w="21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7.4.</w:t>
            </w:r>
          </w:p>
        </w:tc>
        <w:tc>
          <w:tcPr>
            <w:tcW w:w="8500" w:type="dxa"/>
            <w:vAlign w:val="bottom"/>
          </w:tcPr>
          <w:p>
            <w:pPr>
              <w:ind w:left="60"/>
              <w:spacing w:after="0"/>
              <w:rPr>
                <w:sz w:val="20"/>
                <w:szCs w:val="20"/>
                <w:color w:val="auto"/>
              </w:rPr>
            </w:pPr>
            <w:r>
              <w:rPr>
                <w:rFonts w:ascii="Arial" w:cs="Arial" w:eastAsia="Arial" w:hAnsi="Arial"/>
                <w:sz w:val="14"/>
                <w:szCs w:val="14"/>
                <w:color w:val="auto"/>
              </w:rPr>
              <w:t>Obligations in Connection with Change of Control.</w:t>
            </w:r>
          </w:p>
        </w:tc>
        <w:tc>
          <w:tcPr>
            <w:tcW w:w="21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7"/>
        </w:trPr>
        <w:tc>
          <w:tcPr>
            <w:tcW w:w="240" w:type="dxa"/>
            <w:vAlign w:val="bottom"/>
          </w:tcPr>
          <w:p>
            <w:pPr>
              <w:spacing w:after="0"/>
              <w:rPr>
                <w:sz w:val="20"/>
                <w:szCs w:val="20"/>
                <w:color w:val="auto"/>
              </w:rPr>
            </w:pPr>
            <w:r>
              <w:rPr>
                <w:rFonts w:ascii="Arial" w:cs="Arial" w:eastAsia="Arial" w:hAnsi="Arial"/>
                <w:sz w:val="14"/>
                <w:szCs w:val="14"/>
                <w:color w:val="auto"/>
              </w:rPr>
              <w:t>8.</w:t>
            </w:r>
          </w:p>
        </w:tc>
        <w:tc>
          <w:tcPr>
            <w:tcW w:w="8960" w:type="dxa"/>
            <w:vAlign w:val="bottom"/>
            <w:gridSpan w:val="2"/>
          </w:tcPr>
          <w:p>
            <w:pPr>
              <w:ind w:left="60"/>
              <w:spacing w:after="0"/>
              <w:rPr>
                <w:sz w:val="20"/>
                <w:szCs w:val="20"/>
                <w:color w:val="auto"/>
              </w:rPr>
            </w:pPr>
            <w:r>
              <w:rPr>
                <w:rFonts w:ascii="Arial" w:cs="Arial" w:eastAsia="Arial" w:hAnsi="Arial"/>
                <w:sz w:val="14"/>
                <w:szCs w:val="14"/>
                <w:color w:val="auto"/>
              </w:rPr>
              <w:t>REPRESENTATIONS AND WARRANTIES.</w:t>
            </w:r>
          </w:p>
        </w:tc>
        <w:tc>
          <w:tcPr>
            <w:tcW w:w="21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8.1.</w:t>
            </w:r>
          </w:p>
        </w:tc>
        <w:tc>
          <w:tcPr>
            <w:tcW w:w="8500" w:type="dxa"/>
            <w:vAlign w:val="bottom"/>
          </w:tcPr>
          <w:p>
            <w:pPr>
              <w:ind w:left="60"/>
              <w:spacing w:after="0"/>
              <w:rPr>
                <w:sz w:val="20"/>
                <w:szCs w:val="20"/>
                <w:color w:val="auto"/>
              </w:rPr>
            </w:pPr>
            <w:r>
              <w:rPr>
                <w:rFonts w:ascii="Arial" w:cs="Arial" w:eastAsia="Arial" w:hAnsi="Arial"/>
                <w:sz w:val="14"/>
                <w:szCs w:val="14"/>
                <w:color w:val="auto"/>
              </w:rPr>
              <w:t>Mutual Representations and Warranties.</w:t>
            </w:r>
          </w:p>
        </w:tc>
        <w:tc>
          <w:tcPr>
            <w:tcW w:w="21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8.2.</w:t>
            </w:r>
          </w:p>
        </w:tc>
        <w:tc>
          <w:tcPr>
            <w:tcW w:w="8500" w:type="dxa"/>
            <w:vAlign w:val="bottom"/>
          </w:tcPr>
          <w:p>
            <w:pPr>
              <w:ind w:left="60"/>
              <w:spacing w:after="0"/>
              <w:rPr>
                <w:sz w:val="20"/>
                <w:szCs w:val="20"/>
                <w:color w:val="auto"/>
              </w:rPr>
            </w:pPr>
            <w:r>
              <w:rPr>
                <w:rFonts w:ascii="Arial" w:cs="Arial" w:eastAsia="Arial" w:hAnsi="Arial"/>
                <w:sz w:val="14"/>
                <w:szCs w:val="14"/>
                <w:color w:val="auto"/>
              </w:rPr>
              <w:t>Representations and Warranties of MacroGenics.</w:t>
            </w:r>
          </w:p>
        </w:tc>
        <w:tc>
          <w:tcPr>
            <w:tcW w:w="21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8.3.</w:t>
            </w:r>
          </w:p>
        </w:tc>
        <w:tc>
          <w:tcPr>
            <w:tcW w:w="8500" w:type="dxa"/>
            <w:vAlign w:val="bottom"/>
          </w:tcPr>
          <w:p>
            <w:pPr>
              <w:ind w:left="60"/>
              <w:spacing w:after="0"/>
              <w:rPr>
                <w:sz w:val="20"/>
                <w:szCs w:val="20"/>
                <w:color w:val="auto"/>
              </w:rPr>
            </w:pPr>
            <w:r>
              <w:rPr>
                <w:rFonts w:ascii="Arial" w:cs="Arial" w:eastAsia="Arial" w:hAnsi="Arial"/>
                <w:sz w:val="14"/>
                <w:szCs w:val="14"/>
                <w:color w:val="auto"/>
              </w:rPr>
              <w:t>Representations and Warranties of Pfizer.</w:t>
            </w:r>
          </w:p>
        </w:tc>
        <w:tc>
          <w:tcPr>
            <w:tcW w:w="21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8.4.</w:t>
            </w:r>
          </w:p>
        </w:tc>
        <w:tc>
          <w:tcPr>
            <w:tcW w:w="8500" w:type="dxa"/>
            <w:vAlign w:val="bottom"/>
          </w:tcPr>
          <w:p>
            <w:pPr>
              <w:ind w:left="60"/>
              <w:spacing w:after="0"/>
              <w:rPr>
                <w:sz w:val="20"/>
                <w:szCs w:val="20"/>
                <w:color w:val="auto"/>
              </w:rPr>
            </w:pPr>
            <w:r>
              <w:rPr>
                <w:rFonts w:ascii="Arial" w:cs="Arial" w:eastAsia="Arial" w:hAnsi="Arial"/>
                <w:sz w:val="14"/>
                <w:szCs w:val="14"/>
                <w:color w:val="auto"/>
              </w:rPr>
              <w:t>MacroGenics Covenants.</w:t>
            </w:r>
          </w:p>
        </w:tc>
        <w:tc>
          <w:tcPr>
            <w:tcW w:w="21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8.5.</w:t>
            </w:r>
          </w:p>
        </w:tc>
        <w:tc>
          <w:tcPr>
            <w:tcW w:w="8500" w:type="dxa"/>
            <w:vAlign w:val="bottom"/>
          </w:tcPr>
          <w:p>
            <w:pPr>
              <w:ind w:left="60"/>
              <w:spacing w:after="0"/>
              <w:rPr>
                <w:sz w:val="20"/>
                <w:szCs w:val="20"/>
                <w:color w:val="auto"/>
              </w:rPr>
            </w:pPr>
            <w:r>
              <w:rPr>
                <w:rFonts w:ascii="Arial" w:cs="Arial" w:eastAsia="Arial" w:hAnsi="Arial"/>
                <w:sz w:val="14"/>
                <w:szCs w:val="14"/>
                <w:color w:val="auto"/>
              </w:rPr>
              <w:t>Representation by Legal Counsel.</w:t>
            </w:r>
          </w:p>
        </w:tc>
        <w:tc>
          <w:tcPr>
            <w:tcW w:w="21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8.6.</w:t>
            </w:r>
          </w:p>
        </w:tc>
        <w:tc>
          <w:tcPr>
            <w:tcW w:w="8500" w:type="dxa"/>
            <w:vAlign w:val="bottom"/>
          </w:tcPr>
          <w:p>
            <w:pPr>
              <w:ind w:left="60"/>
              <w:spacing w:after="0"/>
              <w:rPr>
                <w:sz w:val="20"/>
                <w:szCs w:val="20"/>
                <w:color w:val="auto"/>
              </w:rPr>
            </w:pPr>
            <w:r>
              <w:rPr>
                <w:rFonts w:ascii="Arial" w:cs="Arial" w:eastAsia="Arial" w:hAnsi="Arial"/>
                <w:sz w:val="14"/>
                <w:szCs w:val="14"/>
                <w:color w:val="auto"/>
              </w:rPr>
              <w:t>Disclaimer.</w:t>
            </w:r>
          </w:p>
        </w:tc>
        <w:tc>
          <w:tcPr>
            <w:tcW w:w="2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240" w:type="dxa"/>
            <w:vAlign w:val="bottom"/>
          </w:tcPr>
          <w:p>
            <w:pPr>
              <w:spacing w:after="0"/>
              <w:rPr>
                <w:sz w:val="20"/>
                <w:szCs w:val="20"/>
                <w:color w:val="auto"/>
              </w:rPr>
            </w:pPr>
            <w:r>
              <w:rPr>
                <w:rFonts w:ascii="Arial" w:cs="Arial" w:eastAsia="Arial" w:hAnsi="Arial"/>
                <w:sz w:val="14"/>
                <w:szCs w:val="14"/>
                <w:color w:val="auto"/>
              </w:rPr>
              <w:t>9.</w:t>
            </w:r>
          </w:p>
        </w:tc>
        <w:tc>
          <w:tcPr>
            <w:tcW w:w="8960" w:type="dxa"/>
            <w:vAlign w:val="bottom"/>
            <w:gridSpan w:val="2"/>
          </w:tcPr>
          <w:p>
            <w:pPr>
              <w:ind w:left="60"/>
              <w:spacing w:after="0"/>
              <w:rPr>
                <w:sz w:val="20"/>
                <w:szCs w:val="20"/>
                <w:color w:val="auto"/>
              </w:rPr>
            </w:pPr>
            <w:r>
              <w:rPr>
                <w:rFonts w:ascii="Arial" w:cs="Arial" w:eastAsia="Arial" w:hAnsi="Arial"/>
                <w:sz w:val="14"/>
                <w:szCs w:val="14"/>
                <w:color w:val="auto"/>
              </w:rPr>
              <w:t>GOVERNMENT APPROVALS; TERM AND TERMINATION.</w:t>
            </w:r>
          </w:p>
        </w:tc>
        <w:tc>
          <w:tcPr>
            <w:tcW w:w="2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9.1.</w:t>
            </w:r>
          </w:p>
        </w:tc>
        <w:tc>
          <w:tcPr>
            <w:tcW w:w="8500" w:type="dxa"/>
            <w:vAlign w:val="bottom"/>
          </w:tcPr>
          <w:p>
            <w:pPr>
              <w:ind w:left="60"/>
              <w:spacing w:after="0"/>
              <w:rPr>
                <w:sz w:val="20"/>
                <w:szCs w:val="20"/>
                <w:color w:val="auto"/>
              </w:rPr>
            </w:pPr>
            <w:r>
              <w:rPr>
                <w:rFonts w:ascii="Arial" w:cs="Arial" w:eastAsia="Arial" w:hAnsi="Arial"/>
                <w:sz w:val="14"/>
                <w:szCs w:val="14"/>
                <w:color w:val="auto"/>
              </w:rPr>
              <w:t>Government Approvals.</w:t>
            </w:r>
          </w:p>
        </w:tc>
        <w:tc>
          <w:tcPr>
            <w:tcW w:w="2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9.2.</w:t>
            </w:r>
          </w:p>
        </w:tc>
        <w:tc>
          <w:tcPr>
            <w:tcW w:w="8500" w:type="dxa"/>
            <w:vAlign w:val="bottom"/>
          </w:tcPr>
          <w:p>
            <w:pPr>
              <w:ind w:left="60"/>
              <w:spacing w:after="0"/>
              <w:rPr>
                <w:sz w:val="20"/>
                <w:szCs w:val="20"/>
                <w:color w:val="auto"/>
              </w:rPr>
            </w:pPr>
            <w:r>
              <w:rPr>
                <w:rFonts w:ascii="Arial" w:cs="Arial" w:eastAsia="Arial" w:hAnsi="Arial"/>
                <w:sz w:val="14"/>
                <w:szCs w:val="14"/>
                <w:color w:val="auto"/>
              </w:rPr>
              <w:t>Term.</w:t>
            </w:r>
          </w:p>
        </w:tc>
        <w:tc>
          <w:tcPr>
            <w:tcW w:w="2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9.3.</w:t>
            </w:r>
          </w:p>
        </w:tc>
        <w:tc>
          <w:tcPr>
            <w:tcW w:w="8500" w:type="dxa"/>
            <w:vAlign w:val="bottom"/>
          </w:tcPr>
          <w:p>
            <w:pPr>
              <w:ind w:left="60"/>
              <w:spacing w:after="0"/>
              <w:rPr>
                <w:sz w:val="20"/>
                <w:szCs w:val="20"/>
                <w:color w:val="auto"/>
              </w:rPr>
            </w:pPr>
            <w:r>
              <w:rPr>
                <w:rFonts w:ascii="Arial" w:cs="Arial" w:eastAsia="Arial" w:hAnsi="Arial"/>
                <w:sz w:val="14"/>
                <w:szCs w:val="14"/>
                <w:color w:val="auto"/>
              </w:rPr>
              <w:t>Termination by Either Party for Cause.</w:t>
            </w:r>
          </w:p>
        </w:tc>
        <w:tc>
          <w:tcPr>
            <w:tcW w:w="2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9.4.</w:t>
            </w:r>
          </w:p>
        </w:tc>
        <w:tc>
          <w:tcPr>
            <w:tcW w:w="8500" w:type="dxa"/>
            <w:vAlign w:val="bottom"/>
          </w:tcPr>
          <w:p>
            <w:pPr>
              <w:ind w:left="60"/>
              <w:spacing w:after="0"/>
              <w:rPr>
                <w:sz w:val="20"/>
                <w:szCs w:val="20"/>
                <w:color w:val="auto"/>
              </w:rPr>
            </w:pPr>
            <w:r>
              <w:rPr>
                <w:rFonts w:ascii="Arial" w:cs="Arial" w:eastAsia="Arial" w:hAnsi="Arial"/>
                <w:sz w:val="14"/>
                <w:szCs w:val="14"/>
                <w:color w:val="auto"/>
              </w:rPr>
              <w:t>Termination by Pfizer without Cause.</w:t>
            </w:r>
          </w:p>
        </w:tc>
        <w:tc>
          <w:tcPr>
            <w:tcW w:w="2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9.5.</w:t>
            </w:r>
          </w:p>
        </w:tc>
        <w:tc>
          <w:tcPr>
            <w:tcW w:w="8500" w:type="dxa"/>
            <w:vAlign w:val="bottom"/>
          </w:tcPr>
          <w:p>
            <w:pPr>
              <w:ind w:left="60"/>
              <w:spacing w:after="0"/>
              <w:rPr>
                <w:sz w:val="20"/>
                <w:szCs w:val="20"/>
                <w:color w:val="auto"/>
              </w:rPr>
            </w:pPr>
            <w:r>
              <w:rPr>
                <w:rFonts w:ascii="Arial" w:cs="Arial" w:eastAsia="Arial" w:hAnsi="Arial"/>
                <w:sz w:val="14"/>
                <w:szCs w:val="14"/>
                <w:color w:val="auto"/>
              </w:rPr>
              <w:t>Effects of Termination.</w:t>
            </w:r>
          </w:p>
        </w:tc>
        <w:tc>
          <w:tcPr>
            <w:tcW w:w="21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9.6.</w:t>
            </w:r>
          </w:p>
        </w:tc>
        <w:tc>
          <w:tcPr>
            <w:tcW w:w="8500" w:type="dxa"/>
            <w:vAlign w:val="bottom"/>
          </w:tcPr>
          <w:p>
            <w:pPr>
              <w:ind w:left="60"/>
              <w:spacing w:after="0"/>
              <w:rPr>
                <w:sz w:val="20"/>
                <w:szCs w:val="20"/>
                <w:color w:val="auto"/>
              </w:rPr>
            </w:pPr>
            <w:r>
              <w:rPr>
                <w:rFonts w:ascii="Arial" w:cs="Arial" w:eastAsia="Arial" w:hAnsi="Arial"/>
                <w:sz w:val="14"/>
                <w:szCs w:val="14"/>
                <w:color w:val="auto"/>
              </w:rPr>
              <w:t>Disposition of Inventories of Products.</w:t>
            </w:r>
          </w:p>
        </w:tc>
        <w:tc>
          <w:tcPr>
            <w:tcW w:w="21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9.7.</w:t>
            </w:r>
          </w:p>
        </w:tc>
        <w:tc>
          <w:tcPr>
            <w:tcW w:w="8500" w:type="dxa"/>
            <w:vAlign w:val="bottom"/>
          </w:tcPr>
          <w:p>
            <w:pPr>
              <w:ind w:left="60"/>
              <w:spacing w:after="0"/>
              <w:rPr>
                <w:sz w:val="20"/>
                <w:szCs w:val="20"/>
                <w:color w:val="auto"/>
              </w:rPr>
            </w:pPr>
            <w:r>
              <w:rPr>
                <w:rFonts w:ascii="Arial" w:cs="Arial" w:eastAsia="Arial" w:hAnsi="Arial"/>
                <w:sz w:val="14"/>
                <w:szCs w:val="14"/>
                <w:color w:val="auto"/>
              </w:rPr>
              <w:t>Survival of Certain Obligations.</w:t>
            </w:r>
          </w:p>
        </w:tc>
        <w:tc>
          <w:tcPr>
            <w:tcW w:w="21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9.8.</w:t>
            </w:r>
          </w:p>
        </w:tc>
        <w:tc>
          <w:tcPr>
            <w:tcW w:w="8500" w:type="dxa"/>
            <w:vAlign w:val="bottom"/>
          </w:tcPr>
          <w:p>
            <w:pPr>
              <w:ind w:left="60"/>
              <w:spacing w:after="0"/>
              <w:rPr>
                <w:sz w:val="20"/>
                <w:szCs w:val="20"/>
                <w:color w:val="auto"/>
              </w:rPr>
            </w:pPr>
            <w:r>
              <w:rPr>
                <w:rFonts w:ascii="Arial" w:cs="Arial" w:eastAsia="Arial" w:hAnsi="Arial"/>
                <w:sz w:val="14"/>
                <w:szCs w:val="14"/>
                <w:color w:val="auto"/>
              </w:rPr>
              <w:t>Right to Termination of Research Project(s) or Research Program by Pfizer upon Change of Control of MacroGenics.</w:t>
            </w:r>
          </w:p>
        </w:tc>
        <w:tc>
          <w:tcPr>
            <w:tcW w:w="21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7"/>
        </w:trPr>
        <w:tc>
          <w:tcPr>
            <w:tcW w:w="240" w:type="dxa"/>
            <w:vAlign w:val="bottom"/>
          </w:tcPr>
          <w:p>
            <w:pPr>
              <w:spacing w:after="0"/>
              <w:rPr>
                <w:sz w:val="20"/>
                <w:szCs w:val="20"/>
                <w:color w:val="auto"/>
              </w:rPr>
            </w:pPr>
            <w:r>
              <w:rPr>
                <w:rFonts w:ascii="Arial" w:cs="Arial" w:eastAsia="Arial" w:hAnsi="Arial"/>
                <w:sz w:val="14"/>
                <w:szCs w:val="14"/>
                <w:color w:val="auto"/>
              </w:rPr>
              <w:t>10.</w:t>
            </w:r>
          </w:p>
        </w:tc>
        <w:tc>
          <w:tcPr>
            <w:tcW w:w="8960" w:type="dxa"/>
            <w:vAlign w:val="bottom"/>
            <w:gridSpan w:val="2"/>
          </w:tcPr>
          <w:p>
            <w:pPr>
              <w:ind w:left="60"/>
              <w:spacing w:after="0"/>
              <w:rPr>
                <w:sz w:val="20"/>
                <w:szCs w:val="20"/>
                <w:color w:val="auto"/>
              </w:rPr>
            </w:pPr>
            <w:r>
              <w:rPr>
                <w:rFonts w:ascii="Arial" w:cs="Arial" w:eastAsia="Arial" w:hAnsi="Arial"/>
                <w:sz w:val="14"/>
                <w:szCs w:val="14"/>
                <w:color w:val="auto"/>
              </w:rPr>
              <w:t>LIMITATION ON LIABILITY, INDEMNIFICATION AND INSURANCE.</w:t>
            </w:r>
          </w:p>
        </w:tc>
        <w:tc>
          <w:tcPr>
            <w:tcW w:w="21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10.1.</w:t>
            </w:r>
          </w:p>
        </w:tc>
        <w:tc>
          <w:tcPr>
            <w:tcW w:w="8500" w:type="dxa"/>
            <w:vAlign w:val="bottom"/>
          </w:tcPr>
          <w:p>
            <w:pPr>
              <w:ind w:left="60"/>
              <w:spacing w:after="0"/>
              <w:rPr>
                <w:sz w:val="20"/>
                <w:szCs w:val="20"/>
                <w:color w:val="auto"/>
              </w:rPr>
            </w:pPr>
            <w:r>
              <w:rPr>
                <w:rFonts w:ascii="Arial" w:cs="Arial" w:eastAsia="Arial" w:hAnsi="Arial"/>
                <w:sz w:val="14"/>
                <w:szCs w:val="14"/>
                <w:color w:val="auto"/>
              </w:rPr>
              <w:t>No Consequential Damages.</w:t>
            </w:r>
          </w:p>
        </w:tc>
        <w:tc>
          <w:tcPr>
            <w:tcW w:w="21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10.2.</w:t>
            </w:r>
          </w:p>
        </w:tc>
        <w:tc>
          <w:tcPr>
            <w:tcW w:w="8500" w:type="dxa"/>
            <w:vAlign w:val="bottom"/>
          </w:tcPr>
          <w:p>
            <w:pPr>
              <w:ind w:left="60"/>
              <w:spacing w:after="0"/>
              <w:rPr>
                <w:sz w:val="20"/>
                <w:szCs w:val="20"/>
                <w:color w:val="auto"/>
              </w:rPr>
            </w:pPr>
            <w:r>
              <w:rPr>
                <w:rFonts w:ascii="Arial" w:cs="Arial" w:eastAsia="Arial" w:hAnsi="Arial"/>
                <w:sz w:val="14"/>
                <w:szCs w:val="14"/>
                <w:color w:val="auto"/>
              </w:rPr>
              <w:t>Indemnification by Pfizer.</w:t>
            </w:r>
          </w:p>
        </w:tc>
        <w:tc>
          <w:tcPr>
            <w:tcW w:w="21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10.3.</w:t>
            </w:r>
          </w:p>
        </w:tc>
        <w:tc>
          <w:tcPr>
            <w:tcW w:w="8500" w:type="dxa"/>
            <w:vAlign w:val="bottom"/>
          </w:tcPr>
          <w:p>
            <w:pPr>
              <w:ind w:left="60"/>
              <w:spacing w:after="0"/>
              <w:rPr>
                <w:sz w:val="20"/>
                <w:szCs w:val="20"/>
                <w:color w:val="auto"/>
              </w:rPr>
            </w:pPr>
            <w:r>
              <w:rPr>
                <w:rFonts w:ascii="Arial" w:cs="Arial" w:eastAsia="Arial" w:hAnsi="Arial"/>
                <w:sz w:val="14"/>
                <w:szCs w:val="14"/>
                <w:color w:val="auto"/>
              </w:rPr>
              <w:t>Indemnification by MacroGenics.</w:t>
            </w:r>
          </w:p>
        </w:tc>
        <w:tc>
          <w:tcPr>
            <w:tcW w:w="21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10.4.</w:t>
            </w:r>
          </w:p>
        </w:tc>
        <w:tc>
          <w:tcPr>
            <w:tcW w:w="8500" w:type="dxa"/>
            <w:vAlign w:val="bottom"/>
          </w:tcPr>
          <w:p>
            <w:pPr>
              <w:ind w:left="60"/>
              <w:spacing w:after="0"/>
              <w:rPr>
                <w:sz w:val="20"/>
                <w:szCs w:val="20"/>
                <w:color w:val="auto"/>
              </w:rPr>
            </w:pPr>
            <w:r>
              <w:rPr>
                <w:rFonts w:ascii="Arial" w:cs="Arial" w:eastAsia="Arial" w:hAnsi="Arial"/>
                <w:sz w:val="14"/>
                <w:szCs w:val="14"/>
                <w:color w:val="auto"/>
              </w:rPr>
              <w:t>Procedure.</w:t>
            </w:r>
          </w:p>
        </w:tc>
        <w:tc>
          <w:tcPr>
            <w:tcW w:w="21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10.5.</w:t>
            </w:r>
          </w:p>
        </w:tc>
        <w:tc>
          <w:tcPr>
            <w:tcW w:w="8500" w:type="dxa"/>
            <w:vAlign w:val="bottom"/>
          </w:tcPr>
          <w:p>
            <w:pPr>
              <w:ind w:left="60"/>
              <w:spacing w:after="0"/>
              <w:rPr>
                <w:sz w:val="20"/>
                <w:szCs w:val="20"/>
                <w:color w:val="auto"/>
              </w:rPr>
            </w:pPr>
            <w:r>
              <w:rPr>
                <w:rFonts w:ascii="Arial" w:cs="Arial" w:eastAsia="Arial" w:hAnsi="Arial"/>
                <w:sz w:val="14"/>
                <w:szCs w:val="14"/>
                <w:color w:val="auto"/>
              </w:rPr>
              <w:t>Insurance.</w:t>
            </w:r>
          </w:p>
        </w:tc>
        <w:tc>
          <w:tcPr>
            <w:tcW w:w="21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7"/>
        </w:trPr>
        <w:tc>
          <w:tcPr>
            <w:tcW w:w="240" w:type="dxa"/>
            <w:vAlign w:val="bottom"/>
          </w:tcPr>
          <w:p>
            <w:pPr>
              <w:spacing w:after="0"/>
              <w:rPr>
                <w:sz w:val="20"/>
                <w:szCs w:val="20"/>
                <w:color w:val="auto"/>
              </w:rPr>
            </w:pPr>
            <w:r>
              <w:rPr>
                <w:rFonts w:ascii="Arial" w:cs="Arial" w:eastAsia="Arial" w:hAnsi="Arial"/>
                <w:sz w:val="14"/>
                <w:szCs w:val="14"/>
                <w:color w:val="auto"/>
              </w:rPr>
              <w:t>11.</w:t>
            </w:r>
          </w:p>
        </w:tc>
        <w:tc>
          <w:tcPr>
            <w:tcW w:w="8960" w:type="dxa"/>
            <w:vAlign w:val="bottom"/>
            <w:gridSpan w:val="2"/>
          </w:tcPr>
          <w:p>
            <w:pPr>
              <w:ind w:left="60"/>
              <w:spacing w:after="0"/>
              <w:rPr>
                <w:sz w:val="20"/>
                <w:szCs w:val="20"/>
                <w:color w:val="auto"/>
              </w:rPr>
            </w:pPr>
            <w:r>
              <w:rPr>
                <w:rFonts w:ascii="Arial" w:cs="Arial" w:eastAsia="Arial" w:hAnsi="Arial"/>
                <w:sz w:val="14"/>
                <w:szCs w:val="14"/>
                <w:color w:val="auto"/>
              </w:rPr>
              <w:t>MISCELLANEOUS.</w:t>
            </w:r>
          </w:p>
        </w:tc>
        <w:tc>
          <w:tcPr>
            <w:tcW w:w="21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11.1.</w:t>
            </w:r>
          </w:p>
        </w:tc>
        <w:tc>
          <w:tcPr>
            <w:tcW w:w="8500" w:type="dxa"/>
            <w:vAlign w:val="bottom"/>
          </w:tcPr>
          <w:p>
            <w:pPr>
              <w:ind w:left="60"/>
              <w:spacing w:after="0"/>
              <w:rPr>
                <w:sz w:val="20"/>
                <w:szCs w:val="20"/>
                <w:color w:val="auto"/>
              </w:rPr>
            </w:pPr>
            <w:r>
              <w:rPr>
                <w:rFonts w:ascii="Arial" w:cs="Arial" w:eastAsia="Arial" w:hAnsi="Arial"/>
                <w:sz w:val="14"/>
                <w:szCs w:val="14"/>
                <w:color w:val="auto"/>
              </w:rPr>
              <w:t>Assignment.</w:t>
            </w:r>
          </w:p>
        </w:tc>
        <w:tc>
          <w:tcPr>
            <w:tcW w:w="21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11.2.</w:t>
            </w:r>
          </w:p>
        </w:tc>
        <w:tc>
          <w:tcPr>
            <w:tcW w:w="8500" w:type="dxa"/>
            <w:vAlign w:val="bottom"/>
          </w:tcPr>
          <w:p>
            <w:pPr>
              <w:ind w:left="60"/>
              <w:spacing w:after="0"/>
              <w:rPr>
                <w:sz w:val="20"/>
                <w:szCs w:val="20"/>
                <w:color w:val="auto"/>
              </w:rPr>
            </w:pPr>
            <w:r>
              <w:rPr>
                <w:rFonts w:ascii="Arial" w:cs="Arial" w:eastAsia="Arial" w:hAnsi="Arial"/>
                <w:sz w:val="14"/>
                <w:szCs w:val="14"/>
                <w:color w:val="auto"/>
              </w:rPr>
              <w:t>Further Actions.</w:t>
            </w:r>
          </w:p>
        </w:tc>
        <w:tc>
          <w:tcPr>
            <w:tcW w:w="21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11.3.</w:t>
            </w:r>
          </w:p>
        </w:tc>
        <w:tc>
          <w:tcPr>
            <w:tcW w:w="8500" w:type="dxa"/>
            <w:vAlign w:val="bottom"/>
          </w:tcPr>
          <w:p>
            <w:pPr>
              <w:ind w:left="60"/>
              <w:spacing w:after="0"/>
              <w:rPr>
                <w:sz w:val="20"/>
                <w:szCs w:val="20"/>
                <w:color w:val="auto"/>
              </w:rPr>
            </w:pPr>
            <w:r>
              <w:rPr>
                <w:rFonts w:ascii="Arial" w:cs="Arial" w:eastAsia="Arial" w:hAnsi="Arial"/>
                <w:sz w:val="14"/>
                <w:szCs w:val="14"/>
                <w:color w:val="auto"/>
              </w:rPr>
              <w:t>Force Majeure.</w:t>
            </w:r>
          </w:p>
        </w:tc>
        <w:tc>
          <w:tcPr>
            <w:tcW w:w="21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11.4.</w:t>
            </w:r>
          </w:p>
        </w:tc>
        <w:tc>
          <w:tcPr>
            <w:tcW w:w="8500" w:type="dxa"/>
            <w:vAlign w:val="bottom"/>
          </w:tcPr>
          <w:p>
            <w:pPr>
              <w:ind w:left="60"/>
              <w:spacing w:after="0"/>
              <w:rPr>
                <w:sz w:val="20"/>
                <w:szCs w:val="20"/>
                <w:color w:val="auto"/>
              </w:rPr>
            </w:pPr>
            <w:r>
              <w:rPr>
                <w:rFonts w:ascii="Arial" w:cs="Arial" w:eastAsia="Arial" w:hAnsi="Arial"/>
                <w:sz w:val="14"/>
                <w:szCs w:val="14"/>
                <w:color w:val="auto"/>
              </w:rPr>
              <w:t>Notices.</w:t>
            </w:r>
          </w:p>
        </w:tc>
        <w:tc>
          <w:tcPr>
            <w:tcW w:w="21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11.5.</w:t>
            </w:r>
          </w:p>
        </w:tc>
        <w:tc>
          <w:tcPr>
            <w:tcW w:w="8500" w:type="dxa"/>
            <w:vAlign w:val="bottom"/>
          </w:tcPr>
          <w:p>
            <w:pPr>
              <w:ind w:left="60"/>
              <w:spacing w:after="0"/>
              <w:rPr>
                <w:sz w:val="20"/>
                <w:szCs w:val="20"/>
                <w:color w:val="auto"/>
              </w:rPr>
            </w:pPr>
            <w:r>
              <w:rPr>
                <w:rFonts w:ascii="Arial" w:cs="Arial" w:eastAsia="Arial" w:hAnsi="Arial"/>
                <w:sz w:val="14"/>
                <w:szCs w:val="14"/>
                <w:color w:val="auto"/>
              </w:rPr>
              <w:t>Amendment.</w:t>
            </w:r>
          </w:p>
        </w:tc>
        <w:tc>
          <w:tcPr>
            <w:tcW w:w="2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11.6.</w:t>
            </w:r>
          </w:p>
        </w:tc>
        <w:tc>
          <w:tcPr>
            <w:tcW w:w="8500" w:type="dxa"/>
            <w:vAlign w:val="bottom"/>
          </w:tcPr>
          <w:p>
            <w:pPr>
              <w:ind w:left="60"/>
              <w:spacing w:after="0"/>
              <w:rPr>
                <w:sz w:val="20"/>
                <w:szCs w:val="20"/>
                <w:color w:val="auto"/>
              </w:rPr>
            </w:pPr>
            <w:r>
              <w:rPr>
                <w:rFonts w:ascii="Arial" w:cs="Arial" w:eastAsia="Arial" w:hAnsi="Arial"/>
                <w:sz w:val="14"/>
                <w:szCs w:val="14"/>
                <w:color w:val="auto"/>
              </w:rPr>
              <w:t>Waiver.</w:t>
            </w:r>
          </w:p>
        </w:tc>
        <w:tc>
          <w:tcPr>
            <w:tcW w:w="2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11.7.</w:t>
            </w:r>
          </w:p>
        </w:tc>
        <w:tc>
          <w:tcPr>
            <w:tcW w:w="8500" w:type="dxa"/>
            <w:vAlign w:val="bottom"/>
          </w:tcPr>
          <w:p>
            <w:pPr>
              <w:ind w:left="60"/>
              <w:spacing w:after="0"/>
              <w:rPr>
                <w:sz w:val="20"/>
                <w:szCs w:val="20"/>
                <w:color w:val="auto"/>
              </w:rPr>
            </w:pPr>
            <w:r>
              <w:rPr>
                <w:rFonts w:ascii="Arial" w:cs="Arial" w:eastAsia="Arial" w:hAnsi="Arial"/>
                <w:sz w:val="14"/>
                <w:szCs w:val="14"/>
                <w:color w:val="auto"/>
              </w:rPr>
              <w:t>Severability.</w:t>
            </w:r>
          </w:p>
        </w:tc>
        <w:tc>
          <w:tcPr>
            <w:tcW w:w="2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11.8.</w:t>
            </w:r>
          </w:p>
        </w:tc>
        <w:tc>
          <w:tcPr>
            <w:tcW w:w="8500" w:type="dxa"/>
            <w:vAlign w:val="bottom"/>
          </w:tcPr>
          <w:p>
            <w:pPr>
              <w:ind w:left="60"/>
              <w:spacing w:after="0"/>
              <w:rPr>
                <w:sz w:val="20"/>
                <w:szCs w:val="20"/>
                <w:color w:val="auto"/>
              </w:rPr>
            </w:pPr>
            <w:r>
              <w:rPr>
                <w:rFonts w:ascii="Arial" w:cs="Arial" w:eastAsia="Arial" w:hAnsi="Arial"/>
                <w:sz w:val="14"/>
                <w:szCs w:val="14"/>
                <w:color w:val="auto"/>
              </w:rPr>
              <w:t>Descriptive Headings.</w:t>
            </w:r>
          </w:p>
        </w:tc>
        <w:tc>
          <w:tcPr>
            <w:tcW w:w="2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11.9.</w:t>
            </w:r>
          </w:p>
        </w:tc>
        <w:tc>
          <w:tcPr>
            <w:tcW w:w="8500" w:type="dxa"/>
            <w:vAlign w:val="bottom"/>
          </w:tcPr>
          <w:p>
            <w:pPr>
              <w:ind w:left="60"/>
              <w:spacing w:after="0"/>
              <w:rPr>
                <w:sz w:val="20"/>
                <w:szCs w:val="20"/>
                <w:color w:val="auto"/>
              </w:rPr>
            </w:pPr>
            <w:r>
              <w:rPr>
                <w:rFonts w:ascii="Arial" w:cs="Arial" w:eastAsia="Arial" w:hAnsi="Arial"/>
                <w:sz w:val="14"/>
                <w:szCs w:val="14"/>
                <w:color w:val="auto"/>
              </w:rPr>
              <w:t>Dispute Resolution.</w:t>
            </w:r>
          </w:p>
        </w:tc>
        <w:tc>
          <w:tcPr>
            <w:tcW w:w="21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7"/>
              </w:rPr>
              <w:t>11.10.</w:t>
            </w:r>
          </w:p>
        </w:tc>
        <w:tc>
          <w:tcPr>
            <w:tcW w:w="8500" w:type="dxa"/>
            <w:vAlign w:val="bottom"/>
          </w:tcPr>
          <w:p>
            <w:pPr>
              <w:ind w:left="60"/>
              <w:spacing w:after="0"/>
              <w:rPr>
                <w:sz w:val="20"/>
                <w:szCs w:val="20"/>
                <w:color w:val="auto"/>
              </w:rPr>
            </w:pPr>
            <w:r>
              <w:rPr>
                <w:rFonts w:ascii="Arial" w:cs="Arial" w:eastAsia="Arial" w:hAnsi="Arial"/>
                <w:sz w:val="14"/>
                <w:szCs w:val="14"/>
                <w:color w:val="auto"/>
              </w:rPr>
              <w:t>Governing Law.</w:t>
            </w:r>
          </w:p>
        </w:tc>
        <w:tc>
          <w:tcPr>
            <w:tcW w:w="21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7"/>
              </w:rPr>
              <w:t>11.11.</w:t>
            </w:r>
          </w:p>
        </w:tc>
        <w:tc>
          <w:tcPr>
            <w:tcW w:w="8500" w:type="dxa"/>
            <w:vAlign w:val="bottom"/>
          </w:tcPr>
          <w:p>
            <w:pPr>
              <w:ind w:left="60"/>
              <w:spacing w:after="0"/>
              <w:rPr>
                <w:sz w:val="20"/>
                <w:szCs w:val="20"/>
                <w:color w:val="auto"/>
              </w:rPr>
            </w:pPr>
            <w:r>
              <w:rPr>
                <w:rFonts w:ascii="Arial" w:cs="Arial" w:eastAsia="Arial" w:hAnsi="Arial"/>
                <w:sz w:val="14"/>
                <w:szCs w:val="14"/>
                <w:color w:val="auto"/>
              </w:rPr>
              <w:t>Consent to Jurisdiction.</w:t>
            </w:r>
          </w:p>
        </w:tc>
        <w:tc>
          <w:tcPr>
            <w:tcW w:w="21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7"/>
              </w:rPr>
              <w:t>11.12.</w:t>
            </w:r>
          </w:p>
        </w:tc>
        <w:tc>
          <w:tcPr>
            <w:tcW w:w="8500" w:type="dxa"/>
            <w:vAlign w:val="bottom"/>
          </w:tcPr>
          <w:p>
            <w:pPr>
              <w:ind w:left="60"/>
              <w:spacing w:after="0"/>
              <w:rPr>
                <w:sz w:val="20"/>
                <w:szCs w:val="20"/>
                <w:color w:val="auto"/>
              </w:rPr>
            </w:pPr>
            <w:r>
              <w:rPr>
                <w:rFonts w:ascii="Arial" w:cs="Arial" w:eastAsia="Arial" w:hAnsi="Arial"/>
                <w:sz w:val="14"/>
                <w:szCs w:val="14"/>
                <w:color w:val="auto"/>
              </w:rPr>
              <w:t>Entire Agreement.</w:t>
            </w:r>
          </w:p>
        </w:tc>
        <w:tc>
          <w:tcPr>
            <w:tcW w:w="21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7"/>
              </w:rPr>
              <w:t>11.13.</w:t>
            </w:r>
          </w:p>
        </w:tc>
        <w:tc>
          <w:tcPr>
            <w:tcW w:w="8500" w:type="dxa"/>
            <w:vAlign w:val="bottom"/>
          </w:tcPr>
          <w:p>
            <w:pPr>
              <w:ind w:left="60"/>
              <w:spacing w:after="0"/>
              <w:rPr>
                <w:sz w:val="20"/>
                <w:szCs w:val="20"/>
                <w:color w:val="auto"/>
              </w:rPr>
            </w:pPr>
            <w:r>
              <w:rPr>
                <w:rFonts w:ascii="Arial" w:cs="Arial" w:eastAsia="Arial" w:hAnsi="Arial"/>
                <w:sz w:val="14"/>
                <w:szCs w:val="14"/>
                <w:color w:val="auto"/>
              </w:rPr>
              <w:t>Independent Contractors.</w:t>
            </w:r>
          </w:p>
        </w:tc>
        <w:tc>
          <w:tcPr>
            <w:tcW w:w="21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2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7"/>
              </w:rPr>
              <w:t>11.14.</w:t>
            </w:r>
          </w:p>
        </w:tc>
        <w:tc>
          <w:tcPr>
            <w:tcW w:w="8500" w:type="dxa"/>
            <w:vAlign w:val="bottom"/>
          </w:tcPr>
          <w:p>
            <w:pPr>
              <w:ind w:left="60"/>
              <w:spacing w:after="0"/>
              <w:rPr>
                <w:sz w:val="20"/>
                <w:szCs w:val="20"/>
                <w:color w:val="auto"/>
              </w:rPr>
            </w:pPr>
            <w:r>
              <w:rPr>
                <w:rFonts w:ascii="Arial" w:cs="Arial" w:eastAsia="Arial" w:hAnsi="Arial"/>
                <w:sz w:val="14"/>
                <w:szCs w:val="14"/>
                <w:color w:val="auto"/>
              </w:rPr>
              <w:t>Counterparts.</w:t>
            </w:r>
          </w:p>
        </w:tc>
        <w:tc>
          <w:tcPr>
            <w:tcW w:w="21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73"/>
        </w:trPr>
        <w:tc>
          <w:tcPr>
            <w:tcW w:w="24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7"/>
              </w:rPr>
              <w:t>11.15.</w:t>
            </w:r>
          </w:p>
        </w:tc>
        <w:tc>
          <w:tcPr>
            <w:tcW w:w="8500" w:type="dxa"/>
            <w:vAlign w:val="bottom"/>
          </w:tcPr>
          <w:p>
            <w:pPr>
              <w:ind w:left="60"/>
              <w:spacing w:after="0"/>
              <w:rPr>
                <w:sz w:val="20"/>
                <w:szCs w:val="20"/>
                <w:color w:val="auto"/>
              </w:rPr>
            </w:pPr>
            <w:r>
              <w:rPr>
                <w:rFonts w:ascii="Arial" w:cs="Arial" w:eastAsia="Arial" w:hAnsi="Arial"/>
                <w:sz w:val="14"/>
                <w:szCs w:val="14"/>
                <w:color w:val="auto"/>
              </w:rPr>
              <w:t>No Third Party Rights or Obligations.</w:t>
            </w:r>
          </w:p>
        </w:tc>
        <w:tc>
          <w:tcPr>
            <w:tcW w:w="2180" w:type="dxa"/>
            <w:vAlign w:val="bottom"/>
          </w:tcPr>
          <w:p>
            <w:pPr>
              <w:jc w:val="right"/>
              <w:spacing w:after="0"/>
              <w:rPr>
                <w:sz w:val="20"/>
                <w:szCs w:val="20"/>
                <w:color w:val="auto"/>
              </w:rPr>
            </w:pPr>
            <w:r>
              <w:rPr>
                <w:rFonts w:ascii="Arial" w:cs="Arial" w:eastAsia="Arial" w:hAnsi="Arial"/>
                <w:sz w:val="14"/>
                <w:szCs w:val="14"/>
                <w:color w:val="auto"/>
              </w:rPr>
              <w:t>67</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316470" cy="3302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4"/>
          <w:szCs w:val="14"/>
          <w:color w:val="auto"/>
        </w:rPr>
        <w:t>ii</w:t>
      </w:r>
    </w:p>
    <w:p>
      <w:pPr>
        <w:spacing w:after="0" w:line="12" w:lineRule="exact"/>
        <w:rPr>
          <w:sz w:val="20"/>
          <w:szCs w:val="20"/>
          <w:color w:val="auto"/>
        </w:rPr>
      </w:pPr>
    </w:p>
    <w:p>
      <w:pPr>
        <w:ind w:left="3840" w:right="2620" w:hanging="1135"/>
        <w:spacing w:after="0" w:line="341" w:lineRule="auto"/>
        <w:tabs>
          <w:tab w:leader="none" w:pos="2944" w:val="left"/>
        </w:tabs>
        <w:numPr>
          <w:ilvl w:val="0"/>
          <w:numId w:val="104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80"/>
          </w:cols>
          <w:pgMar w:left="220" w:top="247" w:right="299" w:bottom="1440" w:gutter="0" w:footer="0" w:header="0"/>
        </w:sectPr>
      </w:pPr>
    </w:p>
    <w:bookmarkStart w:id="868" w:name="page869"/>
    <w:bookmarkEnd w:id="868"/>
    <w:p>
      <w:pPr>
        <w:ind w:left="54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EXHIBITS</w:t>
      </w:r>
    </w:p>
    <w:p>
      <w:pPr>
        <w:sectPr>
          <w:pgSz w:w="11900" w:h="16838" w:orient="portrait"/>
          <w:cols w:equalWidth="0" w:num="1">
            <w:col w:w="10239"/>
          </w:cols>
          <w:pgMar w:left="220" w:top="245" w:right="1440" w:bottom="1440" w:gutter="0" w:footer="0" w:header="0"/>
        </w:sectPr>
      </w:pPr>
    </w:p>
    <w:p>
      <w:pPr>
        <w:spacing w:after="0" w:line="165" w:lineRule="exact"/>
        <w:rPr>
          <w:sz w:val="20"/>
          <w:szCs w:val="20"/>
          <w:color w:val="auto"/>
        </w:rPr>
      </w:pPr>
    </w:p>
    <w:p>
      <w:pPr>
        <w:jc w:val="both"/>
        <w:spacing w:after="0" w:line="351" w:lineRule="auto"/>
        <w:rPr>
          <w:sz w:val="20"/>
          <w:szCs w:val="20"/>
          <w:color w:val="auto"/>
        </w:rPr>
      </w:pPr>
      <w:r>
        <w:rPr>
          <w:rFonts w:ascii="Arial" w:cs="Arial" w:eastAsia="Arial" w:hAnsi="Arial"/>
          <w:sz w:val="12"/>
          <w:szCs w:val="12"/>
          <w:color w:val="auto"/>
        </w:rPr>
        <w:t>Exhibit 2.3.1 Exhibit 7.3.1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Form of Research Plans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Press Release</w:t>
      </w:r>
    </w:p>
    <w:p>
      <w:pPr>
        <w:spacing w:after="0" w:line="115" w:lineRule="exact"/>
        <w:rPr>
          <w:sz w:val="20"/>
          <w:szCs w:val="20"/>
          <w:color w:val="auto"/>
        </w:rPr>
      </w:pPr>
    </w:p>
    <w:p>
      <w:pPr>
        <w:sectPr>
          <w:pgSz w:w="11900" w:h="16838" w:orient="portrait"/>
          <w:cols w:equalWidth="0" w:num="2">
            <w:col w:w="700" w:space="560"/>
            <w:col w:w="8979"/>
          </w:cols>
          <w:pgMar w:left="220" w:top="245" w:right="1440" w:bottom="1440" w:gutter="0" w:footer="0" w:header="0"/>
          <w:type w:val="continuous"/>
        </w:sectPr>
      </w:pPr>
    </w:p>
    <w:p>
      <w:pPr>
        <w:ind w:left="5720"/>
        <w:spacing w:after="0"/>
        <w:rPr>
          <w:sz w:val="20"/>
          <w:szCs w:val="20"/>
          <w:color w:val="auto"/>
        </w:rPr>
      </w:pPr>
      <w:r>
        <w:rPr>
          <w:rFonts w:ascii="Arial" w:cs="Arial" w:eastAsia="Arial" w:hAnsi="Arial"/>
          <w:sz w:val="14"/>
          <w:szCs w:val="14"/>
          <w:color w:val="auto"/>
        </w:rPr>
        <w:t>i</w:t>
      </w:r>
    </w:p>
    <w:p>
      <w:pPr>
        <w:spacing w:after="0" w:line="12" w:lineRule="exact"/>
        <w:rPr>
          <w:sz w:val="20"/>
          <w:szCs w:val="20"/>
          <w:color w:val="auto"/>
        </w:rPr>
      </w:pPr>
    </w:p>
    <w:p>
      <w:pPr>
        <w:ind w:left="3840" w:right="1479" w:hanging="1135"/>
        <w:spacing w:after="0" w:line="341" w:lineRule="auto"/>
        <w:tabs>
          <w:tab w:leader="none" w:pos="2944" w:val="left"/>
        </w:tabs>
        <w:numPr>
          <w:ilvl w:val="0"/>
          <w:numId w:val="104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type w:val="continuous"/>
        </w:sectPr>
      </w:pPr>
    </w:p>
    <w:bookmarkStart w:id="869" w:name="page870"/>
    <w:bookmarkEnd w:id="869"/>
    <w:p>
      <w:pPr>
        <w:ind w:left="53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SCHEDULES</w:t>
      </w:r>
    </w:p>
    <w:p>
      <w:pPr>
        <w:sectPr>
          <w:pgSz w:w="11900" w:h="16838" w:orient="portrait"/>
          <w:cols w:equalWidth="0" w:num="1">
            <w:col w:w="10239"/>
          </w:cols>
          <w:pgMar w:left="220" w:top="245" w:right="1440" w:bottom="1440" w:gutter="0" w:footer="0" w:header="0"/>
        </w:sectPr>
      </w:pPr>
    </w:p>
    <w:p>
      <w:pPr>
        <w:spacing w:after="0" w:line="188"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Schedule 1.19 Schedule 1.34 Schedule 1.80 Schedule 1.125 Schedule 2.10 Schedule 8.2.3 Schedule 8.2.8 Schedule 8.2.13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MacroGenics Subcontractors and Services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Patent Rights of MacroGenics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Funding Agreements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Litigation</w:t>
      </w:r>
    </w:p>
    <w:p>
      <w:pPr>
        <w:spacing w:after="0" w:line="115" w:lineRule="exact"/>
        <w:rPr>
          <w:sz w:val="20"/>
          <w:szCs w:val="20"/>
          <w:color w:val="auto"/>
        </w:rPr>
      </w:pPr>
    </w:p>
    <w:p>
      <w:pPr>
        <w:sectPr>
          <w:pgSz w:w="11900" w:h="16838" w:orient="portrait"/>
          <w:cols w:equalWidth="0" w:num="2">
            <w:col w:w="880" w:space="620"/>
            <w:col w:w="8739"/>
          </w:cols>
          <w:pgMar w:left="220" w:top="245" w:right="1440" w:bottom="1440" w:gutter="0" w:footer="0" w:header="0"/>
          <w:type w:val="continuous"/>
        </w:sectPr>
      </w:pPr>
    </w:p>
    <w:p>
      <w:pPr>
        <w:ind w:left="5700"/>
        <w:spacing w:after="0"/>
        <w:rPr>
          <w:sz w:val="20"/>
          <w:szCs w:val="20"/>
          <w:color w:val="auto"/>
        </w:rPr>
      </w:pPr>
      <w:r>
        <w:rPr>
          <w:rFonts w:ascii="Arial" w:cs="Arial" w:eastAsia="Arial" w:hAnsi="Arial"/>
          <w:sz w:val="14"/>
          <w:szCs w:val="14"/>
          <w:color w:val="auto"/>
        </w:rPr>
        <w:t>ii</w:t>
      </w:r>
    </w:p>
    <w:p>
      <w:pPr>
        <w:spacing w:after="0" w:line="12"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 = Portions of this exhibit have been omitted pursuant to a request for confidential treatment. An unredacted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version of this exhibit has been filed separately with the Commission.</w:t>
      </w:r>
    </w:p>
    <w:p>
      <w:pPr>
        <w:sectPr>
          <w:pgSz w:w="11900" w:h="16838" w:orient="portrait"/>
          <w:cols w:equalWidth="0" w:num="1">
            <w:col w:w="10239"/>
          </w:cols>
          <w:pgMar w:left="220" w:top="245" w:right="1440" w:bottom="1440" w:gutter="0" w:footer="0" w:header="0"/>
          <w:type w:val="continuous"/>
        </w:sectPr>
      </w:pPr>
    </w:p>
    <w:bookmarkStart w:id="870" w:name="page871"/>
    <w:bookmarkEnd w:id="87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RESEARCH COLLABORATION AND LICENSE AGREEMENT</w:t>
      </w:r>
    </w:p>
    <w:p>
      <w:pPr>
        <w:spacing w:after="0" w:line="132" w:lineRule="exact"/>
        <w:rPr>
          <w:sz w:val="20"/>
          <w:szCs w:val="20"/>
          <w:color w:val="auto"/>
        </w:rPr>
      </w:pPr>
    </w:p>
    <w:p>
      <w:pPr>
        <w:ind w:right="180" w:firstLine="458"/>
        <w:spacing w:after="0" w:line="256" w:lineRule="auto"/>
        <w:rPr>
          <w:sz w:val="20"/>
          <w:szCs w:val="20"/>
          <w:color w:val="auto"/>
        </w:rPr>
      </w:pPr>
      <w:r>
        <w:rPr>
          <w:rFonts w:ascii="Arial" w:cs="Arial" w:eastAsia="Arial" w:hAnsi="Arial"/>
          <w:sz w:val="14"/>
          <w:szCs w:val="14"/>
          <w:color w:val="auto"/>
        </w:rPr>
        <w:t>This Research Collaboration and License Agreement (the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as of October 13, 2010 (the “</w:t>
      </w:r>
      <w:r>
        <w:rPr>
          <w:rFonts w:ascii="Arial" w:cs="Arial" w:eastAsia="Arial" w:hAnsi="Arial"/>
          <w:sz w:val="14"/>
          <w:szCs w:val="14"/>
          <w:b w:val="1"/>
          <w:bCs w:val="1"/>
          <w:color w:val="auto"/>
        </w:rPr>
        <w:t>Effective Date</w:t>
      </w:r>
      <w:r>
        <w:rPr>
          <w:rFonts w:ascii="Arial" w:cs="Arial" w:eastAsia="Arial" w:hAnsi="Arial"/>
          <w:sz w:val="14"/>
          <w:szCs w:val="14"/>
          <w:color w:val="auto"/>
        </w:rPr>
        <w:t>”), by and among Pfizer, Inc., a corporation organized and existing under the laws of the State of Delaware and having a place of business at 500 Arcola Road, Collegeville, Pennsylvania 19426, United States (“</w:t>
      </w:r>
      <w:r>
        <w:rPr>
          <w:rFonts w:ascii="Arial" w:cs="Arial" w:eastAsia="Arial" w:hAnsi="Arial"/>
          <w:sz w:val="14"/>
          <w:szCs w:val="14"/>
          <w:b w:val="1"/>
          <w:bCs w:val="1"/>
          <w:color w:val="auto"/>
        </w:rPr>
        <w:t>Pfizer</w:t>
      </w:r>
      <w:r>
        <w:rPr>
          <w:rFonts w:ascii="Arial" w:cs="Arial" w:eastAsia="Arial" w:hAnsi="Arial"/>
          <w:sz w:val="14"/>
          <w:szCs w:val="14"/>
          <w:color w:val="auto"/>
        </w:rPr>
        <w:t>”) and MacroGenics, Inc., a corporation organized and existing under the laws of the State of Delaware and having a place of business at 1500 East Gude Drive, Rockville, MD 20850 (“</w:t>
      </w:r>
      <w:r>
        <w:rPr>
          <w:rFonts w:ascii="Arial" w:cs="Arial" w:eastAsia="Arial" w:hAnsi="Arial"/>
          <w:sz w:val="14"/>
          <w:szCs w:val="14"/>
          <w:b w:val="1"/>
          <w:bCs w:val="1"/>
          <w:color w:val="auto"/>
        </w:rPr>
        <w:t>MacroGenics</w:t>
      </w:r>
      <w:r>
        <w:rPr>
          <w:rFonts w:ascii="Arial" w:cs="Arial" w:eastAsia="Arial" w:hAnsi="Arial"/>
          <w:sz w:val="14"/>
          <w:szCs w:val="14"/>
          <w:color w:val="auto"/>
        </w:rPr>
        <w:t>”). Pfizer and MacroGenics may each be referred to herein individually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Pfizer is engaged in the research, development and commercialization of pharmaceutical and health care products;</w:t>
      </w:r>
    </w:p>
    <w:p>
      <w:pPr>
        <w:spacing w:after="0" w:line="132"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WHEREAS, MacroGenics has developed a T-DART platform, which is focused on dual specificity “antibody-like” therapeutic proteins capable of targeting both immune effector cells and other cells with a single recombinant molecule, and certain intellectual property useful in connection with the application of such T-DART platform; and</w:t>
      </w:r>
    </w:p>
    <w:p>
      <w:pPr>
        <w:spacing w:after="0" w:line="101"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WHEREAS, Pfizer and MacroGenics desire to collaborate to discover and research T-DARTs active against certain designated targets and to provide for Pfizer to further research, develop, manufacture and commercialize such T-DARTs and products containing such T-DARTs, as provided for herein.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NOW THEREFORE, in consideration of the mutual promises and covenants set forth below and other good and valuable consideration, the receipt and sufficiency of which is hereby acknowledged,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Parties hereby agree as follows:</w:t>
      </w:r>
    </w:p>
    <w:p>
      <w:pPr>
        <w:spacing w:after="0" w:line="218" w:lineRule="exact"/>
        <w:rPr>
          <w:sz w:val="20"/>
          <w:szCs w:val="20"/>
          <w:color w:val="auto"/>
        </w:rPr>
      </w:pPr>
    </w:p>
    <w:p>
      <w:pPr>
        <w:ind w:left="460" w:hanging="456"/>
        <w:spacing w:after="0"/>
        <w:tabs>
          <w:tab w:leader="none" w:pos="460" w:val="left"/>
        </w:tabs>
        <w:numPr>
          <w:ilvl w:val="0"/>
          <w:numId w:val="1046"/>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p>
    <w:p>
      <w:pPr>
        <w:spacing w:after="0" w:line="71" w:lineRule="exact"/>
        <w:rPr>
          <w:sz w:val="20"/>
          <w:szCs w:val="20"/>
          <w:color w:val="auto"/>
        </w:rPr>
      </w:pPr>
    </w:p>
    <w:p>
      <w:pPr>
        <w:ind w:right="480" w:firstLine="458"/>
        <w:spacing w:after="0" w:line="267" w:lineRule="auto"/>
        <w:rPr>
          <w:sz w:val="20"/>
          <w:szCs w:val="20"/>
          <w:color w:val="auto"/>
        </w:rPr>
      </w:pPr>
      <w:r>
        <w:rPr>
          <w:rFonts w:ascii="Arial" w:cs="Arial" w:eastAsia="Arial" w:hAnsi="Arial"/>
          <w:sz w:val="14"/>
          <w:szCs w:val="14"/>
          <w:color w:val="auto"/>
        </w:rPr>
        <w:t>When used in this Agreement, the following capitalized terms shall have the meanings set forth in this Section 1. Any terms defined elsewhere in this Agreement shall be given equal weight and importance as though set forth in Section 1.</w:t>
      </w:r>
    </w:p>
    <w:p>
      <w:pPr>
        <w:spacing w:after="0" w:line="3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Additional Third Party Licenses</w:t>
      </w:r>
      <w:r>
        <w:rPr>
          <w:rFonts w:ascii="Arial" w:cs="Arial" w:eastAsia="Arial" w:hAnsi="Arial"/>
          <w:sz w:val="12"/>
          <w:szCs w:val="12"/>
          <w:color w:val="auto"/>
        </w:rPr>
        <w:t>” is defined in Section 5.4.3(b).</w:t>
      </w:r>
    </w:p>
    <w:p>
      <w:pPr>
        <w:spacing w:after="0" w:line="69" w:lineRule="exact"/>
        <w:rPr>
          <w:sz w:val="20"/>
          <w:szCs w:val="20"/>
          <w:color w:val="auto"/>
        </w:rPr>
      </w:pPr>
    </w:p>
    <w:p>
      <w:pPr>
        <w:ind w:left="460"/>
        <w:spacing w:after="0" w:line="254" w:lineRule="auto"/>
        <w:rPr>
          <w:sz w:val="20"/>
          <w:szCs w:val="20"/>
          <w:color w:val="auto"/>
        </w:rPr>
      </w:pPr>
      <w:r>
        <w:rPr>
          <w:rFonts w:ascii="Arial" w:cs="Arial" w:eastAsia="Arial" w:hAnsi="Arial"/>
          <w:sz w:val="14"/>
          <w:szCs w:val="14"/>
          <w:color w:val="auto"/>
        </w:rPr>
        <w:t>1.2. “</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that controls, is controlled by or is under common control with such Person. A Person shall be regarded as in control of another entity if it owns or controls at least fifty percent (50%) of the equity securities of the subject entity entitled to vote in the election of directors (or, in the case of an entity that is not a corporation, for the election of the corresponding managing authority), provided, however, that the term “Affiliate” shall not include subsidiaries or other entities in which a Party or its Affiliates owns a majority of the ordinary voting power necessary to elect a majority of the board of directors or other managing authority, but is restricted from electing such majority by contract or otherwise, until such time as such restrictions are no longer in effect.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12" w:lineRule="exact"/>
        <w:rPr>
          <w:sz w:val="20"/>
          <w:szCs w:val="20"/>
          <w:color w:val="auto"/>
        </w:rPr>
      </w:pPr>
    </w:p>
    <w:p>
      <w:pPr>
        <w:ind w:left="3840" w:right="2700" w:hanging="1135"/>
        <w:spacing w:after="0" w:line="341" w:lineRule="auto"/>
        <w:tabs>
          <w:tab w:leader="none" w:pos="2944" w:val="left"/>
        </w:tabs>
        <w:numPr>
          <w:ilvl w:val="0"/>
          <w:numId w:val="104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871" w:name="page872"/>
    <w:bookmarkEnd w:id="87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1.3. “</w:t>
      </w:r>
      <w:r>
        <w:rPr>
          <w:rFonts w:ascii="Arial" w:cs="Arial" w:eastAsia="Arial" w:hAnsi="Arial"/>
          <w:sz w:val="14"/>
          <w:szCs w:val="14"/>
          <w:b w:val="1"/>
          <w:bCs w:val="1"/>
          <w:color w:val="auto"/>
        </w:rPr>
        <w:t>Agreement</w:t>
      </w:r>
      <w:r>
        <w:rPr>
          <w:rFonts w:ascii="Arial" w:cs="Arial" w:eastAsia="Arial" w:hAnsi="Arial"/>
          <w:sz w:val="14"/>
          <w:szCs w:val="14"/>
          <w:color w:val="auto"/>
        </w:rPr>
        <w:t>” is defined in the introduction to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1.4. “</w:t>
      </w:r>
      <w:r>
        <w:rPr>
          <w:rFonts w:ascii="Arial" w:cs="Arial" w:eastAsia="Arial" w:hAnsi="Arial"/>
          <w:sz w:val="14"/>
          <w:szCs w:val="14"/>
          <w:b w:val="1"/>
          <w:bCs w:val="1"/>
          <w:color w:val="auto"/>
        </w:rPr>
        <w:t>Agreement Product</w:t>
      </w:r>
      <w:r>
        <w:rPr>
          <w:rFonts w:ascii="Arial" w:cs="Arial" w:eastAsia="Arial" w:hAnsi="Arial"/>
          <w:sz w:val="14"/>
          <w:szCs w:val="14"/>
          <w:color w:val="auto"/>
        </w:rPr>
        <w:t>” means any product containing an Agreement T-DART.</w:t>
      </w:r>
    </w:p>
    <w:p>
      <w:pPr>
        <w:spacing w:after="0" w:line="69"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1.5. “</w:t>
      </w:r>
      <w:r>
        <w:rPr>
          <w:rFonts w:ascii="Arial" w:cs="Arial" w:eastAsia="Arial" w:hAnsi="Arial"/>
          <w:sz w:val="14"/>
          <w:szCs w:val="14"/>
          <w:b w:val="1"/>
          <w:bCs w:val="1"/>
          <w:color w:val="auto"/>
        </w:rPr>
        <w:t>Agreement T-DART</w:t>
      </w:r>
      <w:r>
        <w:rPr>
          <w:rFonts w:ascii="Arial" w:cs="Arial" w:eastAsia="Arial" w:hAnsi="Arial"/>
          <w:sz w:val="14"/>
          <w:szCs w:val="14"/>
          <w:color w:val="auto"/>
        </w:rPr>
        <w:t>” means any T-DART that is identified during the course of the Research Program as binding to a Research Project Target, including any portion, fragment or subunit thereof, and any modified or derivative form of any of the foregoing, and the nucleic acid sequence encoding for any of the foregoing.</w:t>
      </w:r>
    </w:p>
    <w:p>
      <w:pPr>
        <w:spacing w:after="0" w:line="35" w:lineRule="exact"/>
        <w:rPr>
          <w:sz w:val="20"/>
          <w:szCs w:val="20"/>
          <w:color w:val="auto"/>
        </w:rPr>
      </w:pPr>
    </w:p>
    <w:p>
      <w:pPr>
        <w:ind w:right="240"/>
        <w:spacing w:after="0" w:line="322" w:lineRule="auto"/>
        <w:rPr>
          <w:sz w:val="20"/>
          <w:szCs w:val="20"/>
          <w:color w:val="auto"/>
        </w:rPr>
      </w:pPr>
      <w:r>
        <w:rPr>
          <w:rFonts w:ascii="Arial" w:cs="Arial" w:eastAsia="Arial" w:hAnsi="Arial"/>
          <w:sz w:val="12"/>
          <w:szCs w:val="12"/>
          <w:color w:val="auto"/>
        </w:rPr>
        <w:t>1.6. “</w:t>
      </w:r>
      <w:r>
        <w:rPr>
          <w:rFonts w:ascii="Arial" w:cs="Arial" w:eastAsia="Arial" w:hAnsi="Arial"/>
          <w:sz w:val="12"/>
          <w:szCs w:val="12"/>
          <w:b w:val="1"/>
          <w:bCs w:val="1"/>
          <w:color w:val="auto"/>
        </w:rPr>
        <w:t>Agreement T-DART IP</w:t>
      </w:r>
      <w:r>
        <w:rPr>
          <w:rFonts w:ascii="Arial" w:cs="Arial" w:eastAsia="Arial" w:hAnsi="Arial"/>
          <w:sz w:val="12"/>
          <w:szCs w:val="12"/>
          <w:color w:val="auto"/>
        </w:rPr>
        <w:t>” means any invention that constitutes or comprises the composition or formulation of, or any method of manufacture or use of, any Agreement T-DART or Agreement Product and that is invented by MacroGenics or any of its Affiliates, or any Subcontractor of MacroGenics or any of its Affiliates, solely or jointly with Pfizer or any of its Affiliates, or any Subcontractor of Pfizer or any of its Affiliates, in the conduct of the Research Program during the Research Term, and excluding any invention included in the Pfizer Material Improvements.</w:t>
      </w:r>
    </w:p>
    <w:p>
      <w:pPr>
        <w:spacing w:after="0" w:line="9" w:lineRule="exact"/>
        <w:rPr>
          <w:sz w:val="20"/>
          <w:szCs w:val="20"/>
          <w:color w:val="auto"/>
        </w:rPr>
      </w:pPr>
    </w:p>
    <w:p>
      <w:pPr>
        <w:ind w:right="380"/>
        <w:spacing w:after="0" w:line="270" w:lineRule="auto"/>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color w:val="auto"/>
        </w:rPr>
        <w:t>Agreement T-DART Patent Right</w:t>
      </w:r>
      <w:r>
        <w:rPr>
          <w:rFonts w:ascii="Arial" w:cs="Arial" w:eastAsia="Arial" w:hAnsi="Arial"/>
          <w:sz w:val="14"/>
          <w:szCs w:val="14"/>
          <w:color w:val="auto"/>
        </w:rPr>
        <w:t>” means any Pfizer Patent Right filed after the Effective Date covering or claiming any invention assigned to Pfizer as Agreement T-DART IP pursuant to Section 4.1.2.</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1.8. “</w:t>
      </w:r>
      <w:r>
        <w:rPr>
          <w:rFonts w:ascii="Arial" w:cs="Arial" w:eastAsia="Arial" w:hAnsi="Arial"/>
          <w:sz w:val="14"/>
          <w:szCs w:val="14"/>
          <w:b w:val="1"/>
          <w:bCs w:val="1"/>
          <w:color w:val="auto"/>
        </w:rPr>
        <w:t>Alliance Manager</w:t>
      </w:r>
      <w:r>
        <w:rPr>
          <w:rFonts w:ascii="Arial" w:cs="Arial" w:eastAsia="Arial" w:hAnsi="Arial"/>
          <w:sz w:val="14"/>
          <w:szCs w:val="14"/>
          <w:color w:val="auto"/>
        </w:rPr>
        <w:t>” is defined in Section 2.6.</w:t>
      </w:r>
    </w:p>
    <w:p>
      <w:pPr>
        <w:spacing w:after="0" w:line="69" w:lineRule="exact"/>
        <w:rPr>
          <w:sz w:val="20"/>
          <w:szCs w:val="20"/>
          <w:color w:val="auto"/>
        </w:rPr>
      </w:pPr>
    </w:p>
    <w:p>
      <w:pPr>
        <w:ind w:right="200"/>
        <w:spacing w:after="0" w:line="270"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color w:val="auto"/>
        </w:rPr>
        <w:t>Annual Net Sales</w:t>
      </w:r>
      <w:r>
        <w:rPr>
          <w:rFonts w:ascii="Arial" w:cs="Arial" w:eastAsia="Arial" w:hAnsi="Arial"/>
          <w:sz w:val="14"/>
          <w:szCs w:val="14"/>
          <w:color w:val="auto"/>
        </w:rPr>
        <w:t>” means, with respect to any Agreement Product, the aggregate Net Sales by Pfizer, its Affiliates and its Sublicensees from the sale of such Agreement Product in the Territory during each Pfizer Year of the applicable Royalty Term for such Agreement Product.</w:t>
      </w:r>
    </w:p>
    <w:p>
      <w:pPr>
        <w:spacing w:after="0" w:line="35" w:lineRule="exact"/>
        <w:rPr>
          <w:sz w:val="20"/>
          <w:szCs w:val="20"/>
          <w:color w:val="auto"/>
        </w:rPr>
      </w:pPr>
    </w:p>
    <w:p>
      <w:pPr>
        <w:spacing w:after="0" w:line="322" w:lineRule="auto"/>
        <w:rPr>
          <w:sz w:val="20"/>
          <w:szCs w:val="20"/>
          <w:color w:val="auto"/>
        </w:rPr>
      </w:pPr>
      <w:r>
        <w:rPr>
          <w:rFonts w:ascii="Arial" w:cs="Arial" w:eastAsia="Arial" w:hAnsi="Arial"/>
          <w:sz w:val="12"/>
          <w:szCs w:val="12"/>
          <w:color w:val="auto"/>
        </w:rPr>
        <w:t>1.10. “</w:t>
      </w:r>
      <w:r>
        <w:rPr>
          <w:rFonts w:ascii="Arial" w:cs="Arial" w:eastAsia="Arial" w:hAnsi="Arial"/>
          <w:sz w:val="12"/>
          <w:szCs w:val="12"/>
          <w:b w:val="1"/>
          <w:bCs w:val="1"/>
          <w:color w:val="auto"/>
        </w:rPr>
        <w:t>Antibody</w:t>
      </w:r>
      <w:r>
        <w:rPr>
          <w:rFonts w:ascii="Arial" w:cs="Arial" w:eastAsia="Arial" w:hAnsi="Arial"/>
          <w:sz w:val="12"/>
          <w:szCs w:val="12"/>
          <w:color w:val="auto"/>
        </w:rPr>
        <w:t>” means a molecule which comprises or contains: (a) one or more immunoglobulin variable domains; (b) fragments, variants, modifications or derivatives of such immunoglobulin variable domains irrespective of origin or source; or (c) the nucleic acid consisting of a sequence of nucleotides encoding (or complementary to a nucleic acid encoding) the foregoing molecules in (a) or (b). The term “Antibody” shall include any monospecific antibodies and less than full-length antibody forms such as Fv, Fab, and F(ab’).</w:t>
      </w:r>
    </w:p>
    <w:p>
      <w:pPr>
        <w:spacing w:after="0" w:line="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color w:val="auto"/>
        </w:rPr>
        <w:t>Applicable Law</w:t>
      </w:r>
      <w:r>
        <w:rPr>
          <w:rFonts w:ascii="Arial" w:cs="Arial" w:eastAsia="Arial" w:hAnsi="Arial"/>
          <w:sz w:val="14"/>
          <w:szCs w:val="14"/>
          <w:color w:val="auto"/>
        </w:rPr>
        <w:t>” means the laws, statutes, rules, regulations, guidelines, or other requirements (including Good Manufacturing Practices (“</w:t>
      </w:r>
      <w:r>
        <w:rPr>
          <w:rFonts w:ascii="Arial" w:cs="Arial" w:eastAsia="Arial" w:hAnsi="Arial"/>
          <w:sz w:val="14"/>
          <w:szCs w:val="14"/>
          <w:b w:val="1"/>
          <w:bCs w:val="1"/>
          <w:color w:val="auto"/>
        </w:rPr>
        <w:t>GMP</w:t>
      </w:r>
      <w:r>
        <w:rPr>
          <w:rFonts w:ascii="Arial" w:cs="Arial" w:eastAsia="Arial" w:hAnsi="Arial"/>
          <w:sz w:val="14"/>
          <w:szCs w:val="14"/>
          <w:color w:val="auto"/>
        </w:rPr>
        <w:t>”), Good Laboratory Practices and Good Clinical Practices), that may be in effect from time to time and apply to a Party’s activities to be performed under this Agreement, including any such laws, statutes, rules, regulations, guidelines, or other requirements of the FDA or the EMEA.</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color w:val="auto"/>
        </w:rPr>
        <w:t>Bankruptcy Code</w:t>
      </w:r>
      <w:r>
        <w:rPr>
          <w:rFonts w:ascii="Arial" w:cs="Arial" w:eastAsia="Arial" w:hAnsi="Arial"/>
          <w:sz w:val="14"/>
          <w:szCs w:val="14"/>
          <w:color w:val="auto"/>
        </w:rPr>
        <w:t>” is defined in Section 4.6.</w:t>
      </w:r>
    </w:p>
    <w:p>
      <w:pPr>
        <w:spacing w:after="0" w:line="69"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1.13. “</w:t>
      </w:r>
      <w:r>
        <w:rPr>
          <w:rFonts w:ascii="Arial" w:cs="Arial" w:eastAsia="Arial" w:hAnsi="Arial"/>
          <w:sz w:val="14"/>
          <w:szCs w:val="14"/>
          <w:b w:val="1"/>
          <w:bCs w:val="1"/>
          <w:color w:val="auto"/>
        </w:rPr>
        <w:t>Binding Obligation</w:t>
      </w:r>
      <w:r>
        <w:rPr>
          <w:rFonts w:ascii="Arial" w:cs="Arial" w:eastAsia="Arial" w:hAnsi="Arial"/>
          <w:sz w:val="14"/>
          <w:szCs w:val="14"/>
          <w:color w:val="auto"/>
        </w:rPr>
        <w:t>” means, with respect to a Party (a) any oral or written agreement or arrangement that binds or affects such Party’s operations or property, including any assignment, license agreement, loan agreement, guaranty, or financing</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4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5" w:right="239" w:bottom="1440" w:gutter="0" w:footer="0" w:header="0"/>
        </w:sectPr>
      </w:pPr>
    </w:p>
    <w:bookmarkStart w:id="872" w:name="page873"/>
    <w:bookmarkEnd w:id="872"/>
    <w:p>
      <w:pPr>
        <w:ind w:right="2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agreement; (b) the provisions of such Party’s charter, bylaws or other organizational documents or (c) any order, writ, injunction, decree or judgment of any court or Governmental Authority entered against such Party or by which any of such Party’s operations or property are bound.</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Biosimilar Biologic Product</w:t>
      </w:r>
      <w:r>
        <w:rPr>
          <w:rFonts w:ascii="Arial" w:cs="Arial" w:eastAsia="Arial" w:hAnsi="Arial"/>
          <w:sz w:val="14"/>
          <w:szCs w:val="14"/>
          <w:color w:val="auto"/>
        </w:rPr>
        <w:t>” is defined in Section 5.4.3(b).</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1.15. “</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a Saturday, a Sunday or a day that is a national holiday in the United States.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1.16. “</w:t>
      </w:r>
      <w:r>
        <w:rPr>
          <w:rFonts w:ascii="Arial" w:cs="Arial" w:eastAsia="Arial" w:hAnsi="Arial"/>
          <w:sz w:val="12"/>
          <w:szCs w:val="12"/>
          <w:b w:val="1"/>
          <w:bCs w:val="1"/>
          <w:color w:val="auto"/>
        </w:rPr>
        <w:t>Calendar Quarter</w:t>
      </w:r>
      <w:r>
        <w:rPr>
          <w:rFonts w:ascii="Arial" w:cs="Arial" w:eastAsia="Arial" w:hAnsi="Arial"/>
          <w:sz w:val="12"/>
          <w:szCs w:val="12"/>
          <w:color w:val="auto"/>
        </w:rPr>
        <w:t>” means the respective periods of three (3) consecutive calendar months ending on March 31, June 30, September 30 or December 31, for so long as this Agreement is in effect.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1.17. “</w:t>
      </w:r>
      <w:r>
        <w:rPr>
          <w:rFonts w:ascii="Arial" w:cs="Arial" w:eastAsia="Arial" w:hAnsi="Arial"/>
          <w:sz w:val="14"/>
          <w:szCs w:val="14"/>
          <w:b w:val="1"/>
          <w:bCs w:val="1"/>
          <w:color w:val="auto"/>
        </w:rPr>
        <w:t>Calendar Year</w:t>
      </w:r>
      <w:r>
        <w:rPr>
          <w:rFonts w:ascii="Arial" w:cs="Arial" w:eastAsia="Arial" w:hAnsi="Arial"/>
          <w:sz w:val="14"/>
          <w:szCs w:val="14"/>
          <w:color w:val="auto"/>
        </w:rPr>
        <w:t>” means each successive period of twelve (12) calendar months commencing on January 1 and ending on December 31.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1.18. “</w:t>
      </w:r>
      <w:r>
        <w:rPr>
          <w:rFonts w:ascii="Arial" w:cs="Arial" w:eastAsia="Arial" w:hAnsi="Arial"/>
          <w:sz w:val="14"/>
          <w:szCs w:val="14"/>
          <w:b w:val="1"/>
          <w:bCs w:val="1"/>
          <w:color w:val="auto"/>
        </w:rPr>
        <w:t>CD3</w:t>
      </w:r>
      <w:r>
        <w:rPr>
          <w:rFonts w:ascii="Arial" w:cs="Arial" w:eastAsia="Arial" w:hAnsi="Arial"/>
          <w:sz w:val="14"/>
          <w:szCs w:val="14"/>
          <w:color w:val="auto"/>
        </w:rPr>
        <w:t>” means the complex comprising the epsilon, delta and gamma subunits of the CD3 receptor complex (including any subtypes, alleles, and splice variants).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1.19. </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1.20. “</w:t>
      </w:r>
      <w:r>
        <w:rPr>
          <w:rFonts w:ascii="Arial" w:cs="Arial" w:eastAsia="Arial" w:hAnsi="Arial"/>
          <w:sz w:val="14"/>
          <w:szCs w:val="14"/>
          <w:b w:val="1"/>
          <w:bCs w:val="1"/>
          <w:color w:val="auto"/>
        </w:rPr>
        <w:t>CPI</w:t>
      </w:r>
      <w:r>
        <w:rPr>
          <w:rFonts w:ascii="Arial" w:cs="Arial" w:eastAsia="Arial" w:hAnsi="Arial"/>
          <w:sz w:val="14"/>
          <w:szCs w:val="14"/>
          <w:color w:val="auto"/>
        </w:rPr>
        <w:t>” is defined in Section 1.43.</w:t>
      </w:r>
    </w:p>
    <w:p>
      <w:pPr>
        <w:spacing w:after="0" w:line="69" w:lineRule="exact"/>
        <w:rPr>
          <w:sz w:val="20"/>
          <w:szCs w:val="20"/>
          <w:color w:val="auto"/>
        </w:rPr>
      </w:pPr>
    </w:p>
    <w:p>
      <w:pPr>
        <w:ind w:right="40"/>
        <w:spacing w:after="0" w:line="303" w:lineRule="auto"/>
        <w:rPr>
          <w:sz w:val="20"/>
          <w:szCs w:val="20"/>
          <w:color w:val="auto"/>
        </w:rPr>
      </w:pPr>
      <w:r>
        <w:rPr>
          <w:rFonts w:ascii="Arial" w:cs="Arial" w:eastAsia="Arial" w:hAnsi="Arial"/>
          <w:sz w:val="12"/>
          <w:szCs w:val="12"/>
          <w:color w:val="auto"/>
        </w:rPr>
        <w:t>1.21. “</w:t>
      </w:r>
      <w:r>
        <w:rPr>
          <w:rFonts w:ascii="Arial" w:cs="Arial" w:eastAsia="Arial" w:hAnsi="Arial"/>
          <w:sz w:val="12"/>
          <w:szCs w:val="12"/>
          <w:b w:val="1"/>
          <w:bCs w:val="1"/>
          <w:color w:val="auto"/>
        </w:rPr>
        <w:t>Change of Control</w:t>
      </w:r>
      <w:r>
        <w:rPr>
          <w:rFonts w:ascii="Arial" w:cs="Arial" w:eastAsia="Arial" w:hAnsi="Arial"/>
          <w:sz w:val="12"/>
          <w:szCs w:val="12"/>
          <w:color w:val="auto"/>
        </w:rPr>
        <w:t>” means, with respect to a Party, (a) a merger, reorganization or consolidation of such Party with a Third Party which results in the voting securities of such Party outstanding immediately prior thereto ceasing to represent at least fifty percent (50%) of the combined voting power of the surviving or resulting entity immediately after such merger, reorganization or consolidation, (b) a Third Party becoming the beneficial owner of fifty percent (50%) or more of the combined voting power of the outstanding securities of such Party, or (c) the sale or other transfer to a Third Party of all or substantially all of such Party’s business or assets to which this Agreement relates; provided that, for purposes of subsections (a), (b) and (c), such Third Party or an Affiliate of such Third Party is engaged immediately prior to the Change of Control in the pharmaceutical or biotechnology business and is not a venture capital or other institutional investor. Change of Control shall not include any public offering of the shares of MacroGenics.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1.22. “</w:t>
      </w:r>
      <w:r>
        <w:rPr>
          <w:rFonts w:ascii="Arial" w:cs="Arial" w:eastAsia="Arial" w:hAnsi="Arial"/>
          <w:sz w:val="14"/>
          <w:szCs w:val="14"/>
          <w:b w:val="1"/>
          <w:bCs w:val="1"/>
          <w:color w:val="auto"/>
        </w:rPr>
        <w:t>Combination Product</w:t>
      </w:r>
      <w:r>
        <w:rPr>
          <w:rFonts w:ascii="Arial" w:cs="Arial" w:eastAsia="Arial" w:hAnsi="Arial"/>
          <w:sz w:val="14"/>
          <w:szCs w:val="14"/>
          <w:color w:val="auto"/>
        </w:rPr>
        <w:t>” means an Agreement Product containing an Agreement T-DART and one or more other therapeutically active ingredients.</w:t>
      </w:r>
    </w:p>
    <w:p>
      <w:pPr>
        <w:spacing w:after="0" w:line="69" w:lineRule="exact"/>
        <w:rPr>
          <w:sz w:val="20"/>
          <w:szCs w:val="20"/>
          <w:color w:val="auto"/>
        </w:rPr>
      </w:pPr>
    </w:p>
    <w:p>
      <w:pPr>
        <w:ind w:right="380"/>
        <w:spacing w:after="0" w:line="270" w:lineRule="auto"/>
        <w:rPr>
          <w:sz w:val="20"/>
          <w:szCs w:val="20"/>
          <w:color w:val="auto"/>
        </w:rPr>
      </w:pPr>
      <w:r>
        <w:rPr>
          <w:rFonts w:ascii="Arial" w:cs="Arial" w:eastAsia="Arial" w:hAnsi="Arial"/>
          <w:sz w:val="14"/>
          <w:szCs w:val="14"/>
          <w:color w:val="auto"/>
        </w:rPr>
        <w:t>1.23. “</w:t>
      </w:r>
      <w:r>
        <w:rPr>
          <w:rFonts w:ascii="Arial" w:cs="Arial" w:eastAsia="Arial" w:hAnsi="Arial"/>
          <w:sz w:val="14"/>
          <w:szCs w:val="14"/>
          <w:b w:val="1"/>
          <w:bCs w:val="1"/>
          <w:color w:val="auto"/>
        </w:rPr>
        <w:t>Commercialization</w:t>
      </w:r>
      <w:r>
        <w:rPr>
          <w:rFonts w:ascii="Arial" w:cs="Arial" w:eastAsia="Arial" w:hAnsi="Arial"/>
          <w:sz w:val="14"/>
          <w:szCs w:val="14"/>
          <w:color w:val="auto"/>
        </w:rPr>
        <w:t>” or “</w:t>
      </w:r>
      <w:r>
        <w:rPr>
          <w:rFonts w:ascii="Arial" w:cs="Arial" w:eastAsia="Arial" w:hAnsi="Arial"/>
          <w:sz w:val="14"/>
          <w:szCs w:val="14"/>
          <w:b w:val="1"/>
          <w:bCs w:val="1"/>
          <w:color w:val="auto"/>
        </w:rPr>
        <w:t>Commercialize</w:t>
      </w:r>
      <w:r>
        <w:rPr>
          <w:rFonts w:ascii="Arial" w:cs="Arial" w:eastAsia="Arial" w:hAnsi="Arial"/>
          <w:sz w:val="14"/>
          <w:szCs w:val="14"/>
          <w:color w:val="auto"/>
        </w:rPr>
        <w:t>” means activities directed to marketing, promoting, distributing, importing, exporting, using for commercial purposes or selling or having sold an Agreement Product. Commercialization shall not include any activities related to Manufacturing or Development.</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4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8" w:right="239" w:bottom="1440" w:gutter="0" w:footer="0" w:header="0"/>
        </w:sectPr>
      </w:pPr>
    </w:p>
    <w:bookmarkStart w:id="873" w:name="page874"/>
    <w:bookmarkEnd w:id="873"/>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1.24. “</w:t>
      </w:r>
      <w:r>
        <w:rPr>
          <w:rFonts w:ascii="Arial" w:cs="Arial" w:eastAsia="Arial" w:hAnsi="Arial"/>
          <w:sz w:val="12"/>
          <w:szCs w:val="12"/>
          <w:b w:val="1"/>
          <w:bCs w:val="1"/>
          <w:color w:val="auto"/>
        </w:rPr>
        <w:t>Commercially Reasonable Efforts</w:t>
      </w:r>
      <w:r>
        <w:rPr>
          <w:rFonts w:ascii="Arial" w:cs="Arial" w:eastAsia="Arial" w:hAnsi="Arial"/>
          <w:sz w:val="12"/>
          <w:szCs w:val="12"/>
          <w:color w:val="auto"/>
        </w:rPr>
        <w:t>” means, with respect to the efforts to be expended by a Party with respect to any objective, those reasonable, good faith efforts to accomplish such objective as such Party would normally use to accomplish a similar objective under similar circumstances. With respect to any efforts relating to the Development, Regulatory Approval or Commercialization of an Agreement T-DART or Agreement Product by a Party, generally or with respect to any particular country in the Territory, a Party will be deemed to have exercised Commercially Reasonable Efforts if such Party has exercised those efforts normally used by such Party, in the relevant country, with respect to a compound, product or product candidate, as applicable of similar modality owned or Controlled by such Party, or to which such Party has similar rights, which compound, product or product candidate is of similar market potential in such country, and is at a similar stage in its development or product life cycle as the Agreement T-DART or Agreement Product, taking into account all Relevant Factors in effect at the time such efforts are to be expended. To the extent that the performance of a Party’s obligations hereunder is adversely affected by the other Party’s failure to perform its obligations hereunder, the impact of such performance failure will be taken into account in determining whether such Party has used its Commercially Reasonable Efforts to perform any such affected obligations.</w:t>
      </w:r>
    </w:p>
    <w:p>
      <w:pPr>
        <w:spacing w:after="0" w:line="25"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1.25.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of a Party means all Know-How or other information, including proprietary information and materials (whether or not patentable) regarding such Party’s technology, products, business or objectives, that is communicated in any way or form by the Disclosing Party to the Receiving Party, either prior to or after the Effective Date of this Agreement (including any information disclosed pursuant to the Confidentiality Agreements), and whether or not such Know-How or other information is identified as confidential at the time of disclosure. The terms and conditions of this Agreement shall be considered the Confidential Information of each Party.</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1.26. “</w:t>
      </w:r>
      <w:r>
        <w:rPr>
          <w:rFonts w:ascii="Arial" w:cs="Arial" w:eastAsia="Arial" w:hAnsi="Arial"/>
          <w:sz w:val="14"/>
          <w:szCs w:val="14"/>
          <w:b w:val="1"/>
          <w:bCs w:val="1"/>
          <w:color w:val="auto"/>
        </w:rPr>
        <w:t>Confidentiality Agreements</w:t>
      </w:r>
      <w:r>
        <w:rPr>
          <w:rFonts w:ascii="Arial" w:cs="Arial" w:eastAsia="Arial" w:hAnsi="Arial"/>
          <w:sz w:val="14"/>
          <w:szCs w:val="14"/>
          <w:color w:val="auto"/>
        </w:rPr>
        <w:t xml:space="preserve">” means the Confidentiality Agreements between the Parties dated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69" w:lineRule="exact"/>
        <w:rPr>
          <w:sz w:val="20"/>
          <w:szCs w:val="20"/>
          <w:color w:val="auto"/>
        </w:rPr>
      </w:pPr>
    </w:p>
    <w:p>
      <w:pPr>
        <w:ind w:right="80"/>
        <w:spacing w:after="0" w:line="303" w:lineRule="auto"/>
        <w:rPr>
          <w:sz w:val="20"/>
          <w:szCs w:val="20"/>
          <w:color w:val="auto"/>
        </w:rPr>
      </w:pPr>
      <w:r>
        <w:rPr>
          <w:rFonts w:ascii="Arial" w:cs="Arial" w:eastAsia="Arial" w:hAnsi="Arial"/>
          <w:sz w:val="12"/>
          <w:szCs w:val="12"/>
          <w:color w:val="auto"/>
        </w:rPr>
        <w:t>1.27. “</w:t>
      </w:r>
      <w:r>
        <w:rPr>
          <w:rFonts w:ascii="Arial" w:cs="Arial" w:eastAsia="Arial" w:hAnsi="Arial"/>
          <w:sz w:val="12"/>
          <w:szCs w:val="12"/>
          <w:b w:val="1"/>
          <w:bCs w:val="1"/>
          <w:color w:val="auto"/>
        </w:rPr>
        <w:t>Control</w:t>
      </w:r>
      <w:r>
        <w:rPr>
          <w:rFonts w:ascii="Arial" w:cs="Arial" w:eastAsia="Arial" w:hAnsi="Arial"/>
          <w:sz w:val="12"/>
          <w:szCs w:val="12"/>
          <w:color w:val="auto"/>
        </w:rPr>
        <w:t>” or “</w:t>
      </w:r>
      <w:r>
        <w:rPr>
          <w:rFonts w:ascii="Arial" w:cs="Arial" w:eastAsia="Arial" w:hAnsi="Arial"/>
          <w:sz w:val="12"/>
          <w:szCs w:val="12"/>
          <w:b w:val="1"/>
          <w:bCs w:val="1"/>
          <w:color w:val="auto"/>
        </w:rPr>
        <w:t>Controlled</w:t>
      </w:r>
      <w:r>
        <w:rPr>
          <w:rFonts w:ascii="Arial" w:cs="Arial" w:eastAsia="Arial" w:hAnsi="Arial"/>
          <w:sz w:val="12"/>
          <w:szCs w:val="12"/>
          <w:color w:val="auto"/>
        </w:rPr>
        <w:t>” means, with respect to any (a) item of information, including Know-How, or (b) any other intellectual property right, the possession (whether by ownership interest or license, other than pursuant to this Agreement) by a Party of the ability to grant to the other Party access to or a license under such item or right, as provided herein, without violating the terms of any agreement or other arrangements with any Third Party; provided that any item of information or other intellectual property right that is licensed or acquired by a Party after the Effective Date and that would otherwise be considered to be under the Control of a Party shall not be deemed to be under the Control of such Party if the application of such definition in the context of any licenses or sublicenses granted to the other Party under this Agreement would require the granting Party to make any additional payments or royalties to a Third Party in connection with such license or sublicense grants, unless the other Party agrees to pay all such additional payments or royalties due to such Third Party.</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4</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5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6" w:right="239" w:bottom="1440" w:gutter="0" w:footer="0" w:header="0"/>
        </w:sectPr>
      </w:pPr>
    </w:p>
    <w:bookmarkStart w:id="874" w:name="page875"/>
    <w:bookmarkEnd w:id="874"/>
    <w:p>
      <w:pPr>
        <w:ind w:right="20"/>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1.28. “</w:t>
      </w:r>
      <w:r>
        <w:rPr>
          <w:rFonts w:ascii="Arial" w:cs="Arial" w:eastAsia="Arial" w:hAnsi="Arial"/>
          <w:sz w:val="14"/>
          <w:szCs w:val="14"/>
          <w:b w:val="1"/>
          <w:bCs w:val="1"/>
          <w:color w:val="auto"/>
        </w:rPr>
        <w:t>Develop</w:t>
      </w:r>
      <w:r>
        <w:rPr>
          <w:rFonts w:ascii="Arial" w:cs="Arial" w:eastAsia="Arial" w:hAnsi="Arial"/>
          <w:sz w:val="14"/>
          <w:szCs w:val="14"/>
          <w:color w:val="auto"/>
        </w:rPr>
        <w:t>” or “</w:t>
      </w:r>
      <w:r>
        <w:rPr>
          <w:rFonts w:ascii="Arial" w:cs="Arial" w:eastAsia="Arial" w:hAnsi="Arial"/>
          <w:sz w:val="14"/>
          <w:szCs w:val="14"/>
          <w:b w:val="1"/>
          <w:bCs w:val="1"/>
          <w:color w:val="auto"/>
        </w:rPr>
        <w:t>Development</w:t>
      </w:r>
      <w:r>
        <w:rPr>
          <w:rFonts w:ascii="Arial" w:cs="Arial" w:eastAsia="Arial" w:hAnsi="Arial"/>
          <w:sz w:val="14"/>
          <w:szCs w:val="14"/>
          <w:color w:val="auto"/>
        </w:rPr>
        <w:t>” means to discover, research or otherwise develop a product, including conducting any pre-clinical, non-clinical or clinical research and any drug development activity, including discovery, research, toxicology, pharmacology and other similar efforts, test method development and stability testing, manufacturing process development, formulation development, delivery system development, quality assurance and quality control development, statistical analysis, clinical studies (including pre- and post-approval studies), diagnostic assays in connection with clinical studies, and all activities directed to obtaining any Regulatory Approval, including any marketing, pricing or reimbursement approval. Development shall not include any activities related to Manufacturing or Commercialization.</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1.29. “</w:t>
      </w:r>
      <w:r>
        <w:rPr>
          <w:rFonts w:ascii="Arial" w:cs="Arial" w:eastAsia="Arial" w:hAnsi="Arial"/>
          <w:sz w:val="14"/>
          <w:szCs w:val="14"/>
          <w:b w:val="1"/>
          <w:bCs w:val="1"/>
          <w:color w:val="auto"/>
        </w:rPr>
        <w:t>Development Milestone</w:t>
      </w:r>
      <w:r>
        <w:rPr>
          <w:rFonts w:ascii="Arial" w:cs="Arial" w:eastAsia="Arial" w:hAnsi="Arial"/>
          <w:sz w:val="14"/>
          <w:szCs w:val="14"/>
          <w:color w:val="auto"/>
        </w:rPr>
        <w:t>” is defined in Section 5.3.2.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color w:val="auto"/>
        </w:rPr>
        <w:t>Development Milestone Payment</w:t>
      </w:r>
      <w:r>
        <w:rPr>
          <w:rFonts w:ascii="Arial" w:cs="Arial" w:eastAsia="Arial" w:hAnsi="Arial"/>
          <w:sz w:val="14"/>
          <w:szCs w:val="14"/>
          <w:color w:val="auto"/>
        </w:rPr>
        <w:t>” is defined in Section 5.3.2.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1.31. “</w:t>
      </w:r>
      <w:r>
        <w:rPr>
          <w:rFonts w:ascii="Arial" w:cs="Arial" w:eastAsia="Arial" w:hAnsi="Arial"/>
          <w:sz w:val="14"/>
          <w:szCs w:val="14"/>
          <w:b w:val="1"/>
          <w:bCs w:val="1"/>
          <w:color w:val="auto"/>
        </w:rPr>
        <w:t>Diligence Issue</w:t>
      </w:r>
      <w:r>
        <w:rPr>
          <w:rFonts w:ascii="Arial" w:cs="Arial" w:eastAsia="Arial" w:hAnsi="Arial"/>
          <w:sz w:val="14"/>
          <w:szCs w:val="14"/>
          <w:color w:val="auto"/>
        </w:rPr>
        <w:t>” is defined in Section 3.2.4.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1.32. “</w:t>
      </w:r>
      <w:r>
        <w:rPr>
          <w:rFonts w:ascii="Arial" w:cs="Arial" w:eastAsia="Arial" w:hAnsi="Arial"/>
          <w:sz w:val="14"/>
          <w:szCs w:val="14"/>
          <w:b w:val="1"/>
          <w:bCs w:val="1"/>
          <w:color w:val="auto"/>
        </w:rPr>
        <w:t>Disclosing Party</w:t>
      </w:r>
      <w:r>
        <w:rPr>
          <w:rFonts w:ascii="Arial" w:cs="Arial" w:eastAsia="Arial" w:hAnsi="Arial"/>
          <w:sz w:val="14"/>
          <w:szCs w:val="14"/>
          <w:color w:val="auto"/>
        </w:rPr>
        <w:t>” is defined in Section 7.1.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1.33. “</w:t>
      </w:r>
      <w:r>
        <w:rPr>
          <w:rFonts w:ascii="Arial" w:cs="Arial" w:eastAsia="Arial" w:hAnsi="Arial"/>
          <w:sz w:val="14"/>
          <w:szCs w:val="14"/>
          <w:b w:val="1"/>
          <w:bCs w:val="1"/>
          <w:color w:val="auto"/>
        </w:rPr>
        <w:t>Effective Date</w:t>
      </w:r>
      <w:r>
        <w:rPr>
          <w:rFonts w:ascii="Arial" w:cs="Arial" w:eastAsia="Arial" w:hAnsi="Arial"/>
          <w:sz w:val="14"/>
          <w:szCs w:val="14"/>
          <w:color w:val="auto"/>
        </w:rPr>
        <w:t>” is defined in the introduction to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1.34. </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1.35. “</w:t>
      </w:r>
      <w:r>
        <w:rPr>
          <w:rFonts w:ascii="Arial" w:cs="Arial" w:eastAsia="Arial" w:hAnsi="Arial"/>
          <w:sz w:val="14"/>
          <w:szCs w:val="14"/>
          <w:b w:val="1"/>
          <w:bCs w:val="1"/>
          <w:color w:val="auto"/>
        </w:rPr>
        <w:t>EMEA</w:t>
      </w:r>
      <w:r>
        <w:rPr>
          <w:rFonts w:ascii="Arial" w:cs="Arial" w:eastAsia="Arial" w:hAnsi="Arial"/>
          <w:sz w:val="14"/>
          <w:szCs w:val="14"/>
          <w:color w:val="auto"/>
        </w:rPr>
        <w:t>” means the European Medicines Agency, or any successor agency thereto.</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1.36. “</w:t>
      </w:r>
      <w:r>
        <w:rPr>
          <w:rFonts w:ascii="Arial" w:cs="Arial" w:eastAsia="Arial" w:hAnsi="Arial"/>
          <w:sz w:val="12"/>
          <w:szCs w:val="12"/>
          <w:b w:val="1"/>
          <w:bCs w:val="1"/>
          <w:color w:val="auto"/>
        </w:rPr>
        <w:t>FD&amp;C Act</w:t>
      </w:r>
      <w:r>
        <w:rPr>
          <w:rFonts w:ascii="Arial" w:cs="Arial" w:eastAsia="Arial" w:hAnsi="Arial"/>
          <w:sz w:val="12"/>
          <w:szCs w:val="12"/>
          <w:color w:val="auto"/>
        </w:rPr>
        <w:t>” means the United States Federal Food, Drug, and Cosmetic Act (21 U.S.C. § 301 et seq.), as amended, and the rules and regulations promulgated thereunder.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1.37. “</w:t>
      </w:r>
      <w:r>
        <w:rPr>
          <w:rFonts w:ascii="Arial" w:cs="Arial" w:eastAsia="Arial" w:hAnsi="Arial"/>
          <w:sz w:val="14"/>
          <w:szCs w:val="14"/>
          <w:b w:val="1"/>
          <w:bCs w:val="1"/>
          <w:color w:val="auto"/>
        </w:rPr>
        <w:t>FDA</w:t>
      </w:r>
      <w:r>
        <w:rPr>
          <w:rFonts w:ascii="Arial" w:cs="Arial" w:eastAsia="Arial" w:hAnsi="Arial"/>
          <w:sz w:val="14"/>
          <w:szCs w:val="14"/>
          <w:color w:val="auto"/>
        </w:rPr>
        <w:t>” means the United States Food and Drug Administration or any successor agency thereto.</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1.38. “</w:t>
      </w:r>
      <w:r>
        <w:rPr>
          <w:rFonts w:ascii="Arial" w:cs="Arial" w:eastAsia="Arial" w:hAnsi="Arial"/>
          <w:sz w:val="14"/>
          <w:szCs w:val="14"/>
          <w:b w:val="1"/>
          <w:bCs w:val="1"/>
          <w:color w:val="auto"/>
        </w:rPr>
        <w:t>Field</w:t>
      </w:r>
      <w:r>
        <w:rPr>
          <w:rFonts w:ascii="Arial" w:cs="Arial" w:eastAsia="Arial" w:hAnsi="Arial"/>
          <w:sz w:val="14"/>
          <w:szCs w:val="14"/>
          <w:color w:val="auto"/>
        </w:rPr>
        <w:t xml:space="preserve">” means all human and veterinary therapeutic, diagnostic, prophylactic and prognostic purposes, provided, however, that for so long as MacroGenics has obligations under, and solely to the extent required in order for MacroGenics not to be in violation of its obligations under, </w:t>
      </w:r>
      <w:r>
        <w:rPr>
          <w:rFonts w:ascii="Arial" w:cs="Arial" w:eastAsia="Arial" w:hAnsi="Arial"/>
          <w:sz w:val="14"/>
          <w:szCs w:val="14"/>
          <w:b w:val="1"/>
          <w:bCs w:val="1"/>
          <w:color w:val="auto"/>
        </w:rPr>
        <w:t>***</w:t>
      </w:r>
      <w:r>
        <w:rPr>
          <w:rFonts w:ascii="Arial" w:cs="Arial" w:eastAsia="Arial" w:hAnsi="Arial"/>
          <w:sz w:val="14"/>
          <w:szCs w:val="14"/>
          <w:color w:val="auto"/>
        </w:rPr>
        <w:t xml:space="preserve">, the “Field” shall not include the Development or Commercialization of any Agreement T-DART or Agreement Product that binds to CD3 and is intended to be Developed or Commercialized </w:t>
      </w:r>
      <w:r>
        <w:rPr>
          <w:rFonts w:ascii="Arial" w:cs="Arial" w:eastAsia="Arial" w:hAnsi="Arial"/>
          <w:sz w:val="14"/>
          <w:szCs w:val="14"/>
          <w:b w:val="1"/>
          <w:bCs w:val="1"/>
          <w:color w:val="auto"/>
        </w:rPr>
        <w:t>*** ***</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1.39. “</w:t>
      </w:r>
      <w:r>
        <w:rPr>
          <w:rFonts w:ascii="Arial" w:cs="Arial" w:eastAsia="Arial" w:hAnsi="Arial"/>
          <w:sz w:val="14"/>
          <w:szCs w:val="14"/>
          <w:b w:val="1"/>
          <w:bCs w:val="1"/>
          <w:color w:val="auto"/>
        </w:rPr>
        <w:t>First Commercial Sale</w:t>
      </w:r>
      <w:r>
        <w:rPr>
          <w:rFonts w:ascii="Arial" w:cs="Arial" w:eastAsia="Arial" w:hAnsi="Arial"/>
          <w:sz w:val="14"/>
          <w:szCs w:val="14"/>
          <w:color w:val="auto"/>
        </w:rPr>
        <w:t>” means, with respect to any Agreement Product and any country of the world, the first sale of such Agreement Product under this Agreement by Pfizer, its Affiliates or its Sublicensees to a Third Party in such country, after such Agreement Product has been granted Regulatory Marketing Approval by the competent Regulatory Authorities in such country. When used without reference to a specified Indication, First Commercial Sale means the First Commercial Sale for any Indication.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1.40. “</w:t>
      </w:r>
      <w:r>
        <w:rPr>
          <w:rFonts w:ascii="Arial" w:cs="Arial" w:eastAsia="Arial" w:hAnsi="Arial"/>
          <w:sz w:val="14"/>
          <w:szCs w:val="14"/>
          <w:b w:val="1"/>
          <w:bCs w:val="1"/>
          <w:color w:val="auto"/>
        </w:rPr>
        <w:t>First Research Project Target</w:t>
      </w:r>
      <w:r>
        <w:rPr>
          <w:rFonts w:ascii="Arial" w:cs="Arial" w:eastAsia="Arial" w:hAnsi="Arial"/>
          <w:sz w:val="14"/>
          <w:szCs w:val="14"/>
          <w:color w:val="auto"/>
        </w:rPr>
        <w:t>” is defined in Section 2.1.1.</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w:t>
      </w:r>
    </w:p>
    <w:p>
      <w:pPr>
        <w:spacing w:after="0" w:line="12" w:lineRule="exact"/>
        <w:rPr>
          <w:sz w:val="20"/>
          <w:szCs w:val="20"/>
          <w:color w:val="auto"/>
        </w:rPr>
      </w:pPr>
    </w:p>
    <w:p>
      <w:pPr>
        <w:ind w:left="3380" w:right="2640" w:hanging="1135"/>
        <w:spacing w:after="0" w:line="341" w:lineRule="auto"/>
        <w:tabs>
          <w:tab w:leader="none" w:pos="2484" w:val="left"/>
        </w:tabs>
        <w:numPr>
          <w:ilvl w:val="0"/>
          <w:numId w:val="105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40"/>
          </w:cols>
          <w:pgMar w:left="680" w:top="246" w:right="279" w:bottom="1440" w:gutter="0" w:footer="0" w:header="0"/>
        </w:sectPr>
      </w:pPr>
    </w:p>
    <w:bookmarkStart w:id="875" w:name="page876"/>
    <w:bookmarkEnd w:id="87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1.41. “</w:t>
      </w:r>
      <w:r>
        <w:rPr>
          <w:rFonts w:ascii="Arial" w:cs="Arial" w:eastAsia="Arial" w:hAnsi="Arial"/>
          <w:sz w:val="14"/>
          <w:szCs w:val="14"/>
          <w:b w:val="1"/>
          <w:bCs w:val="1"/>
          <w:color w:val="auto"/>
        </w:rPr>
        <w:t>Foregone Agreement T-DART Patent Right</w:t>
      </w:r>
      <w:r>
        <w:rPr>
          <w:rFonts w:ascii="Arial" w:cs="Arial" w:eastAsia="Arial" w:hAnsi="Arial"/>
          <w:sz w:val="14"/>
          <w:szCs w:val="14"/>
          <w:color w:val="auto"/>
        </w:rPr>
        <w:t>” is defined 6.2.1(b).</w:t>
      </w:r>
    </w:p>
    <w:p>
      <w:pPr>
        <w:spacing w:after="0" w:line="69" w:lineRule="exact"/>
        <w:rPr>
          <w:sz w:val="20"/>
          <w:szCs w:val="20"/>
          <w:color w:val="auto"/>
        </w:rPr>
      </w:pPr>
    </w:p>
    <w:p>
      <w:pPr>
        <w:ind w:right="200"/>
        <w:spacing w:after="0" w:line="270" w:lineRule="auto"/>
        <w:rPr>
          <w:sz w:val="20"/>
          <w:szCs w:val="20"/>
          <w:color w:val="auto"/>
        </w:rPr>
      </w:pPr>
      <w:r>
        <w:rPr>
          <w:rFonts w:ascii="Arial" w:cs="Arial" w:eastAsia="Arial" w:hAnsi="Arial"/>
          <w:sz w:val="14"/>
          <w:szCs w:val="14"/>
          <w:color w:val="auto"/>
        </w:rPr>
        <w:t>1.42. “</w:t>
      </w:r>
      <w:r>
        <w:rPr>
          <w:rFonts w:ascii="Arial" w:cs="Arial" w:eastAsia="Arial" w:hAnsi="Arial"/>
          <w:sz w:val="14"/>
          <w:szCs w:val="14"/>
          <w:b w:val="1"/>
          <w:bCs w:val="1"/>
          <w:color w:val="auto"/>
        </w:rPr>
        <w:t>FTE</w:t>
      </w:r>
      <w:r>
        <w:rPr>
          <w:rFonts w:ascii="Arial" w:cs="Arial" w:eastAsia="Arial" w:hAnsi="Arial"/>
          <w:sz w:val="14"/>
          <w:szCs w:val="14"/>
          <w:color w:val="auto"/>
        </w:rPr>
        <w:t xml:space="preserve">” means a full time equivalent scientific person </w:t>
      </w:r>
      <w:r>
        <w:rPr>
          <w:rFonts w:ascii="Arial" w:cs="Arial" w:eastAsia="Arial" w:hAnsi="Arial"/>
          <w:sz w:val="14"/>
          <w:szCs w:val="14"/>
          <w:b w:val="1"/>
          <w:bCs w:val="1"/>
          <w:color w:val="auto"/>
        </w:rPr>
        <w:t>*** ***</w:t>
      </w:r>
      <w:r>
        <w:rPr>
          <w:rFonts w:ascii="Arial" w:cs="Arial" w:eastAsia="Arial" w:hAnsi="Arial"/>
          <w:sz w:val="14"/>
          <w:szCs w:val="14"/>
          <w:color w:val="auto"/>
        </w:rPr>
        <w:t xml:space="preserve"> year, consisting of a minimum of a total of </w:t>
      </w:r>
      <w:r>
        <w:rPr>
          <w:rFonts w:ascii="Arial" w:cs="Arial" w:eastAsia="Arial" w:hAnsi="Arial"/>
          <w:sz w:val="14"/>
          <w:szCs w:val="14"/>
          <w:b w:val="1"/>
          <w:bCs w:val="1"/>
          <w:color w:val="auto"/>
        </w:rPr>
        <w:t>***</w:t>
      </w:r>
      <w:r>
        <w:rPr>
          <w:rFonts w:ascii="Arial" w:cs="Arial" w:eastAsia="Arial" w:hAnsi="Arial"/>
          <w:sz w:val="14"/>
          <w:szCs w:val="14"/>
          <w:color w:val="auto"/>
        </w:rPr>
        <w:t xml:space="preserve"> of scientific work directly related to and in support of the Research Program by an employee or full-time contractor or consultant of MacroGenics or any of its Affiliates.</w:t>
      </w:r>
    </w:p>
    <w:p>
      <w:pPr>
        <w:spacing w:after="0" w:line="35" w:lineRule="exact"/>
        <w:rPr>
          <w:sz w:val="20"/>
          <w:szCs w:val="20"/>
          <w:color w:val="auto"/>
        </w:rPr>
      </w:pPr>
    </w:p>
    <w:p>
      <w:pPr>
        <w:spacing w:after="0" w:line="322" w:lineRule="auto"/>
        <w:rPr>
          <w:sz w:val="20"/>
          <w:szCs w:val="20"/>
          <w:color w:val="auto"/>
        </w:rPr>
      </w:pPr>
      <w:r>
        <w:rPr>
          <w:rFonts w:ascii="Arial" w:cs="Arial" w:eastAsia="Arial" w:hAnsi="Arial"/>
          <w:sz w:val="12"/>
          <w:szCs w:val="12"/>
          <w:color w:val="auto"/>
        </w:rPr>
        <w:t>1.43. “</w:t>
      </w:r>
      <w:r>
        <w:rPr>
          <w:rFonts w:ascii="Arial" w:cs="Arial" w:eastAsia="Arial" w:hAnsi="Arial"/>
          <w:sz w:val="12"/>
          <w:szCs w:val="12"/>
          <w:b w:val="1"/>
          <w:bCs w:val="1"/>
          <w:color w:val="auto"/>
        </w:rPr>
        <w:t>FTE Rate</w:t>
      </w:r>
      <w:r>
        <w:rPr>
          <w:rFonts w:ascii="Arial" w:cs="Arial" w:eastAsia="Arial" w:hAnsi="Arial"/>
          <w:sz w:val="12"/>
          <w:szCs w:val="12"/>
          <w:color w:val="auto"/>
        </w:rPr>
        <w:t xml:space="preserve">” means </w:t>
      </w:r>
      <w:r>
        <w:rPr>
          <w:rFonts w:ascii="Arial" w:cs="Arial" w:eastAsia="Arial" w:hAnsi="Arial"/>
          <w:sz w:val="12"/>
          <w:szCs w:val="12"/>
          <w:b w:val="1"/>
          <w:bCs w:val="1"/>
          <w:color w:val="auto"/>
        </w:rPr>
        <w:t>***</w:t>
      </w:r>
      <w:r>
        <w:rPr>
          <w:rFonts w:ascii="Arial" w:cs="Arial" w:eastAsia="Arial" w:hAnsi="Arial"/>
          <w:sz w:val="12"/>
          <w:szCs w:val="12"/>
          <w:color w:val="auto"/>
        </w:rPr>
        <w:t>, increased or decreased annually by the percentage increase or decrease in the Consumer Price Index–Urban Wage Earners and Clerical Workers, United States City Average, All Items, 1982-84 = 100, published by the United States Department of Labor, Bureau of Labor Statistics (or its successor equivalent index) in the United States (“</w:t>
      </w:r>
      <w:r>
        <w:rPr>
          <w:rFonts w:ascii="Arial" w:cs="Arial" w:eastAsia="Arial" w:hAnsi="Arial"/>
          <w:sz w:val="12"/>
          <w:szCs w:val="12"/>
          <w:b w:val="1"/>
          <w:bCs w:val="1"/>
          <w:color w:val="auto"/>
        </w:rPr>
        <w:t>CPI</w:t>
      </w:r>
      <w:r>
        <w:rPr>
          <w:rFonts w:ascii="Arial" w:cs="Arial" w:eastAsia="Arial" w:hAnsi="Arial"/>
          <w:sz w:val="12"/>
          <w:szCs w:val="12"/>
          <w:color w:val="auto"/>
        </w:rPr>
        <w:t>”) as of December 31 of the then most recently ended Calendar Year over the level of the CPI on December 31, 2010 (</w:t>
      </w:r>
      <w:r>
        <w:rPr>
          <w:rFonts w:ascii="Arial" w:cs="Arial" w:eastAsia="Arial" w:hAnsi="Arial"/>
          <w:sz w:val="12"/>
          <w:szCs w:val="12"/>
          <w:i w:val="1"/>
          <w:iCs w:val="1"/>
          <w:color w:val="auto"/>
        </w:rPr>
        <w:t>i.e.</w:t>
      </w:r>
      <w:r>
        <w:rPr>
          <w:rFonts w:ascii="Arial" w:cs="Arial" w:eastAsia="Arial" w:hAnsi="Arial"/>
          <w:sz w:val="12"/>
          <w:szCs w:val="12"/>
          <w:color w:val="auto"/>
        </w:rPr>
        <w:t>, the first such increase or decrease would occur on January 1, 2012).</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1.44. “</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consistently applied.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1.45. “</w:t>
      </w:r>
      <w:r>
        <w:rPr>
          <w:rFonts w:ascii="Arial" w:cs="Arial" w:eastAsia="Arial" w:hAnsi="Arial"/>
          <w:sz w:val="14"/>
          <w:szCs w:val="14"/>
          <w:b w:val="1"/>
          <w:bCs w:val="1"/>
          <w:color w:val="auto"/>
        </w:rPr>
        <w:t>GMP</w:t>
      </w:r>
      <w:r>
        <w:rPr>
          <w:rFonts w:ascii="Arial" w:cs="Arial" w:eastAsia="Arial" w:hAnsi="Arial"/>
          <w:sz w:val="14"/>
          <w:szCs w:val="14"/>
          <w:color w:val="auto"/>
        </w:rPr>
        <w:t>” is defined in Section 1.11.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1.46. “</w:t>
      </w:r>
      <w:r>
        <w:rPr>
          <w:rFonts w:ascii="Arial" w:cs="Arial" w:eastAsia="Arial" w:hAnsi="Arial"/>
          <w:sz w:val="14"/>
          <w:szCs w:val="14"/>
          <w:b w:val="1"/>
          <w:bCs w:val="1"/>
          <w:color w:val="auto"/>
        </w:rPr>
        <w:t>Generic Competition</w:t>
      </w:r>
      <w:r>
        <w:rPr>
          <w:rFonts w:ascii="Arial" w:cs="Arial" w:eastAsia="Arial" w:hAnsi="Arial"/>
          <w:sz w:val="14"/>
          <w:szCs w:val="14"/>
          <w:color w:val="auto"/>
        </w:rPr>
        <w:t>” is defined in Section 5.4.3(a).</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1.47. “</w:t>
      </w:r>
      <w:r>
        <w:rPr>
          <w:rFonts w:ascii="Arial" w:cs="Arial" w:eastAsia="Arial" w:hAnsi="Arial"/>
          <w:sz w:val="14"/>
          <w:szCs w:val="14"/>
          <w:b w:val="1"/>
          <w:bCs w:val="1"/>
          <w:color w:val="auto"/>
        </w:rPr>
        <w:t>Governmental Authority</w:t>
      </w:r>
      <w:r>
        <w:rPr>
          <w:rFonts w:ascii="Arial" w:cs="Arial" w:eastAsia="Arial" w:hAnsi="Arial"/>
          <w:sz w:val="14"/>
          <w:szCs w:val="14"/>
          <w:color w:val="auto"/>
        </w:rPr>
        <w:t>” means any court, agency, department, authority or other instrumentality of any national, state, county, city or other political subdivision.</w:t>
      </w:r>
    </w:p>
    <w:p>
      <w:pPr>
        <w:spacing w:after="0" w:line="69"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1.48. “</w:t>
      </w:r>
      <w:r>
        <w:rPr>
          <w:rFonts w:ascii="Arial" w:cs="Arial" w:eastAsia="Arial" w:hAnsi="Arial"/>
          <w:sz w:val="14"/>
          <w:szCs w:val="14"/>
          <w:b w:val="1"/>
          <w:bCs w:val="1"/>
          <w:color w:val="auto"/>
        </w:rPr>
        <w:t>IND</w:t>
      </w:r>
      <w:r>
        <w:rPr>
          <w:rFonts w:ascii="Arial" w:cs="Arial" w:eastAsia="Arial" w:hAnsi="Arial"/>
          <w:sz w:val="14"/>
          <w:szCs w:val="14"/>
          <w:color w:val="auto"/>
        </w:rPr>
        <w:t>” means an Investigational New Drug Application, as defined in the FD&amp;C Act, that is required to be filed with the FDA before beginning clinical testing of an Agreement Product in human subjects, or an equivalent foreign filing.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1.49. “</w:t>
      </w:r>
      <w:r>
        <w:rPr>
          <w:rFonts w:ascii="Arial" w:cs="Arial" w:eastAsia="Arial" w:hAnsi="Arial"/>
          <w:sz w:val="14"/>
          <w:szCs w:val="14"/>
          <w:b w:val="1"/>
          <w:bCs w:val="1"/>
          <w:color w:val="auto"/>
        </w:rPr>
        <w:t>Indemnified Party</w:t>
      </w:r>
      <w:r>
        <w:rPr>
          <w:rFonts w:ascii="Arial" w:cs="Arial" w:eastAsia="Arial" w:hAnsi="Arial"/>
          <w:sz w:val="14"/>
          <w:szCs w:val="14"/>
          <w:color w:val="auto"/>
        </w:rPr>
        <w:t>” is defined in Section 10.4.1.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1.50. “</w:t>
      </w:r>
      <w:r>
        <w:rPr>
          <w:rFonts w:ascii="Arial" w:cs="Arial" w:eastAsia="Arial" w:hAnsi="Arial"/>
          <w:sz w:val="14"/>
          <w:szCs w:val="14"/>
          <w:b w:val="1"/>
          <w:bCs w:val="1"/>
          <w:color w:val="auto"/>
        </w:rPr>
        <w:t>Indemnifying Party</w:t>
      </w:r>
      <w:r>
        <w:rPr>
          <w:rFonts w:ascii="Arial" w:cs="Arial" w:eastAsia="Arial" w:hAnsi="Arial"/>
          <w:sz w:val="14"/>
          <w:szCs w:val="14"/>
          <w:color w:val="auto"/>
        </w:rPr>
        <w:t>” is defined in Section 10.4.1.</w:t>
      </w:r>
    </w:p>
    <w:p>
      <w:pPr>
        <w:spacing w:after="0" w:line="69"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1.51. “</w:t>
      </w:r>
      <w:r>
        <w:rPr>
          <w:rFonts w:ascii="Arial" w:cs="Arial" w:eastAsia="Arial" w:hAnsi="Arial"/>
          <w:sz w:val="14"/>
          <w:szCs w:val="14"/>
          <w:b w:val="1"/>
          <w:bCs w:val="1"/>
          <w:color w:val="auto"/>
        </w:rPr>
        <w:t>Indication</w:t>
      </w:r>
      <w:r>
        <w:rPr>
          <w:rFonts w:ascii="Arial" w:cs="Arial" w:eastAsia="Arial" w:hAnsi="Arial"/>
          <w:sz w:val="14"/>
          <w:szCs w:val="14"/>
          <w:color w:val="auto"/>
        </w:rPr>
        <w:t xml:space="preserve">” means a disease, disease stage, discrete form of a disease or any precursor condition thereof or a line of treatment thereof </w:t>
      </w:r>
      <w:r>
        <w:rPr>
          <w:rFonts w:ascii="Arial" w:cs="Arial" w:eastAsia="Arial" w:hAnsi="Arial"/>
          <w:sz w:val="14"/>
          <w:szCs w:val="14"/>
          <w:b w:val="1"/>
          <w:bCs w:val="1"/>
          <w:color w:val="auto"/>
        </w:rPr>
        <w:t>***</w:t>
      </w:r>
      <w:r>
        <w:rPr>
          <w:rFonts w:ascii="Arial" w:cs="Arial" w:eastAsia="Arial" w:hAnsi="Arial"/>
          <w:sz w:val="14"/>
          <w:szCs w:val="14"/>
          <w:color w:val="auto"/>
        </w:rPr>
        <w:t>, for which a separate Regulatory Approval Application has been obtained or is being sought.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1.52. “</w:t>
      </w:r>
      <w:r>
        <w:rPr>
          <w:rFonts w:ascii="Arial" w:cs="Arial" w:eastAsia="Arial" w:hAnsi="Arial"/>
          <w:sz w:val="14"/>
          <w:szCs w:val="14"/>
          <w:b w:val="1"/>
          <w:bCs w:val="1"/>
          <w:color w:val="auto"/>
        </w:rPr>
        <w:t>Initial Research Project Targets</w:t>
      </w:r>
      <w:r>
        <w:rPr>
          <w:rFonts w:ascii="Arial" w:cs="Arial" w:eastAsia="Arial" w:hAnsi="Arial"/>
          <w:sz w:val="14"/>
          <w:szCs w:val="14"/>
          <w:color w:val="auto"/>
        </w:rPr>
        <w:t>” is defined in Section 2.1.1.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1.53. “</w:t>
      </w:r>
      <w:r>
        <w:rPr>
          <w:rFonts w:ascii="Arial" w:cs="Arial" w:eastAsia="Arial" w:hAnsi="Arial"/>
          <w:sz w:val="14"/>
          <w:szCs w:val="14"/>
          <w:b w:val="1"/>
          <w:bCs w:val="1"/>
          <w:color w:val="auto"/>
        </w:rPr>
        <w:t>Initial Reserved Targets</w:t>
      </w:r>
      <w:r>
        <w:rPr>
          <w:rFonts w:ascii="Arial" w:cs="Arial" w:eastAsia="Arial" w:hAnsi="Arial"/>
          <w:sz w:val="14"/>
          <w:szCs w:val="14"/>
          <w:color w:val="auto"/>
        </w:rPr>
        <w:t>” is defined in Section 2.1.2.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1.54. “</w:t>
      </w:r>
      <w:r>
        <w:rPr>
          <w:rFonts w:ascii="Arial" w:cs="Arial" w:eastAsia="Arial" w:hAnsi="Arial"/>
          <w:sz w:val="14"/>
          <w:szCs w:val="14"/>
          <w:b w:val="1"/>
          <w:bCs w:val="1"/>
          <w:color w:val="auto"/>
        </w:rPr>
        <w:t>Joint Invention</w:t>
      </w:r>
      <w:r>
        <w:rPr>
          <w:rFonts w:ascii="Arial" w:cs="Arial" w:eastAsia="Arial" w:hAnsi="Arial"/>
          <w:sz w:val="14"/>
          <w:szCs w:val="14"/>
          <w:color w:val="auto"/>
        </w:rPr>
        <w:t>” is defined in Section 6.1.1(b).</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1.55. “</w:t>
      </w:r>
      <w:r>
        <w:rPr>
          <w:rFonts w:ascii="Arial" w:cs="Arial" w:eastAsia="Arial" w:hAnsi="Arial"/>
          <w:sz w:val="14"/>
          <w:szCs w:val="14"/>
          <w:b w:val="1"/>
          <w:bCs w:val="1"/>
          <w:color w:val="auto"/>
        </w:rPr>
        <w:t>Joint Know-How</w:t>
      </w:r>
      <w:r>
        <w:rPr>
          <w:rFonts w:ascii="Arial" w:cs="Arial" w:eastAsia="Arial" w:hAnsi="Arial"/>
          <w:sz w:val="14"/>
          <w:szCs w:val="14"/>
          <w:color w:val="auto"/>
        </w:rPr>
        <w:t>” is defined in Section 6.1.1(b).</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1.56. “</w:t>
      </w:r>
      <w:r>
        <w:rPr>
          <w:rFonts w:ascii="Arial" w:cs="Arial" w:eastAsia="Arial" w:hAnsi="Arial"/>
          <w:sz w:val="14"/>
          <w:szCs w:val="14"/>
          <w:b w:val="1"/>
          <w:bCs w:val="1"/>
          <w:color w:val="auto"/>
        </w:rPr>
        <w:t>Joint Patent Right</w:t>
      </w:r>
      <w:r>
        <w:rPr>
          <w:rFonts w:ascii="Arial" w:cs="Arial" w:eastAsia="Arial" w:hAnsi="Arial"/>
          <w:sz w:val="14"/>
          <w:szCs w:val="14"/>
          <w:color w:val="auto"/>
        </w:rPr>
        <w:t>” means any Patent Right claiming any Joint Invention.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1.57. “</w:t>
      </w:r>
      <w:r>
        <w:rPr>
          <w:rFonts w:ascii="Arial" w:cs="Arial" w:eastAsia="Arial" w:hAnsi="Arial"/>
          <w:sz w:val="14"/>
          <w:szCs w:val="14"/>
          <w:b w:val="1"/>
          <w:bCs w:val="1"/>
          <w:color w:val="auto"/>
        </w:rPr>
        <w:t>Joint Steering Committee</w:t>
      </w:r>
      <w:r>
        <w:rPr>
          <w:rFonts w:ascii="Arial" w:cs="Arial" w:eastAsia="Arial" w:hAnsi="Arial"/>
          <w:sz w:val="14"/>
          <w:szCs w:val="14"/>
          <w:color w:val="auto"/>
        </w:rPr>
        <w:t>” or “</w:t>
      </w:r>
      <w:r>
        <w:rPr>
          <w:rFonts w:ascii="Arial" w:cs="Arial" w:eastAsia="Arial" w:hAnsi="Arial"/>
          <w:sz w:val="14"/>
          <w:szCs w:val="14"/>
          <w:b w:val="1"/>
          <w:bCs w:val="1"/>
          <w:color w:val="auto"/>
        </w:rPr>
        <w:t>JSC</w:t>
      </w:r>
      <w:r>
        <w:rPr>
          <w:rFonts w:ascii="Arial" w:cs="Arial" w:eastAsia="Arial" w:hAnsi="Arial"/>
          <w:sz w:val="14"/>
          <w:szCs w:val="14"/>
          <w:color w:val="auto"/>
        </w:rPr>
        <w:t>” is defined in Section 2.5.1.</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6</w:t>
      </w:r>
    </w:p>
    <w:p>
      <w:pPr>
        <w:spacing w:after="0" w:line="12" w:lineRule="exact"/>
        <w:rPr>
          <w:sz w:val="20"/>
          <w:szCs w:val="20"/>
          <w:color w:val="auto"/>
        </w:rPr>
      </w:pPr>
    </w:p>
    <w:p>
      <w:pPr>
        <w:ind w:left="3380" w:right="2660" w:hanging="1135"/>
        <w:spacing w:after="0" w:line="341" w:lineRule="auto"/>
        <w:tabs>
          <w:tab w:leader="none" w:pos="2484" w:val="left"/>
        </w:tabs>
        <w:numPr>
          <w:ilvl w:val="0"/>
          <w:numId w:val="105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60"/>
          </w:cols>
          <w:pgMar w:left="680" w:top="244" w:right="259" w:bottom="1440" w:gutter="0" w:footer="0" w:header="0"/>
        </w:sectPr>
      </w:pPr>
    </w:p>
    <w:bookmarkStart w:id="876" w:name="page877"/>
    <w:bookmarkEnd w:id="87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1.58. “</w:t>
      </w:r>
      <w:r>
        <w:rPr>
          <w:rFonts w:ascii="Arial" w:cs="Arial" w:eastAsia="Arial" w:hAnsi="Arial"/>
          <w:sz w:val="14"/>
          <w:szCs w:val="14"/>
          <w:b w:val="1"/>
          <w:bCs w:val="1"/>
          <w:color w:val="auto"/>
        </w:rPr>
        <w:t>Joint Technology</w:t>
      </w:r>
      <w:r>
        <w:rPr>
          <w:rFonts w:ascii="Arial" w:cs="Arial" w:eastAsia="Arial" w:hAnsi="Arial"/>
          <w:sz w:val="14"/>
          <w:szCs w:val="14"/>
          <w:color w:val="auto"/>
        </w:rPr>
        <w:t>” means, collectively, the Joint Patent Rights, the Joint Inventions and the Joint Know-How.</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1.59. “</w:t>
      </w:r>
      <w:r>
        <w:rPr>
          <w:rFonts w:ascii="Arial" w:cs="Arial" w:eastAsia="Arial" w:hAnsi="Arial"/>
          <w:sz w:val="12"/>
          <w:szCs w:val="12"/>
          <w:b w:val="1"/>
          <w:bCs w:val="1"/>
          <w:color w:val="auto"/>
        </w:rPr>
        <w:t>Know-How</w:t>
      </w:r>
      <w:r>
        <w:rPr>
          <w:rFonts w:ascii="Arial" w:cs="Arial" w:eastAsia="Arial" w:hAnsi="Arial"/>
          <w:sz w:val="12"/>
          <w:szCs w:val="12"/>
          <w:color w:val="auto"/>
        </w:rPr>
        <w:t>” means any proprietary invention, discovery, data, information, process, method, technique, material, technology, result or other know-how, whether or not patentable.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1.60. “</w:t>
      </w:r>
      <w:r>
        <w:rPr>
          <w:rFonts w:ascii="Arial" w:cs="Arial" w:eastAsia="Arial" w:hAnsi="Arial"/>
          <w:sz w:val="14"/>
          <w:szCs w:val="14"/>
          <w:b w:val="1"/>
          <w:bCs w:val="1"/>
          <w:color w:val="auto"/>
        </w:rPr>
        <w:t>Liability</w:t>
      </w:r>
      <w:r>
        <w:rPr>
          <w:rFonts w:ascii="Arial" w:cs="Arial" w:eastAsia="Arial" w:hAnsi="Arial"/>
          <w:sz w:val="14"/>
          <w:szCs w:val="14"/>
          <w:color w:val="auto"/>
        </w:rPr>
        <w:t>” is defined in Section 10.2.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1.62. </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b w:val="1"/>
          <w:bCs w:val="1"/>
          <w:color w:val="auto"/>
        </w:rPr>
        <w:t>“Litigation Conditions</w:t>
      </w:r>
      <w:r>
        <w:rPr>
          <w:rFonts w:ascii="Arial" w:cs="Arial" w:eastAsia="Arial" w:hAnsi="Arial"/>
          <w:sz w:val="14"/>
          <w:szCs w:val="14"/>
          <w:color w:val="auto"/>
        </w:rPr>
        <w:t xml:space="preserve">” </w:t>
      </w:r>
      <w:r>
        <w:rPr>
          <w:rFonts w:ascii="Arial" w:cs="Arial" w:eastAsia="Arial" w:hAnsi="Arial"/>
          <w:sz w:val="14"/>
          <w:szCs w:val="14"/>
          <w:b w:val="1"/>
          <w:bCs w:val="1"/>
          <w:color w:val="auto"/>
        </w:rPr>
        <w:t>is defined in Section</w:t>
      </w:r>
      <w:r>
        <w:rPr>
          <w:rFonts w:ascii="Arial" w:cs="Arial" w:eastAsia="Arial" w:hAnsi="Arial"/>
          <w:sz w:val="14"/>
          <w:szCs w:val="14"/>
          <w:color w:val="auto"/>
        </w:rPr>
        <w:t xml:space="preserve"> 10.4.2.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1.64. “</w:t>
      </w:r>
      <w:r>
        <w:rPr>
          <w:rFonts w:ascii="Arial" w:cs="Arial" w:eastAsia="Arial" w:hAnsi="Arial"/>
          <w:sz w:val="14"/>
          <w:szCs w:val="14"/>
          <w:b w:val="1"/>
          <w:bCs w:val="1"/>
          <w:color w:val="auto"/>
        </w:rPr>
        <w:t>MacroGenics</w:t>
      </w:r>
      <w:r>
        <w:rPr>
          <w:rFonts w:ascii="Arial" w:cs="Arial" w:eastAsia="Arial" w:hAnsi="Arial"/>
          <w:sz w:val="14"/>
          <w:szCs w:val="14"/>
          <w:color w:val="auto"/>
        </w:rPr>
        <w:t>” is defined in the introduction to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b w:val="1"/>
          <w:bCs w:val="1"/>
          <w:color w:val="auto"/>
        </w:rPr>
        <w:t>“MacroGenics Derived Terminated Agreement T-DART”</w:t>
      </w:r>
      <w:r>
        <w:rPr>
          <w:rFonts w:ascii="Arial" w:cs="Arial" w:eastAsia="Arial" w:hAnsi="Arial"/>
          <w:sz w:val="14"/>
          <w:szCs w:val="14"/>
          <w:color w:val="auto"/>
        </w:rPr>
        <w:t xml:space="preserve"> is defined in Section 9.5.2(e)(i).</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1.66. </w:t>
      </w:r>
      <w:r>
        <w:rPr>
          <w:rFonts w:ascii="Arial" w:cs="Arial" w:eastAsia="Arial" w:hAnsi="Arial"/>
          <w:sz w:val="14"/>
          <w:szCs w:val="14"/>
          <w:b w:val="1"/>
          <w:bCs w:val="1"/>
          <w:color w:val="auto"/>
        </w:rPr>
        <w:t>“MacroGenics Excluded Target Schedule”</w:t>
      </w:r>
      <w:r>
        <w:rPr>
          <w:rFonts w:ascii="Arial" w:cs="Arial" w:eastAsia="Arial" w:hAnsi="Arial"/>
          <w:sz w:val="14"/>
          <w:szCs w:val="14"/>
          <w:color w:val="auto"/>
        </w:rPr>
        <w:t xml:space="preserve"> is defined in Section 2.1.1.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1.67. </w:t>
      </w:r>
      <w:r>
        <w:rPr>
          <w:rFonts w:ascii="Arial" w:cs="Arial" w:eastAsia="Arial" w:hAnsi="Arial"/>
          <w:sz w:val="14"/>
          <w:szCs w:val="14"/>
          <w:b w:val="1"/>
          <w:bCs w:val="1"/>
          <w:color w:val="auto"/>
        </w:rPr>
        <w:t>“MacroGenics Indemnified Party”</w:t>
      </w:r>
      <w:r>
        <w:rPr>
          <w:rFonts w:ascii="Arial" w:cs="Arial" w:eastAsia="Arial" w:hAnsi="Arial"/>
          <w:sz w:val="14"/>
          <w:szCs w:val="14"/>
          <w:color w:val="auto"/>
        </w:rPr>
        <w:t xml:space="preserve"> is defined in Section 10.2.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1.68. </w:t>
      </w:r>
      <w:r>
        <w:rPr>
          <w:rFonts w:ascii="Arial" w:cs="Arial" w:eastAsia="Arial" w:hAnsi="Arial"/>
          <w:sz w:val="14"/>
          <w:szCs w:val="14"/>
          <w:b w:val="1"/>
          <w:bCs w:val="1"/>
          <w:color w:val="auto"/>
        </w:rPr>
        <w:t>“MacroGenics Know-How</w:t>
      </w:r>
      <w:r>
        <w:rPr>
          <w:rFonts w:ascii="Arial" w:cs="Arial" w:eastAsia="Arial" w:hAnsi="Arial"/>
          <w:sz w:val="14"/>
          <w:szCs w:val="14"/>
          <w:color w:val="auto"/>
        </w:rPr>
        <w:t>” means any Know-How comprised in the MacroGenics Technology, excluding any Joint Know-How.</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1.69. “</w:t>
      </w:r>
      <w:r>
        <w:rPr>
          <w:rFonts w:ascii="Arial" w:cs="Arial" w:eastAsia="Arial" w:hAnsi="Arial"/>
          <w:sz w:val="14"/>
          <w:szCs w:val="14"/>
          <w:b w:val="1"/>
          <w:bCs w:val="1"/>
          <w:color w:val="auto"/>
        </w:rPr>
        <w:t>MacroGenics Patent Right</w:t>
      </w:r>
      <w:r>
        <w:rPr>
          <w:rFonts w:ascii="Arial" w:cs="Arial" w:eastAsia="Arial" w:hAnsi="Arial"/>
          <w:sz w:val="14"/>
          <w:szCs w:val="14"/>
          <w:color w:val="auto"/>
        </w:rPr>
        <w:t>” means any Patent Right comprised in the MacroGenics Technology, excluding any Joint Patent Rights.</w:t>
      </w:r>
    </w:p>
    <w:p>
      <w:pPr>
        <w:spacing w:after="0" w:line="69" w:lineRule="exact"/>
        <w:rPr>
          <w:sz w:val="20"/>
          <w:szCs w:val="20"/>
          <w:color w:val="auto"/>
        </w:rPr>
      </w:pPr>
    </w:p>
    <w:p>
      <w:pPr>
        <w:spacing w:after="0" w:line="345" w:lineRule="auto"/>
        <w:rPr>
          <w:sz w:val="20"/>
          <w:szCs w:val="20"/>
          <w:color w:val="auto"/>
        </w:rPr>
      </w:pPr>
      <w:r>
        <w:rPr>
          <w:rFonts w:ascii="Arial" w:cs="Arial" w:eastAsia="Arial" w:hAnsi="Arial"/>
          <w:sz w:val="12"/>
          <w:szCs w:val="12"/>
          <w:color w:val="auto"/>
        </w:rPr>
        <w:t>1.70. “</w:t>
      </w:r>
      <w:r>
        <w:rPr>
          <w:rFonts w:ascii="Arial" w:cs="Arial" w:eastAsia="Arial" w:hAnsi="Arial"/>
          <w:sz w:val="12"/>
          <w:szCs w:val="12"/>
          <w:b w:val="1"/>
          <w:bCs w:val="1"/>
          <w:color w:val="auto"/>
        </w:rPr>
        <w:t>MacroGenics Technology</w:t>
      </w:r>
      <w:r>
        <w:rPr>
          <w:rFonts w:ascii="Arial" w:cs="Arial" w:eastAsia="Arial" w:hAnsi="Arial"/>
          <w:sz w:val="12"/>
          <w:szCs w:val="12"/>
          <w:color w:val="auto"/>
        </w:rPr>
        <w:t>” means any Patent Right or Know-How that (a) is Controlled by MacroGenics or any Affiliate of MacroGenics as of the Effective Date or that comes into the Control of MacroGenics or any of its Affiliates at any time during the Term and (b) is necessary or useful to Develop, Manufacture or Commercialize Agreement T-DARTs and/or Agreement Products.</w:t>
      </w:r>
    </w:p>
    <w:p>
      <w:pPr>
        <w:spacing w:after="0"/>
        <w:rPr>
          <w:sz w:val="20"/>
          <w:szCs w:val="20"/>
          <w:color w:val="auto"/>
        </w:rPr>
      </w:pPr>
      <w:r>
        <w:rPr>
          <w:rFonts w:ascii="Arial" w:cs="Arial" w:eastAsia="Arial" w:hAnsi="Arial"/>
          <w:sz w:val="12"/>
          <w:szCs w:val="12"/>
          <w:color w:val="auto"/>
        </w:rPr>
        <w:t>1.71. “</w:t>
      </w:r>
      <w:r>
        <w:rPr>
          <w:rFonts w:ascii="Arial" w:cs="Arial" w:eastAsia="Arial" w:hAnsi="Arial"/>
          <w:sz w:val="12"/>
          <w:szCs w:val="12"/>
          <w:b w:val="1"/>
          <w:bCs w:val="1"/>
          <w:color w:val="auto"/>
        </w:rPr>
        <w:t>MacroGenics Third Party Agreement</w:t>
      </w:r>
      <w:r>
        <w:rPr>
          <w:rFonts w:ascii="Arial" w:cs="Arial" w:eastAsia="Arial" w:hAnsi="Arial"/>
          <w:sz w:val="12"/>
          <w:szCs w:val="12"/>
          <w:color w:val="auto"/>
        </w:rPr>
        <w:t>” means any agreement between MacroGenics and any Third Party under which MacroGenics obtains rights in or to any MacroGenics Technology.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1.72. </w:t>
      </w:r>
      <w:r>
        <w:rPr>
          <w:rFonts w:ascii="Arial" w:cs="Arial" w:eastAsia="Arial" w:hAnsi="Arial"/>
          <w:sz w:val="14"/>
          <w:szCs w:val="14"/>
          <w:b w:val="1"/>
          <w:bCs w:val="1"/>
          <w:color w:val="auto"/>
        </w:rPr>
        <w:t>“MacroGenics-Derived Terminated Agreement T-DART”</w:t>
      </w:r>
      <w:r>
        <w:rPr>
          <w:rFonts w:ascii="Arial" w:cs="Arial" w:eastAsia="Arial" w:hAnsi="Arial"/>
          <w:sz w:val="14"/>
          <w:szCs w:val="14"/>
          <w:color w:val="auto"/>
        </w:rPr>
        <w:t xml:space="preserve"> is defined in Section 9.5.2(e)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b w:val="1"/>
          <w:bCs w:val="1"/>
          <w:color w:val="auto"/>
        </w:rPr>
        <w:t>“Major EU Market Country</w:t>
      </w:r>
      <w:r>
        <w:rPr>
          <w:rFonts w:ascii="Arial" w:cs="Arial" w:eastAsia="Arial" w:hAnsi="Arial"/>
          <w:sz w:val="14"/>
          <w:szCs w:val="14"/>
          <w:color w:val="auto"/>
        </w:rPr>
        <w:t>” means any of ***</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1.74. “</w:t>
      </w:r>
      <w:r>
        <w:rPr>
          <w:rFonts w:ascii="Arial" w:cs="Arial" w:eastAsia="Arial" w:hAnsi="Arial"/>
          <w:sz w:val="14"/>
          <w:szCs w:val="14"/>
          <w:b w:val="1"/>
          <w:bCs w:val="1"/>
          <w:color w:val="auto"/>
        </w:rPr>
        <w:t>Major Market Country</w:t>
      </w:r>
      <w:r>
        <w:rPr>
          <w:rFonts w:ascii="Arial" w:cs="Arial" w:eastAsia="Arial" w:hAnsi="Arial"/>
          <w:sz w:val="14"/>
          <w:szCs w:val="14"/>
          <w:color w:val="auto"/>
        </w:rPr>
        <w:t xml:space="preserve">” means any </w:t>
      </w:r>
      <w:r>
        <w:rPr>
          <w:rFonts w:ascii="Arial" w:cs="Arial" w:eastAsia="Arial" w:hAnsi="Arial"/>
          <w:sz w:val="14"/>
          <w:szCs w:val="14"/>
          <w:b w:val="1"/>
          <w:bCs w:val="1"/>
          <w:color w:val="auto"/>
        </w:rPr>
        <w:t>***</w:t>
      </w:r>
    </w:p>
    <w:p>
      <w:pPr>
        <w:spacing w:after="0" w:line="123"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7</w:t>
      </w:r>
    </w:p>
    <w:p>
      <w:pPr>
        <w:spacing w:after="0" w:line="12" w:lineRule="exact"/>
        <w:rPr>
          <w:sz w:val="20"/>
          <w:szCs w:val="20"/>
          <w:color w:val="auto"/>
        </w:rPr>
      </w:pPr>
    </w:p>
    <w:p>
      <w:pPr>
        <w:ind w:left="3380" w:right="2600" w:hanging="1135"/>
        <w:spacing w:after="0" w:line="341" w:lineRule="auto"/>
        <w:tabs>
          <w:tab w:leader="none" w:pos="2484" w:val="left"/>
        </w:tabs>
        <w:numPr>
          <w:ilvl w:val="0"/>
          <w:numId w:val="105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00"/>
          </w:cols>
          <w:pgMar w:left="680" w:top="246" w:right="319" w:bottom="1440" w:gutter="0" w:footer="0" w:header="0"/>
        </w:sectPr>
      </w:pPr>
    </w:p>
    <w:bookmarkStart w:id="877" w:name="page878"/>
    <w:bookmarkEnd w:id="877"/>
    <w:p>
      <w:pPr>
        <w:ind w:right="36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1.75. “</w:t>
      </w:r>
      <w:r>
        <w:rPr>
          <w:rFonts w:ascii="Arial" w:cs="Arial" w:eastAsia="Arial" w:hAnsi="Arial"/>
          <w:sz w:val="14"/>
          <w:szCs w:val="14"/>
          <w:b w:val="1"/>
          <w:bCs w:val="1"/>
          <w:color w:val="auto"/>
        </w:rPr>
        <w:t>Manufacturing</w:t>
      </w:r>
      <w:r>
        <w:rPr>
          <w:rFonts w:ascii="Arial" w:cs="Arial" w:eastAsia="Arial" w:hAnsi="Arial"/>
          <w:sz w:val="14"/>
          <w:szCs w:val="14"/>
          <w:color w:val="auto"/>
        </w:rPr>
        <w:t>” or “</w:t>
      </w:r>
      <w:r>
        <w:rPr>
          <w:rFonts w:ascii="Arial" w:cs="Arial" w:eastAsia="Arial" w:hAnsi="Arial"/>
          <w:sz w:val="14"/>
          <w:szCs w:val="14"/>
          <w:b w:val="1"/>
          <w:bCs w:val="1"/>
          <w:color w:val="auto"/>
        </w:rPr>
        <w:t>Manufacture</w:t>
      </w:r>
      <w:r>
        <w:rPr>
          <w:rFonts w:ascii="Arial" w:cs="Arial" w:eastAsia="Arial" w:hAnsi="Arial"/>
          <w:sz w:val="14"/>
          <w:szCs w:val="14"/>
          <w:color w:val="auto"/>
        </w:rPr>
        <w:t>” means activities directed to making, producing, manufacturing, processing, filling, finishing, packaging, labeling, quality assurance testing and release, shipping or storage of a product. Manufacturing shall not include any activities related to Development or Commercialization.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1.76. </w:t>
      </w:r>
      <w:r>
        <w:rPr>
          <w:rFonts w:ascii="Arial" w:cs="Arial" w:eastAsia="Arial" w:hAnsi="Arial"/>
          <w:sz w:val="14"/>
          <w:szCs w:val="14"/>
          <w:b w:val="1"/>
          <w:bCs w:val="1"/>
          <w:color w:val="auto"/>
        </w:rPr>
        <w:t>“Marginal Royalty Rates</w:t>
      </w:r>
      <w:r>
        <w:rPr>
          <w:rFonts w:ascii="Arial" w:cs="Arial" w:eastAsia="Arial" w:hAnsi="Arial"/>
          <w:sz w:val="14"/>
          <w:szCs w:val="14"/>
          <w:color w:val="auto"/>
        </w:rPr>
        <w:t>” is defined in Section 5.4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1.77. “</w:t>
      </w:r>
      <w:r>
        <w:rPr>
          <w:rFonts w:ascii="Arial" w:cs="Arial" w:eastAsia="Arial" w:hAnsi="Arial"/>
          <w:sz w:val="14"/>
          <w:szCs w:val="14"/>
          <w:b w:val="1"/>
          <w:bCs w:val="1"/>
          <w:color w:val="auto"/>
        </w:rPr>
        <w:t>Milestone Payment</w:t>
      </w:r>
      <w:r>
        <w:rPr>
          <w:rFonts w:ascii="Arial" w:cs="Arial" w:eastAsia="Arial" w:hAnsi="Arial"/>
          <w:sz w:val="14"/>
          <w:szCs w:val="14"/>
          <w:color w:val="auto"/>
        </w:rPr>
        <w:t>” means the Technical Milestones, Development Milestones, and Sales Milestones.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1.78. </w:t>
      </w:r>
      <w:r>
        <w:rPr>
          <w:rFonts w:ascii="Arial" w:cs="Arial" w:eastAsia="Arial" w:hAnsi="Arial"/>
          <w:sz w:val="14"/>
          <w:szCs w:val="14"/>
          <w:b w:val="1"/>
          <w:bCs w:val="1"/>
          <w:color w:val="auto"/>
        </w:rPr>
        <w:t>“Net Sales</w:t>
      </w:r>
      <w:r>
        <w:rPr>
          <w:rFonts w:ascii="Arial" w:cs="Arial" w:eastAsia="Arial" w:hAnsi="Arial"/>
          <w:sz w:val="14"/>
          <w:szCs w:val="14"/>
          <w:color w:val="auto"/>
        </w:rPr>
        <w:t>” means:</w:t>
      </w:r>
    </w:p>
    <w:p>
      <w:pPr>
        <w:spacing w:after="0" w:line="69" w:lineRule="exact"/>
        <w:rPr>
          <w:sz w:val="20"/>
          <w:szCs w:val="20"/>
          <w:color w:val="auto"/>
        </w:rPr>
      </w:pPr>
    </w:p>
    <w:p>
      <w:pPr>
        <w:ind w:left="460"/>
        <w:spacing w:after="0" w:line="299" w:lineRule="auto"/>
        <w:rPr>
          <w:sz w:val="20"/>
          <w:szCs w:val="20"/>
          <w:color w:val="auto"/>
        </w:rPr>
      </w:pPr>
      <w:r>
        <w:rPr>
          <w:rFonts w:ascii="Arial" w:cs="Arial" w:eastAsia="Arial" w:hAnsi="Arial"/>
          <w:sz w:val="12"/>
          <w:szCs w:val="12"/>
          <w:color w:val="auto"/>
        </w:rPr>
        <w:t xml:space="preserve">1.78.1. with respect to an Agreement Product that is not a Combination Product, gross receipts from sales by Pfizer and its Affiliates and Sublicensees (each, a </w:t>
      </w:r>
      <w:r>
        <w:rPr>
          <w:rFonts w:ascii="Arial" w:cs="Arial" w:eastAsia="Arial" w:hAnsi="Arial"/>
          <w:sz w:val="12"/>
          <w:szCs w:val="12"/>
          <w:b w:val="1"/>
          <w:bCs w:val="1"/>
          <w:color w:val="auto"/>
        </w:rPr>
        <w:t>“Selling Person</w:t>
      </w:r>
      <w:r>
        <w:rPr>
          <w:rFonts w:ascii="Arial" w:cs="Arial" w:eastAsia="Arial" w:hAnsi="Arial"/>
          <w:sz w:val="12"/>
          <w:szCs w:val="12"/>
          <w:color w:val="auto"/>
        </w:rPr>
        <w:t xml:space="preserve">”) of such Agreement Product to Third Parties in the Territory, less in each case, to the extent reasonably allocable to Agreement Products in accordance with GAAP, sales returns and allowances actually paid, granted or accrued, including trade, quantity and cash discounts and any other adjustments, including those granted on account of price adjustments, billing errors, rejected goods, damaged or defective goods, recalls, returns, rebates, chargeback rebates, reimbursements or similar payments granted or given to wholesalers or other distributors, buying groups, health care insurance carriers, chain pharmacies, mass merchandisers, staff model HMO’s, pharmacy benefit managers or other institutions, adjustments arising from consumer discount programs or other similar programs, customs or excise duties, sales tax, consumption tax, value added tax, and other taxes (except income taxes) or duties relating to sales, any payment in respect of sales to the United States government, any state government or any foreign government, or to any other Governmental Authority, or with respect to any government-subsidized program or managed care organization, and freight and insurance (to the extent that Pfizer bears the cost of freight and insurance for the Agreement Product) (the deductions described above are referred to collectively herein as </w:t>
      </w:r>
      <w:r>
        <w:rPr>
          <w:rFonts w:ascii="Arial" w:cs="Arial" w:eastAsia="Arial" w:hAnsi="Arial"/>
          <w:sz w:val="12"/>
          <w:szCs w:val="12"/>
          <w:b w:val="1"/>
          <w:bCs w:val="1"/>
          <w:color w:val="auto"/>
        </w:rPr>
        <w:t>“Permitted Deductions</w:t>
      </w:r>
      <w:r>
        <w:rPr>
          <w:rFonts w:ascii="Arial" w:cs="Arial" w:eastAsia="Arial" w:hAnsi="Arial"/>
          <w:sz w:val="12"/>
          <w:szCs w:val="12"/>
          <w:color w:val="auto"/>
        </w:rPr>
        <w:t>”); and</w:t>
      </w:r>
    </w:p>
    <w:p>
      <w:pPr>
        <w:spacing w:after="0" w:line="194" w:lineRule="exact"/>
        <w:rPr>
          <w:sz w:val="20"/>
          <w:szCs w:val="20"/>
          <w:color w:val="auto"/>
        </w:rPr>
      </w:pPr>
    </w:p>
    <w:p>
      <w:pPr>
        <w:ind w:left="460" w:right="20"/>
        <w:spacing w:after="0" w:line="302" w:lineRule="auto"/>
        <w:rPr>
          <w:sz w:val="20"/>
          <w:szCs w:val="20"/>
          <w:color w:val="auto"/>
        </w:rPr>
      </w:pPr>
      <w:r>
        <w:rPr>
          <w:rFonts w:ascii="Arial" w:cs="Arial" w:eastAsia="Arial" w:hAnsi="Arial"/>
          <w:sz w:val="12"/>
          <w:szCs w:val="12"/>
          <w:color w:val="auto"/>
        </w:rPr>
        <w:t>1.78.2. in the event an Agreement T-DART is sold as a Combination Product in any country, the Net Sales of the Combination Product, for the purposes of determining royalty payments, shall be determined by multiplying the Net Sales (as defined above in this Section) of the Combination Product by the fraction, A/(A+B) where A is the weighted (by sales volume) average sale price in such country of the Agreement T-DART when sold separately in finished form, and B is the aggregate weighted average sale price in such country of the other therapeutically active ingredients included in such Combination Product when sold separately in finished form. In the event that such average sale price cannot be determined for both the Agreement T-DART and the other product(s) included in the Combination Product, Net Sales for purposes of determining royalty payments shall be agreed by the Parties based on the relative value contributed by each component, such agreement not to be unreasonably withheld or delayed.</w:t>
      </w:r>
    </w:p>
    <w:p>
      <w:pPr>
        <w:spacing w:after="0" w:line="76"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8</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5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4" w:right="239" w:bottom="1440" w:gutter="0" w:footer="0" w:header="0"/>
        </w:sectPr>
      </w:pPr>
    </w:p>
    <w:bookmarkStart w:id="878" w:name="page879"/>
    <w:bookmarkEnd w:id="878"/>
    <w:p>
      <w:pPr>
        <w:ind w:left="460" w:right="26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Sales between Pfizer and its Affiliates or Sublicensees shall be excluded from the computation of Net Sales and no payments will be payable on such sales except where such Affiliates or Sublicensees are end users, but Net Sales shall include the subsequent final sales to Third Parties by such Affiliates or Sublicensees. Net Sales shall be determined from books and records maintained in accordance with GAAP, as consistently applied by Pfizer with respect to sales of the Agreement Product. For clarity, in calculating Net Sales, except pursuant to Section 5.4.3, neither Party shall be entitled to deduct any payments to Third Parties by way of royalties or similar payments.</w:t>
      </w:r>
    </w:p>
    <w:p>
      <w:pPr>
        <w:spacing w:after="0" w:line="16" w:lineRule="exact"/>
        <w:rPr>
          <w:sz w:val="20"/>
          <w:szCs w:val="20"/>
          <w:color w:val="auto"/>
        </w:rPr>
      </w:pPr>
    </w:p>
    <w:p>
      <w:pPr>
        <w:ind w:left="460" w:right="160"/>
        <w:spacing w:after="0" w:line="305" w:lineRule="auto"/>
        <w:rPr>
          <w:sz w:val="20"/>
          <w:szCs w:val="20"/>
          <w:color w:val="auto"/>
        </w:rPr>
      </w:pPr>
      <w:r>
        <w:rPr>
          <w:rFonts w:ascii="Arial" w:cs="Arial" w:eastAsia="Arial" w:hAnsi="Arial"/>
          <w:sz w:val="12"/>
          <w:szCs w:val="12"/>
          <w:color w:val="auto"/>
        </w:rPr>
        <w:t>The Parties acknowledge that Pfizer does not currently intend to Commercialize any Agreement Product solely for diagnostic purposes and that the Parties anticipate that any sales of any Agreement Product for diagnostic purposes will occur only in connection with or in support of sales of an Agreement Product for therapeutic purposes. Notwithstanding the foregoing, in the event Pfizer, its Affiliates or Sublicensees Commercialize any Agreement Product for diagnostic purposes, sales of such Agreement Product for diagnostic purposes shall be included in the calculation of Net Sales provided that Pfizer and MacroGenics will negotiate in good faith a reasonable royalty applicable to Net Sales of any such Agreement Product for diagnostic purposes during the applicable Royalty Term, which royalty shall be no greater than the Marginal Royalty Rates otherwise set forth for Agreement Products under this Agreement.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1.79. </w:t>
      </w:r>
      <w:r>
        <w:rPr>
          <w:rFonts w:ascii="Arial" w:cs="Arial" w:eastAsia="Arial" w:hAnsi="Arial"/>
          <w:sz w:val="14"/>
          <w:szCs w:val="14"/>
          <w:b w:val="1"/>
          <w:bCs w:val="1"/>
          <w:color w:val="auto"/>
        </w:rPr>
        <w:t>“Non-Disclosing Party”</w:t>
      </w:r>
      <w:r>
        <w:rPr>
          <w:rFonts w:ascii="Arial" w:cs="Arial" w:eastAsia="Arial" w:hAnsi="Arial"/>
          <w:sz w:val="14"/>
          <w:szCs w:val="14"/>
          <w:color w:val="auto"/>
        </w:rPr>
        <w:t xml:space="preserve"> is defined in Section 7.3.2.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1.80. </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1.81. </w:t>
      </w:r>
      <w:r>
        <w:rPr>
          <w:rFonts w:ascii="Arial" w:cs="Arial" w:eastAsia="Arial" w:hAnsi="Arial"/>
          <w:sz w:val="14"/>
          <w:szCs w:val="14"/>
          <w:b w:val="1"/>
          <w:bCs w:val="1"/>
          <w:color w:val="auto"/>
        </w:rPr>
        <w:t>“Notice of Dispute”</w:t>
      </w:r>
      <w:r>
        <w:rPr>
          <w:rFonts w:ascii="Arial" w:cs="Arial" w:eastAsia="Arial" w:hAnsi="Arial"/>
          <w:sz w:val="14"/>
          <w:szCs w:val="14"/>
          <w:color w:val="auto"/>
        </w:rPr>
        <w:t xml:space="preserve"> is defined in Section 11.9.1.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1.82. “</w:t>
      </w:r>
      <w:r>
        <w:rPr>
          <w:rFonts w:ascii="Arial" w:cs="Arial" w:eastAsia="Arial" w:hAnsi="Arial"/>
          <w:sz w:val="14"/>
          <w:szCs w:val="14"/>
          <w:b w:val="1"/>
          <w:bCs w:val="1"/>
          <w:color w:val="auto"/>
        </w:rPr>
        <w:t>Party</w:t>
      </w:r>
      <w:r>
        <w:rPr>
          <w:rFonts w:ascii="Arial" w:cs="Arial" w:eastAsia="Arial" w:hAnsi="Arial"/>
          <w:sz w:val="14"/>
          <w:szCs w:val="14"/>
          <w:color w:val="auto"/>
        </w:rPr>
        <w:t>” and “</w:t>
      </w:r>
      <w:r>
        <w:rPr>
          <w:rFonts w:ascii="Arial" w:cs="Arial" w:eastAsia="Arial" w:hAnsi="Arial"/>
          <w:sz w:val="14"/>
          <w:szCs w:val="14"/>
          <w:b w:val="1"/>
          <w:bCs w:val="1"/>
          <w:color w:val="auto"/>
        </w:rPr>
        <w:t>Parties</w:t>
      </w:r>
      <w:r>
        <w:rPr>
          <w:rFonts w:ascii="Arial" w:cs="Arial" w:eastAsia="Arial" w:hAnsi="Arial"/>
          <w:sz w:val="14"/>
          <w:szCs w:val="14"/>
          <w:color w:val="auto"/>
        </w:rPr>
        <w:t>” is defined in the introduction to this Agreement.</w:t>
      </w:r>
    </w:p>
    <w:p>
      <w:pPr>
        <w:spacing w:after="0" w:line="69"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1.83. “</w:t>
      </w:r>
      <w:r>
        <w:rPr>
          <w:rFonts w:ascii="Arial" w:cs="Arial" w:eastAsia="Arial" w:hAnsi="Arial"/>
          <w:sz w:val="14"/>
          <w:szCs w:val="14"/>
          <w:b w:val="1"/>
          <w:bCs w:val="1"/>
          <w:color w:val="auto"/>
        </w:rPr>
        <w:t>Passed MacroGenics Antibody</w:t>
      </w:r>
      <w:r>
        <w:rPr>
          <w:rFonts w:ascii="Arial" w:cs="Arial" w:eastAsia="Arial" w:hAnsi="Arial"/>
          <w:sz w:val="14"/>
          <w:szCs w:val="14"/>
          <w:color w:val="auto"/>
        </w:rPr>
        <w:t>” means any proprietary (to MacroGenics) Research Program Antibody contributed to the Research Program by MacroGenics which the JSC has determined is no longer under Development or consideration for Development under the Research Program.</w:t>
      </w:r>
    </w:p>
    <w:p>
      <w:pPr>
        <w:spacing w:after="0" w:line="35" w:lineRule="exact"/>
        <w:rPr>
          <w:sz w:val="20"/>
          <w:szCs w:val="20"/>
          <w:color w:val="auto"/>
        </w:rPr>
      </w:pPr>
    </w:p>
    <w:p>
      <w:pPr>
        <w:spacing w:after="0" w:line="312" w:lineRule="auto"/>
        <w:rPr>
          <w:sz w:val="20"/>
          <w:szCs w:val="20"/>
          <w:color w:val="auto"/>
        </w:rPr>
      </w:pPr>
      <w:r>
        <w:rPr>
          <w:rFonts w:ascii="Arial" w:cs="Arial" w:eastAsia="Arial" w:hAnsi="Arial"/>
          <w:sz w:val="12"/>
          <w:szCs w:val="12"/>
          <w:color w:val="auto"/>
        </w:rPr>
        <w:t>1.84. “</w:t>
      </w:r>
      <w:r>
        <w:rPr>
          <w:rFonts w:ascii="Arial" w:cs="Arial" w:eastAsia="Arial" w:hAnsi="Arial"/>
          <w:sz w:val="12"/>
          <w:szCs w:val="12"/>
          <w:b w:val="1"/>
          <w:bCs w:val="1"/>
          <w:color w:val="auto"/>
        </w:rPr>
        <w:t>Patent Rights</w:t>
      </w:r>
      <w:r>
        <w:rPr>
          <w:rFonts w:ascii="Arial" w:cs="Arial" w:eastAsia="Arial" w:hAnsi="Arial"/>
          <w:sz w:val="12"/>
          <w:szCs w:val="12"/>
          <w:color w:val="auto"/>
        </w:rPr>
        <w:t>” means any and all (a) patents, (b) pending patent applications, including all provisional applications, substitutions, continuations, continuations-in-part, divisions and renewals, and all patents granted thereon, (c) all patents-of-addition, reissues, reexaminations and extensions or restorations by existing or future extension or restoration mechanisms, including patent term extensions, supplementary protection certificates or the equivalent thereof, (d) inventor’s certificates, (e) any other form of government-issued right substantially similar to any of the foregoing and (f) all United States and foreign counterparts of any of the foregoing. The Patent Rights owned by either Party include any Patent Right assigned to such party pursuant to the provisions of this Agreement.</w:t>
      </w:r>
    </w:p>
    <w:p>
      <w:pPr>
        <w:spacing w:after="0" w:line="68"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9</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5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8" w:right="219" w:bottom="1440" w:gutter="0" w:footer="0" w:header="0"/>
        </w:sectPr>
      </w:pPr>
    </w:p>
    <w:bookmarkStart w:id="879" w:name="page880"/>
    <w:bookmarkEnd w:id="87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1.85. </w:t>
      </w:r>
      <w:r>
        <w:rPr>
          <w:rFonts w:ascii="Arial" w:cs="Arial" w:eastAsia="Arial" w:hAnsi="Arial"/>
          <w:sz w:val="14"/>
          <w:szCs w:val="14"/>
          <w:b w:val="1"/>
          <w:bCs w:val="1"/>
          <w:color w:val="auto"/>
        </w:rPr>
        <w:t>“Permitted Deduction”</w:t>
      </w:r>
      <w:r>
        <w:rPr>
          <w:rFonts w:ascii="Arial" w:cs="Arial" w:eastAsia="Arial" w:hAnsi="Arial"/>
          <w:sz w:val="14"/>
          <w:szCs w:val="14"/>
          <w:color w:val="auto"/>
        </w:rPr>
        <w:t xml:space="preserve"> is defined in Section 1.78.1.</w:t>
      </w:r>
    </w:p>
    <w:p>
      <w:pPr>
        <w:spacing w:after="0" w:line="69" w:lineRule="exact"/>
        <w:rPr>
          <w:sz w:val="20"/>
          <w:szCs w:val="20"/>
          <w:color w:val="auto"/>
        </w:rPr>
      </w:pPr>
    </w:p>
    <w:p>
      <w:pPr>
        <w:ind w:right="200"/>
        <w:spacing w:after="0" w:line="345" w:lineRule="auto"/>
        <w:rPr>
          <w:sz w:val="20"/>
          <w:szCs w:val="20"/>
          <w:color w:val="auto"/>
        </w:rPr>
      </w:pPr>
      <w:r>
        <w:rPr>
          <w:rFonts w:ascii="Arial" w:cs="Arial" w:eastAsia="Arial" w:hAnsi="Arial"/>
          <w:sz w:val="12"/>
          <w:szCs w:val="12"/>
          <w:color w:val="auto"/>
        </w:rPr>
        <w:t>1.86. “</w:t>
      </w:r>
      <w:r>
        <w:rPr>
          <w:rFonts w:ascii="Arial" w:cs="Arial" w:eastAsia="Arial" w:hAnsi="Arial"/>
          <w:sz w:val="12"/>
          <w:szCs w:val="12"/>
          <w:b w:val="1"/>
          <w:bCs w:val="1"/>
          <w:color w:val="auto"/>
        </w:rPr>
        <w:t>Person</w:t>
      </w:r>
      <w:r>
        <w:rPr>
          <w:rFonts w:ascii="Arial" w:cs="Arial" w:eastAsia="Arial" w:hAnsi="Arial"/>
          <w:sz w:val="12"/>
          <w:szCs w:val="12"/>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rPr>
          <w:sz w:val="20"/>
          <w:szCs w:val="20"/>
          <w:color w:val="auto"/>
        </w:rPr>
      </w:pPr>
      <w:r>
        <w:rPr>
          <w:rFonts w:ascii="Arial" w:cs="Arial" w:eastAsia="Arial" w:hAnsi="Arial"/>
          <w:sz w:val="14"/>
          <w:szCs w:val="14"/>
          <w:color w:val="auto"/>
        </w:rPr>
        <w:t>1.87. “</w:t>
      </w:r>
      <w:r>
        <w:rPr>
          <w:rFonts w:ascii="Arial" w:cs="Arial" w:eastAsia="Arial" w:hAnsi="Arial"/>
          <w:sz w:val="14"/>
          <w:szCs w:val="14"/>
          <w:b w:val="1"/>
          <w:bCs w:val="1"/>
          <w:color w:val="auto"/>
        </w:rPr>
        <w:t>Pfizer</w:t>
      </w:r>
      <w:r>
        <w:rPr>
          <w:rFonts w:ascii="Arial" w:cs="Arial" w:eastAsia="Arial" w:hAnsi="Arial"/>
          <w:sz w:val="14"/>
          <w:szCs w:val="14"/>
          <w:color w:val="auto"/>
        </w:rPr>
        <w:t>” is defined in the introduction to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1.88. “</w:t>
      </w:r>
      <w:r>
        <w:rPr>
          <w:rFonts w:ascii="Arial" w:cs="Arial" w:eastAsia="Arial" w:hAnsi="Arial"/>
          <w:sz w:val="14"/>
          <w:szCs w:val="14"/>
          <w:b w:val="1"/>
          <w:bCs w:val="1"/>
          <w:color w:val="auto"/>
        </w:rPr>
        <w:t>Pfizer Collaboration Patent Right</w:t>
      </w:r>
      <w:r>
        <w:rPr>
          <w:rFonts w:ascii="Arial" w:cs="Arial" w:eastAsia="Arial" w:hAnsi="Arial"/>
          <w:sz w:val="14"/>
          <w:szCs w:val="14"/>
          <w:color w:val="auto"/>
        </w:rPr>
        <w:t>” is defined in Section 9.5.2(e)(i).</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1.89. “</w:t>
      </w:r>
      <w:r>
        <w:rPr>
          <w:rFonts w:ascii="Arial" w:cs="Arial" w:eastAsia="Arial" w:hAnsi="Arial"/>
          <w:sz w:val="14"/>
          <w:szCs w:val="14"/>
          <w:b w:val="1"/>
          <w:bCs w:val="1"/>
          <w:color w:val="auto"/>
        </w:rPr>
        <w:t>Pfizer Diligence Obligations</w:t>
      </w:r>
      <w:r>
        <w:rPr>
          <w:rFonts w:ascii="Arial" w:cs="Arial" w:eastAsia="Arial" w:hAnsi="Arial"/>
          <w:sz w:val="14"/>
          <w:szCs w:val="14"/>
          <w:color w:val="auto"/>
        </w:rPr>
        <w:t>” means Pfizer’s diligence obligations under Sections 3.2.1 and 3.2.2, collectively.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1.90. </w:t>
      </w:r>
      <w:r>
        <w:rPr>
          <w:rFonts w:ascii="Arial" w:cs="Arial" w:eastAsia="Arial" w:hAnsi="Arial"/>
          <w:sz w:val="14"/>
          <w:szCs w:val="14"/>
          <w:b w:val="1"/>
          <w:bCs w:val="1"/>
          <w:color w:val="auto"/>
        </w:rPr>
        <w:t>“Pfizer Indemnified Party”</w:t>
      </w:r>
      <w:r>
        <w:rPr>
          <w:rFonts w:ascii="Arial" w:cs="Arial" w:eastAsia="Arial" w:hAnsi="Arial"/>
          <w:sz w:val="14"/>
          <w:szCs w:val="14"/>
          <w:color w:val="auto"/>
        </w:rPr>
        <w:t xml:space="preserve"> is defined in Section 10.3.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1.91. “</w:t>
      </w:r>
      <w:r>
        <w:rPr>
          <w:rFonts w:ascii="Arial" w:cs="Arial" w:eastAsia="Arial" w:hAnsi="Arial"/>
          <w:sz w:val="14"/>
          <w:szCs w:val="14"/>
          <w:b w:val="1"/>
          <w:bCs w:val="1"/>
          <w:color w:val="auto"/>
        </w:rPr>
        <w:t>Pfizer Know-How</w:t>
      </w:r>
      <w:r>
        <w:rPr>
          <w:rFonts w:ascii="Arial" w:cs="Arial" w:eastAsia="Arial" w:hAnsi="Arial"/>
          <w:sz w:val="14"/>
          <w:szCs w:val="14"/>
          <w:color w:val="auto"/>
        </w:rPr>
        <w:t>” means any Know-How comprised in the Pfizer Technology, excluding any Joint Know-How.</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1.92. “</w:t>
      </w:r>
      <w:r>
        <w:rPr>
          <w:rFonts w:ascii="Arial" w:cs="Arial" w:eastAsia="Arial" w:hAnsi="Arial"/>
          <w:sz w:val="14"/>
          <w:szCs w:val="14"/>
          <w:b w:val="1"/>
          <w:bCs w:val="1"/>
          <w:color w:val="auto"/>
        </w:rPr>
        <w:t>Pfizer Patent Right</w:t>
      </w:r>
      <w:r>
        <w:rPr>
          <w:rFonts w:ascii="Arial" w:cs="Arial" w:eastAsia="Arial" w:hAnsi="Arial"/>
          <w:sz w:val="14"/>
          <w:szCs w:val="14"/>
          <w:color w:val="auto"/>
        </w:rPr>
        <w:t>” means any Patent Right comprised in the Pfizer Technology, excluding any Joint Patent Rights.</w:t>
      </w:r>
    </w:p>
    <w:p>
      <w:pPr>
        <w:spacing w:after="0" w:line="69" w:lineRule="exact"/>
        <w:rPr>
          <w:sz w:val="20"/>
          <w:szCs w:val="20"/>
          <w:color w:val="auto"/>
        </w:rPr>
      </w:pPr>
    </w:p>
    <w:p>
      <w:pPr>
        <w:spacing w:after="0" w:line="306" w:lineRule="auto"/>
        <w:rPr>
          <w:sz w:val="20"/>
          <w:szCs w:val="20"/>
          <w:color w:val="auto"/>
        </w:rPr>
      </w:pPr>
      <w:r>
        <w:rPr>
          <w:rFonts w:ascii="Arial" w:cs="Arial" w:eastAsia="Arial" w:hAnsi="Arial"/>
          <w:sz w:val="12"/>
          <w:szCs w:val="12"/>
          <w:color w:val="auto"/>
        </w:rPr>
        <w:t>1.93. “</w:t>
      </w:r>
      <w:r>
        <w:rPr>
          <w:rFonts w:ascii="Arial" w:cs="Arial" w:eastAsia="Arial" w:hAnsi="Arial"/>
          <w:sz w:val="12"/>
          <w:szCs w:val="12"/>
          <w:b w:val="1"/>
          <w:bCs w:val="1"/>
          <w:color w:val="auto"/>
        </w:rPr>
        <w:t>Pfizer Proprietary Material Improvement</w:t>
      </w:r>
      <w:r>
        <w:rPr>
          <w:rFonts w:ascii="Arial" w:cs="Arial" w:eastAsia="Arial" w:hAnsi="Arial"/>
          <w:sz w:val="12"/>
          <w:szCs w:val="12"/>
          <w:color w:val="auto"/>
        </w:rPr>
        <w:t>” means all intellectual property rights constituting, comprising or covering any improvement or enhancement to, or any derivative or modification of, or any invention directly related to, any Pfizer Proprietary Material, which improvement, enhancement, derivative, modification or invention is conceived, discovered, invented, developed, created, made or reduced to practice or tangible medium by MacroGenics or any of its Affiliates, solely or jointly with Pfizer or any of its Affiliates, in the course of performing activities under this Agreement. For the avoidance of doubt, Pfizer Proprietary Material Improvement shall not include any Patent Right or Know-How that is directed to T-DARTs and any such Know-How or Patent Right that would otherwise of have been included as a Pfizer Proprietary Material Improvement shall instead be included in Agreement T-DART IP or the Agreement T-DART Patent Rights.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1.94. “</w:t>
      </w:r>
      <w:r>
        <w:rPr>
          <w:rFonts w:ascii="Arial" w:cs="Arial" w:eastAsia="Arial" w:hAnsi="Arial"/>
          <w:sz w:val="14"/>
          <w:szCs w:val="14"/>
          <w:b w:val="1"/>
          <w:bCs w:val="1"/>
          <w:color w:val="auto"/>
        </w:rPr>
        <w:t>Pfizer Proprietary Materials</w:t>
      </w:r>
      <w:r>
        <w:rPr>
          <w:rFonts w:ascii="Arial" w:cs="Arial" w:eastAsia="Arial" w:hAnsi="Arial"/>
          <w:sz w:val="14"/>
          <w:szCs w:val="14"/>
          <w:color w:val="auto"/>
        </w:rPr>
        <w:t>” means any and all biological and other materials Controlled by Pfizer and supplied by Pfizer to MacroGenics under this Agreement.</w:t>
      </w:r>
    </w:p>
    <w:p>
      <w:pPr>
        <w:spacing w:after="0" w:line="69" w:lineRule="exact"/>
        <w:rPr>
          <w:sz w:val="20"/>
          <w:szCs w:val="20"/>
          <w:color w:val="auto"/>
        </w:rPr>
      </w:pPr>
    </w:p>
    <w:p>
      <w:pPr>
        <w:ind w:right="480"/>
        <w:spacing w:after="0" w:line="270" w:lineRule="auto"/>
        <w:rPr>
          <w:sz w:val="20"/>
          <w:szCs w:val="20"/>
          <w:color w:val="auto"/>
        </w:rPr>
      </w:pPr>
      <w:r>
        <w:rPr>
          <w:rFonts w:ascii="Arial" w:cs="Arial" w:eastAsia="Arial" w:hAnsi="Arial"/>
          <w:sz w:val="14"/>
          <w:szCs w:val="14"/>
          <w:color w:val="auto"/>
        </w:rPr>
        <w:t>1.95. “</w:t>
      </w:r>
      <w:r>
        <w:rPr>
          <w:rFonts w:ascii="Arial" w:cs="Arial" w:eastAsia="Arial" w:hAnsi="Arial"/>
          <w:sz w:val="14"/>
          <w:szCs w:val="14"/>
          <w:b w:val="1"/>
          <w:bCs w:val="1"/>
          <w:color w:val="auto"/>
        </w:rPr>
        <w:t>Pfizer Quarter</w:t>
      </w:r>
      <w:r>
        <w:rPr>
          <w:rFonts w:ascii="Arial" w:cs="Arial" w:eastAsia="Arial" w:hAnsi="Arial"/>
          <w:sz w:val="14"/>
          <w:szCs w:val="14"/>
          <w:color w:val="auto"/>
        </w:rPr>
        <w:t>” means each of the four thirteen week periods (a) with respect to the United States, commencing on January 1 of any Pfizer Year and (b) with respect to any country in the Territory other than the United States, commencing on December 1 of any Pfizer Year.</w:t>
      </w:r>
    </w:p>
    <w:p>
      <w:pPr>
        <w:spacing w:after="0" w:line="35" w:lineRule="exact"/>
        <w:rPr>
          <w:sz w:val="20"/>
          <w:szCs w:val="20"/>
          <w:color w:val="auto"/>
        </w:rPr>
      </w:pPr>
    </w:p>
    <w:p>
      <w:pPr>
        <w:ind w:right="160"/>
        <w:spacing w:after="0" w:line="355" w:lineRule="auto"/>
        <w:rPr>
          <w:sz w:val="20"/>
          <w:szCs w:val="20"/>
          <w:color w:val="auto"/>
        </w:rPr>
      </w:pPr>
      <w:r>
        <w:rPr>
          <w:rFonts w:ascii="Arial" w:cs="Arial" w:eastAsia="Arial" w:hAnsi="Arial"/>
          <w:sz w:val="12"/>
          <w:szCs w:val="12"/>
          <w:color w:val="auto"/>
        </w:rPr>
        <w:t>1.96. “</w:t>
      </w:r>
      <w:r>
        <w:rPr>
          <w:rFonts w:ascii="Arial" w:cs="Arial" w:eastAsia="Arial" w:hAnsi="Arial"/>
          <w:sz w:val="12"/>
          <w:szCs w:val="12"/>
          <w:b w:val="1"/>
          <w:bCs w:val="1"/>
          <w:color w:val="auto"/>
        </w:rPr>
        <w:t>Pfizer Technology</w:t>
      </w:r>
      <w:r>
        <w:rPr>
          <w:rFonts w:ascii="Arial" w:cs="Arial" w:eastAsia="Arial" w:hAnsi="Arial"/>
          <w:sz w:val="12"/>
          <w:szCs w:val="12"/>
          <w:color w:val="auto"/>
        </w:rPr>
        <w:t>” means any Patent Right or Know-How that is (a) Controlled by Pfizer or any Affiliate of Pfizer as of the Effective Date or that comes into the Control of Pfizer or any of its Affiliates at any time during the Term and (b) is necessary or useful to Develop, Manufacture or Commercialize Agreement T-DARTs and/or Agreement Products.</w:t>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10</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5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4" w:right="219" w:bottom="1440" w:gutter="0" w:footer="0" w:header="0"/>
        </w:sectPr>
      </w:pPr>
    </w:p>
    <w:bookmarkStart w:id="880" w:name="page881"/>
    <w:bookmarkEnd w:id="880"/>
    <w:p>
      <w:pPr>
        <w:ind w:right="18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1.97. “</w:t>
      </w:r>
      <w:r>
        <w:rPr>
          <w:rFonts w:ascii="Arial" w:cs="Arial" w:eastAsia="Arial" w:hAnsi="Arial"/>
          <w:sz w:val="14"/>
          <w:szCs w:val="14"/>
          <w:b w:val="1"/>
          <w:bCs w:val="1"/>
          <w:color w:val="auto"/>
        </w:rPr>
        <w:t>Pfizer Year</w:t>
      </w:r>
      <w:r>
        <w:rPr>
          <w:rFonts w:ascii="Arial" w:cs="Arial" w:eastAsia="Arial" w:hAnsi="Arial"/>
          <w:sz w:val="14"/>
          <w:szCs w:val="14"/>
          <w:color w:val="auto"/>
        </w:rPr>
        <w:t>” means the twelve (12) month fiscal periods observed by Pfizer (a) commencing on January 1 with respect to the United States and (b) commencing on December 1 with respect to any country in the Territory other than the United States.</w:t>
      </w:r>
    </w:p>
    <w:p>
      <w:pPr>
        <w:spacing w:after="0" w:line="35" w:lineRule="exact"/>
        <w:rPr>
          <w:sz w:val="20"/>
          <w:szCs w:val="20"/>
          <w:color w:val="auto"/>
        </w:rPr>
      </w:pPr>
    </w:p>
    <w:p>
      <w:pPr>
        <w:ind w:right="240"/>
        <w:spacing w:after="0" w:line="322" w:lineRule="auto"/>
        <w:rPr>
          <w:sz w:val="20"/>
          <w:szCs w:val="20"/>
          <w:color w:val="auto"/>
        </w:rPr>
      </w:pPr>
      <w:r>
        <w:rPr>
          <w:rFonts w:ascii="Arial" w:cs="Arial" w:eastAsia="Arial" w:hAnsi="Arial"/>
          <w:sz w:val="12"/>
          <w:szCs w:val="12"/>
          <w:color w:val="auto"/>
        </w:rPr>
        <w:t>1.98. “</w:t>
      </w:r>
      <w:r>
        <w:rPr>
          <w:rFonts w:ascii="Arial" w:cs="Arial" w:eastAsia="Arial" w:hAnsi="Arial"/>
          <w:sz w:val="12"/>
          <w:szCs w:val="12"/>
          <w:b w:val="1"/>
          <w:bCs w:val="1"/>
          <w:color w:val="auto"/>
        </w:rPr>
        <w:t>Phase I Clinical Study</w:t>
      </w:r>
      <w:r>
        <w:rPr>
          <w:rFonts w:ascii="Arial" w:cs="Arial" w:eastAsia="Arial" w:hAnsi="Arial"/>
          <w:sz w:val="12"/>
          <w:szCs w:val="12"/>
          <w:color w:val="auto"/>
        </w:rPr>
        <w:t>” means a study of an Agreement Product in human subjects or patients with the endpoint of determining initial tolerance, safety, metabolism or pharmacokinetic information and clinical pharmacology of such product as and to the extent defined for the United States in 21 C.F.R. § 312.21(a), or its successor regulation, or the equivalent regulation in any other country. A so-called Phase I/II Clinical Study shall be deemed to be a Phase I Clinical Study unless such study, when completed, allows Pfizer to proceed directly to a Pivotal Study.</w:t>
      </w:r>
    </w:p>
    <w:p>
      <w:pPr>
        <w:spacing w:after="0" w:line="9" w:lineRule="exact"/>
        <w:rPr>
          <w:sz w:val="20"/>
          <w:szCs w:val="20"/>
          <w:color w:val="auto"/>
        </w:rPr>
      </w:pPr>
    </w:p>
    <w:p>
      <w:pPr>
        <w:ind w:right="440"/>
        <w:spacing w:after="0" w:line="270" w:lineRule="auto"/>
        <w:rPr>
          <w:sz w:val="20"/>
          <w:szCs w:val="20"/>
          <w:color w:val="auto"/>
        </w:rPr>
      </w:pPr>
      <w:r>
        <w:rPr>
          <w:rFonts w:ascii="Arial" w:cs="Arial" w:eastAsia="Arial" w:hAnsi="Arial"/>
          <w:sz w:val="14"/>
          <w:szCs w:val="14"/>
          <w:color w:val="auto"/>
        </w:rPr>
        <w:t>1.99. “</w:t>
      </w:r>
      <w:r>
        <w:rPr>
          <w:rFonts w:ascii="Arial" w:cs="Arial" w:eastAsia="Arial" w:hAnsi="Arial"/>
          <w:sz w:val="14"/>
          <w:szCs w:val="14"/>
          <w:b w:val="1"/>
          <w:bCs w:val="1"/>
          <w:color w:val="auto"/>
        </w:rPr>
        <w:t>Phase II Clinical Study</w:t>
      </w:r>
      <w:r>
        <w:rPr>
          <w:rFonts w:ascii="Arial" w:cs="Arial" w:eastAsia="Arial" w:hAnsi="Arial"/>
          <w:sz w:val="14"/>
          <w:szCs w:val="14"/>
          <w:color w:val="auto"/>
        </w:rPr>
        <w:t>” means a study of an Agreement Product in human patients to determine the safe and effective dose range in a proposed therapeutic Indication as and to the extent defined for the United Sates in 21 C.F.R. § 312.21(b), or its successor regulation, or the equivalent regulation in any other country.</w:t>
      </w:r>
    </w:p>
    <w:p>
      <w:pPr>
        <w:spacing w:after="0" w:line="35"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1.100. “</w:t>
      </w:r>
      <w:r>
        <w:rPr>
          <w:rFonts w:ascii="Arial" w:cs="Arial" w:eastAsia="Arial" w:hAnsi="Arial"/>
          <w:sz w:val="12"/>
          <w:szCs w:val="12"/>
          <w:b w:val="1"/>
          <w:bCs w:val="1"/>
          <w:color w:val="auto"/>
        </w:rPr>
        <w:t>Phase III Clinical Study</w:t>
      </w:r>
      <w:r>
        <w:rPr>
          <w:rFonts w:ascii="Arial" w:cs="Arial" w:eastAsia="Arial" w:hAnsi="Arial"/>
          <w:sz w:val="12"/>
          <w:szCs w:val="12"/>
          <w:color w:val="auto"/>
        </w:rPr>
        <w:t>” means a study of an Agreement Product in human patients with a defined dose or a set of defined doses of an Agreement Product designed to (a) ascertain efficacy and safety of such Agreement Product for its intended use; (b) define warnings, precautions and adverse reactions that are associated with the Agreement Product in the dosage range to be prescribed; and</w:t>
      </w:r>
    </w:p>
    <w:p>
      <w:pPr>
        <w:spacing w:after="0" w:line="1" w:lineRule="exact"/>
        <w:rPr>
          <w:sz w:val="20"/>
          <w:szCs w:val="20"/>
          <w:color w:val="auto"/>
        </w:rPr>
      </w:pPr>
    </w:p>
    <w:p>
      <w:pPr>
        <w:ind w:right="20" w:firstLine="2"/>
        <w:spacing w:after="0" w:line="258" w:lineRule="auto"/>
        <w:tabs>
          <w:tab w:leader="none" w:pos="185" w:val="left"/>
        </w:tabs>
        <w:numPr>
          <w:ilvl w:val="0"/>
          <w:numId w:val="1057"/>
        </w:numPr>
        <w:rPr>
          <w:rFonts w:ascii="Arial" w:cs="Arial" w:eastAsia="Arial" w:hAnsi="Arial"/>
          <w:sz w:val="14"/>
          <w:szCs w:val="14"/>
          <w:color w:val="auto"/>
        </w:rPr>
      </w:pPr>
      <w:r>
        <w:rPr>
          <w:rFonts w:ascii="Arial" w:cs="Arial" w:eastAsia="Arial" w:hAnsi="Arial"/>
          <w:sz w:val="14"/>
          <w:szCs w:val="14"/>
          <w:color w:val="auto"/>
        </w:rPr>
        <w:t>support preparing and submitting applications for Regulatory Marketing Approval to the competent Regulatory Authorities in a country of the world, as and to the extent defined for the United States in 21 C.F.R.§ 312.21(c), or its successor regulation, or the equivalent regulation in any other country.</w:t>
      </w:r>
    </w:p>
    <w:p>
      <w:pPr>
        <w:spacing w:after="0" w:line="43"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color w:val="auto"/>
        </w:rPr>
        <w:t>1.101. “</w:t>
      </w:r>
      <w:r>
        <w:rPr>
          <w:rFonts w:ascii="Arial" w:cs="Arial" w:eastAsia="Arial" w:hAnsi="Arial"/>
          <w:sz w:val="14"/>
          <w:szCs w:val="14"/>
          <w:b w:val="1"/>
          <w:bCs w:val="1"/>
          <w:color w:val="auto"/>
        </w:rPr>
        <w:t>Pivotal Study</w:t>
      </w:r>
      <w:r>
        <w:rPr>
          <w:rFonts w:ascii="Arial" w:cs="Arial" w:eastAsia="Arial" w:hAnsi="Arial"/>
          <w:sz w:val="14"/>
          <w:szCs w:val="14"/>
          <w:color w:val="auto"/>
        </w:rPr>
        <w:t>” means (a) a Phase III Clinical Study, or (b) a Phase II Clinical Study, or a combination Phase II Clinical Study and Phase III Clinical Study, if Pfizer has determined at the time of first dosing that the data generated in such trial, if successful, will be sufficient, without data from further studies, to support the filing of a Regulatory Marketing Approval Application for an Agreement Product.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1.102. </w:t>
      </w:r>
      <w:r>
        <w:rPr>
          <w:rFonts w:ascii="Arial" w:cs="Arial" w:eastAsia="Arial" w:hAnsi="Arial"/>
          <w:sz w:val="14"/>
          <w:szCs w:val="14"/>
          <w:b w:val="1"/>
          <w:bCs w:val="1"/>
          <w:color w:val="auto"/>
        </w:rPr>
        <w:t>“Receiving Party</w:t>
      </w:r>
      <w:r>
        <w:rPr>
          <w:rFonts w:ascii="Arial" w:cs="Arial" w:eastAsia="Arial" w:hAnsi="Arial"/>
          <w:sz w:val="14"/>
          <w:szCs w:val="14"/>
          <w:color w:val="auto"/>
        </w:rPr>
        <w:t>” is defined in Section 7.1.</w:t>
      </w:r>
    </w:p>
    <w:p>
      <w:pPr>
        <w:spacing w:after="0" w:line="69" w:lineRule="exact"/>
        <w:rPr>
          <w:sz w:val="20"/>
          <w:szCs w:val="20"/>
          <w:color w:val="auto"/>
        </w:rPr>
      </w:pPr>
    </w:p>
    <w:p>
      <w:pPr>
        <w:ind w:right="320"/>
        <w:spacing w:after="0" w:line="345" w:lineRule="auto"/>
        <w:rPr>
          <w:sz w:val="20"/>
          <w:szCs w:val="20"/>
          <w:color w:val="auto"/>
        </w:rPr>
      </w:pPr>
      <w:r>
        <w:rPr>
          <w:rFonts w:ascii="Arial" w:cs="Arial" w:eastAsia="Arial" w:hAnsi="Arial"/>
          <w:sz w:val="12"/>
          <w:szCs w:val="12"/>
          <w:color w:val="auto"/>
        </w:rPr>
        <w:t>1.103. “</w:t>
      </w:r>
      <w:r>
        <w:rPr>
          <w:rFonts w:ascii="Arial" w:cs="Arial" w:eastAsia="Arial" w:hAnsi="Arial"/>
          <w:sz w:val="12"/>
          <w:szCs w:val="12"/>
          <w:b w:val="1"/>
          <w:bCs w:val="1"/>
          <w:color w:val="auto"/>
        </w:rPr>
        <w:t>Regulatory Approval</w:t>
      </w:r>
      <w:r>
        <w:rPr>
          <w:rFonts w:ascii="Arial" w:cs="Arial" w:eastAsia="Arial" w:hAnsi="Arial"/>
          <w:sz w:val="12"/>
          <w:szCs w:val="12"/>
          <w:color w:val="auto"/>
        </w:rPr>
        <w:t>” means any technical, medical, scientific or other license, registration, authorization or approval of any Regulatory Authority (including any approval of a New Drug Applications or Biologic License Applications) necessary for the Development, Manufacture or Commercialization of a pharmaceutical product in any regulatory jurisdiction.</w:t>
      </w:r>
    </w:p>
    <w:p>
      <w:pPr>
        <w:spacing w:after="0"/>
        <w:rPr>
          <w:sz w:val="20"/>
          <w:szCs w:val="20"/>
          <w:color w:val="auto"/>
        </w:rPr>
      </w:pPr>
      <w:r>
        <w:rPr>
          <w:rFonts w:ascii="Arial" w:cs="Arial" w:eastAsia="Arial" w:hAnsi="Arial"/>
          <w:sz w:val="14"/>
          <w:szCs w:val="14"/>
          <w:color w:val="auto"/>
        </w:rPr>
        <w:t>1.104. “</w:t>
      </w:r>
      <w:r>
        <w:rPr>
          <w:rFonts w:ascii="Arial" w:cs="Arial" w:eastAsia="Arial" w:hAnsi="Arial"/>
          <w:sz w:val="14"/>
          <w:szCs w:val="14"/>
          <w:b w:val="1"/>
          <w:bCs w:val="1"/>
          <w:color w:val="auto"/>
        </w:rPr>
        <w:t>Regulatory Approval Application</w:t>
      </w:r>
      <w:r>
        <w:rPr>
          <w:rFonts w:ascii="Arial" w:cs="Arial" w:eastAsia="Arial" w:hAnsi="Arial"/>
          <w:sz w:val="14"/>
          <w:szCs w:val="14"/>
          <w:color w:val="auto"/>
        </w:rPr>
        <w:t>” means any application submitted to an appropriate Regulatory Authority seeking any Regulatory Approval.</w:t>
      </w:r>
    </w:p>
    <w:p>
      <w:pPr>
        <w:spacing w:after="0" w:line="123"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11</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5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6" w:right="219" w:bottom="1440" w:gutter="0" w:footer="0" w:header="0"/>
        </w:sectPr>
      </w:pPr>
    </w:p>
    <w:bookmarkStart w:id="881" w:name="page882"/>
    <w:bookmarkEnd w:id="881"/>
    <w:p>
      <w:pPr>
        <w:ind w:right="48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1.105. “</w:t>
      </w:r>
      <w:r>
        <w:rPr>
          <w:rFonts w:ascii="Arial" w:cs="Arial" w:eastAsia="Arial" w:hAnsi="Arial"/>
          <w:sz w:val="14"/>
          <w:szCs w:val="14"/>
          <w:b w:val="1"/>
          <w:bCs w:val="1"/>
          <w:color w:val="auto"/>
        </w:rPr>
        <w:t>Regulatory Authority</w:t>
      </w:r>
      <w:r>
        <w:rPr>
          <w:rFonts w:ascii="Arial" w:cs="Arial" w:eastAsia="Arial" w:hAnsi="Arial"/>
          <w:sz w:val="14"/>
          <w:szCs w:val="14"/>
          <w:color w:val="auto"/>
        </w:rPr>
        <w:t>” means, with respect to any national, supra-national, regional, state or local regulatory jurisdiction, any agency, department, bureau, commission, council or other governmental entity involved in the granting of a Regulatory Approval for such jurisdiction.</w:t>
      </w:r>
    </w:p>
    <w:p>
      <w:pPr>
        <w:spacing w:after="0" w:line="35" w:lineRule="exact"/>
        <w:rPr>
          <w:sz w:val="20"/>
          <w:szCs w:val="20"/>
          <w:color w:val="auto"/>
        </w:rPr>
      </w:pPr>
    </w:p>
    <w:p>
      <w:pPr>
        <w:ind w:right="140"/>
        <w:spacing w:after="0" w:line="345" w:lineRule="auto"/>
        <w:rPr>
          <w:sz w:val="20"/>
          <w:szCs w:val="20"/>
          <w:color w:val="auto"/>
        </w:rPr>
      </w:pPr>
      <w:r>
        <w:rPr>
          <w:rFonts w:ascii="Arial" w:cs="Arial" w:eastAsia="Arial" w:hAnsi="Arial"/>
          <w:sz w:val="12"/>
          <w:szCs w:val="12"/>
          <w:color w:val="auto"/>
        </w:rPr>
        <w:t>1.106. “</w:t>
      </w:r>
      <w:r>
        <w:rPr>
          <w:rFonts w:ascii="Arial" w:cs="Arial" w:eastAsia="Arial" w:hAnsi="Arial"/>
          <w:sz w:val="12"/>
          <w:szCs w:val="12"/>
          <w:b w:val="1"/>
          <w:bCs w:val="1"/>
          <w:color w:val="auto"/>
        </w:rPr>
        <w:t>Regulatory Exclusivity</w:t>
      </w:r>
      <w:r>
        <w:rPr>
          <w:rFonts w:ascii="Arial" w:cs="Arial" w:eastAsia="Arial" w:hAnsi="Arial"/>
          <w:sz w:val="12"/>
          <w:szCs w:val="12"/>
          <w:color w:val="auto"/>
        </w:rPr>
        <w:t>” means the ability to exclude Third Parties from Commercializing an Agreement Product or a Biosimilar Biologic Product with respect to any Agreement Product in a country, either through data exclusivity rights, orphan drug designation, or such other rights conferred by a Regulatory Authority in such country, other than through Patent Rights.</w:t>
      </w:r>
    </w:p>
    <w:p>
      <w:pPr>
        <w:spacing w:after="0" w:line="259" w:lineRule="auto"/>
        <w:rPr>
          <w:sz w:val="20"/>
          <w:szCs w:val="20"/>
          <w:color w:val="auto"/>
        </w:rPr>
      </w:pPr>
      <w:r>
        <w:rPr>
          <w:rFonts w:ascii="Arial" w:cs="Arial" w:eastAsia="Arial" w:hAnsi="Arial"/>
          <w:sz w:val="14"/>
          <w:szCs w:val="14"/>
          <w:color w:val="auto"/>
        </w:rPr>
        <w:t>1.107. “</w:t>
      </w:r>
      <w:r>
        <w:rPr>
          <w:rFonts w:ascii="Arial" w:cs="Arial" w:eastAsia="Arial" w:hAnsi="Arial"/>
          <w:sz w:val="14"/>
          <w:szCs w:val="14"/>
          <w:b w:val="1"/>
          <w:bCs w:val="1"/>
          <w:color w:val="auto"/>
        </w:rPr>
        <w:t>Regulatory Marketing Approval</w:t>
      </w:r>
      <w:r>
        <w:rPr>
          <w:rFonts w:ascii="Arial" w:cs="Arial" w:eastAsia="Arial" w:hAnsi="Arial"/>
          <w:sz w:val="14"/>
          <w:szCs w:val="14"/>
          <w:color w:val="auto"/>
        </w:rPr>
        <w:t>” means, with respect to any pharmaceutical product and any Indication, Regulatory Approval (including any supplement thereto) to sell such pharmaceutical product for such Indication, including, in any jurisdiction other than the United States, to the extent required for any sale in such country, all pricing and reimbursement approvals to be obtained from the Regulatory Authority granting such Regulatory Approval or any affiliated Regulatory Authority.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1.108. “</w:t>
      </w:r>
      <w:r>
        <w:rPr>
          <w:rFonts w:ascii="Arial" w:cs="Arial" w:eastAsia="Arial" w:hAnsi="Arial"/>
          <w:sz w:val="12"/>
          <w:szCs w:val="12"/>
          <w:b w:val="1"/>
          <w:bCs w:val="1"/>
          <w:color w:val="auto"/>
        </w:rPr>
        <w:t>Regulatory Marketing Approval Application</w:t>
      </w:r>
      <w:r>
        <w:rPr>
          <w:rFonts w:ascii="Arial" w:cs="Arial" w:eastAsia="Arial" w:hAnsi="Arial"/>
          <w:sz w:val="12"/>
          <w:szCs w:val="12"/>
          <w:color w:val="auto"/>
        </w:rPr>
        <w:t>” means any Regulatory Approval Application submitted to an appropriate Regulatory Authority seeking any Regulatory Marketing Approval.</w:t>
      </w:r>
    </w:p>
    <w:p>
      <w:pPr>
        <w:spacing w:after="0" w:line="92"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1.109. “</w:t>
      </w:r>
      <w:r>
        <w:rPr>
          <w:rFonts w:ascii="Arial" w:cs="Arial" w:eastAsia="Arial" w:hAnsi="Arial"/>
          <w:sz w:val="14"/>
          <w:szCs w:val="14"/>
          <w:b w:val="1"/>
          <w:bCs w:val="1"/>
          <w:color w:val="auto"/>
        </w:rPr>
        <w:t>Relevant Factors</w:t>
      </w:r>
      <w:r>
        <w:rPr>
          <w:rFonts w:ascii="Arial" w:cs="Arial" w:eastAsia="Arial" w:hAnsi="Arial"/>
          <w:sz w:val="14"/>
          <w:szCs w:val="14"/>
          <w:color w:val="auto"/>
        </w:rPr>
        <w:t>” means all relevant factors that may affect the Development, Regulatory Approval, Manufacture, or Commercialization of an Agreement Product, including (as applicable): actual and potential issues of safety, efficacy and/or stability; product profile (including product modality, category and mechanism of action); stage of development or life cycle status; actual and projected Development, Regulatory Approval, Manufacturing, and Commercialization costs, timelines and budgets; any issues regarding the ability to Manufacture or have Manufactured the Agreement Product; the likelihood of obtaining Regulatory Approvals (including satisfactory reimbursement or pricing approvals); the timing of such approvals; labeling or anticipated labeling; the then-current competitive environment and the likely competitive environment at the time of projected entry into the market; past performance of the product or similar products; present and future market potential; existing or projected pricing, sales, reimbursement and profitability; proprietary position, strength and duration of patent protection and anticipated exclusivity; other relevant scientific, technical, operational and commercial factors.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1.110. “</w:t>
      </w:r>
      <w:r>
        <w:rPr>
          <w:rFonts w:ascii="Arial" w:cs="Arial" w:eastAsia="Arial" w:hAnsi="Arial"/>
          <w:sz w:val="14"/>
          <w:szCs w:val="14"/>
          <w:b w:val="1"/>
          <w:bCs w:val="1"/>
          <w:color w:val="auto"/>
        </w:rPr>
        <w:t>Representatives</w:t>
      </w:r>
      <w:r>
        <w:rPr>
          <w:rFonts w:ascii="Arial" w:cs="Arial" w:eastAsia="Arial" w:hAnsi="Arial"/>
          <w:sz w:val="14"/>
          <w:szCs w:val="14"/>
          <w:color w:val="auto"/>
        </w:rPr>
        <w:t>” is defined in Section 7.2.1.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1.111. “</w:t>
      </w:r>
      <w:r>
        <w:rPr>
          <w:rFonts w:ascii="Arial" w:cs="Arial" w:eastAsia="Arial" w:hAnsi="Arial"/>
          <w:sz w:val="14"/>
          <w:szCs w:val="14"/>
          <w:b w:val="1"/>
          <w:bCs w:val="1"/>
          <w:color w:val="auto"/>
        </w:rPr>
        <w:t>Research Plan</w:t>
      </w:r>
      <w:r>
        <w:rPr>
          <w:rFonts w:ascii="Arial" w:cs="Arial" w:eastAsia="Arial" w:hAnsi="Arial"/>
          <w:sz w:val="14"/>
          <w:szCs w:val="14"/>
          <w:color w:val="auto"/>
        </w:rPr>
        <w:t>” is defined in Section 2.3.1.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1.112. “</w:t>
      </w:r>
      <w:r>
        <w:rPr>
          <w:rFonts w:ascii="Arial" w:cs="Arial" w:eastAsia="Arial" w:hAnsi="Arial"/>
          <w:sz w:val="14"/>
          <w:szCs w:val="14"/>
          <w:b w:val="1"/>
          <w:bCs w:val="1"/>
          <w:color w:val="auto"/>
        </w:rPr>
        <w:t>Research Plan Services</w:t>
      </w:r>
      <w:r>
        <w:rPr>
          <w:rFonts w:ascii="Arial" w:cs="Arial" w:eastAsia="Arial" w:hAnsi="Arial"/>
          <w:sz w:val="14"/>
          <w:szCs w:val="14"/>
          <w:color w:val="auto"/>
        </w:rPr>
        <w:t>” is defined in Section 2.3.3.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1.113. “</w:t>
      </w:r>
      <w:r>
        <w:rPr>
          <w:rFonts w:ascii="Arial" w:cs="Arial" w:eastAsia="Arial" w:hAnsi="Arial"/>
          <w:sz w:val="14"/>
          <w:szCs w:val="14"/>
          <w:b w:val="1"/>
          <w:bCs w:val="1"/>
          <w:color w:val="auto"/>
        </w:rPr>
        <w:t>Research Program</w:t>
      </w:r>
      <w:r>
        <w:rPr>
          <w:rFonts w:ascii="Arial" w:cs="Arial" w:eastAsia="Arial" w:hAnsi="Arial"/>
          <w:sz w:val="14"/>
          <w:szCs w:val="14"/>
          <w:color w:val="auto"/>
        </w:rPr>
        <w:t>” is defined in Section 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1.114. “</w:t>
      </w:r>
      <w:r>
        <w:rPr>
          <w:rFonts w:ascii="Arial" w:cs="Arial" w:eastAsia="Arial" w:hAnsi="Arial"/>
          <w:sz w:val="14"/>
          <w:szCs w:val="14"/>
          <w:b w:val="1"/>
          <w:bCs w:val="1"/>
          <w:color w:val="auto"/>
        </w:rPr>
        <w:t>Research Program Antibody</w:t>
      </w:r>
      <w:r>
        <w:rPr>
          <w:rFonts w:ascii="Arial" w:cs="Arial" w:eastAsia="Arial" w:hAnsi="Arial"/>
          <w:sz w:val="14"/>
          <w:szCs w:val="14"/>
          <w:color w:val="auto"/>
        </w:rPr>
        <w:t>” is defined in Section 2.4.1.</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12</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5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6" w:right="239" w:bottom="1440" w:gutter="0" w:footer="0" w:header="0"/>
        </w:sectPr>
      </w:pPr>
    </w:p>
    <w:bookmarkStart w:id="882" w:name="page883"/>
    <w:bookmarkEnd w:id="88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1.115. “</w:t>
      </w:r>
      <w:r>
        <w:rPr>
          <w:rFonts w:ascii="Arial" w:cs="Arial" w:eastAsia="Arial" w:hAnsi="Arial"/>
          <w:sz w:val="14"/>
          <w:szCs w:val="14"/>
          <w:b w:val="1"/>
          <w:bCs w:val="1"/>
          <w:color w:val="auto"/>
        </w:rPr>
        <w:t>Research Project</w:t>
      </w:r>
      <w:r>
        <w:rPr>
          <w:rFonts w:ascii="Arial" w:cs="Arial" w:eastAsia="Arial" w:hAnsi="Arial"/>
          <w:sz w:val="14"/>
          <w:szCs w:val="14"/>
          <w:color w:val="auto"/>
        </w:rPr>
        <w:t>” is defined in Section 2.3.1.</w:t>
      </w:r>
    </w:p>
    <w:p>
      <w:pPr>
        <w:spacing w:after="0" w:line="69"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1.116. “</w:t>
      </w:r>
      <w:r>
        <w:rPr>
          <w:rFonts w:ascii="Arial" w:cs="Arial" w:eastAsia="Arial" w:hAnsi="Arial"/>
          <w:sz w:val="14"/>
          <w:szCs w:val="14"/>
          <w:b w:val="1"/>
          <w:bCs w:val="1"/>
          <w:color w:val="auto"/>
        </w:rPr>
        <w:t>Research Project Target</w:t>
      </w:r>
      <w:r>
        <w:rPr>
          <w:rFonts w:ascii="Arial" w:cs="Arial" w:eastAsia="Arial" w:hAnsi="Arial"/>
          <w:sz w:val="14"/>
          <w:szCs w:val="14"/>
          <w:color w:val="auto"/>
        </w:rPr>
        <w:t>” means a cancer cell Target that has been selected for a Research Project, including the Initial Research Project Targets and any Reserved Target substituted for an existing Research Project Target in accordance with Section 2.1.4.</w:t>
      </w:r>
    </w:p>
    <w:p>
      <w:pPr>
        <w:spacing w:after="0" w:line="35"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1.117. “</w:t>
      </w:r>
      <w:r>
        <w:rPr>
          <w:rFonts w:ascii="Arial" w:cs="Arial" w:eastAsia="Arial" w:hAnsi="Arial"/>
          <w:sz w:val="14"/>
          <w:szCs w:val="14"/>
          <w:b w:val="1"/>
          <w:bCs w:val="1"/>
          <w:color w:val="auto"/>
        </w:rPr>
        <w:t>Research Term</w:t>
      </w:r>
      <w:r>
        <w:rPr>
          <w:rFonts w:ascii="Arial" w:cs="Arial" w:eastAsia="Arial" w:hAnsi="Arial"/>
          <w:sz w:val="14"/>
          <w:szCs w:val="14"/>
          <w:color w:val="auto"/>
        </w:rPr>
        <w:t>” means the period commencing on the Effective Date and continuing until three (3) years after the Effective Date, or until such later date as may be mutually agreed to by the Parties.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1.118. “</w:t>
      </w:r>
      <w:r>
        <w:rPr>
          <w:rFonts w:ascii="Arial" w:cs="Arial" w:eastAsia="Arial" w:hAnsi="Arial"/>
          <w:sz w:val="14"/>
          <w:szCs w:val="14"/>
          <w:b w:val="1"/>
          <w:bCs w:val="1"/>
          <w:color w:val="auto"/>
        </w:rPr>
        <w:t>Reserved Target</w:t>
      </w:r>
      <w:r>
        <w:rPr>
          <w:rFonts w:ascii="Arial" w:cs="Arial" w:eastAsia="Arial" w:hAnsi="Arial"/>
          <w:sz w:val="14"/>
          <w:szCs w:val="14"/>
          <w:color w:val="auto"/>
        </w:rPr>
        <w:t>” means any Target designated as a Reserved Target pursuant to Section 2.1.2 or 2.1.3 of this Agreement, including the Initial Reserved Targets.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1.119. “</w:t>
      </w:r>
      <w:r>
        <w:rPr>
          <w:rFonts w:ascii="Arial" w:cs="Arial" w:eastAsia="Arial" w:hAnsi="Arial"/>
          <w:sz w:val="14"/>
          <w:szCs w:val="14"/>
          <w:b w:val="1"/>
          <w:bCs w:val="1"/>
          <w:color w:val="auto"/>
        </w:rPr>
        <w:t>Review Period</w:t>
      </w:r>
      <w:r>
        <w:rPr>
          <w:rFonts w:ascii="Arial" w:cs="Arial" w:eastAsia="Arial" w:hAnsi="Arial"/>
          <w:sz w:val="14"/>
          <w:szCs w:val="14"/>
          <w:color w:val="auto"/>
        </w:rPr>
        <w:t>” is defined in Section 7.3.2.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1.120. “</w:t>
      </w:r>
      <w:r>
        <w:rPr>
          <w:rFonts w:ascii="Arial" w:cs="Arial" w:eastAsia="Arial" w:hAnsi="Arial"/>
          <w:sz w:val="14"/>
          <w:szCs w:val="14"/>
          <w:b w:val="1"/>
          <w:bCs w:val="1"/>
          <w:color w:val="auto"/>
        </w:rPr>
        <w:t>Royalty Term</w:t>
      </w:r>
      <w:r>
        <w:rPr>
          <w:rFonts w:ascii="Arial" w:cs="Arial" w:eastAsia="Arial" w:hAnsi="Arial"/>
          <w:sz w:val="14"/>
          <w:szCs w:val="14"/>
          <w:color w:val="auto"/>
        </w:rPr>
        <w:t>” is defined in Section 5.4.2.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1.121. </w:t>
      </w:r>
      <w:r>
        <w:rPr>
          <w:rFonts w:ascii="Arial" w:cs="Arial" w:eastAsia="Arial" w:hAnsi="Arial"/>
          <w:sz w:val="14"/>
          <w:szCs w:val="14"/>
          <w:b w:val="1"/>
          <w:bCs w:val="1"/>
          <w:color w:val="auto"/>
        </w:rPr>
        <w:t>“Sales Milestone”</w:t>
      </w:r>
      <w:r>
        <w:rPr>
          <w:rFonts w:ascii="Arial" w:cs="Arial" w:eastAsia="Arial" w:hAnsi="Arial"/>
          <w:sz w:val="14"/>
          <w:szCs w:val="14"/>
          <w:color w:val="auto"/>
        </w:rPr>
        <w:t xml:space="preserve"> is defined in Section 5.3.3.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1.122. </w:t>
      </w:r>
      <w:r>
        <w:rPr>
          <w:rFonts w:ascii="Arial" w:cs="Arial" w:eastAsia="Arial" w:hAnsi="Arial"/>
          <w:sz w:val="14"/>
          <w:szCs w:val="14"/>
          <w:b w:val="1"/>
          <w:bCs w:val="1"/>
          <w:color w:val="auto"/>
        </w:rPr>
        <w:t>“Sales Milestone Payment”</w:t>
      </w:r>
      <w:r>
        <w:rPr>
          <w:rFonts w:ascii="Arial" w:cs="Arial" w:eastAsia="Arial" w:hAnsi="Arial"/>
          <w:sz w:val="14"/>
          <w:szCs w:val="14"/>
          <w:color w:val="auto"/>
        </w:rPr>
        <w:t xml:space="preserve"> is defined in Section 5.3.3.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1.123. </w:t>
      </w:r>
      <w:r>
        <w:rPr>
          <w:rFonts w:ascii="Arial" w:cs="Arial" w:eastAsia="Arial" w:hAnsi="Arial"/>
          <w:sz w:val="14"/>
          <w:szCs w:val="14"/>
          <w:b w:val="1"/>
          <w:bCs w:val="1"/>
          <w:color w:val="auto"/>
        </w:rPr>
        <w:t>“Sales Threshold”</w:t>
      </w:r>
      <w:r>
        <w:rPr>
          <w:rFonts w:ascii="Arial" w:cs="Arial" w:eastAsia="Arial" w:hAnsi="Arial"/>
          <w:sz w:val="14"/>
          <w:szCs w:val="14"/>
          <w:color w:val="auto"/>
        </w:rPr>
        <w:t xml:space="preserve"> is defined in Section 5.3.3.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1.124. </w:t>
      </w:r>
      <w:r>
        <w:rPr>
          <w:rFonts w:ascii="Arial" w:cs="Arial" w:eastAsia="Arial" w:hAnsi="Arial"/>
          <w:sz w:val="14"/>
          <w:szCs w:val="14"/>
          <w:b w:val="1"/>
          <w:bCs w:val="1"/>
          <w:color w:val="auto"/>
        </w:rPr>
        <w:t>“SEC”</w:t>
      </w:r>
      <w:r>
        <w:rPr>
          <w:rFonts w:ascii="Arial" w:cs="Arial" w:eastAsia="Arial" w:hAnsi="Arial"/>
          <w:sz w:val="14"/>
          <w:szCs w:val="14"/>
          <w:color w:val="auto"/>
        </w:rPr>
        <w:t xml:space="preserve"> means the United States Securities and Exchange Commission.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1.125. </w:t>
      </w:r>
      <w:r>
        <w:rPr>
          <w:rFonts w:ascii="Arial" w:cs="Arial" w:eastAsia="Arial" w:hAnsi="Arial"/>
          <w:sz w:val="14"/>
          <w:szCs w:val="14"/>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1.126. “</w:t>
      </w:r>
      <w:r>
        <w:rPr>
          <w:rFonts w:ascii="Arial" w:cs="Arial" w:eastAsia="Arial" w:hAnsi="Arial"/>
          <w:sz w:val="14"/>
          <w:szCs w:val="14"/>
          <w:b w:val="1"/>
          <w:bCs w:val="1"/>
          <w:color w:val="auto"/>
        </w:rPr>
        <w:t>Second Research Project Target</w:t>
      </w:r>
      <w:r>
        <w:rPr>
          <w:rFonts w:ascii="Arial" w:cs="Arial" w:eastAsia="Arial" w:hAnsi="Arial"/>
          <w:sz w:val="14"/>
          <w:szCs w:val="14"/>
          <w:color w:val="auto"/>
        </w:rPr>
        <w:t>” is defined in Section 2.1.1.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1.127. </w:t>
      </w:r>
      <w:r>
        <w:rPr>
          <w:rFonts w:ascii="Arial" w:cs="Arial" w:eastAsia="Arial" w:hAnsi="Arial"/>
          <w:sz w:val="14"/>
          <w:szCs w:val="14"/>
          <w:b w:val="1"/>
          <w:bCs w:val="1"/>
          <w:color w:val="auto"/>
        </w:rPr>
        <w:t>“Selling Person”</w:t>
      </w:r>
      <w:r>
        <w:rPr>
          <w:rFonts w:ascii="Arial" w:cs="Arial" w:eastAsia="Arial" w:hAnsi="Arial"/>
          <w:sz w:val="14"/>
          <w:szCs w:val="14"/>
          <w:color w:val="auto"/>
        </w:rPr>
        <w:t xml:space="preserve"> is defined in Section 1.78.1.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1.128. </w:t>
      </w:r>
      <w:r>
        <w:rPr>
          <w:rFonts w:ascii="Arial" w:cs="Arial" w:eastAsia="Arial" w:hAnsi="Arial"/>
          <w:sz w:val="14"/>
          <w:szCs w:val="14"/>
          <w:b w:val="1"/>
          <w:bCs w:val="1"/>
          <w:color w:val="auto"/>
        </w:rPr>
        <w:t>“Senior Executives”</w:t>
      </w:r>
      <w:r>
        <w:rPr>
          <w:rFonts w:ascii="Arial" w:cs="Arial" w:eastAsia="Arial" w:hAnsi="Arial"/>
          <w:sz w:val="14"/>
          <w:szCs w:val="14"/>
          <w:color w:val="auto"/>
        </w:rPr>
        <w:t xml:space="preserve"> is defined in Section 2.5.5(b).</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1.129. </w:t>
      </w:r>
      <w:r>
        <w:rPr>
          <w:rFonts w:ascii="Arial" w:cs="Arial" w:eastAsia="Arial" w:hAnsi="Arial"/>
          <w:sz w:val="14"/>
          <w:szCs w:val="14"/>
          <w:b w:val="1"/>
          <w:bCs w:val="1"/>
          <w:color w:val="auto"/>
        </w:rPr>
        <w:t>“Sole Invention”</w:t>
      </w:r>
      <w:r>
        <w:rPr>
          <w:rFonts w:ascii="Arial" w:cs="Arial" w:eastAsia="Arial" w:hAnsi="Arial"/>
          <w:sz w:val="14"/>
          <w:szCs w:val="14"/>
          <w:color w:val="auto"/>
        </w:rPr>
        <w:t xml:space="preserve"> is defined in Section 6.1.1(a).</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1.130. </w:t>
      </w:r>
      <w:r>
        <w:rPr>
          <w:rFonts w:ascii="Arial" w:cs="Arial" w:eastAsia="Arial" w:hAnsi="Arial"/>
          <w:sz w:val="14"/>
          <w:szCs w:val="14"/>
          <w:b w:val="1"/>
          <w:bCs w:val="1"/>
          <w:color w:val="auto"/>
        </w:rPr>
        <w:t>“Sole Know-How”</w:t>
      </w:r>
      <w:r>
        <w:rPr>
          <w:rFonts w:ascii="Arial" w:cs="Arial" w:eastAsia="Arial" w:hAnsi="Arial"/>
          <w:sz w:val="14"/>
          <w:szCs w:val="14"/>
          <w:color w:val="auto"/>
        </w:rPr>
        <w:t xml:space="preserve"> is defined in Section 6.1.1(a).</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1.131. </w:t>
      </w:r>
      <w:r>
        <w:rPr>
          <w:rFonts w:ascii="Arial" w:cs="Arial" w:eastAsia="Arial" w:hAnsi="Arial"/>
          <w:sz w:val="14"/>
          <w:szCs w:val="14"/>
          <w:b w:val="1"/>
          <w:bCs w:val="1"/>
          <w:color w:val="auto"/>
        </w:rPr>
        <w:t>“Subcontractors”</w:t>
      </w:r>
      <w:r>
        <w:rPr>
          <w:rFonts w:ascii="Arial" w:cs="Arial" w:eastAsia="Arial" w:hAnsi="Arial"/>
          <w:sz w:val="14"/>
          <w:szCs w:val="14"/>
          <w:color w:val="auto"/>
        </w:rPr>
        <w:t xml:space="preserve"> is defined in Section 2.10.1.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1.132. </w:t>
      </w:r>
      <w:r>
        <w:rPr>
          <w:rFonts w:ascii="Arial" w:cs="Arial" w:eastAsia="Arial" w:hAnsi="Arial"/>
          <w:sz w:val="14"/>
          <w:szCs w:val="14"/>
          <w:b w:val="1"/>
          <w:bCs w:val="1"/>
          <w:color w:val="auto"/>
        </w:rPr>
        <w:t>“Subcontractor Information”</w:t>
      </w:r>
      <w:r>
        <w:rPr>
          <w:rFonts w:ascii="Arial" w:cs="Arial" w:eastAsia="Arial" w:hAnsi="Arial"/>
          <w:sz w:val="14"/>
          <w:szCs w:val="14"/>
          <w:color w:val="auto"/>
        </w:rPr>
        <w:t xml:space="preserve"> is defined in Section 2.11.</w:t>
      </w:r>
    </w:p>
    <w:p>
      <w:pPr>
        <w:spacing w:after="0" w:line="69"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1.133. “</w:t>
      </w:r>
      <w:r>
        <w:rPr>
          <w:rFonts w:ascii="Arial" w:cs="Arial" w:eastAsia="Arial" w:hAnsi="Arial"/>
          <w:sz w:val="14"/>
          <w:szCs w:val="14"/>
          <w:b w:val="1"/>
          <w:bCs w:val="1"/>
          <w:color w:val="auto"/>
        </w:rPr>
        <w:t>Sublicensee</w:t>
      </w:r>
      <w:r>
        <w:rPr>
          <w:rFonts w:ascii="Arial" w:cs="Arial" w:eastAsia="Arial" w:hAnsi="Arial"/>
          <w:sz w:val="14"/>
          <w:szCs w:val="14"/>
          <w:color w:val="auto"/>
        </w:rPr>
        <w:t>” means any Third Party to whom Pfizer grants or has granted, directly or indirectly, a sublicense of rights licensed by MacroGenics to Pfizer under this Agreement, in accordance with the provisions of this Agreement.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1.134. </w:t>
      </w:r>
      <w:r>
        <w:rPr>
          <w:rFonts w:ascii="Arial" w:cs="Arial" w:eastAsia="Arial" w:hAnsi="Arial"/>
          <w:sz w:val="14"/>
          <w:szCs w:val="14"/>
          <w:b w:val="1"/>
          <w:bCs w:val="1"/>
          <w:color w:val="auto"/>
        </w:rPr>
        <w:t>“Subject Patent Right</w:t>
      </w:r>
      <w:r>
        <w:rPr>
          <w:rFonts w:ascii="Arial" w:cs="Arial" w:eastAsia="Arial" w:hAnsi="Arial"/>
          <w:sz w:val="14"/>
          <w:szCs w:val="14"/>
          <w:color w:val="auto"/>
        </w:rPr>
        <w:t>” is defined in Section 6.2.1(d).</w:t>
      </w:r>
    </w:p>
    <w:p>
      <w:pPr>
        <w:spacing w:after="0" w:line="123"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13</w:t>
      </w:r>
    </w:p>
    <w:p>
      <w:pPr>
        <w:spacing w:after="0" w:line="12" w:lineRule="exact"/>
        <w:rPr>
          <w:sz w:val="20"/>
          <w:szCs w:val="20"/>
          <w:color w:val="auto"/>
        </w:rPr>
      </w:pPr>
    </w:p>
    <w:p>
      <w:pPr>
        <w:ind w:left="3380" w:right="2520" w:hanging="1135"/>
        <w:spacing w:after="0" w:line="341" w:lineRule="auto"/>
        <w:tabs>
          <w:tab w:leader="none" w:pos="2484" w:val="left"/>
        </w:tabs>
        <w:numPr>
          <w:ilvl w:val="0"/>
          <w:numId w:val="106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820"/>
          </w:cols>
          <w:pgMar w:left="680" w:top="246" w:right="399" w:bottom="1440" w:gutter="0" w:footer="0" w:header="0"/>
        </w:sectPr>
      </w:pPr>
    </w:p>
    <w:bookmarkStart w:id="883" w:name="page884"/>
    <w:bookmarkEnd w:id="883"/>
    <w:p>
      <w:pPr>
        <w:ind w:right="12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1.135. “</w:t>
      </w:r>
      <w:r>
        <w:rPr>
          <w:rFonts w:ascii="Arial" w:cs="Arial" w:eastAsia="Arial" w:hAnsi="Arial"/>
          <w:sz w:val="14"/>
          <w:szCs w:val="14"/>
          <w:b w:val="1"/>
          <w:bCs w:val="1"/>
          <w:color w:val="auto"/>
        </w:rPr>
        <w:t>T-DART</w:t>
      </w:r>
      <w:r>
        <w:rPr>
          <w:rFonts w:ascii="Arial" w:cs="Arial" w:eastAsia="Arial" w:hAnsi="Arial"/>
          <w:sz w:val="14"/>
          <w:szCs w:val="14"/>
          <w:color w:val="auto"/>
        </w:rPr>
        <w:t xml:space="preserve">” means a dual affinity re-targeting molecule that binds with one arm to a Target expressed on an immune effector cell </w:t>
      </w:r>
      <w:r>
        <w:rPr>
          <w:rFonts w:ascii="Arial" w:cs="Arial" w:eastAsia="Arial" w:hAnsi="Arial"/>
          <w:sz w:val="14"/>
          <w:szCs w:val="14"/>
          <w:b w:val="1"/>
          <w:bCs w:val="1"/>
          <w:color w:val="auto"/>
        </w:rPr>
        <w:t>*** ***</w:t>
      </w:r>
      <w:r>
        <w:rPr>
          <w:rFonts w:ascii="Arial" w:cs="Arial" w:eastAsia="Arial" w:hAnsi="Arial"/>
          <w:sz w:val="14"/>
          <w:szCs w:val="14"/>
          <w:color w:val="auto"/>
        </w:rPr>
        <w:t xml:space="preserve"> and with the second arm to a different Target expressed on another non-immune effector cell.</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1.136. “</w:t>
      </w:r>
      <w:r>
        <w:rPr>
          <w:rFonts w:ascii="Arial" w:cs="Arial" w:eastAsia="Arial" w:hAnsi="Arial"/>
          <w:sz w:val="12"/>
          <w:szCs w:val="12"/>
          <w:b w:val="1"/>
          <w:bCs w:val="1"/>
          <w:color w:val="auto"/>
        </w:rPr>
        <w:t>Target</w:t>
      </w:r>
      <w:r>
        <w:rPr>
          <w:rFonts w:ascii="Arial" w:cs="Arial" w:eastAsia="Arial" w:hAnsi="Arial"/>
          <w:sz w:val="12"/>
          <w:szCs w:val="12"/>
          <w:color w:val="auto"/>
        </w:rPr>
        <w:t>” means (a) a specific biological molecule that is identified by a GenBank accession number or other public database accession identifier or by its amino acid or nucleic acid sequence;</w:t>
      </w:r>
    </w:p>
    <w:p>
      <w:pPr>
        <w:spacing w:after="0" w:line="37" w:lineRule="exact"/>
        <w:rPr>
          <w:sz w:val="20"/>
          <w:szCs w:val="20"/>
          <w:color w:val="auto"/>
        </w:rPr>
      </w:pPr>
    </w:p>
    <w:p>
      <w:pPr>
        <w:jc w:val="both"/>
        <w:ind w:firstLine="2"/>
        <w:spacing w:after="0" w:line="253" w:lineRule="auto"/>
        <w:tabs>
          <w:tab w:leader="none" w:pos="192" w:val="left"/>
        </w:tabs>
        <w:numPr>
          <w:ilvl w:val="0"/>
          <w:numId w:val="1061"/>
        </w:numPr>
        <w:rPr>
          <w:rFonts w:ascii="Arial" w:cs="Arial" w:eastAsia="Arial" w:hAnsi="Arial"/>
          <w:sz w:val="14"/>
          <w:szCs w:val="14"/>
          <w:color w:val="auto"/>
        </w:rPr>
      </w:pPr>
      <w:r>
        <w:rPr>
          <w:rFonts w:ascii="Arial" w:cs="Arial" w:eastAsia="Arial" w:hAnsi="Arial"/>
          <w:sz w:val="14"/>
          <w:szCs w:val="14"/>
          <w:color w:val="auto"/>
        </w:rPr>
        <w:t>all amino acid and nucleic acid variant forms of any biological molecule disclosed in clause (a), including naturally occurring variants, mutants, transcriptional and post-transcriptional isoforms (e.g., alternative splice variants), and post-translational modification variants (e.g., protein processing, maturation and glycosylation variants); and (c) truncated forms (including fragments thereof) which have a biological function substantially similar to that of any biological molecules disclosed in clause (a) or clause (b).</w:t>
      </w:r>
    </w:p>
    <w:p>
      <w:pPr>
        <w:spacing w:after="0" w:line="47" w:lineRule="exact"/>
        <w:rPr>
          <w:sz w:val="20"/>
          <w:szCs w:val="20"/>
          <w:color w:val="auto"/>
        </w:rPr>
      </w:pPr>
    </w:p>
    <w:p>
      <w:pPr>
        <w:ind w:right="40"/>
        <w:spacing w:after="0" w:line="345" w:lineRule="auto"/>
        <w:rPr>
          <w:sz w:val="20"/>
          <w:szCs w:val="20"/>
          <w:color w:val="auto"/>
        </w:rPr>
      </w:pPr>
      <w:r>
        <w:rPr>
          <w:rFonts w:ascii="Arial" w:cs="Arial" w:eastAsia="Arial" w:hAnsi="Arial"/>
          <w:sz w:val="12"/>
          <w:szCs w:val="12"/>
          <w:color w:val="auto"/>
        </w:rPr>
        <w:t>1.137. “</w:t>
      </w:r>
      <w:r>
        <w:rPr>
          <w:rFonts w:ascii="Arial" w:cs="Arial" w:eastAsia="Arial" w:hAnsi="Arial"/>
          <w:sz w:val="12"/>
          <w:szCs w:val="12"/>
          <w:b w:val="1"/>
          <w:bCs w:val="1"/>
          <w:color w:val="auto"/>
        </w:rPr>
        <w:t>Target Designation Date</w:t>
      </w:r>
      <w:r>
        <w:rPr>
          <w:rFonts w:ascii="Arial" w:cs="Arial" w:eastAsia="Arial" w:hAnsi="Arial"/>
          <w:sz w:val="12"/>
          <w:szCs w:val="12"/>
          <w:color w:val="auto"/>
        </w:rPr>
        <w:t>” means, with respect to any Research Project Target or Reserved Target, the date on which a Target becomes a Research Project Target or Reserved Target, as provided in Section 2.1. With respect to the Initial Research Project Targets and the Initial Reserved Targets, the Target Designation Date shall be deemed to be the Effective Date.</w:t>
      </w:r>
    </w:p>
    <w:p>
      <w:pPr>
        <w:ind w:right="60"/>
        <w:spacing w:after="0" w:line="270" w:lineRule="auto"/>
        <w:rPr>
          <w:sz w:val="20"/>
          <w:szCs w:val="20"/>
          <w:color w:val="auto"/>
        </w:rPr>
      </w:pPr>
      <w:r>
        <w:rPr>
          <w:rFonts w:ascii="Arial" w:cs="Arial" w:eastAsia="Arial" w:hAnsi="Arial"/>
          <w:sz w:val="14"/>
          <w:szCs w:val="14"/>
          <w:color w:val="auto"/>
        </w:rPr>
        <w:t>1.138. “</w:t>
      </w:r>
      <w:r>
        <w:rPr>
          <w:rFonts w:ascii="Arial" w:cs="Arial" w:eastAsia="Arial" w:hAnsi="Arial"/>
          <w:sz w:val="14"/>
          <w:szCs w:val="14"/>
          <w:b w:val="1"/>
          <w:bCs w:val="1"/>
          <w:color w:val="auto"/>
        </w:rPr>
        <w:t>Targeting</w:t>
      </w:r>
      <w:r>
        <w:rPr>
          <w:rFonts w:ascii="Arial" w:cs="Arial" w:eastAsia="Arial" w:hAnsi="Arial"/>
          <w:sz w:val="14"/>
          <w:szCs w:val="14"/>
          <w:color w:val="auto"/>
        </w:rPr>
        <w:t>” means, when used to describe the relationship between a molecule and a Target, that the molecule (a) binds to the Target (or a portion thereof) and (b) is designed or being developed to exert its biological effect in whole or in part through binding to such Target (or such portion thereof).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1.139. </w:t>
      </w:r>
      <w:r>
        <w:rPr>
          <w:rFonts w:ascii="Arial" w:cs="Arial" w:eastAsia="Arial" w:hAnsi="Arial"/>
          <w:sz w:val="14"/>
          <w:szCs w:val="14"/>
          <w:b w:val="1"/>
          <w:bCs w:val="1"/>
          <w:color w:val="auto"/>
        </w:rPr>
        <w:t>“Technical Milestone”</w:t>
      </w:r>
      <w:r>
        <w:rPr>
          <w:rFonts w:ascii="Arial" w:cs="Arial" w:eastAsia="Arial" w:hAnsi="Arial"/>
          <w:sz w:val="14"/>
          <w:szCs w:val="14"/>
          <w:color w:val="auto"/>
        </w:rPr>
        <w:t xml:space="preserve"> is defined in Section 5.3.1.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1.140. </w:t>
      </w:r>
      <w:r>
        <w:rPr>
          <w:rFonts w:ascii="Arial" w:cs="Arial" w:eastAsia="Arial" w:hAnsi="Arial"/>
          <w:sz w:val="14"/>
          <w:szCs w:val="14"/>
          <w:b w:val="1"/>
          <w:bCs w:val="1"/>
          <w:color w:val="auto"/>
        </w:rPr>
        <w:t>“Technical Milestone Payment”</w:t>
      </w:r>
      <w:r>
        <w:rPr>
          <w:rFonts w:ascii="Arial" w:cs="Arial" w:eastAsia="Arial" w:hAnsi="Arial"/>
          <w:sz w:val="14"/>
          <w:szCs w:val="14"/>
          <w:color w:val="auto"/>
        </w:rPr>
        <w:t xml:space="preserve"> is defined in Section 5.3.1.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1.141. “</w:t>
      </w:r>
      <w:r>
        <w:rPr>
          <w:rFonts w:ascii="Arial" w:cs="Arial" w:eastAsia="Arial" w:hAnsi="Arial"/>
          <w:sz w:val="14"/>
          <w:szCs w:val="14"/>
          <w:b w:val="1"/>
          <w:bCs w:val="1"/>
          <w:color w:val="auto"/>
        </w:rPr>
        <w:t>Term</w:t>
      </w:r>
      <w:r>
        <w:rPr>
          <w:rFonts w:ascii="Arial" w:cs="Arial" w:eastAsia="Arial" w:hAnsi="Arial"/>
          <w:sz w:val="14"/>
          <w:szCs w:val="14"/>
          <w:color w:val="auto"/>
        </w:rPr>
        <w:t>” is defined in Section 9.2.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1.142. </w:t>
      </w:r>
      <w:r>
        <w:rPr>
          <w:rFonts w:ascii="Arial" w:cs="Arial" w:eastAsia="Arial" w:hAnsi="Arial"/>
          <w:sz w:val="14"/>
          <w:szCs w:val="14"/>
          <w:b w:val="1"/>
          <w:bCs w:val="1"/>
          <w:color w:val="auto"/>
        </w:rPr>
        <w:t>“Terminated Agreement Product”</w:t>
      </w:r>
      <w:r>
        <w:rPr>
          <w:rFonts w:ascii="Arial" w:cs="Arial" w:eastAsia="Arial" w:hAnsi="Arial"/>
          <w:sz w:val="14"/>
          <w:szCs w:val="14"/>
          <w:color w:val="auto"/>
        </w:rPr>
        <w:t xml:space="preserve"> is defined in Section 9.5.1(b).</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1.143. “</w:t>
      </w:r>
      <w:r>
        <w:rPr>
          <w:rFonts w:ascii="Arial" w:cs="Arial" w:eastAsia="Arial" w:hAnsi="Arial"/>
          <w:sz w:val="14"/>
          <w:szCs w:val="14"/>
          <w:b w:val="1"/>
          <w:bCs w:val="1"/>
          <w:color w:val="auto"/>
        </w:rPr>
        <w:t>Terminated T-DART</w:t>
      </w:r>
      <w:r>
        <w:rPr>
          <w:rFonts w:ascii="Arial" w:cs="Arial" w:eastAsia="Arial" w:hAnsi="Arial"/>
          <w:sz w:val="14"/>
          <w:szCs w:val="14"/>
          <w:color w:val="auto"/>
        </w:rPr>
        <w:t>” is defined in Section 9.5.1.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1.144. “</w:t>
      </w:r>
      <w:r>
        <w:rPr>
          <w:rFonts w:ascii="Arial" w:cs="Arial" w:eastAsia="Arial" w:hAnsi="Arial"/>
          <w:sz w:val="14"/>
          <w:szCs w:val="14"/>
          <w:b w:val="1"/>
          <w:bCs w:val="1"/>
          <w:color w:val="auto"/>
        </w:rPr>
        <w:t>Territory</w:t>
      </w:r>
      <w:r>
        <w:rPr>
          <w:rFonts w:ascii="Arial" w:cs="Arial" w:eastAsia="Arial" w:hAnsi="Arial"/>
          <w:sz w:val="14"/>
          <w:szCs w:val="14"/>
          <w:color w:val="auto"/>
        </w:rPr>
        <w:t>” means the entire world.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1.145. “</w:t>
      </w:r>
      <w:r>
        <w:rPr>
          <w:rFonts w:ascii="Arial" w:cs="Arial" w:eastAsia="Arial" w:hAnsi="Arial"/>
          <w:sz w:val="14"/>
          <w:szCs w:val="14"/>
          <w:b w:val="1"/>
          <w:bCs w:val="1"/>
          <w:color w:val="auto"/>
        </w:rPr>
        <w:t>Third Party</w:t>
      </w:r>
      <w:r>
        <w:rPr>
          <w:rFonts w:ascii="Arial" w:cs="Arial" w:eastAsia="Arial" w:hAnsi="Arial"/>
          <w:sz w:val="14"/>
          <w:szCs w:val="14"/>
          <w:color w:val="auto"/>
        </w:rPr>
        <w:t>” means any Person other than Pfizer, MacroGenics or their respective Affiliates.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1.146. </w:t>
      </w:r>
      <w:r>
        <w:rPr>
          <w:rFonts w:ascii="Arial" w:cs="Arial" w:eastAsia="Arial" w:hAnsi="Arial"/>
          <w:sz w:val="14"/>
          <w:szCs w:val="14"/>
          <w:b w:val="1"/>
          <w:bCs w:val="1"/>
          <w:color w:val="auto"/>
        </w:rPr>
        <w:t>“Third Party Claim”</w:t>
      </w:r>
      <w:r>
        <w:rPr>
          <w:rFonts w:ascii="Arial" w:cs="Arial" w:eastAsia="Arial" w:hAnsi="Arial"/>
          <w:sz w:val="14"/>
          <w:szCs w:val="14"/>
          <w:color w:val="auto"/>
        </w:rPr>
        <w:t xml:space="preserve"> is defined in Section 10.4.1.</w:t>
      </w:r>
    </w:p>
    <w:p>
      <w:pPr>
        <w:spacing w:after="0" w:line="69" w:lineRule="exact"/>
        <w:rPr>
          <w:sz w:val="20"/>
          <w:szCs w:val="20"/>
          <w:color w:val="auto"/>
        </w:rPr>
      </w:pPr>
    </w:p>
    <w:p>
      <w:pPr>
        <w:ind w:right="360"/>
        <w:spacing w:after="0" w:line="322" w:lineRule="auto"/>
        <w:rPr>
          <w:sz w:val="20"/>
          <w:szCs w:val="20"/>
          <w:color w:val="auto"/>
        </w:rPr>
      </w:pPr>
      <w:r>
        <w:rPr>
          <w:rFonts w:ascii="Arial" w:cs="Arial" w:eastAsia="Arial" w:hAnsi="Arial"/>
          <w:sz w:val="12"/>
          <w:szCs w:val="12"/>
          <w:color w:val="auto"/>
        </w:rPr>
        <w:t>1.147. “</w:t>
      </w:r>
      <w:r>
        <w:rPr>
          <w:rFonts w:ascii="Arial" w:cs="Arial" w:eastAsia="Arial" w:hAnsi="Arial"/>
          <w:sz w:val="12"/>
          <w:szCs w:val="12"/>
          <w:b w:val="1"/>
          <w:bCs w:val="1"/>
          <w:color w:val="auto"/>
        </w:rPr>
        <w:t>Trademark</w:t>
      </w:r>
      <w:r>
        <w:rPr>
          <w:rFonts w:ascii="Arial" w:cs="Arial" w:eastAsia="Arial" w:hAnsi="Arial"/>
          <w:sz w:val="12"/>
          <w:szCs w:val="12"/>
          <w:color w:val="auto"/>
        </w:rPr>
        <w:t>” means any trademark, trade dress, design, logo, slogan, house mark or name Controlled by Pfizer or its Affiliates or Sublicensees and used in connection with the Commercialization of any Agreement Product by Pfizer or its Affiliates or Sublicensees hereunder, including any registration or application for registration of any of the foregoing. For purposes of clarity, “Trademark” shall not include any trademark, trade dress, design, logo, slogan, house mark or name of MacroGenics, including “MacroGenics” or “DART”.</w:t>
      </w:r>
    </w:p>
    <w:p>
      <w:pPr>
        <w:spacing w:after="0" w:line="6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14</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6" w:right="219" w:bottom="1440" w:gutter="0" w:footer="0" w:header="0"/>
        </w:sectPr>
      </w:pPr>
    </w:p>
    <w:bookmarkStart w:id="884" w:name="page885"/>
    <w:bookmarkEnd w:id="88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1.148. “</w:t>
      </w:r>
      <w:r>
        <w:rPr>
          <w:rFonts w:ascii="Arial" w:cs="Arial" w:eastAsia="Arial" w:hAnsi="Arial"/>
          <w:sz w:val="14"/>
          <w:szCs w:val="14"/>
          <w:b w:val="1"/>
          <w:bCs w:val="1"/>
          <w:color w:val="auto"/>
        </w:rPr>
        <w:t>Up-Front Payment</w:t>
      </w:r>
      <w:r>
        <w:rPr>
          <w:rFonts w:ascii="Arial" w:cs="Arial" w:eastAsia="Arial" w:hAnsi="Arial"/>
          <w:sz w:val="14"/>
          <w:szCs w:val="14"/>
          <w:color w:val="auto"/>
        </w:rPr>
        <w:t>” is defined in Section 5.1.</w:t>
      </w:r>
    </w:p>
    <w:p>
      <w:pPr>
        <w:spacing w:after="0" w:line="69" w:lineRule="exact"/>
        <w:rPr>
          <w:sz w:val="20"/>
          <w:szCs w:val="20"/>
          <w:color w:val="auto"/>
        </w:rPr>
      </w:pPr>
    </w:p>
    <w:p>
      <w:pPr>
        <w:ind w:left="460" w:right="120"/>
        <w:spacing w:after="0" w:line="270" w:lineRule="auto"/>
        <w:rPr>
          <w:sz w:val="20"/>
          <w:szCs w:val="20"/>
          <w:color w:val="auto"/>
        </w:rPr>
      </w:pPr>
      <w:r>
        <w:rPr>
          <w:rFonts w:ascii="Arial" w:cs="Arial" w:eastAsia="Arial" w:hAnsi="Arial"/>
          <w:sz w:val="14"/>
          <w:szCs w:val="14"/>
          <w:color w:val="auto"/>
        </w:rPr>
        <w:t>1.149. “</w:t>
      </w:r>
      <w:r>
        <w:rPr>
          <w:rFonts w:ascii="Arial" w:cs="Arial" w:eastAsia="Arial" w:hAnsi="Arial"/>
          <w:sz w:val="14"/>
          <w:szCs w:val="14"/>
          <w:b w:val="1"/>
          <w:bCs w:val="1"/>
          <w:color w:val="auto"/>
        </w:rPr>
        <w:t>Valid Claim</w:t>
      </w:r>
      <w:r>
        <w:rPr>
          <w:rFonts w:ascii="Arial" w:cs="Arial" w:eastAsia="Arial" w:hAnsi="Arial"/>
          <w:sz w:val="14"/>
          <w:szCs w:val="14"/>
          <w:color w:val="auto"/>
        </w:rPr>
        <w:t xml:space="preserve">” means (a) a claim of any unexpired United States or foreign issued patent that shall not have been dedicated to the public, disclaimed nor held invalid or unenforceable by a court or government agency of competent jurisdiction in an unappealed or unappealable decision or (b) </w:t>
      </w:r>
      <w:r>
        <w:rPr>
          <w:rFonts w:ascii="Arial" w:cs="Arial" w:eastAsia="Arial" w:hAnsi="Arial"/>
          <w:sz w:val="14"/>
          <w:szCs w:val="14"/>
          <w:b w:val="1"/>
          <w:bCs w:val="1"/>
          <w:color w:val="auto"/>
        </w:rPr>
        <w:t>***</w:t>
      </w:r>
    </w:p>
    <w:p>
      <w:pPr>
        <w:spacing w:after="0" w:line="35" w:lineRule="exact"/>
        <w:rPr>
          <w:sz w:val="20"/>
          <w:szCs w:val="20"/>
          <w:color w:val="auto"/>
        </w:rPr>
      </w:pPr>
    </w:p>
    <w:p>
      <w:pPr>
        <w:ind w:left="460"/>
        <w:spacing w:after="0" w:line="292" w:lineRule="auto"/>
        <w:rPr>
          <w:sz w:val="20"/>
          <w:szCs w:val="20"/>
          <w:color w:val="auto"/>
        </w:rPr>
      </w:pPr>
      <w:r>
        <w:rPr>
          <w:rFonts w:ascii="Arial" w:cs="Arial" w:eastAsia="Arial" w:hAnsi="Arial"/>
          <w:sz w:val="12"/>
          <w:szCs w:val="12"/>
          <w:color w:val="auto"/>
        </w:rPr>
        <w:t xml:space="preserve">1.150. </w:t>
      </w:r>
      <w:r>
        <w:rPr>
          <w:rFonts w:ascii="Arial" w:cs="Arial" w:eastAsia="Arial" w:hAnsi="Arial"/>
          <w:sz w:val="12"/>
          <w:szCs w:val="12"/>
          <w:b w:val="1"/>
          <w:bCs w:val="1"/>
          <w:color w:val="auto"/>
        </w:rPr>
        <w:t>Construction</w:t>
      </w:r>
      <w:r>
        <w:rPr>
          <w:rFonts w:ascii="Arial" w:cs="Arial" w:eastAsia="Arial" w:hAnsi="Arial"/>
          <w:sz w:val="12"/>
          <w:szCs w:val="12"/>
          <w:color w:val="auto"/>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w:t>
      </w:r>
    </w:p>
    <w:p>
      <w:pPr>
        <w:spacing w:after="0" w:line="1" w:lineRule="exact"/>
        <w:rPr>
          <w:sz w:val="20"/>
          <w:szCs w:val="20"/>
          <w:color w:val="auto"/>
        </w:rPr>
      </w:pPr>
    </w:p>
    <w:p>
      <w:pPr>
        <w:ind w:left="460" w:right="40"/>
        <w:spacing w:after="0" w:line="252" w:lineRule="auto"/>
        <w:rPr>
          <w:sz w:val="20"/>
          <w:szCs w:val="20"/>
          <w:color w:val="auto"/>
        </w:rPr>
      </w:pPr>
      <w:r>
        <w:rPr>
          <w:rFonts w:ascii="Arial" w:cs="Arial" w:eastAsia="Arial" w:hAnsi="Arial"/>
          <w:sz w:val="14"/>
          <w:szCs w:val="14"/>
          <w:color w:val="auto"/>
        </w:rPr>
        <w:t>(j) references to any specific law, rule or regulation, or article, section or other division thereof, shall be deemed to include the then-current amendments thereto or any replacement or successor law, rule or regulation thereof, (k)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(l) the term “or” shall be interpreted in the inclusive sense commonly associated with the term “and/or.”</w:t>
      </w:r>
    </w:p>
    <w:p>
      <w:pPr>
        <w:spacing w:after="0" w:line="204" w:lineRule="exact"/>
        <w:rPr>
          <w:sz w:val="20"/>
          <w:szCs w:val="20"/>
          <w:color w:val="auto"/>
        </w:rPr>
      </w:pPr>
    </w:p>
    <w:p>
      <w:pPr>
        <w:ind w:left="460" w:hanging="456"/>
        <w:spacing w:after="0"/>
        <w:tabs>
          <w:tab w:leader="none" w:pos="460" w:val="left"/>
        </w:tabs>
        <w:numPr>
          <w:ilvl w:val="0"/>
          <w:numId w:val="1063"/>
        </w:numPr>
        <w:rPr>
          <w:rFonts w:ascii="Arial" w:cs="Arial" w:eastAsia="Arial" w:hAnsi="Arial"/>
          <w:sz w:val="14"/>
          <w:szCs w:val="14"/>
          <w:b w:val="1"/>
          <w:bCs w:val="1"/>
          <w:color w:val="auto"/>
        </w:rPr>
      </w:pPr>
      <w:r>
        <w:rPr>
          <w:rFonts w:ascii="Arial" w:cs="Arial" w:eastAsia="Arial" w:hAnsi="Arial"/>
          <w:sz w:val="14"/>
          <w:szCs w:val="14"/>
          <w:b w:val="1"/>
          <w:bCs w:val="1"/>
          <w:color w:val="auto"/>
        </w:rPr>
        <w:t>RESEARCH PROGRAM.</w:t>
      </w:r>
    </w:p>
    <w:p>
      <w:pPr>
        <w:spacing w:after="0" w:line="7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2.1. Selection of Research Project Targets.</w:t>
      </w:r>
    </w:p>
    <w:p>
      <w:pPr>
        <w:spacing w:after="0" w:line="66" w:lineRule="exact"/>
        <w:rPr>
          <w:rFonts w:ascii="Arial" w:cs="Arial" w:eastAsia="Arial" w:hAnsi="Arial"/>
          <w:sz w:val="14"/>
          <w:szCs w:val="14"/>
          <w:b w:val="1"/>
          <w:bCs w:val="1"/>
          <w:color w:val="auto"/>
        </w:rPr>
      </w:pPr>
    </w:p>
    <w:p>
      <w:pPr>
        <w:ind w:left="920"/>
        <w:spacing w:after="0"/>
        <w:rPr>
          <w:rFonts w:ascii="Arial" w:cs="Arial" w:eastAsia="Arial" w:hAnsi="Arial"/>
          <w:sz w:val="14"/>
          <w:szCs w:val="14"/>
          <w:b w:val="1"/>
          <w:bCs w:val="1"/>
          <w:color w:val="auto"/>
        </w:rPr>
      </w:pPr>
      <w:r>
        <w:rPr>
          <w:rFonts w:ascii="Arial" w:cs="Arial" w:eastAsia="Arial" w:hAnsi="Arial"/>
          <w:sz w:val="14"/>
          <w:szCs w:val="14"/>
          <w:color w:val="auto"/>
        </w:rPr>
        <w:t xml:space="preserve">2.1.1. </w:t>
      </w:r>
      <w:r>
        <w:rPr>
          <w:rFonts w:ascii="Arial" w:cs="Arial" w:eastAsia="Arial" w:hAnsi="Arial"/>
          <w:sz w:val="14"/>
          <w:szCs w:val="14"/>
          <w:b w:val="1"/>
          <w:bCs w:val="1"/>
          <w:color w:val="auto"/>
        </w:rPr>
        <w:t>Selection of Initial Research Project Target.</w:t>
      </w:r>
      <w:r>
        <w:rPr>
          <w:rFonts w:ascii="Arial" w:cs="Arial" w:eastAsia="Arial" w:hAnsi="Arial"/>
          <w:sz w:val="14"/>
          <w:szCs w:val="14"/>
          <w:color w:val="auto"/>
        </w:rPr>
        <w:t xml:space="preserve"> Pfizer hereby designates *** as the Research Project Target for the first Research Project (the </w:t>
      </w:r>
      <w:r>
        <w:rPr>
          <w:rFonts w:ascii="Arial" w:cs="Arial" w:eastAsia="Arial" w:hAnsi="Arial"/>
          <w:sz w:val="14"/>
          <w:szCs w:val="14"/>
          <w:b w:val="1"/>
          <w:bCs w:val="1"/>
          <w:color w:val="auto"/>
        </w:rPr>
        <w:t>“First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12" w:lineRule="exact"/>
        <w:rPr>
          <w:sz w:val="20"/>
          <w:szCs w:val="20"/>
          <w:color w:val="auto"/>
        </w:rPr>
      </w:pPr>
    </w:p>
    <w:p>
      <w:pPr>
        <w:ind w:left="3840" w:right="2700" w:hanging="1135"/>
        <w:spacing w:after="0" w:line="341" w:lineRule="auto"/>
        <w:tabs>
          <w:tab w:leader="none" w:pos="2944" w:val="left"/>
        </w:tabs>
        <w:numPr>
          <w:ilvl w:val="0"/>
          <w:numId w:val="106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5" w:right="219" w:bottom="1440" w:gutter="0" w:footer="0" w:header="0"/>
        </w:sectPr>
      </w:pPr>
    </w:p>
    <w:bookmarkStart w:id="885" w:name="page886"/>
    <w:bookmarkEnd w:id="885"/>
    <w:p>
      <w:pPr>
        <w:ind w:left="460" w:right="80"/>
        <w:spacing w:after="0" w:line="270"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Research Project Target”</w:t>
      </w:r>
      <w:r>
        <w:rPr>
          <w:rFonts w:ascii="Arial" w:cs="Arial" w:eastAsia="Arial" w:hAnsi="Arial"/>
          <w:sz w:val="14"/>
          <w:szCs w:val="14"/>
          <w:color w:val="auto"/>
        </w:rPr>
        <w:t>) and *** as the Research Project Target for the second Research Project (the</w:t>
      </w:r>
      <w:r>
        <w:rPr>
          <w:rFonts w:ascii="Arial" w:cs="Arial" w:eastAsia="Arial" w:hAnsi="Arial"/>
          <w:sz w:val="14"/>
          <w:szCs w:val="14"/>
          <w:b w:val="1"/>
          <w:bCs w:val="1"/>
          <w:color w:val="auto"/>
        </w:rPr>
        <w:t xml:space="preserve"> “Second Research Project Target </w:t>
      </w:r>
      <w:r>
        <w:rPr>
          <w:rFonts w:ascii="Arial" w:cs="Arial" w:eastAsia="Arial" w:hAnsi="Arial"/>
          <w:sz w:val="14"/>
          <w:szCs w:val="14"/>
          <w:color w:val="auto"/>
        </w:rPr>
        <w:t>and together with the First Research Project Target,</w:t>
      </w:r>
      <w:r>
        <w:rPr>
          <w:rFonts w:ascii="Arial" w:cs="Arial" w:eastAsia="Arial" w:hAnsi="Arial"/>
          <w:sz w:val="14"/>
          <w:szCs w:val="14"/>
          <w:b w:val="1"/>
          <w:bCs w:val="1"/>
          <w:color w:val="auto"/>
        </w:rPr>
        <w:t xml:space="preserve"> </w:t>
      </w:r>
      <w:r>
        <w:rPr>
          <w:rFonts w:ascii="Arial" w:cs="Arial" w:eastAsia="Arial" w:hAnsi="Arial"/>
          <w:sz w:val="14"/>
          <w:szCs w:val="14"/>
          <w:color w:val="auto"/>
        </w:rPr>
        <w:t>the “</w:t>
      </w:r>
      <w:r>
        <w:rPr>
          <w:rFonts w:ascii="Arial" w:cs="Arial" w:eastAsia="Arial" w:hAnsi="Arial"/>
          <w:sz w:val="14"/>
          <w:szCs w:val="14"/>
          <w:b w:val="1"/>
          <w:bCs w:val="1"/>
          <w:color w:val="auto"/>
        </w:rPr>
        <w:t>Initial Research Project Targets</w:t>
      </w:r>
      <w:r>
        <w:rPr>
          <w:rFonts w:ascii="Arial" w:cs="Arial" w:eastAsia="Arial" w:hAnsi="Arial"/>
          <w:sz w:val="14"/>
          <w:szCs w:val="14"/>
          <w:color w:val="auto"/>
        </w:rPr>
        <w: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b w:val="1"/>
          <w:bCs w:val="1"/>
          <w:color w:val="auto"/>
        </w:rPr>
        <w:t>Selection of Initial Reserved Targets</w:t>
      </w:r>
      <w:r>
        <w:rPr>
          <w:rFonts w:ascii="Arial" w:cs="Arial" w:eastAsia="Arial" w:hAnsi="Arial"/>
          <w:sz w:val="14"/>
          <w:szCs w:val="14"/>
          <w:color w:val="auto"/>
        </w:rPr>
        <w:t>. Pfizer hereby designates *** and *** as the initial reserved targets (</w:t>
      </w:r>
      <w:r>
        <w:rPr>
          <w:rFonts w:ascii="Arial" w:cs="Arial" w:eastAsia="Arial" w:hAnsi="Arial"/>
          <w:sz w:val="14"/>
          <w:szCs w:val="14"/>
          <w:b w:val="1"/>
          <w:bCs w:val="1"/>
          <w:color w:val="auto"/>
        </w:rPr>
        <w:t>“Initial Reserved Targets”</w:t>
      </w:r>
      <w:r>
        <w:rPr>
          <w:rFonts w:ascii="Arial" w:cs="Arial" w:eastAsia="Arial" w:hAnsi="Arial"/>
          <w:sz w:val="14"/>
          <w:szCs w:val="14"/>
          <w:color w:val="auto"/>
        </w:rPr>
        <w:t>).</w:t>
      </w:r>
    </w:p>
    <w:p>
      <w:pPr>
        <w:spacing w:after="0" w:line="69" w:lineRule="exact"/>
        <w:rPr>
          <w:sz w:val="20"/>
          <w:szCs w:val="20"/>
          <w:color w:val="auto"/>
        </w:rPr>
      </w:pPr>
    </w:p>
    <w:p>
      <w:pPr>
        <w:ind w:left="460"/>
        <w:spacing w:after="0" w:line="270"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b w:val="1"/>
          <w:bCs w:val="1"/>
          <w:color w:val="auto"/>
        </w:rPr>
        <w:t>Substitution of Targets.</w:t>
      </w:r>
      <w:r>
        <w:rPr>
          <w:rFonts w:ascii="Arial" w:cs="Arial" w:eastAsia="Arial" w:hAnsi="Arial"/>
          <w:sz w:val="14"/>
          <w:szCs w:val="14"/>
          <w:color w:val="auto"/>
        </w:rPr>
        <w:t xml:space="preserve"> Pfizer may request that additional Targets be substituted on a one-for-one basis for the Second Research Project Target or any Reserved Target in accordance with this Section 2.1.3.</w:t>
      </w:r>
    </w:p>
    <w:p>
      <w:pPr>
        <w:spacing w:after="0" w:line="37" w:lineRule="exact"/>
        <w:rPr>
          <w:sz w:val="20"/>
          <w:szCs w:val="20"/>
          <w:color w:val="auto"/>
        </w:rPr>
      </w:pPr>
    </w:p>
    <w:p>
      <w:pPr>
        <w:ind w:left="1040" w:right="120" w:hanging="7"/>
        <w:spacing w:after="0" w:line="267" w:lineRule="auto"/>
        <w:tabs>
          <w:tab w:leader="none" w:pos="1225" w:val="left"/>
        </w:tabs>
        <w:numPr>
          <w:ilvl w:val="0"/>
          <w:numId w:val="1065"/>
        </w:numPr>
        <w:rPr>
          <w:rFonts w:ascii="Arial" w:cs="Arial" w:eastAsia="Arial" w:hAnsi="Arial"/>
          <w:sz w:val="14"/>
          <w:szCs w:val="14"/>
          <w:color w:val="auto"/>
        </w:rPr>
      </w:pPr>
      <w:r>
        <w:rPr>
          <w:rFonts w:ascii="Arial" w:cs="Arial" w:eastAsia="Arial" w:hAnsi="Arial"/>
          <w:sz w:val="14"/>
          <w:szCs w:val="14"/>
          <w:color w:val="auto"/>
        </w:rPr>
        <w:t>At any time within *** following the Effective Date, Pfizer may substitute, without limitation on the number of substitutions and on a one-for-one basis, for the Second Research Project Target and the Reserved Targets.</w:t>
      </w:r>
    </w:p>
    <w:p>
      <w:pPr>
        <w:spacing w:after="0" w:line="38" w:lineRule="exact"/>
        <w:rPr>
          <w:rFonts w:ascii="Arial" w:cs="Arial" w:eastAsia="Arial" w:hAnsi="Arial"/>
          <w:sz w:val="14"/>
          <w:szCs w:val="14"/>
          <w:color w:val="auto"/>
        </w:rPr>
      </w:pPr>
    </w:p>
    <w:p>
      <w:pPr>
        <w:ind w:left="1040" w:right="40" w:hanging="7"/>
        <w:spacing w:after="0" w:line="345" w:lineRule="auto"/>
        <w:tabs>
          <w:tab w:leader="none" w:pos="1232" w:val="left"/>
        </w:tabs>
        <w:numPr>
          <w:ilvl w:val="0"/>
          <w:numId w:val="1065"/>
        </w:numPr>
        <w:rPr>
          <w:rFonts w:ascii="Arial" w:cs="Arial" w:eastAsia="Arial" w:hAnsi="Arial"/>
          <w:sz w:val="12"/>
          <w:szCs w:val="12"/>
          <w:color w:val="auto"/>
        </w:rPr>
      </w:pPr>
      <w:r>
        <w:rPr>
          <w:rFonts w:ascii="Arial" w:cs="Arial" w:eastAsia="Arial" w:hAnsi="Arial"/>
          <w:sz w:val="12"/>
          <w:szCs w:val="12"/>
          <w:color w:val="auto"/>
        </w:rPr>
        <w:t>At any time beginning *** after the Effective Date and continuing until the earlier of (i) ***, and (ii) the allowance by MacroGenics of the second new Target to be substituted for a Reserved Target under this Section 2.1.3(b), Pfizer may request that additional Targets be substituted on a one-for-one basis for any existing Reserved Targets.</w:t>
      </w:r>
    </w:p>
    <w:p>
      <w:pPr>
        <w:ind w:left="1220" w:hanging="187"/>
        <w:spacing w:after="0"/>
        <w:tabs>
          <w:tab w:leader="none" w:pos="1220" w:val="left"/>
        </w:tabs>
        <w:numPr>
          <w:ilvl w:val="0"/>
          <w:numId w:val="1065"/>
        </w:numPr>
        <w:rPr>
          <w:rFonts w:ascii="Arial" w:cs="Arial" w:eastAsia="Arial" w:hAnsi="Arial"/>
          <w:sz w:val="14"/>
          <w:szCs w:val="14"/>
          <w:color w:val="auto"/>
        </w:rPr>
      </w:pPr>
      <w:r>
        <w:rPr>
          <w:rFonts w:ascii="Arial" w:cs="Arial" w:eastAsia="Arial" w:hAnsi="Arial"/>
          <w:sz w:val="14"/>
          <w:szCs w:val="14"/>
          <w:color w:val="auto"/>
        </w:rPr>
        <w:t>MacroGenics will allow such substitutions set forth in (a) and (b), except that it may decline a proposed Target substitution based on (i) ***</w:t>
      </w:r>
    </w:p>
    <w:p>
      <w:pPr>
        <w:spacing w:after="0" w:line="67" w:lineRule="exact"/>
        <w:rPr>
          <w:sz w:val="20"/>
          <w:szCs w:val="20"/>
          <w:color w:val="auto"/>
        </w:rPr>
      </w:pPr>
    </w:p>
    <w:p>
      <w:pPr>
        <w:ind w:left="460" w:right="340"/>
        <w:spacing w:after="0" w:line="259" w:lineRule="auto"/>
        <w:rPr>
          <w:sz w:val="20"/>
          <w:szCs w:val="20"/>
          <w:color w:val="auto"/>
        </w:rPr>
      </w:pPr>
      <w:r>
        <w:rPr>
          <w:rFonts w:ascii="Arial" w:cs="Arial" w:eastAsia="Arial" w:hAnsi="Arial"/>
          <w:sz w:val="14"/>
          <w:szCs w:val="14"/>
          <w:color w:val="auto"/>
        </w:rPr>
        <w:t xml:space="preserve">2.1.4. </w:t>
      </w:r>
      <w:r>
        <w:rPr>
          <w:rFonts w:ascii="Arial" w:cs="Arial" w:eastAsia="Arial" w:hAnsi="Arial"/>
          <w:sz w:val="14"/>
          <w:szCs w:val="14"/>
          <w:b w:val="1"/>
          <w:bCs w:val="1"/>
          <w:color w:val="auto"/>
        </w:rPr>
        <w:t>Elevation of Reserved Targets</w:t>
      </w:r>
      <w:r>
        <w:rPr>
          <w:rFonts w:ascii="Arial" w:cs="Arial" w:eastAsia="Arial" w:hAnsi="Arial"/>
          <w:sz w:val="14"/>
          <w:szCs w:val="14"/>
          <w:color w:val="auto"/>
        </w:rPr>
        <w:t xml:space="preserve">. At any time in the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Effective Date, Pfizer may submit a written notice to MacroGenics that up to two Reserved Targets will be substituted for any then-designated Research Project Target on a one-for-one basis. Any such Reserved Target substituted for an existing Research Project Target will then be deemed to be included within the definition of Research Project Target.</w:t>
      </w:r>
    </w:p>
    <w:p>
      <w:pPr>
        <w:spacing w:after="0" w:line="43" w:lineRule="exact"/>
        <w:rPr>
          <w:sz w:val="20"/>
          <w:szCs w:val="20"/>
          <w:color w:val="auto"/>
        </w:rPr>
      </w:pPr>
    </w:p>
    <w:p>
      <w:pPr>
        <w:ind w:left="460" w:right="760"/>
        <w:spacing w:after="0" w:line="270" w:lineRule="auto"/>
        <w:rPr>
          <w:sz w:val="20"/>
          <w:szCs w:val="20"/>
          <w:color w:val="auto"/>
        </w:rPr>
      </w:pPr>
      <w:r>
        <w:rPr>
          <w:rFonts w:ascii="Arial" w:cs="Arial" w:eastAsia="Arial" w:hAnsi="Arial"/>
          <w:sz w:val="14"/>
          <w:szCs w:val="14"/>
          <w:color w:val="auto"/>
        </w:rPr>
        <w:t xml:space="preserve">2.1.5. </w:t>
      </w:r>
      <w:r>
        <w:rPr>
          <w:rFonts w:ascii="Arial" w:cs="Arial" w:eastAsia="Arial" w:hAnsi="Arial"/>
          <w:sz w:val="14"/>
          <w:szCs w:val="14"/>
          <w:b w:val="1"/>
          <w:bCs w:val="1"/>
          <w:color w:val="auto"/>
        </w:rPr>
        <w:t>Former Reserved Targets</w:t>
      </w:r>
      <w:r>
        <w:rPr>
          <w:rFonts w:ascii="Arial" w:cs="Arial" w:eastAsia="Arial" w:hAnsi="Arial"/>
          <w:sz w:val="14"/>
          <w:szCs w:val="14"/>
          <w:color w:val="auto"/>
        </w:rPr>
        <w:t xml:space="preserve">. Any Reserved Targets shall cease to be a Reserved Target for all purposes under this Agreement (including under Section 4.5) upon the earlier of (a) replacement of such Reserved Target with a new Target in accordance with Section 2.1.3, or </w:t>
      </w:r>
      <w:r>
        <w:rPr>
          <w:rFonts w:ascii="Arial" w:cs="Arial" w:eastAsia="Arial" w:hAnsi="Arial"/>
          <w:sz w:val="14"/>
          <w:szCs w:val="14"/>
          <w:b w:val="1"/>
          <w:bCs w:val="1"/>
          <w:color w:val="auto"/>
        </w:rPr>
        <w:t>***</w:t>
      </w:r>
    </w:p>
    <w:p>
      <w:pPr>
        <w:spacing w:after="0" w:line="35" w:lineRule="exact"/>
        <w:rPr>
          <w:sz w:val="20"/>
          <w:szCs w:val="20"/>
          <w:color w:val="auto"/>
        </w:rPr>
      </w:pPr>
    </w:p>
    <w:p>
      <w:pPr>
        <w:ind w:left="460" w:right="40"/>
        <w:spacing w:after="0" w:line="270" w:lineRule="auto"/>
        <w:rPr>
          <w:sz w:val="20"/>
          <w:szCs w:val="20"/>
          <w:color w:val="auto"/>
        </w:rPr>
      </w:pPr>
      <w:r>
        <w:rPr>
          <w:rFonts w:ascii="Arial" w:cs="Arial" w:eastAsia="Arial" w:hAnsi="Arial"/>
          <w:sz w:val="14"/>
          <w:szCs w:val="14"/>
          <w:color w:val="auto"/>
        </w:rPr>
        <w:t xml:space="preserve">2.1.6. </w:t>
      </w:r>
      <w:r>
        <w:rPr>
          <w:rFonts w:ascii="Arial" w:cs="Arial" w:eastAsia="Arial" w:hAnsi="Arial"/>
          <w:sz w:val="14"/>
          <w:szCs w:val="14"/>
          <w:b w:val="1"/>
          <w:bCs w:val="1"/>
          <w:color w:val="auto"/>
        </w:rPr>
        <w:t>Former Research Project Targets</w:t>
      </w:r>
      <w:r>
        <w:rPr>
          <w:rFonts w:ascii="Arial" w:cs="Arial" w:eastAsia="Arial" w:hAnsi="Arial"/>
          <w:sz w:val="14"/>
          <w:szCs w:val="14"/>
          <w:color w:val="auto"/>
        </w:rPr>
        <w:t>. Any Research Project Target, to the extent that it has been substituted by a Reserve Target, shall cease to be a Research Project Target for all purposes of this Agreement (including under Section 4.5).</w:t>
      </w:r>
    </w:p>
    <w:p>
      <w:pPr>
        <w:spacing w:after="0" w:line="35"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Scope and Conduct of the Research Program</w:t>
      </w:r>
      <w:r>
        <w:rPr>
          <w:rFonts w:ascii="Arial" w:cs="Arial" w:eastAsia="Arial" w:hAnsi="Arial"/>
          <w:sz w:val="14"/>
          <w:szCs w:val="14"/>
          <w:color w:val="auto"/>
        </w:rPr>
        <w:t>. Under the terms and conditions set forth herein, MacroGenics and Pfizer shall collaborate during the Research Term to conduct discovery and pre-clinical Development activities to screen and identify Antibodies to the two (2) Research Project Targets (or the Reserved Targets that become Research Project Targets pursuant to Section 2.1.4) for construction of T-DARTs (the</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16</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6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6" w:right="239" w:bottom="1440" w:gutter="0" w:footer="0" w:header="0"/>
        </w:sectPr>
      </w:pPr>
    </w:p>
    <w:bookmarkStart w:id="886" w:name="page887"/>
    <w:bookmarkEnd w:id="886"/>
    <w:p>
      <w:pPr>
        <w:spacing w:after="0" w:line="30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w:t>
      </w:r>
      <w:r>
        <w:rPr>
          <w:rFonts w:ascii="Arial" w:cs="Arial" w:eastAsia="Arial" w:hAnsi="Arial"/>
          <w:sz w:val="12"/>
          <w:szCs w:val="12"/>
          <w:b w:val="1"/>
          <w:bCs w:val="1"/>
          <w:color w:val="auto"/>
        </w:rPr>
        <w:t>Research Program</w:t>
      </w:r>
      <w:r>
        <w:rPr>
          <w:rFonts w:ascii="Arial" w:cs="Arial" w:eastAsia="Arial" w:hAnsi="Arial"/>
          <w:sz w:val="12"/>
          <w:szCs w:val="12"/>
          <w:color w:val="auto"/>
        </w:rPr>
        <w:t>”). The Research Program shall be conducted in accordance with the Research Plan for each Research Project (as more fully provided in Section 2.3 below), and each Party shall use its Commercially Reasonable Efforts to perform all activities assigned to it and fulfill all of its obligations under each Research Plan. In addition, each Party shall conduct its activities under the Research Plan(s) in accordance with Applicable Law. MacroGenics will not, without first providing prior written notice to Pfizer, take any action with respect to conducting the Research Program that would require MacroGenics to make any payments to a Third Party such that any item of information or other intellectual property would be excluded from the definition of “Control” under this Agreement. For avoidance of doubt, upon expiration or termination of the Research Term, the Research Program and all Research Projects shall automatically terminate.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color w:val="auto"/>
        </w:rPr>
        <w:t>Research Plans</w:t>
      </w:r>
      <w:r>
        <w:rPr>
          <w:rFonts w:ascii="Arial" w:cs="Arial" w:eastAsia="Arial" w:hAnsi="Arial"/>
          <w:sz w:val="14"/>
          <w:szCs w:val="14"/>
          <w:color w:val="auto"/>
        </w:rPr>
        <w:t>.</w:t>
      </w:r>
    </w:p>
    <w:p>
      <w:pPr>
        <w:spacing w:after="0" w:line="69" w:lineRule="exact"/>
        <w:rPr>
          <w:sz w:val="20"/>
          <w:szCs w:val="20"/>
          <w:color w:val="auto"/>
        </w:rPr>
      </w:pPr>
    </w:p>
    <w:p>
      <w:pPr>
        <w:ind w:left="460" w:right="160"/>
        <w:spacing w:after="0" w:line="299" w:lineRule="auto"/>
        <w:rPr>
          <w:sz w:val="20"/>
          <w:szCs w:val="20"/>
          <w:color w:val="auto"/>
        </w:rPr>
      </w:pPr>
      <w:r>
        <w:rPr>
          <w:rFonts w:ascii="Arial" w:cs="Arial" w:eastAsia="Arial" w:hAnsi="Arial"/>
          <w:sz w:val="12"/>
          <w:szCs w:val="12"/>
          <w:color w:val="auto"/>
        </w:rPr>
        <w:t xml:space="preserve">2.3.1. </w:t>
      </w:r>
      <w:r>
        <w:rPr>
          <w:rFonts w:ascii="Arial" w:cs="Arial" w:eastAsia="Arial" w:hAnsi="Arial"/>
          <w:sz w:val="12"/>
          <w:szCs w:val="12"/>
          <w:b w:val="1"/>
          <w:bCs w:val="1"/>
          <w:color w:val="auto"/>
        </w:rPr>
        <w:t>Adoption of Research Plans</w:t>
      </w:r>
      <w:r>
        <w:rPr>
          <w:rFonts w:ascii="Arial" w:cs="Arial" w:eastAsia="Arial" w:hAnsi="Arial"/>
          <w:sz w:val="12"/>
          <w:szCs w:val="12"/>
          <w:color w:val="auto"/>
        </w:rPr>
        <w:t>. The Parties shall adopt a research plan (each a “</w:t>
      </w:r>
      <w:r>
        <w:rPr>
          <w:rFonts w:ascii="Arial" w:cs="Arial" w:eastAsia="Arial" w:hAnsi="Arial"/>
          <w:sz w:val="12"/>
          <w:szCs w:val="12"/>
          <w:b w:val="1"/>
          <w:bCs w:val="1"/>
          <w:color w:val="auto"/>
        </w:rPr>
        <w:t>Research Plan</w:t>
      </w:r>
      <w:r>
        <w:rPr>
          <w:rFonts w:ascii="Arial" w:cs="Arial" w:eastAsia="Arial" w:hAnsi="Arial"/>
          <w:sz w:val="12"/>
          <w:szCs w:val="12"/>
          <w:color w:val="auto"/>
        </w:rPr>
        <w:t>”) for all activities conducted under the Research Program during the Research Term, including a Research Plan that covers each Research Project Target; a “</w:t>
      </w:r>
      <w:r>
        <w:rPr>
          <w:rFonts w:ascii="Arial" w:cs="Arial" w:eastAsia="Arial" w:hAnsi="Arial"/>
          <w:sz w:val="12"/>
          <w:szCs w:val="12"/>
          <w:b w:val="1"/>
          <w:bCs w:val="1"/>
          <w:color w:val="auto"/>
        </w:rPr>
        <w:t>Research Project</w:t>
      </w:r>
      <w:r>
        <w:rPr>
          <w:rFonts w:ascii="Arial" w:cs="Arial" w:eastAsia="Arial" w:hAnsi="Arial"/>
          <w:sz w:val="12"/>
          <w:szCs w:val="12"/>
          <w:color w:val="auto"/>
        </w:rPr>
        <w:t xml:space="preserve">” shall mean the work to be performed pursuant to such a Research Plan. The form for each Research Plan for each Research Project Target is attached as </w:t>
      </w:r>
      <w:r>
        <w:rPr>
          <w:rFonts w:ascii="Arial" w:cs="Arial" w:eastAsia="Arial" w:hAnsi="Arial"/>
          <w:sz w:val="12"/>
          <w:szCs w:val="12"/>
          <w:u w:val="single" w:color="auto"/>
          <w:color w:val="auto"/>
        </w:rPr>
        <w:t>Exhibit 23.1</w:t>
      </w:r>
      <w:r>
        <w:rPr>
          <w:rFonts w:ascii="Arial" w:cs="Arial" w:eastAsia="Arial" w:hAnsi="Arial"/>
          <w:sz w:val="12"/>
          <w:szCs w:val="12"/>
          <w:color w:val="auto"/>
        </w:rPr>
        <w:t xml:space="preserve"> The Research Plan for each Research Project Target shall be prepared by the JSC and adopted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Target Designation Date for such Research Project Target by the JSC. Each Research Plan shall reference this Agreement and shall be subject to all of the provisions of this Agreement, in addition to the specific details set forth in such Research Plan. To the extent any provisions of a Research Plan conflict or are inconsistent with the provisions of this Agreement, the provisions of this Agreement shall control. Unless otherwise expressly stated in a Research Plan, the provisions of each Research Plan shall be independent of and shall not affect the provisions of any other Research Plan. If the Parties are unable to agree on a Research Plan within the specified time period, the JSC may specify the Research Plan, and all disputes regarding the preparation or modification of any Research Plan (including the approval of any amendments thereto) shall be resolved by the JSC.</w:t>
      </w:r>
    </w:p>
    <w:p>
      <w:pPr>
        <w:spacing w:after="0" w:line="25" w:lineRule="exact"/>
        <w:rPr>
          <w:sz w:val="20"/>
          <w:szCs w:val="20"/>
          <w:color w:val="auto"/>
        </w:rPr>
      </w:pPr>
    </w:p>
    <w:p>
      <w:pPr>
        <w:ind w:left="460" w:right="20"/>
        <w:spacing w:after="0" w:line="259"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b w:val="1"/>
          <w:bCs w:val="1"/>
          <w:color w:val="auto"/>
        </w:rPr>
        <w:t>Researchers</w:t>
      </w:r>
      <w:r>
        <w:rPr>
          <w:rFonts w:ascii="Arial" w:cs="Arial" w:eastAsia="Arial" w:hAnsi="Arial"/>
          <w:sz w:val="14"/>
          <w:szCs w:val="14"/>
          <w:color w:val="auto"/>
        </w:rPr>
        <w:t xml:space="preserve">. During the </w:t>
      </w:r>
      <w:r>
        <w:rPr>
          <w:rFonts w:ascii="Arial" w:cs="Arial" w:eastAsia="Arial" w:hAnsi="Arial"/>
          <w:sz w:val="14"/>
          <w:szCs w:val="14"/>
          <w:b w:val="1"/>
          <w:bCs w:val="1"/>
          <w:color w:val="auto"/>
        </w:rPr>
        <w:t>***</w:t>
      </w:r>
      <w:r>
        <w:rPr>
          <w:rFonts w:ascii="Arial" w:cs="Arial" w:eastAsia="Arial" w:hAnsi="Arial"/>
          <w:sz w:val="14"/>
          <w:szCs w:val="14"/>
          <w:color w:val="auto"/>
        </w:rPr>
        <w:t xml:space="preserve"> of the Research Term the Parties will dedicate </w:t>
      </w:r>
      <w:r>
        <w:rPr>
          <w:rFonts w:ascii="Arial" w:cs="Arial" w:eastAsia="Arial" w:hAnsi="Arial"/>
          <w:sz w:val="14"/>
          <w:szCs w:val="14"/>
          <w:b w:val="1"/>
          <w:bCs w:val="1"/>
          <w:color w:val="auto"/>
        </w:rPr>
        <w:t>***</w:t>
      </w:r>
      <w:r>
        <w:rPr>
          <w:rFonts w:ascii="Arial" w:cs="Arial" w:eastAsia="Arial" w:hAnsi="Arial"/>
          <w:sz w:val="14"/>
          <w:szCs w:val="14"/>
          <w:color w:val="auto"/>
        </w:rPr>
        <w:t xml:space="preserve"> to the Research Program and this number cannot be changed without agreement of the Parties. The Parties currently expect to dedicate an average of </w:t>
      </w:r>
      <w:r>
        <w:rPr>
          <w:rFonts w:ascii="Arial" w:cs="Arial" w:eastAsia="Arial" w:hAnsi="Arial"/>
          <w:sz w:val="14"/>
          <w:szCs w:val="14"/>
          <w:b w:val="1"/>
          <w:bCs w:val="1"/>
          <w:color w:val="auto"/>
        </w:rPr>
        <w:t>***</w:t>
      </w:r>
      <w:r>
        <w:rPr>
          <w:rFonts w:ascii="Arial" w:cs="Arial" w:eastAsia="Arial" w:hAnsi="Arial"/>
          <w:sz w:val="14"/>
          <w:szCs w:val="14"/>
          <w:color w:val="auto"/>
        </w:rPr>
        <w:t xml:space="preserve"> to the Research Program for the remainder of the Research Term. The number of FTEs will be reviewed by the JSC on a semi-annual basis and may be updated as necessary by the JSC.</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17</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6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5" w:right="219" w:bottom="1440" w:gutter="0" w:footer="0" w:header="0"/>
        </w:sectPr>
      </w:pPr>
    </w:p>
    <w:bookmarkStart w:id="887" w:name="page888"/>
    <w:bookmarkEnd w:id="887"/>
    <w:p>
      <w:pPr>
        <w:ind w:left="460" w:right="26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2.3.3. </w:t>
      </w:r>
      <w:r>
        <w:rPr>
          <w:rFonts w:ascii="Arial" w:cs="Arial" w:eastAsia="Arial" w:hAnsi="Arial"/>
          <w:sz w:val="14"/>
          <w:szCs w:val="14"/>
          <w:b w:val="1"/>
          <w:bCs w:val="1"/>
          <w:color w:val="auto"/>
        </w:rPr>
        <w:t>Responsibilities</w:t>
      </w:r>
      <w:r>
        <w:rPr>
          <w:rFonts w:ascii="Arial" w:cs="Arial" w:eastAsia="Arial" w:hAnsi="Arial"/>
          <w:sz w:val="14"/>
          <w:szCs w:val="14"/>
          <w:color w:val="auto"/>
        </w:rPr>
        <w:t>. Each Research Plan shall set forth the services and the obligations and responsibilities assigned to each Party (collectively the “</w:t>
      </w:r>
      <w:r>
        <w:rPr>
          <w:rFonts w:ascii="Arial" w:cs="Arial" w:eastAsia="Arial" w:hAnsi="Arial"/>
          <w:sz w:val="14"/>
          <w:szCs w:val="14"/>
          <w:b w:val="1"/>
          <w:bCs w:val="1"/>
          <w:color w:val="auto"/>
        </w:rPr>
        <w:t>Research Plan Services</w:t>
      </w:r>
      <w:r>
        <w:rPr>
          <w:rFonts w:ascii="Arial" w:cs="Arial" w:eastAsia="Arial" w:hAnsi="Arial"/>
          <w:sz w:val="14"/>
          <w:szCs w:val="14"/>
          <w:color w:val="auto"/>
        </w:rPr>
        <w:t>”), and shall include the following minimum terms:</w:t>
      </w:r>
    </w:p>
    <w:p>
      <w:pPr>
        <w:spacing w:after="0" w:line="37" w:lineRule="exact"/>
        <w:rPr>
          <w:sz w:val="20"/>
          <w:szCs w:val="20"/>
          <w:color w:val="auto"/>
        </w:rPr>
      </w:pPr>
    </w:p>
    <w:p>
      <w:pPr>
        <w:ind w:left="1220" w:hanging="187"/>
        <w:spacing w:after="0"/>
        <w:tabs>
          <w:tab w:leader="none" w:pos="1220" w:val="left"/>
        </w:tabs>
        <w:numPr>
          <w:ilvl w:val="0"/>
          <w:numId w:val="1068"/>
        </w:numPr>
        <w:rPr>
          <w:rFonts w:ascii="Arial" w:cs="Arial" w:eastAsia="Arial" w:hAnsi="Arial"/>
          <w:sz w:val="12"/>
          <w:szCs w:val="12"/>
          <w:color w:val="auto"/>
        </w:rPr>
      </w:pPr>
      <w:r>
        <w:rPr>
          <w:rFonts w:ascii="Arial" w:cs="Arial" w:eastAsia="Arial" w:hAnsi="Arial"/>
          <w:sz w:val="12"/>
          <w:szCs w:val="12"/>
          <w:color w:val="auto"/>
        </w:rPr>
        <w:t>For each Research Project, one or both of the Parties shall generate or provide Antibodies that bind to the Research Project Target for such Research Project.</w:t>
      </w:r>
    </w:p>
    <w:p>
      <w:pPr>
        <w:spacing w:after="0" w:line="89" w:lineRule="exact"/>
        <w:rPr>
          <w:rFonts w:ascii="Arial" w:cs="Arial" w:eastAsia="Arial" w:hAnsi="Arial"/>
          <w:sz w:val="12"/>
          <w:szCs w:val="12"/>
          <w:color w:val="auto"/>
        </w:rPr>
      </w:pPr>
    </w:p>
    <w:p>
      <w:pPr>
        <w:ind w:left="1040" w:right="340" w:hanging="7"/>
        <w:spacing w:after="0" w:line="270" w:lineRule="auto"/>
        <w:tabs>
          <w:tab w:leader="none" w:pos="1232" w:val="left"/>
        </w:tabs>
        <w:numPr>
          <w:ilvl w:val="0"/>
          <w:numId w:val="1068"/>
        </w:numPr>
        <w:rPr>
          <w:rFonts w:ascii="Arial" w:cs="Arial" w:eastAsia="Arial" w:hAnsi="Arial"/>
          <w:sz w:val="14"/>
          <w:szCs w:val="14"/>
          <w:color w:val="auto"/>
        </w:rPr>
      </w:pPr>
      <w:r>
        <w:rPr>
          <w:rFonts w:ascii="Arial" w:cs="Arial" w:eastAsia="Arial" w:hAnsi="Arial"/>
          <w:sz w:val="14"/>
          <w:szCs w:val="14"/>
          <w:color w:val="auto"/>
        </w:rPr>
        <w:t xml:space="preserve">In accordance with Section 2.4, Pfizer shall be entitled to select up to </w:t>
      </w:r>
      <w:r>
        <w:rPr>
          <w:rFonts w:ascii="Arial" w:cs="Arial" w:eastAsia="Arial" w:hAnsi="Arial"/>
          <w:sz w:val="14"/>
          <w:szCs w:val="14"/>
          <w:b w:val="1"/>
          <w:bCs w:val="1"/>
          <w:color w:val="auto"/>
        </w:rPr>
        <w:t>***</w:t>
      </w:r>
      <w:r>
        <w:rPr>
          <w:rFonts w:ascii="Arial" w:cs="Arial" w:eastAsia="Arial" w:hAnsi="Arial"/>
          <w:sz w:val="14"/>
          <w:szCs w:val="14"/>
          <w:color w:val="auto"/>
        </w:rPr>
        <w:t xml:space="preserve"> Antibodies to be investigated by MacroGenics for possible construction of a T-DART to the extent Antibodies are generated under a Research Plan.</w:t>
      </w:r>
    </w:p>
    <w:p>
      <w:pPr>
        <w:spacing w:after="0" w:line="36" w:lineRule="exact"/>
        <w:rPr>
          <w:rFonts w:ascii="Arial" w:cs="Arial" w:eastAsia="Arial" w:hAnsi="Arial"/>
          <w:sz w:val="14"/>
          <w:szCs w:val="14"/>
          <w:color w:val="auto"/>
        </w:rPr>
      </w:pPr>
    </w:p>
    <w:p>
      <w:pPr>
        <w:ind w:left="1220" w:hanging="187"/>
        <w:spacing w:after="0"/>
        <w:tabs>
          <w:tab w:leader="none" w:pos="1220" w:val="left"/>
        </w:tabs>
        <w:numPr>
          <w:ilvl w:val="0"/>
          <w:numId w:val="1068"/>
        </w:numPr>
        <w:rPr>
          <w:rFonts w:ascii="Arial" w:cs="Arial" w:eastAsia="Arial" w:hAnsi="Arial"/>
          <w:sz w:val="14"/>
          <w:szCs w:val="14"/>
          <w:color w:val="auto"/>
        </w:rPr>
      </w:pPr>
      <w:r>
        <w:rPr>
          <w:rFonts w:ascii="Arial" w:cs="Arial" w:eastAsia="Arial" w:hAnsi="Arial"/>
          <w:sz w:val="14"/>
          <w:szCs w:val="14"/>
          <w:color w:val="auto"/>
        </w:rPr>
        <w:t>MacroGenics will investigate each Antibody selected by Pfizer in accordance with the applicable Research Plan.</w:t>
      </w:r>
    </w:p>
    <w:p>
      <w:pPr>
        <w:spacing w:after="0" w:line="66" w:lineRule="exact"/>
        <w:rPr>
          <w:rFonts w:ascii="Arial" w:cs="Arial" w:eastAsia="Arial" w:hAnsi="Arial"/>
          <w:sz w:val="14"/>
          <w:szCs w:val="14"/>
          <w:color w:val="auto"/>
        </w:rPr>
      </w:pPr>
    </w:p>
    <w:p>
      <w:pPr>
        <w:ind w:left="1220" w:hanging="187"/>
        <w:spacing w:after="0"/>
        <w:tabs>
          <w:tab w:leader="none" w:pos="1220" w:val="left"/>
        </w:tabs>
        <w:numPr>
          <w:ilvl w:val="0"/>
          <w:numId w:val="1068"/>
        </w:numPr>
        <w:rPr>
          <w:rFonts w:ascii="Arial" w:cs="Arial" w:eastAsia="Arial" w:hAnsi="Arial"/>
          <w:sz w:val="14"/>
          <w:szCs w:val="14"/>
          <w:color w:val="auto"/>
        </w:rPr>
      </w:pPr>
      <w:r>
        <w:rPr>
          <w:rFonts w:ascii="Arial" w:cs="Arial" w:eastAsia="Arial" w:hAnsi="Arial"/>
          <w:sz w:val="14"/>
          <w:szCs w:val="14"/>
          <w:color w:val="auto"/>
        </w:rPr>
        <w:t xml:space="preserve">MacroGenics will support the </w:t>
      </w:r>
      <w:r>
        <w:rPr>
          <w:rFonts w:ascii="Arial" w:cs="Arial" w:eastAsia="Arial" w:hAnsi="Arial"/>
          <w:sz w:val="14"/>
          <w:szCs w:val="14"/>
          <w:b w:val="1"/>
          <w:bCs w:val="1"/>
          <w:color w:val="auto"/>
        </w:rPr>
        <w:t>***</w:t>
      </w:r>
    </w:p>
    <w:p>
      <w:pPr>
        <w:spacing w:after="0" w:line="70" w:lineRule="exact"/>
        <w:rPr>
          <w:rFonts w:ascii="Arial" w:cs="Arial" w:eastAsia="Arial" w:hAnsi="Arial"/>
          <w:sz w:val="14"/>
          <w:szCs w:val="14"/>
          <w:color w:val="auto"/>
        </w:rPr>
      </w:pPr>
    </w:p>
    <w:p>
      <w:pPr>
        <w:ind w:left="1220" w:hanging="187"/>
        <w:spacing w:after="0"/>
        <w:tabs>
          <w:tab w:leader="none" w:pos="1220" w:val="left"/>
        </w:tabs>
        <w:numPr>
          <w:ilvl w:val="0"/>
          <w:numId w:val="1068"/>
        </w:numPr>
        <w:rPr>
          <w:rFonts w:ascii="Arial" w:cs="Arial" w:eastAsia="Arial" w:hAnsi="Arial"/>
          <w:sz w:val="14"/>
          <w:szCs w:val="14"/>
          <w:color w:val="auto"/>
        </w:rPr>
      </w:pPr>
      <w:r>
        <w:rPr>
          <w:rFonts w:ascii="Arial" w:cs="Arial" w:eastAsia="Arial" w:hAnsi="Arial"/>
          <w:sz w:val="14"/>
          <w:szCs w:val="14"/>
          <w:color w:val="auto"/>
        </w:rPr>
        <w:t>Pfizer will support additional in vivo modeling, completion of IND-enabling studies, clinical Development, GMP-Manufacturing, and Commercialization.</w:t>
      </w:r>
    </w:p>
    <w:p>
      <w:pPr>
        <w:spacing w:after="0" w:line="66" w:lineRule="exact"/>
        <w:rPr>
          <w:rFonts w:ascii="Arial" w:cs="Arial" w:eastAsia="Arial" w:hAnsi="Arial"/>
          <w:sz w:val="14"/>
          <w:szCs w:val="14"/>
          <w:color w:val="auto"/>
        </w:rPr>
      </w:pPr>
    </w:p>
    <w:p>
      <w:pPr>
        <w:ind w:left="1200" w:hanging="167"/>
        <w:spacing w:after="0"/>
        <w:tabs>
          <w:tab w:leader="none" w:pos="1200" w:val="left"/>
        </w:tabs>
        <w:numPr>
          <w:ilvl w:val="0"/>
          <w:numId w:val="1068"/>
        </w:numPr>
        <w:rPr>
          <w:rFonts w:ascii="Arial" w:cs="Arial" w:eastAsia="Arial" w:hAnsi="Arial"/>
          <w:sz w:val="14"/>
          <w:szCs w:val="14"/>
          <w:color w:val="auto"/>
        </w:rPr>
      </w:pPr>
      <w:r>
        <w:rPr>
          <w:rFonts w:ascii="Arial" w:cs="Arial" w:eastAsia="Arial" w:hAnsi="Arial"/>
          <w:sz w:val="14"/>
          <w:szCs w:val="14"/>
          <w:color w:val="auto"/>
        </w:rPr>
        <w:t xml:space="preserve">The Parties may jointly decide to expand MacroGenics’s research and Development responsibilities to include additional </w:t>
      </w:r>
      <w:r>
        <w:rPr>
          <w:rFonts w:ascii="Arial" w:cs="Arial" w:eastAsia="Arial" w:hAnsi="Arial"/>
          <w:sz w:val="14"/>
          <w:szCs w:val="14"/>
          <w:b w:val="1"/>
          <w:bCs w:val="1"/>
          <w:color w:val="auto"/>
        </w:rPr>
        <w:t>***</w:t>
      </w:r>
    </w:p>
    <w:p>
      <w:pPr>
        <w:spacing w:after="0" w:line="68" w:lineRule="exact"/>
        <w:rPr>
          <w:rFonts w:ascii="Arial" w:cs="Arial" w:eastAsia="Arial" w:hAnsi="Arial"/>
          <w:sz w:val="14"/>
          <w:szCs w:val="14"/>
          <w:color w:val="auto"/>
        </w:rPr>
      </w:pPr>
    </w:p>
    <w:p>
      <w:pPr>
        <w:ind w:left="1220" w:hanging="187"/>
        <w:spacing w:after="0"/>
        <w:tabs>
          <w:tab w:leader="none" w:pos="1220" w:val="left"/>
        </w:tabs>
        <w:numPr>
          <w:ilvl w:val="0"/>
          <w:numId w:val="1068"/>
        </w:numPr>
        <w:rPr>
          <w:rFonts w:ascii="Arial" w:cs="Arial" w:eastAsia="Arial" w:hAnsi="Arial"/>
          <w:sz w:val="14"/>
          <w:szCs w:val="14"/>
          <w:color w:val="auto"/>
        </w:rPr>
      </w:pPr>
      <w:r>
        <w:rPr>
          <w:rFonts w:ascii="Arial" w:cs="Arial" w:eastAsia="Arial" w:hAnsi="Arial"/>
          <w:sz w:val="14"/>
          <w:szCs w:val="14"/>
          <w:color w:val="auto"/>
        </w:rPr>
        <w:t xml:space="preserve">In no event shall MacroGenics be required to commit more than </w:t>
      </w:r>
      <w:r>
        <w:rPr>
          <w:rFonts w:ascii="Arial" w:cs="Arial" w:eastAsia="Arial" w:hAnsi="Arial"/>
          <w:sz w:val="14"/>
          <w:szCs w:val="14"/>
          <w:b w:val="1"/>
          <w:bCs w:val="1"/>
          <w:color w:val="auto"/>
        </w:rPr>
        <w:t>***</w:t>
      </w:r>
      <w:r>
        <w:rPr>
          <w:rFonts w:ascii="Arial" w:cs="Arial" w:eastAsia="Arial" w:hAnsi="Arial"/>
          <w:sz w:val="14"/>
          <w:szCs w:val="14"/>
          <w:color w:val="auto"/>
        </w:rPr>
        <w:t xml:space="preserve"> to support the Research Program during any Calendar Year during the Research Term.</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color w:val="auto"/>
        </w:rPr>
        <w:t>Research Program Antibodies and Passed MacroGenics Antibodies</w:t>
      </w:r>
      <w:r>
        <w:rPr>
          <w:rFonts w:ascii="Arial" w:cs="Arial" w:eastAsia="Arial" w:hAnsi="Arial"/>
          <w:sz w:val="14"/>
          <w:szCs w:val="14"/>
          <w:color w:val="auto"/>
        </w:rPr>
        <w:t>.</w:t>
      </w:r>
    </w:p>
    <w:p>
      <w:pPr>
        <w:spacing w:after="0" w:line="71" w:lineRule="exact"/>
        <w:rPr>
          <w:sz w:val="20"/>
          <w:szCs w:val="20"/>
          <w:color w:val="auto"/>
        </w:rPr>
      </w:pPr>
    </w:p>
    <w:p>
      <w:pPr>
        <w:ind w:left="460" w:right="220"/>
        <w:spacing w:after="0" w:line="345" w:lineRule="auto"/>
        <w:rPr>
          <w:sz w:val="20"/>
          <w:szCs w:val="20"/>
          <w:color w:val="auto"/>
        </w:rPr>
      </w:pPr>
      <w:r>
        <w:rPr>
          <w:rFonts w:ascii="Arial" w:cs="Arial" w:eastAsia="Arial" w:hAnsi="Arial"/>
          <w:sz w:val="12"/>
          <w:szCs w:val="12"/>
          <w:color w:val="auto"/>
        </w:rPr>
        <w:t xml:space="preserve">2.4.1. For each Research Project Target and prior to initiation of in vivo modeling (as defined in the related Technical Milestone under Section 5.3.1) for such Research Project Target, Pfizer may identify in writing to MacroGenics up to </w:t>
      </w:r>
      <w:r>
        <w:rPr>
          <w:rFonts w:ascii="Arial" w:cs="Arial" w:eastAsia="Arial" w:hAnsi="Arial"/>
          <w:sz w:val="12"/>
          <w:szCs w:val="12"/>
          <w:b w:val="1"/>
          <w:bCs w:val="1"/>
          <w:color w:val="auto"/>
        </w:rPr>
        <w:t>***</w:t>
      </w:r>
      <w:r>
        <w:rPr>
          <w:rFonts w:ascii="Arial" w:cs="Arial" w:eastAsia="Arial" w:hAnsi="Arial"/>
          <w:sz w:val="12"/>
          <w:szCs w:val="12"/>
          <w:color w:val="auto"/>
        </w:rPr>
        <w:t xml:space="preserve"> Antibodies which Pfizer intends to evaluate for the relevant Research Project (each a “</w:t>
      </w:r>
      <w:r>
        <w:rPr>
          <w:rFonts w:ascii="Arial" w:cs="Arial" w:eastAsia="Arial" w:hAnsi="Arial"/>
          <w:sz w:val="12"/>
          <w:szCs w:val="12"/>
          <w:b w:val="1"/>
          <w:bCs w:val="1"/>
          <w:color w:val="auto"/>
        </w:rPr>
        <w:t>Research Program Antibody</w:t>
      </w:r>
      <w:r>
        <w:rPr>
          <w:rFonts w:ascii="Arial" w:cs="Arial" w:eastAsia="Arial" w:hAnsi="Arial"/>
          <w:sz w:val="12"/>
          <w:szCs w:val="12"/>
          <w:color w:val="auto"/>
        </w:rPr>
        <w:t>”).</w:t>
      </w:r>
    </w:p>
    <w:p>
      <w:pPr>
        <w:ind w:left="460" w:right="620"/>
        <w:spacing w:after="0" w:line="345" w:lineRule="auto"/>
        <w:rPr>
          <w:sz w:val="20"/>
          <w:szCs w:val="20"/>
          <w:color w:val="auto"/>
        </w:rPr>
      </w:pPr>
      <w:r>
        <w:rPr>
          <w:rFonts w:ascii="Arial" w:cs="Arial" w:eastAsia="Arial" w:hAnsi="Arial"/>
          <w:sz w:val="12"/>
          <w:szCs w:val="12"/>
          <w:color w:val="auto"/>
        </w:rPr>
        <w:t>2.4.2. Upon MacroGenics’s request, the JSC will promptly determine whether any proprietary (to MacroGenics) Research Program Antibody contributed to the Research Program by MacroGenics is no longer under Development or consideration for Development under the Research Program and has become a Passed MacroGenics Antibody.</w:t>
      </w:r>
    </w:p>
    <w:p>
      <w:pPr>
        <w:ind w:left="460"/>
        <w:spacing w:after="0" w:line="351" w:lineRule="auto"/>
        <w:rPr>
          <w:sz w:val="20"/>
          <w:szCs w:val="20"/>
          <w:color w:val="auto"/>
        </w:rPr>
      </w:pPr>
      <w:r>
        <w:rPr>
          <w:rFonts w:ascii="Arial" w:cs="Arial" w:eastAsia="Arial" w:hAnsi="Arial"/>
          <w:sz w:val="12"/>
          <w:szCs w:val="12"/>
          <w:color w:val="auto"/>
        </w:rPr>
        <w:t xml:space="preserve">2.4.3. Other than as set forth in the Research Plan for the Initial Research Project Target that is attached as </w:t>
      </w:r>
      <w:r>
        <w:rPr>
          <w:rFonts w:ascii="Arial" w:cs="Arial" w:eastAsia="Arial" w:hAnsi="Arial"/>
          <w:sz w:val="12"/>
          <w:szCs w:val="12"/>
          <w:u w:val="single" w:color="auto"/>
          <w:color w:val="auto"/>
        </w:rPr>
        <w:t>Exhibit 2.3.1</w:t>
      </w:r>
      <w:r>
        <w:rPr>
          <w:rFonts w:ascii="Arial" w:cs="Arial" w:eastAsia="Arial" w:hAnsi="Arial"/>
          <w:sz w:val="12"/>
          <w:szCs w:val="12"/>
          <w:color w:val="auto"/>
        </w:rPr>
        <w:t xml:space="preserve"> or as subsequently agreed by the Parties and set forth in a Research Plan, MacroGenics shall have no obligation to provide Pfizer with any Antibodies developed or acquired by MacroGenics outside of this Agreement.</w:t>
      </w:r>
    </w:p>
    <w:p>
      <w:pPr>
        <w:spacing w:after="0" w:line="46"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18</w:t>
      </w:r>
    </w:p>
    <w:p>
      <w:pPr>
        <w:spacing w:after="0" w:line="12" w:lineRule="exact"/>
        <w:rPr>
          <w:sz w:val="20"/>
          <w:szCs w:val="20"/>
          <w:color w:val="auto"/>
        </w:rPr>
      </w:pPr>
    </w:p>
    <w:p>
      <w:pPr>
        <w:ind w:left="3380" w:right="2660" w:hanging="1135"/>
        <w:spacing w:after="0" w:line="341" w:lineRule="auto"/>
        <w:tabs>
          <w:tab w:leader="none" w:pos="2484" w:val="left"/>
        </w:tabs>
        <w:numPr>
          <w:ilvl w:val="0"/>
          <w:numId w:val="106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60"/>
          </w:cols>
          <w:pgMar w:left="680" w:top="246" w:right="259" w:bottom="1440" w:gutter="0" w:footer="0" w:header="0"/>
        </w:sectPr>
      </w:pPr>
    </w:p>
    <w:bookmarkStart w:id="888" w:name="page889"/>
    <w:bookmarkEnd w:id="88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2.5. </w:t>
      </w:r>
      <w:r>
        <w:rPr>
          <w:rFonts w:ascii="Arial" w:cs="Arial" w:eastAsia="Arial" w:hAnsi="Arial"/>
          <w:sz w:val="14"/>
          <w:szCs w:val="14"/>
          <w:b w:val="1"/>
          <w:bCs w:val="1"/>
          <w:color w:val="auto"/>
        </w:rPr>
        <w:t>Governance of the Research Program</w:t>
      </w:r>
      <w:r>
        <w:rPr>
          <w:rFonts w:ascii="Arial" w:cs="Arial" w:eastAsia="Arial" w:hAnsi="Arial"/>
          <w:sz w:val="14"/>
          <w:szCs w:val="14"/>
          <w:color w:val="auto"/>
        </w:rPr>
        <w:t>.</w:t>
      </w:r>
    </w:p>
    <w:p>
      <w:pPr>
        <w:spacing w:after="0" w:line="69" w:lineRule="exact"/>
        <w:rPr>
          <w:sz w:val="20"/>
          <w:szCs w:val="20"/>
          <w:color w:val="auto"/>
        </w:rPr>
      </w:pPr>
    </w:p>
    <w:p>
      <w:pPr>
        <w:ind w:left="460" w:right="60"/>
        <w:spacing w:after="0" w:line="303" w:lineRule="auto"/>
        <w:rPr>
          <w:sz w:val="20"/>
          <w:szCs w:val="20"/>
          <w:color w:val="auto"/>
        </w:rPr>
      </w:pPr>
      <w:r>
        <w:rPr>
          <w:rFonts w:ascii="Arial" w:cs="Arial" w:eastAsia="Arial" w:hAnsi="Arial"/>
          <w:sz w:val="12"/>
          <w:szCs w:val="12"/>
          <w:color w:val="auto"/>
        </w:rPr>
        <w:t xml:space="preserve">2.5.1. </w:t>
      </w:r>
      <w:r>
        <w:rPr>
          <w:rFonts w:ascii="Arial" w:cs="Arial" w:eastAsia="Arial" w:hAnsi="Arial"/>
          <w:sz w:val="12"/>
          <w:szCs w:val="12"/>
          <w:b w:val="1"/>
          <w:bCs w:val="1"/>
          <w:color w:val="auto"/>
        </w:rPr>
        <w:t>Formation of the Joint Steering Committee</w:t>
      </w:r>
      <w:r>
        <w:rPr>
          <w:rFonts w:ascii="Arial" w:cs="Arial" w:eastAsia="Arial" w:hAnsi="Arial"/>
          <w:sz w:val="12"/>
          <w:szCs w:val="12"/>
          <w:color w:val="auto"/>
        </w:rPr>
        <w:t>. MacroGenics and Pfizer shall establish a “</w:t>
      </w:r>
      <w:r>
        <w:rPr>
          <w:rFonts w:ascii="Arial" w:cs="Arial" w:eastAsia="Arial" w:hAnsi="Arial"/>
          <w:sz w:val="12"/>
          <w:szCs w:val="12"/>
          <w:b w:val="1"/>
          <w:bCs w:val="1"/>
          <w:color w:val="auto"/>
        </w:rPr>
        <w:t>Joint Steering Committee</w:t>
      </w:r>
      <w:r>
        <w:rPr>
          <w:rFonts w:ascii="Arial" w:cs="Arial" w:eastAsia="Arial" w:hAnsi="Arial"/>
          <w:sz w:val="12"/>
          <w:szCs w:val="12"/>
          <w:color w:val="auto"/>
        </w:rPr>
        <w:t>” (or “</w:t>
      </w:r>
      <w:r>
        <w:rPr>
          <w:rFonts w:ascii="Arial" w:cs="Arial" w:eastAsia="Arial" w:hAnsi="Arial"/>
          <w:sz w:val="12"/>
          <w:szCs w:val="12"/>
          <w:b w:val="1"/>
          <w:bCs w:val="1"/>
          <w:color w:val="auto"/>
        </w:rPr>
        <w:t>JSC</w:t>
      </w:r>
      <w:r>
        <w:rPr>
          <w:rFonts w:ascii="Arial" w:cs="Arial" w:eastAsia="Arial" w:hAnsi="Arial"/>
          <w:sz w:val="12"/>
          <w:szCs w:val="12"/>
          <w:color w:val="auto"/>
        </w:rPr>
        <w:t>”) to oversee and coordinate the activities of the Parties under this Agreement in regard to the Research Program. The Joint Steering Committee shall also serve as a forum to facilitate communications between the Parties regarding the Research Program. The Joint Steering Committee shall be comprised of three (3) representatives from each Party as appointed by such Party. The Joint Steering Committee may change its size from time to time by mutual consent of its members. A Party may replace one or more of its representatives from time to time upon written notice to the other Party. Each Party, respectively, shall designate its initial members of the Joint Steering Committee within thirty (30) days after the Effective Date. The Joint Steering Committee shall exist until expiration of the Research Term, unless the Parties otherwise agree in writing.</w:t>
      </w:r>
    </w:p>
    <w:p>
      <w:pPr>
        <w:spacing w:after="0" w:line="20" w:lineRule="exact"/>
        <w:rPr>
          <w:sz w:val="20"/>
          <w:szCs w:val="20"/>
          <w:color w:val="auto"/>
        </w:rPr>
      </w:pPr>
    </w:p>
    <w:p>
      <w:pPr>
        <w:ind w:left="460" w:right="40"/>
        <w:spacing w:after="0" w:line="299" w:lineRule="auto"/>
        <w:rPr>
          <w:sz w:val="20"/>
          <w:szCs w:val="20"/>
          <w:color w:val="auto"/>
        </w:rPr>
      </w:pPr>
      <w:r>
        <w:rPr>
          <w:rFonts w:ascii="Arial" w:cs="Arial" w:eastAsia="Arial" w:hAnsi="Arial"/>
          <w:sz w:val="12"/>
          <w:szCs w:val="12"/>
          <w:color w:val="auto"/>
        </w:rPr>
        <w:t xml:space="preserve">2.5.2. </w:t>
      </w:r>
      <w:r>
        <w:rPr>
          <w:rFonts w:ascii="Arial" w:cs="Arial" w:eastAsia="Arial" w:hAnsi="Arial"/>
          <w:sz w:val="12"/>
          <w:szCs w:val="12"/>
          <w:b w:val="1"/>
          <w:bCs w:val="1"/>
          <w:color w:val="auto"/>
        </w:rPr>
        <w:t>Co-Chairpersons and Secretary of the Joint Steering Committee</w:t>
      </w:r>
      <w:r>
        <w:rPr>
          <w:rFonts w:ascii="Arial" w:cs="Arial" w:eastAsia="Arial" w:hAnsi="Arial"/>
          <w:sz w:val="12"/>
          <w:szCs w:val="12"/>
          <w:color w:val="auto"/>
        </w:rPr>
        <w:t>. Each Party shall designate a co-chairperson of the Joint Steering Committee and a secretary of the Joint Steering Committee shall be designated in accordance with Section 2.6 below. A Party may change the designation of its co-chairperson from time to time upon written notice to the other Party. The co-chairpersons shall be responsible for scheduling meetings of the Joint Steering Committee, preparing agendas for meetings and sending to all Joint Steering Committee members notices of all regular meetings and agendas for such meetings at least five (5) Business Days before such meetings. The co-chairpersons shall solicit input from both Parties regarding matters to be included on the agenda, and any matter either Party desires to have included on the agenda shall be included for discussion. Nothing herein shall be construed to prohibit the Joint Steering Committee from discussing or acting on matters not included on the applicable agenda. The secretary shall record the minutes of the meeting, circulate copies of meeting minutes to the Parties and each Joint Steering Committee member promptly following the meeting for review, comment and approval by the Joint Steering Committee members and finalize approved meeting minutes. The co-chairpersons shall be members of the Joint Steering Committee but the secretary need not be a member of the Joint Steering Committee.</w:t>
      </w:r>
    </w:p>
    <w:p>
      <w:pPr>
        <w:spacing w:after="0" w:line="25" w:lineRule="exact"/>
        <w:rPr>
          <w:sz w:val="20"/>
          <w:szCs w:val="20"/>
          <w:color w:val="auto"/>
        </w:rPr>
      </w:pPr>
    </w:p>
    <w:p>
      <w:pPr>
        <w:ind w:left="460"/>
        <w:spacing w:after="0" w:line="306" w:lineRule="auto"/>
        <w:rPr>
          <w:sz w:val="20"/>
          <w:szCs w:val="20"/>
          <w:color w:val="auto"/>
        </w:rPr>
      </w:pPr>
      <w:r>
        <w:rPr>
          <w:rFonts w:ascii="Arial" w:cs="Arial" w:eastAsia="Arial" w:hAnsi="Arial"/>
          <w:sz w:val="12"/>
          <w:szCs w:val="12"/>
          <w:color w:val="auto"/>
        </w:rPr>
        <w:t xml:space="preserve">2.5.3. </w:t>
      </w:r>
      <w:r>
        <w:rPr>
          <w:rFonts w:ascii="Arial" w:cs="Arial" w:eastAsia="Arial" w:hAnsi="Arial"/>
          <w:sz w:val="12"/>
          <w:szCs w:val="12"/>
          <w:b w:val="1"/>
          <w:bCs w:val="1"/>
          <w:color w:val="auto"/>
        </w:rPr>
        <w:t>Meetings</w:t>
      </w:r>
      <w:r>
        <w:rPr>
          <w:rFonts w:ascii="Arial" w:cs="Arial" w:eastAsia="Arial" w:hAnsi="Arial"/>
          <w:sz w:val="12"/>
          <w:szCs w:val="12"/>
          <w:color w:val="auto"/>
        </w:rPr>
        <w:t>. The Joint Steering Committee shall meet at least once each Calendar Quarter until it has been terminated in accordance with Section 2.5.1 at dates and times mutually agreed by the Joint Steering Committee, unless otherwise mutually agreed by the Parties. The initial meeting of the Joint Steering Committee shall be held within ninety (90) days after the Effective Date. Either Party may call a special meeting of the Joint Steering Committee on fifteen (15) days prior written notice to the other Party’s members of the Joint Steering Committee (or upon such shorter notice as exigent circumstances may require). Such written notice shall include an agenda for the special meeting. In-person meetings, including special meetings, of the Joint Steering Committee shall alternate between the offices of the Parties, unless otherwise agreed upon by the members of the Joint Steering Committee. Meetings of the Joint Steering</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19</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7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5" w:right="239" w:bottom="1440" w:gutter="0" w:footer="0" w:header="0"/>
        </w:sectPr>
      </w:pPr>
    </w:p>
    <w:bookmarkStart w:id="889" w:name="page890"/>
    <w:bookmarkEnd w:id="889"/>
    <w:p>
      <w:pPr>
        <w:ind w:right="4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Committee may be held telephonically or by video conference; provided, however, that at least two (2) meetings per year shall be held in-person. Meetings of the Joint Steering Committee shall be effective only if at least one representative of each Party is in attendance or participating in the meeting. Members of the Joint Steering Committee shall have the right to participate in and vote at meetings held by telephone or video conference. In addition, the Joint Steering Committee may act on any matter or issue without a meeting if it is documented in a written consent signed by each member of the Joint Steering Committee.</w:t>
      </w:r>
    </w:p>
    <w:p>
      <w:pPr>
        <w:spacing w:after="0" w:line="45"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color w:val="auto"/>
        </w:rPr>
        <w:t xml:space="preserve">2.5.4. </w:t>
      </w:r>
      <w:r>
        <w:rPr>
          <w:rFonts w:ascii="Arial" w:cs="Arial" w:eastAsia="Arial" w:hAnsi="Arial"/>
          <w:sz w:val="12"/>
          <w:szCs w:val="12"/>
          <w:b w:val="1"/>
          <w:bCs w:val="1"/>
          <w:color w:val="auto"/>
        </w:rPr>
        <w:t>Responsibilities of the Joint Steering Committee</w:t>
      </w:r>
      <w:r>
        <w:rPr>
          <w:rFonts w:ascii="Arial" w:cs="Arial" w:eastAsia="Arial" w:hAnsi="Arial"/>
          <w:sz w:val="12"/>
          <w:szCs w:val="12"/>
          <w:color w:val="auto"/>
        </w:rPr>
        <w:t>. The JSC shall be responsible for (a) planning and supervising research and development under this Agreement, including establishing, reviewing and recommending modifications and updates to the Research Plans; (b) receiving and reviewing all data and other information obtained by either Party in connection with the Research Program and monitoring and reporting to the Parties on activities conducted pursuant to the Research Plans; (c) documenting and approving initiation and completion of each Research Project and the achievement of any Technical Milestones, Development Milestones and Sales Milestones; (d) evaluating FTE requirements for the performance of the Research Plans; and</w:t>
      </w:r>
    </w:p>
    <w:p>
      <w:pPr>
        <w:ind w:right="5940"/>
        <w:spacing w:after="0" w:line="338" w:lineRule="auto"/>
        <w:tabs>
          <w:tab w:leader="none" w:pos="185" w:val="left"/>
        </w:tabs>
        <w:numPr>
          <w:ilvl w:val="0"/>
          <w:numId w:val="1071"/>
        </w:numPr>
        <w:rPr>
          <w:rFonts w:ascii="Arial" w:cs="Arial" w:eastAsia="Arial" w:hAnsi="Arial"/>
          <w:sz w:val="14"/>
          <w:szCs w:val="14"/>
          <w:color w:val="auto"/>
        </w:rPr>
      </w:pPr>
      <w:r>
        <w:rPr>
          <w:rFonts w:ascii="Arial" w:cs="Arial" w:eastAsia="Arial" w:hAnsi="Arial"/>
          <w:sz w:val="14"/>
          <w:szCs w:val="14"/>
          <w:color w:val="auto"/>
        </w:rPr>
        <w:t xml:space="preserve">such other functions as expressly specified hereunder or as agreed by the Parties. 2.5.5. </w:t>
      </w:r>
      <w:r>
        <w:rPr>
          <w:rFonts w:ascii="Arial" w:cs="Arial" w:eastAsia="Arial" w:hAnsi="Arial"/>
          <w:sz w:val="14"/>
          <w:szCs w:val="14"/>
          <w:b w:val="1"/>
          <w:bCs w:val="1"/>
          <w:color w:val="auto"/>
        </w:rPr>
        <w:t>Decisions by Consensus</w:t>
      </w:r>
      <w:r>
        <w:rPr>
          <w:rFonts w:ascii="Arial" w:cs="Arial" w:eastAsia="Arial" w:hAnsi="Arial"/>
          <w:sz w:val="14"/>
          <w:szCs w:val="14"/>
          <w:color w:val="auto"/>
        </w:rPr>
        <w:t>.</w:t>
      </w:r>
    </w:p>
    <w:p>
      <w:pPr>
        <w:ind w:left="580" w:right="300" w:hanging="7"/>
        <w:spacing w:after="0" w:line="267" w:lineRule="auto"/>
        <w:tabs>
          <w:tab w:leader="none" w:pos="765" w:val="left"/>
        </w:tabs>
        <w:numPr>
          <w:ilvl w:val="1"/>
          <w:numId w:val="1071"/>
        </w:numPr>
        <w:rPr>
          <w:rFonts w:ascii="Arial" w:cs="Arial" w:eastAsia="Arial" w:hAnsi="Arial"/>
          <w:sz w:val="14"/>
          <w:szCs w:val="14"/>
          <w:color w:val="auto"/>
        </w:rPr>
      </w:pPr>
      <w:r>
        <w:rPr>
          <w:rFonts w:ascii="Arial" w:cs="Arial" w:eastAsia="Arial" w:hAnsi="Arial"/>
          <w:sz w:val="14"/>
          <w:szCs w:val="14"/>
          <w:color w:val="auto"/>
        </w:rPr>
        <w:t>All decisions of the Joint Steering Committee shall be made by unanimous agreement of both Parties’ representatives, with each Party having a single vote, irrespective of the number of JSC representatives in attendance at a meeting.</w:t>
      </w:r>
    </w:p>
    <w:p>
      <w:pPr>
        <w:spacing w:after="0" w:line="36" w:lineRule="exact"/>
        <w:rPr>
          <w:rFonts w:ascii="Arial" w:cs="Arial" w:eastAsia="Arial" w:hAnsi="Arial"/>
          <w:sz w:val="14"/>
          <w:szCs w:val="14"/>
          <w:color w:val="auto"/>
        </w:rPr>
      </w:pPr>
    </w:p>
    <w:p>
      <w:pPr>
        <w:ind w:left="580" w:hanging="7"/>
        <w:spacing w:after="0" w:line="259" w:lineRule="auto"/>
        <w:tabs>
          <w:tab w:leader="none" w:pos="772" w:val="left"/>
        </w:tabs>
        <w:numPr>
          <w:ilvl w:val="1"/>
          <w:numId w:val="1071"/>
        </w:numPr>
        <w:rPr>
          <w:rFonts w:ascii="Arial" w:cs="Arial" w:eastAsia="Arial" w:hAnsi="Arial"/>
          <w:sz w:val="14"/>
          <w:szCs w:val="14"/>
          <w:color w:val="auto"/>
        </w:rPr>
      </w:pPr>
      <w:r>
        <w:rPr>
          <w:rFonts w:ascii="Arial" w:cs="Arial" w:eastAsia="Arial" w:hAnsi="Arial"/>
          <w:sz w:val="14"/>
          <w:szCs w:val="14"/>
          <w:color w:val="auto"/>
        </w:rPr>
        <w:t xml:space="preserve">If, in accordance with Section 2.5.5(a), the JSC does not resolve any matter within its purview by it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the matter is first considered by it, the matter may be referred by either Party to MacroGenics’s </w:t>
      </w:r>
      <w:r>
        <w:rPr>
          <w:rFonts w:ascii="Arial" w:cs="Arial" w:eastAsia="Arial" w:hAnsi="Arial"/>
          <w:sz w:val="14"/>
          <w:szCs w:val="14"/>
          <w:b w:val="1"/>
          <w:bCs w:val="1"/>
          <w:color w:val="auto"/>
        </w:rPr>
        <w:t>***</w:t>
      </w:r>
      <w:r>
        <w:rPr>
          <w:rFonts w:ascii="Arial" w:cs="Arial" w:eastAsia="Arial" w:hAnsi="Arial"/>
          <w:sz w:val="14"/>
          <w:szCs w:val="14"/>
          <w:color w:val="auto"/>
        </w:rPr>
        <w:t xml:space="preserve"> to be resolved by negotiation in good faith as soon as practicable but in no event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referral. Such resolution, if any, of a referred issue by the </w:t>
      </w:r>
      <w:r>
        <w:rPr>
          <w:rFonts w:ascii="Arial" w:cs="Arial" w:eastAsia="Arial" w:hAnsi="Arial"/>
          <w:sz w:val="14"/>
          <w:szCs w:val="14"/>
          <w:b w:val="1"/>
          <w:bCs w:val="1"/>
          <w:color w:val="auto"/>
        </w:rPr>
        <w:t>***</w:t>
      </w:r>
      <w:r>
        <w:rPr>
          <w:rFonts w:ascii="Arial" w:cs="Arial" w:eastAsia="Arial" w:hAnsi="Arial"/>
          <w:sz w:val="14"/>
          <w:szCs w:val="14"/>
          <w:color w:val="auto"/>
        </w:rPr>
        <w:t xml:space="preserve"> shall be final and binding on the Parties.</w:t>
      </w:r>
    </w:p>
    <w:p>
      <w:pPr>
        <w:spacing w:after="0" w:line="42" w:lineRule="exact"/>
        <w:rPr>
          <w:rFonts w:ascii="Arial" w:cs="Arial" w:eastAsia="Arial" w:hAnsi="Arial"/>
          <w:sz w:val="14"/>
          <w:szCs w:val="14"/>
          <w:color w:val="auto"/>
        </w:rPr>
      </w:pPr>
    </w:p>
    <w:p>
      <w:pPr>
        <w:ind w:left="760" w:hanging="187"/>
        <w:spacing w:after="0"/>
        <w:tabs>
          <w:tab w:leader="none" w:pos="760" w:val="left"/>
        </w:tabs>
        <w:numPr>
          <w:ilvl w:val="1"/>
          <w:numId w:val="1071"/>
        </w:numPr>
        <w:rPr>
          <w:rFonts w:ascii="Arial" w:cs="Arial" w:eastAsia="Arial" w:hAnsi="Arial"/>
          <w:sz w:val="12"/>
          <w:szCs w:val="12"/>
          <w:color w:val="auto"/>
        </w:rPr>
      </w:pPr>
      <w:r>
        <w:rPr>
          <w:rFonts w:ascii="Arial" w:cs="Arial" w:eastAsia="Arial" w:hAnsi="Arial"/>
          <w:sz w:val="12"/>
          <w:szCs w:val="12"/>
          <w:color w:val="auto"/>
        </w:rPr>
        <w:t xml:space="preserve">If a dispute referred to the </w:t>
      </w:r>
      <w:r>
        <w:rPr>
          <w:rFonts w:ascii="Arial" w:cs="Arial" w:eastAsia="Arial" w:hAnsi="Arial"/>
          <w:sz w:val="12"/>
          <w:szCs w:val="12"/>
          <w:b w:val="1"/>
          <w:bCs w:val="1"/>
          <w:color w:val="auto"/>
        </w:rPr>
        <w:t>***</w:t>
      </w:r>
      <w:r>
        <w:rPr>
          <w:rFonts w:ascii="Arial" w:cs="Arial" w:eastAsia="Arial" w:hAnsi="Arial"/>
          <w:sz w:val="12"/>
          <w:szCs w:val="12"/>
          <w:color w:val="auto"/>
        </w:rPr>
        <w:t xml:space="preserve"> has not been resolved in accordance with Section 2.5.5(b), then, subject to Section 2.5.5(d), </w:t>
      </w:r>
      <w:r>
        <w:rPr>
          <w:rFonts w:ascii="Arial" w:cs="Arial" w:eastAsia="Arial" w:hAnsi="Arial"/>
          <w:sz w:val="12"/>
          <w:szCs w:val="12"/>
          <w:b w:val="1"/>
          <w:bCs w:val="1"/>
          <w:color w:val="auto"/>
        </w:rPr>
        <w:t>***</w:t>
      </w:r>
      <w:r>
        <w:rPr>
          <w:rFonts w:ascii="Arial" w:cs="Arial" w:eastAsia="Arial" w:hAnsi="Arial"/>
          <w:sz w:val="12"/>
          <w:szCs w:val="12"/>
          <w:color w:val="auto"/>
        </w:rPr>
        <w:t>. Any decisions made by Pfizer under this Section</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2.5.5(c) shall be deemed a decision of the JSC for purposes of this Agreement.</w:t>
      </w:r>
    </w:p>
    <w:p>
      <w:pPr>
        <w:spacing w:after="0" w:line="61" w:lineRule="exact"/>
        <w:rPr>
          <w:sz w:val="20"/>
          <w:szCs w:val="20"/>
          <w:color w:val="auto"/>
        </w:rPr>
      </w:pPr>
    </w:p>
    <w:p>
      <w:pPr>
        <w:ind w:left="580" w:right="140" w:hanging="7"/>
        <w:spacing w:after="0" w:line="355" w:lineRule="auto"/>
        <w:tabs>
          <w:tab w:leader="none" w:pos="772" w:val="left"/>
        </w:tabs>
        <w:numPr>
          <w:ilvl w:val="0"/>
          <w:numId w:val="1072"/>
        </w:numPr>
        <w:rPr>
          <w:rFonts w:ascii="Arial" w:cs="Arial" w:eastAsia="Arial" w:hAnsi="Arial"/>
          <w:sz w:val="12"/>
          <w:szCs w:val="12"/>
          <w:color w:val="auto"/>
        </w:rPr>
      </w:pPr>
      <w:r>
        <w:rPr>
          <w:rFonts w:ascii="Arial" w:cs="Arial" w:eastAsia="Arial" w:hAnsi="Arial"/>
          <w:sz w:val="12"/>
          <w:szCs w:val="12"/>
          <w:color w:val="auto"/>
        </w:rPr>
        <w:t xml:space="preserve">Notwithstanding Section 2.5.5(c), </w:t>
      </w:r>
      <w:r>
        <w:rPr>
          <w:rFonts w:ascii="Arial" w:cs="Arial" w:eastAsia="Arial" w:hAnsi="Arial"/>
          <w:sz w:val="12"/>
          <w:szCs w:val="12"/>
          <w:b w:val="1"/>
          <w:bCs w:val="1"/>
          <w:color w:val="auto"/>
        </w:rPr>
        <w:t>***</w:t>
      </w:r>
      <w:r>
        <w:rPr>
          <w:rFonts w:ascii="Arial" w:cs="Arial" w:eastAsia="Arial" w:hAnsi="Arial"/>
          <w:sz w:val="12"/>
          <w:szCs w:val="12"/>
          <w:color w:val="auto"/>
        </w:rPr>
        <w:t xml:space="preserve"> shall not have the right to exercise such decision-making authority (i) in a manner that excuses </w:t>
      </w:r>
      <w:r>
        <w:rPr>
          <w:rFonts w:ascii="Arial" w:cs="Arial" w:eastAsia="Arial" w:hAnsi="Arial"/>
          <w:sz w:val="12"/>
          <w:szCs w:val="12"/>
          <w:b w:val="1"/>
          <w:bCs w:val="1"/>
          <w:color w:val="auto"/>
        </w:rPr>
        <w:t>***</w:t>
      </w:r>
      <w:r>
        <w:rPr>
          <w:rFonts w:ascii="Arial" w:cs="Arial" w:eastAsia="Arial" w:hAnsi="Arial"/>
          <w:sz w:val="12"/>
          <w:szCs w:val="12"/>
          <w:color w:val="auto"/>
        </w:rPr>
        <w:t xml:space="preserve"> from any of its obligations specifically enumerated under this Agreement; (ii) in a manner that negates any consent rights or other rights specifically allocated to MacroGenics under this Agreement; (iii) to resolve any</w:t>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20</w:t>
      </w:r>
    </w:p>
    <w:p>
      <w:pPr>
        <w:spacing w:after="0" w:line="12" w:lineRule="exact"/>
        <w:rPr>
          <w:sz w:val="20"/>
          <w:szCs w:val="20"/>
          <w:color w:val="auto"/>
        </w:rPr>
      </w:pPr>
    </w:p>
    <w:p>
      <w:pPr>
        <w:ind w:left="2920" w:right="2680" w:hanging="1135"/>
        <w:spacing w:after="0" w:line="341" w:lineRule="auto"/>
        <w:tabs>
          <w:tab w:leader="none" w:pos="2024" w:val="left"/>
        </w:tabs>
        <w:numPr>
          <w:ilvl w:val="0"/>
          <w:numId w:val="107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20"/>
          </w:cols>
          <w:pgMar w:left="1140" w:top="248" w:right="239" w:bottom="1440" w:gutter="0" w:footer="0" w:header="0"/>
        </w:sectPr>
      </w:pPr>
    </w:p>
    <w:bookmarkStart w:id="890" w:name="page891"/>
    <w:bookmarkEnd w:id="890"/>
    <w:p>
      <w:pPr>
        <w:ind w:left="10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dispute regarding whether a Technical Milestone, Development Milestone or Sales Milestone has been achieved; (iv) in a manner that would require </w:t>
      </w:r>
      <w:r>
        <w:rPr>
          <w:rFonts w:ascii="Arial" w:cs="Arial" w:eastAsia="Arial" w:hAnsi="Arial"/>
          <w:sz w:val="12"/>
          <w:szCs w:val="12"/>
          <w:b w:val="1"/>
          <w:bCs w:val="1"/>
          <w:color w:val="auto"/>
        </w:rPr>
        <w:t>***</w:t>
      </w:r>
      <w:r>
        <w:rPr>
          <w:rFonts w:ascii="Arial" w:cs="Arial" w:eastAsia="Arial" w:hAnsi="Arial"/>
          <w:sz w:val="12"/>
          <w:szCs w:val="12"/>
          <w:color w:val="auto"/>
        </w:rPr>
        <w:t xml:space="preserve"> (A) </w:t>
      </w:r>
      <w:r>
        <w:rPr>
          <w:rFonts w:ascii="Arial" w:cs="Arial" w:eastAsia="Arial" w:hAnsi="Arial"/>
          <w:sz w:val="12"/>
          <w:szCs w:val="12"/>
          <w:b w:val="1"/>
          <w:bCs w:val="1"/>
          <w:color w:val="auto"/>
        </w:rPr>
        <w:t>***</w:t>
      </w:r>
      <w:r>
        <w:rPr>
          <w:rFonts w:ascii="Arial" w:cs="Arial" w:eastAsia="Arial" w:hAnsi="Arial"/>
          <w:sz w:val="12"/>
          <w:szCs w:val="12"/>
          <w:color w:val="auto"/>
        </w:rPr>
        <w:t xml:space="preserve"> will not reimburse</w:t>
      </w:r>
    </w:p>
    <w:p>
      <w:pPr>
        <w:spacing w:after="0" w:line="37" w:lineRule="exact"/>
        <w:rPr>
          <w:sz w:val="20"/>
          <w:szCs w:val="20"/>
          <w:color w:val="auto"/>
        </w:rPr>
      </w:pPr>
    </w:p>
    <w:p>
      <w:pPr>
        <w:ind w:left="1040"/>
        <w:spacing w:after="0" w:line="251"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costs (except as expressly set forth in this Agreement ); (B) which would require</w:t>
      </w:r>
      <w:r>
        <w:rPr>
          <w:rFonts w:ascii="Arial" w:cs="Arial" w:eastAsia="Arial" w:hAnsi="Arial"/>
          <w:sz w:val="14"/>
          <w:szCs w:val="14"/>
          <w:b w:val="1"/>
          <w:bCs w:val="1"/>
          <w:color w:val="auto"/>
        </w:rPr>
        <w:t xml:space="preserve"> *** </w:t>
      </w:r>
      <w:r>
        <w:rPr>
          <w:rFonts w:ascii="Arial" w:cs="Arial" w:eastAsia="Arial" w:hAnsi="Arial"/>
          <w:sz w:val="14"/>
          <w:szCs w:val="14"/>
          <w:color w:val="auto"/>
        </w:rPr>
        <w:t>to perform a category of services not previously contemplated as being performed by</w:t>
      </w:r>
      <w:r>
        <w:rPr>
          <w:rFonts w:ascii="Arial" w:cs="Arial" w:eastAsia="Arial" w:hAnsi="Arial"/>
          <w:sz w:val="14"/>
          <w:szCs w:val="14"/>
          <w:b w:val="1"/>
          <w:bCs w:val="1"/>
          <w:color w:val="auto"/>
        </w:rPr>
        <w:t xml:space="preserve"> *** </w:t>
      </w:r>
      <w:r>
        <w:rPr>
          <w:rFonts w:ascii="Arial" w:cs="Arial" w:eastAsia="Arial" w:hAnsi="Arial"/>
          <w:sz w:val="14"/>
          <w:szCs w:val="14"/>
          <w:color w:val="auto"/>
        </w:rPr>
        <w:t xml:space="preserve">under the Research Program and which </w:t>
      </w:r>
      <w:r>
        <w:rPr>
          <w:rFonts w:ascii="Arial" w:cs="Arial" w:eastAsia="Arial" w:hAnsi="Arial"/>
          <w:sz w:val="14"/>
          <w:szCs w:val="14"/>
          <w:b w:val="1"/>
          <w:bCs w:val="1"/>
          <w:color w:val="auto"/>
        </w:rPr>
        <w:t>***</w:t>
      </w:r>
      <w:r>
        <w:rPr>
          <w:rFonts w:ascii="Arial" w:cs="Arial" w:eastAsia="Arial" w:hAnsi="Arial"/>
          <w:sz w:val="14"/>
          <w:szCs w:val="14"/>
          <w:color w:val="auto"/>
        </w:rPr>
        <w:t xml:space="preserve"> does not have the existing capability to perform; or (C) which require </w:t>
      </w:r>
      <w:r>
        <w:rPr>
          <w:rFonts w:ascii="Arial" w:cs="Arial" w:eastAsia="Arial" w:hAnsi="Arial"/>
          <w:sz w:val="14"/>
          <w:szCs w:val="14"/>
          <w:b w:val="1"/>
          <w:bCs w:val="1"/>
          <w:color w:val="auto"/>
        </w:rPr>
        <w:t>***</w:t>
      </w:r>
      <w:r>
        <w:rPr>
          <w:rFonts w:ascii="Arial" w:cs="Arial" w:eastAsia="Arial" w:hAnsi="Arial"/>
          <w:sz w:val="14"/>
          <w:szCs w:val="14"/>
          <w:color w:val="auto"/>
        </w:rPr>
        <w:t xml:space="preserve"> to acquire from any Third Party any Know-How, Patent Right or other technology not contemplated in a Research Plan and that is not readily available from such Third Party or readily capable of being developed internally by </w:t>
      </w:r>
      <w:r>
        <w:rPr>
          <w:rFonts w:ascii="Arial" w:cs="Arial" w:eastAsia="Arial" w:hAnsi="Arial"/>
          <w:sz w:val="14"/>
          <w:szCs w:val="14"/>
          <w:b w:val="1"/>
          <w:bCs w:val="1"/>
          <w:color w:val="auto"/>
        </w:rPr>
        <w:t>***</w:t>
      </w:r>
      <w:r>
        <w:rPr>
          <w:rFonts w:ascii="Arial" w:cs="Arial" w:eastAsia="Arial" w:hAnsi="Arial"/>
          <w:sz w:val="14"/>
          <w:szCs w:val="14"/>
          <w:color w:val="auto"/>
        </w:rPr>
        <w:t xml:space="preserve">; or (vi) in a manner that would require </w:t>
      </w:r>
      <w:r>
        <w:rPr>
          <w:rFonts w:ascii="Arial" w:cs="Arial" w:eastAsia="Arial" w:hAnsi="Arial"/>
          <w:sz w:val="14"/>
          <w:szCs w:val="14"/>
          <w:b w:val="1"/>
          <w:bCs w:val="1"/>
          <w:color w:val="auto"/>
        </w:rPr>
        <w:t>***</w:t>
      </w:r>
      <w:r>
        <w:rPr>
          <w:rFonts w:ascii="Arial" w:cs="Arial" w:eastAsia="Arial" w:hAnsi="Arial"/>
          <w:sz w:val="14"/>
          <w:szCs w:val="14"/>
          <w:color w:val="auto"/>
        </w:rPr>
        <w:t xml:space="preserve"> to perform any act that it reasonably believes to be inconsistent with any Applicable Law or any approval, order, policy, guidelines of a Regulatory Authority or ethical requirements or ethical guidelines.</w:t>
      </w:r>
    </w:p>
    <w:p>
      <w:pPr>
        <w:spacing w:after="0" w:line="49"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b w:val="1"/>
          <w:bCs w:val="1"/>
          <w:color w:val="auto"/>
        </w:rPr>
        <w:t>Alliance Managers</w:t>
      </w:r>
      <w:r>
        <w:rPr>
          <w:rFonts w:ascii="Arial" w:cs="Arial" w:eastAsia="Arial" w:hAnsi="Arial"/>
          <w:sz w:val="14"/>
          <w:szCs w:val="14"/>
          <w:color w:val="auto"/>
        </w:rPr>
        <w:t>. In addition to the foregoing governance provisions, each of the Parties shall appoint a single individual to serve as that Party’s alliance manager (“</w:t>
      </w:r>
      <w:r>
        <w:rPr>
          <w:rFonts w:ascii="Arial" w:cs="Arial" w:eastAsia="Arial" w:hAnsi="Arial"/>
          <w:sz w:val="14"/>
          <w:szCs w:val="14"/>
          <w:b w:val="1"/>
          <w:bCs w:val="1"/>
          <w:color w:val="auto"/>
        </w:rPr>
        <w:t>Alliance Manager</w:t>
      </w:r>
      <w:r>
        <w:rPr>
          <w:rFonts w:ascii="Arial" w:cs="Arial" w:eastAsia="Arial" w:hAnsi="Arial"/>
          <w:sz w:val="14"/>
          <w:szCs w:val="14"/>
          <w:color w:val="auto"/>
        </w:rPr>
        <w:t>”). The role of each Alliance Manager shall be to facilitate the relationship between the Parties as established by this Agreement. The Alliance Managers shall attend meetings of the Joint Steering Committee and support the respective co-chairpersons of such committee in the discharge of their responsibilities. Unless otherwise determined by the Joint Steering Committee, Pfizer’s Alliance Manager shall serve as secretary at each meeting of the Joint Steering Committee. Alliance Managers shall be non-voting participants in such committee meetings. A Party may replace its Alliance Manager from time to time upon written notice to the other Party.</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b w:val="1"/>
          <w:bCs w:val="1"/>
          <w:color w:val="auto"/>
        </w:rPr>
        <w:t>Conformance with Law</w:t>
      </w:r>
      <w:r>
        <w:rPr>
          <w:rFonts w:ascii="Arial" w:cs="Arial" w:eastAsia="Arial" w:hAnsi="Arial"/>
          <w:sz w:val="12"/>
          <w:szCs w:val="12"/>
          <w:color w:val="auto"/>
        </w:rPr>
        <w:t>. Each Party shall perform and discharge its obligations under this Agreement and the Research Program in conformance with (a) professional standards and practices,</w:t>
      </w:r>
    </w:p>
    <w:p>
      <w:pPr>
        <w:spacing w:after="0" w:line="37" w:lineRule="exact"/>
        <w:rPr>
          <w:sz w:val="20"/>
          <w:szCs w:val="20"/>
          <w:color w:val="auto"/>
        </w:rPr>
      </w:pPr>
    </w:p>
    <w:p>
      <w:pPr>
        <w:ind w:right="40" w:firstLine="2"/>
        <w:spacing w:after="0" w:line="258" w:lineRule="auto"/>
        <w:tabs>
          <w:tab w:leader="none" w:pos="192" w:val="left"/>
        </w:tabs>
        <w:numPr>
          <w:ilvl w:val="0"/>
          <w:numId w:val="1074"/>
        </w:numPr>
        <w:rPr>
          <w:rFonts w:ascii="Arial" w:cs="Arial" w:eastAsia="Arial" w:hAnsi="Arial"/>
          <w:sz w:val="14"/>
          <w:szCs w:val="14"/>
          <w:color w:val="auto"/>
        </w:rPr>
      </w:pPr>
      <w:r>
        <w:rPr>
          <w:rFonts w:ascii="Arial" w:cs="Arial" w:eastAsia="Arial" w:hAnsi="Arial"/>
          <w:sz w:val="14"/>
          <w:szCs w:val="14"/>
          <w:color w:val="auto"/>
        </w:rPr>
        <w:t>this Agreement and the Research Plan(s) and (c) all Applicable Laws. Without limiting the generality of the foregoing, each Party shall retain all records relating to its performance of this Agreement and the Research Plan(s) for the time periods required by Applicable Laws.</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b w:val="1"/>
          <w:bCs w:val="1"/>
          <w:color w:val="auto"/>
        </w:rPr>
        <w:t>MacroGenics Personnel Matters</w:t>
      </w:r>
      <w:r>
        <w:rPr>
          <w:rFonts w:ascii="Arial" w:cs="Arial" w:eastAsia="Arial" w:hAnsi="Arial"/>
          <w:sz w:val="14"/>
          <w:szCs w:val="14"/>
          <w:color w:val="auto"/>
        </w:rPr>
        <w:t>. MacroGenics acknowledges and agrees that it is solely responsible for the compensation of the personnel assigned to the Research Plan Services, and as employer shall be responsible for withholding all national, state, local or other applicable taxes and similar items. MacroGenics also shall be responsible for all other employer related obligations, including providing appropriate insurance coverage and employee benefits, and making all other deductions required by law affecting the gross wages of each employee. MacroGenics personnel assigned to the Research Plan Services are not nor shall they be deemed to be employees of Pfizer.</w:t>
      </w:r>
    </w:p>
    <w:p>
      <w:pPr>
        <w:spacing w:after="0" w:line="44"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b w:val="1"/>
          <w:bCs w:val="1"/>
          <w:color w:val="auto"/>
        </w:rPr>
        <w:t>Debarment Certification</w:t>
      </w:r>
      <w:r>
        <w:rPr>
          <w:rFonts w:ascii="Arial" w:cs="Arial" w:eastAsia="Arial" w:hAnsi="Arial"/>
          <w:sz w:val="14"/>
          <w:szCs w:val="14"/>
          <w:color w:val="auto"/>
        </w:rPr>
        <w:t>. Neither Party nor any Person employed or retained to perform services by either Party has been debarred under Section 306(a) or (b) of the FD&amp;C Act or any comparable provision of foreign law and no debarred Person shall in the future be employed or retained to perform services by either Party in connection with</w:t>
      </w:r>
    </w:p>
    <w:p>
      <w:pPr>
        <w:spacing w:after="0" w:line="8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21</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7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5" w:right="219" w:bottom="1440" w:gutter="0" w:footer="0" w:header="0"/>
        </w:sectPr>
      </w:pPr>
    </w:p>
    <w:bookmarkStart w:id="891" w:name="page892"/>
    <w:bookmarkEnd w:id="891"/>
    <w:p>
      <w:pPr>
        <w:ind w:right="40"/>
        <w:spacing w:after="0" w:line="34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any work to be performed for or on behalf of the other Party. If, at any time after execution of this Agreement, either Party becomes aware that such Party or any Person employed or retained to perform services by such Party in connection with any work performed for or on behalf of such Party is, or is in the process of being, debarred, such Party shall so notify the other Party immediately.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b w:val="1"/>
          <w:bCs w:val="1"/>
          <w:color w:val="auto"/>
        </w:rPr>
        <w:t>Subcontractors</w:t>
      </w:r>
      <w:r>
        <w:rPr>
          <w:rFonts w:ascii="Arial" w:cs="Arial" w:eastAsia="Arial" w:hAnsi="Arial"/>
          <w:sz w:val="14"/>
          <w:szCs w:val="14"/>
          <w:color w:val="auto"/>
        </w:rPr>
        <w:t>.</w:t>
      </w:r>
    </w:p>
    <w:p>
      <w:pPr>
        <w:spacing w:after="0" w:line="71" w:lineRule="exact"/>
        <w:rPr>
          <w:sz w:val="20"/>
          <w:szCs w:val="20"/>
          <w:color w:val="auto"/>
        </w:rPr>
      </w:pPr>
    </w:p>
    <w:p>
      <w:pPr>
        <w:ind w:left="460"/>
        <w:spacing w:after="0" w:line="300" w:lineRule="auto"/>
        <w:rPr>
          <w:sz w:val="20"/>
          <w:szCs w:val="20"/>
          <w:color w:val="auto"/>
        </w:rPr>
      </w:pPr>
      <w:r>
        <w:rPr>
          <w:rFonts w:ascii="Arial" w:cs="Arial" w:eastAsia="Arial" w:hAnsi="Arial"/>
          <w:sz w:val="12"/>
          <w:szCs w:val="12"/>
          <w:color w:val="auto"/>
        </w:rPr>
        <w:t xml:space="preserve">2.10.1. MacroGenics may not engage any contractor, subcontractor or other vendor (a “Subcontractor”) to perform any Research Plan Services or Research Program activities not specifically contemplated or set forth in the applicable Research Plan without Pfizer’s prior written consent; provided, however, that Pfizer hereby provides its prior written consent to MacroGenics’s engagement of the Subcontractors set forth on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for performance of the Research Plan Services set forth on such </w:t>
      </w:r>
      <w:r>
        <w:rPr>
          <w:rFonts w:ascii="Arial" w:cs="Arial" w:eastAsia="Arial" w:hAnsi="Arial"/>
          <w:sz w:val="12"/>
          <w:szCs w:val="12"/>
          <w:u w:val="single" w:color="auto"/>
          <w:color w:val="auto"/>
        </w:rPr>
        <w:t>Schedule 2.10</w:t>
      </w:r>
      <w:r>
        <w:rPr>
          <w:rFonts w:ascii="Arial" w:cs="Arial" w:eastAsia="Arial" w:hAnsi="Arial"/>
          <w:sz w:val="12"/>
          <w:szCs w:val="12"/>
          <w:color w:val="auto"/>
        </w:rPr>
        <w:t>. MacroGenics shall be responsible for the management of all permitted Subcontractors. The engagement by MacroGenics of any Subcontractor in compliance with this Section 2.10 shall not relieve MacroGenics of its obligations under this Agreement or any applicable Research Plan. Any agreement between MacroGenics and a permitted Subcontractor pertaining to the Research Plan Services shall be consistent with the provisions of this Agreement. Furthermore, unless otherwise agreed by Pfizer in writing, prior to or at the time of engagement of any Subcontractor to perform any obligations hereunder, MacroGenics shall cause such Subcontractor to agree in writing to be bound by substantially equivalent obligations of confidentiality and use of proprietary materials as those in this Agreement.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2.10.2. ***</w:t>
      </w:r>
    </w:p>
    <w:p>
      <w:pPr>
        <w:spacing w:after="0" w:line="67" w:lineRule="exact"/>
        <w:rPr>
          <w:sz w:val="20"/>
          <w:szCs w:val="20"/>
          <w:color w:val="auto"/>
        </w:rPr>
      </w:pPr>
    </w:p>
    <w:p>
      <w:pPr>
        <w:ind w:right="40"/>
        <w:spacing w:after="0" w:line="303" w:lineRule="auto"/>
        <w:rPr>
          <w:sz w:val="20"/>
          <w:szCs w:val="20"/>
          <w:color w:val="auto"/>
        </w:rPr>
      </w:pPr>
      <w:r>
        <w:rPr>
          <w:rFonts w:ascii="Arial" w:cs="Arial" w:eastAsia="Arial" w:hAnsi="Arial"/>
          <w:sz w:val="12"/>
          <w:szCs w:val="12"/>
          <w:color w:val="auto"/>
        </w:rPr>
        <w:t xml:space="preserve">2.11. </w:t>
      </w:r>
      <w:r>
        <w:rPr>
          <w:rFonts w:ascii="Arial" w:cs="Arial" w:eastAsia="Arial" w:hAnsi="Arial"/>
          <w:sz w:val="12"/>
          <w:szCs w:val="12"/>
          <w:b w:val="1"/>
          <w:bCs w:val="1"/>
          <w:color w:val="auto"/>
        </w:rPr>
        <w:t>Inspections</w:t>
      </w:r>
      <w:r>
        <w:rPr>
          <w:rFonts w:ascii="Arial" w:cs="Arial" w:eastAsia="Arial" w:hAnsi="Arial"/>
          <w:sz w:val="12"/>
          <w:szCs w:val="12"/>
          <w:color w:val="auto"/>
        </w:rPr>
        <w:t>. Pfizer authorized representative(s), and Regulatory Authorities to the extent required by law and applicable to the scope of the Research Plan Services performed, may, during regular business hours and, to the extent legally possible, at times arranged in advance with MacroGenics, audit, inspect and copy all data, records and work products, and audit and inspect all facilities, relating to the Research Plan Services and MacroGenics’s performance under this Agreement and the applicable Research Plan(s) (including all data, records, work products and facilities of Subcontractors); provided, however, that MacroGenics may limit the scope of any such audit or inspection to prevent the disclosure of confidential information of MacroGenics or the disclosure of confidential information of MacroGenics’s Subcontractors (“</w:t>
      </w:r>
      <w:r>
        <w:rPr>
          <w:rFonts w:ascii="Arial" w:cs="Arial" w:eastAsia="Arial" w:hAnsi="Arial"/>
          <w:sz w:val="12"/>
          <w:szCs w:val="12"/>
          <w:b w:val="1"/>
          <w:bCs w:val="1"/>
          <w:color w:val="auto"/>
        </w:rPr>
        <w:t>Subcontractor Information</w:t>
      </w:r>
      <w:r>
        <w:rPr>
          <w:rFonts w:ascii="Arial" w:cs="Arial" w:eastAsia="Arial" w:hAnsi="Arial"/>
          <w:sz w:val="12"/>
          <w:szCs w:val="12"/>
          <w:color w:val="auto"/>
        </w:rPr>
        <w:t>”), unless such confidential information or Subcontractor Information is directly related to the performance of the Research Plan Services and the disclosure is required for purposes of the audit or inspection.</w:t>
      </w:r>
    </w:p>
    <w:p>
      <w:pPr>
        <w:spacing w:after="0" w:line="20" w:lineRule="exact"/>
        <w:rPr>
          <w:sz w:val="20"/>
          <w:szCs w:val="20"/>
          <w:color w:val="auto"/>
        </w:rPr>
      </w:pPr>
    </w:p>
    <w:p>
      <w:pPr>
        <w:ind w:right="420"/>
        <w:spacing w:after="0" w:line="355" w:lineRule="auto"/>
        <w:rPr>
          <w:sz w:val="20"/>
          <w:szCs w:val="20"/>
          <w:color w:val="auto"/>
        </w:rPr>
      </w:pPr>
      <w:r>
        <w:rPr>
          <w:rFonts w:ascii="Arial" w:cs="Arial" w:eastAsia="Arial" w:hAnsi="Arial"/>
          <w:sz w:val="12"/>
          <w:szCs w:val="12"/>
          <w:color w:val="auto"/>
        </w:rPr>
        <w:t xml:space="preserve">2.12. </w:t>
      </w:r>
      <w:r>
        <w:rPr>
          <w:rFonts w:ascii="Arial" w:cs="Arial" w:eastAsia="Arial" w:hAnsi="Arial"/>
          <w:sz w:val="12"/>
          <w:szCs w:val="12"/>
          <w:b w:val="1"/>
          <w:bCs w:val="1"/>
          <w:color w:val="auto"/>
        </w:rPr>
        <w:t>Records</w:t>
      </w:r>
      <w:r>
        <w:rPr>
          <w:rFonts w:ascii="Arial" w:cs="Arial" w:eastAsia="Arial" w:hAnsi="Arial"/>
          <w:sz w:val="12"/>
          <w:szCs w:val="12"/>
          <w:color w:val="auto"/>
        </w:rPr>
        <w:t>. Each Party shall prepare, maintain and retain complete and accurate written records, accounts, notes, reports and data of the Research Plan Services and its performance under this Agreement and the Research Plan(s), in a form and of quality reasonably acceptable to both Parties. All such information generated by MacroGenics</w:t>
      </w:r>
    </w:p>
    <w:p>
      <w:pPr>
        <w:spacing w:after="0" w:line="4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22</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7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7" w:right="239" w:bottom="1440" w:gutter="0" w:footer="0" w:header="0"/>
        </w:sectPr>
      </w:pPr>
    </w:p>
    <w:bookmarkStart w:id="892" w:name="page893"/>
    <w:bookmarkEnd w:id="892"/>
    <w:p>
      <w:pPr>
        <w:ind w:right="2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shall be treated as Confidential Information of both Parties for the purpose of this Agreement and all such information generated by Pfizer shall be treated as Confidential Information of Pfizer for the purposes of this Agreement.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b w:val="1"/>
          <w:bCs w:val="1"/>
          <w:color w:val="auto"/>
        </w:rPr>
        <w:t>Transfer and Use of Pfizer Proprietary Materials</w:t>
      </w:r>
      <w:r>
        <w:rPr>
          <w:rFonts w:ascii="Arial" w:cs="Arial" w:eastAsia="Arial" w:hAnsi="Arial"/>
          <w:sz w:val="14"/>
          <w:szCs w:val="14"/>
          <w:color w:val="auto"/>
        </w:rPr>
        <w:t>.</w:t>
      </w:r>
    </w:p>
    <w:p>
      <w:pPr>
        <w:spacing w:after="0" w:line="69" w:lineRule="exact"/>
        <w:rPr>
          <w:sz w:val="20"/>
          <w:szCs w:val="20"/>
          <w:color w:val="auto"/>
        </w:rPr>
      </w:pPr>
    </w:p>
    <w:p>
      <w:pPr>
        <w:ind w:left="460"/>
        <w:spacing w:after="0" w:line="256" w:lineRule="auto"/>
        <w:rPr>
          <w:sz w:val="20"/>
          <w:szCs w:val="20"/>
          <w:color w:val="auto"/>
        </w:rPr>
      </w:pPr>
      <w:r>
        <w:rPr>
          <w:rFonts w:ascii="Arial" w:cs="Arial" w:eastAsia="Arial" w:hAnsi="Arial"/>
          <w:sz w:val="14"/>
          <w:szCs w:val="14"/>
          <w:color w:val="auto"/>
        </w:rPr>
        <w:t xml:space="preserve">2.13.1. </w:t>
      </w:r>
      <w:r>
        <w:rPr>
          <w:rFonts w:ascii="Arial" w:cs="Arial" w:eastAsia="Arial" w:hAnsi="Arial"/>
          <w:sz w:val="14"/>
          <w:szCs w:val="14"/>
          <w:b w:val="1"/>
          <w:bCs w:val="1"/>
          <w:color w:val="auto"/>
        </w:rPr>
        <w:t>Transfer</w:t>
      </w:r>
      <w:r>
        <w:rPr>
          <w:rFonts w:ascii="Arial" w:cs="Arial" w:eastAsia="Arial" w:hAnsi="Arial"/>
          <w:sz w:val="14"/>
          <w:szCs w:val="14"/>
          <w:color w:val="auto"/>
        </w:rPr>
        <w:t>. From time to time, pursuant to a Research Plan, or otherwise, Pfizer may provide MacroGenics with Pfizer Proprietary Materials. Pfizer represents and warrants to MacroGenics that Pfizer has the right to provide the Pfizer Proprietary Materials to MacroGenics for the uses authorized herein. Except as expressly set forth in the preceding sentence, the Pfizer Proprietary Materials are provided by Pfizer on an “as-is” basis without representation or warranty of any type, express or implied, including any representation or warranty of merchantability, non-infringement, title or fitness for a particular purpose, each of which is hereby disclaimed by Pfizer.</w:t>
      </w:r>
    </w:p>
    <w:p>
      <w:pPr>
        <w:spacing w:after="0" w:line="44" w:lineRule="exact"/>
        <w:rPr>
          <w:sz w:val="20"/>
          <w:szCs w:val="20"/>
          <w:color w:val="auto"/>
        </w:rPr>
      </w:pPr>
    </w:p>
    <w:p>
      <w:pPr>
        <w:ind w:left="460"/>
        <w:spacing w:after="0" w:line="301" w:lineRule="auto"/>
        <w:rPr>
          <w:sz w:val="20"/>
          <w:szCs w:val="20"/>
          <w:color w:val="auto"/>
        </w:rPr>
      </w:pPr>
      <w:r>
        <w:rPr>
          <w:rFonts w:ascii="Arial" w:cs="Arial" w:eastAsia="Arial" w:hAnsi="Arial"/>
          <w:sz w:val="12"/>
          <w:szCs w:val="12"/>
          <w:color w:val="auto"/>
        </w:rPr>
        <w:t xml:space="preserve">2.13.2. </w:t>
      </w:r>
      <w:r>
        <w:rPr>
          <w:rFonts w:ascii="Arial" w:cs="Arial" w:eastAsia="Arial" w:hAnsi="Arial"/>
          <w:sz w:val="12"/>
          <w:szCs w:val="12"/>
          <w:b w:val="1"/>
          <w:bCs w:val="1"/>
          <w:color w:val="auto"/>
        </w:rPr>
        <w:t>Use of Pfizer Proprietary Materials</w:t>
      </w:r>
      <w:r>
        <w:rPr>
          <w:rFonts w:ascii="Arial" w:cs="Arial" w:eastAsia="Arial" w:hAnsi="Arial"/>
          <w:sz w:val="12"/>
          <w:szCs w:val="12"/>
          <w:color w:val="auto"/>
        </w:rPr>
        <w:t>. MacroGenics shall use the Pfizer Proprietary Materials solely in connection with conducting the specific activities under this Agreement for which such Pfizer Proprietary Materials are provided to MacroGenics, including, if applicable, the provisions of any specific Research Plan under which such Pfizer Proprietary Materials are provided, and for no other purpose. Without limiting the generality of the foregoing, except as expressly set forth in this Agreement or in any applicable Research Plan, MacroGenics shall not make or attempt to make analogues, progeny or derivatives of, or modifications to, the Pfizer Proprietary Materials and MacroGenics shall not use the Pfizer Proprietary Materials for the benefit of any Third Party or of its own internal research programs outside of the Research Program. MacroGenics shall not administer any of the Pfizer Proprietary Materials to any human. MacroGenics shall comply with all Applicable Laws regarding the handling and use of the Pfizer Proprietary Materials. MacroGenics agrees to retain possession over the Pfizer Proprietary Materials and not to provide the Pfizer Proprietary Materials to any Third Party without Pfizer’s prior written consent, except as required to perform the Research Program.</w:t>
      </w:r>
    </w:p>
    <w:p>
      <w:pPr>
        <w:spacing w:after="0" w:line="21" w:lineRule="exact"/>
        <w:rPr>
          <w:sz w:val="20"/>
          <w:szCs w:val="20"/>
          <w:color w:val="auto"/>
        </w:rPr>
      </w:pPr>
    </w:p>
    <w:p>
      <w:pPr>
        <w:ind w:left="460" w:right="20"/>
        <w:spacing w:after="0" w:line="254" w:lineRule="auto"/>
        <w:rPr>
          <w:sz w:val="20"/>
          <w:szCs w:val="20"/>
          <w:color w:val="auto"/>
        </w:rPr>
      </w:pPr>
      <w:r>
        <w:rPr>
          <w:rFonts w:ascii="Arial" w:cs="Arial" w:eastAsia="Arial" w:hAnsi="Arial"/>
          <w:sz w:val="14"/>
          <w:szCs w:val="14"/>
          <w:color w:val="auto"/>
        </w:rPr>
        <w:t xml:space="preserve">2.13.3. </w:t>
      </w:r>
      <w:r>
        <w:rPr>
          <w:rFonts w:ascii="Arial" w:cs="Arial" w:eastAsia="Arial" w:hAnsi="Arial"/>
          <w:sz w:val="14"/>
          <w:szCs w:val="14"/>
          <w:b w:val="1"/>
          <w:bCs w:val="1"/>
          <w:color w:val="auto"/>
        </w:rPr>
        <w:t>Unauthorized Use of Materials</w:t>
      </w:r>
      <w:r>
        <w:rPr>
          <w:rFonts w:ascii="Arial" w:cs="Arial" w:eastAsia="Arial" w:hAnsi="Arial"/>
          <w:sz w:val="14"/>
          <w:szCs w:val="14"/>
          <w:color w:val="auto"/>
        </w:rPr>
        <w:t>. In the event that MacroGenics uses the Pfizer Proprietary Materials for any purpose other than the purposes authorized herein, the results of such unauthorized research, and any discoveries or inventions that arise from such unauthorized research, whether patentable or not, shall belong solely and exclusively to Pfizer. If required in order to perfect or enforce Pfizer’s rights to such results, discoveries or inventions, MacroGenics hereby assigns and agrees to assign to Pfizer all of its right, title and interest in and to all such results, discoveries or inventions. MacroGenics agrees to cooperate with Pfizer, and to execute and deliver any and all documents that Pfizer deems reasonably necessary, to perfect and enforce its rights hereunder.</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23</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7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7" w:right="219" w:bottom="1440" w:gutter="0" w:footer="0" w:header="0"/>
        </w:sectPr>
      </w:pPr>
    </w:p>
    <w:bookmarkStart w:id="893" w:name="page894"/>
    <w:bookmarkEnd w:id="893"/>
    <w:p>
      <w:pPr>
        <w:ind w:left="916" w:right="18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2.13.4. </w:t>
      </w:r>
      <w:r>
        <w:rPr>
          <w:rFonts w:ascii="Arial" w:cs="Arial" w:eastAsia="Arial" w:hAnsi="Arial"/>
          <w:sz w:val="14"/>
          <w:szCs w:val="14"/>
          <w:b w:val="1"/>
          <w:bCs w:val="1"/>
          <w:color w:val="auto"/>
        </w:rPr>
        <w:t>Title to Pfizer Proprietary Materials</w:t>
      </w:r>
      <w:r>
        <w:rPr>
          <w:rFonts w:ascii="Arial" w:cs="Arial" w:eastAsia="Arial" w:hAnsi="Arial"/>
          <w:sz w:val="14"/>
          <w:szCs w:val="14"/>
          <w:color w:val="auto"/>
        </w:rPr>
        <w:t>. All right, title and interest in the Pfizer Proprietary Materials shall remain the sole property of Pfizer notwithstanding the transfer to and use by MacroGenics of the same.</w:t>
      </w:r>
    </w:p>
    <w:p>
      <w:pPr>
        <w:spacing w:after="0" w:line="35" w:lineRule="exact"/>
        <w:rPr>
          <w:sz w:val="20"/>
          <w:szCs w:val="20"/>
          <w:color w:val="auto"/>
        </w:rPr>
      </w:pPr>
    </w:p>
    <w:p>
      <w:pPr>
        <w:ind w:left="916" w:right="320"/>
        <w:spacing w:after="0" w:line="345" w:lineRule="auto"/>
        <w:rPr>
          <w:sz w:val="20"/>
          <w:szCs w:val="20"/>
          <w:color w:val="auto"/>
        </w:rPr>
      </w:pPr>
      <w:r>
        <w:rPr>
          <w:rFonts w:ascii="Arial" w:cs="Arial" w:eastAsia="Arial" w:hAnsi="Arial"/>
          <w:sz w:val="12"/>
          <w:szCs w:val="12"/>
          <w:color w:val="auto"/>
        </w:rPr>
        <w:t xml:space="preserve">2.13.5. </w:t>
      </w:r>
      <w:r>
        <w:rPr>
          <w:rFonts w:ascii="Arial" w:cs="Arial" w:eastAsia="Arial" w:hAnsi="Arial"/>
          <w:sz w:val="12"/>
          <w:szCs w:val="12"/>
          <w:b w:val="1"/>
          <w:bCs w:val="1"/>
          <w:color w:val="auto"/>
        </w:rPr>
        <w:t>Return of Pfizer Proprietary Materials</w:t>
      </w:r>
      <w:r>
        <w:rPr>
          <w:rFonts w:ascii="Arial" w:cs="Arial" w:eastAsia="Arial" w:hAnsi="Arial"/>
          <w:sz w:val="12"/>
          <w:szCs w:val="12"/>
          <w:color w:val="auto"/>
        </w:rPr>
        <w:t>. Upon completion of the activities for which the Pfizer Proprietary Materials have been provided, or upon expiration or termination of this Agreement or the applicable Research Plan, if earlier, MacroGenics shall, at Pfizer’s option and expense, either destroy or return to Pfizer all unused Pfizer Proprietary Materials.</w:t>
      </w:r>
    </w:p>
    <w:p>
      <w:pPr>
        <w:ind w:left="916"/>
        <w:spacing w:after="0" w:line="253" w:lineRule="auto"/>
        <w:rPr>
          <w:sz w:val="20"/>
          <w:szCs w:val="20"/>
          <w:color w:val="auto"/>
        </w:rPr>
      </w:pPr>
      <w:r>
        <w:rPr>
          <w:rFonts w:ascii="Arial" w:cs="Arial" w:eastAsia="Arial" w:hAnsi="Arial"/>
          <w:sz w:val="14"/>
          <w:szCs w:val="14"/>
          <w:color w:val="auto"/>
        </w:rPr>
        <w:t xml:space="preserve">2.13.6. </w:t>
      </w:r>
      <w:r>
        <w:rPr>
          <w:rFonts w:ascii="Arial" w:cs="Arial" w:eastAsia="Arial" w:hAnsi="Arial"/>
          <w:sz w:val="14"/>
          <w:szCs w:val="14"/>
          <w:b w:val="1"/>
          <w:bCs w:val="1"/>
          <w:color w:val="auto"/>
        </w:rPr>
        <w:t>Assignment</w:t>
      </w:r>
      <w:r>
        <w:rPr>
          <w:rFonts w:ascii="Arial" w:cs="Arial" w:eastAsia="Arial" w:hAnsi="Arial"/>
          <w:sz w:val="14"/>
          <w:szCs w:val="14"/>
          <w:color w:val="auto"/>
        </w:rPr>
        <w:t>. MacroGenics hereby assigns to Pfizer all of MacroGenics’s right, title and interest in and to any Pfizer Proprietary Material Improvements. During and after the Term, MacroGenics shall promptly notify Pfizer of any Pfizer Proprietary Material Improvement developed by MacroGenics and shall cooperate fully in obtaining patent and other proprietary protection for such Pfizer Proprietary Material Improvement. Such protection shall be obtained in the name of Pfizer and at Pfizer’s cost and expense, and MacroGenics, without limitation, shall execute and deliver all requested applications, assignments and other documents, and take such other measures, as Pfizer shall reasonably request, in order to perfect and enforce Pfizer’s rights in any Pfizer Proprietary Material Improvement. MacroGenics appoints Pfizer its attorney to execute and deliver any such documents and take such actions on MacroGenics’s behalf in the event MacroGenics fails to do so.</w:t>
      </w:r>
    </w:p>
    <w:p>
      <w:pPr>
        <w:spacing w:after="0" w:line="204" w:lineRule="exact"/>
        <w:rPr>
          <w:sz w:val="20"/>
          <w:szCs w:val="20"/>
          <w:color w:val="auto"/>
        </w:rPr>
      </w:pPr>
    </w:p>
    <w:p>
      <w:pPr>
        <w:ind w:left="456" w:hanging="456"/>
        <w:spacing w:after="0"/>
        <w:tabs>
          <w:tab w:leader="none" w:pos="456" w:val="left"/>
        </w:tabs>
        <w:numPr>
          <w:ilvl w:val="0"/>
          <w:numId w:val="1078"/>
        </w:numPr>
        <w:rPr>
          <w:rFonts w:ascii="Arial" w:cs="Arial" w:eastAsia="Arial" w:hAnsi="Arial"/>
          <w:sz w:val="14"/>
          <w:szCs w:val="14"/>
          <w:b w:val="1"/>
          <w:bCs w:val="1"/>
          <w:color w:val="auto"/>
        </w:rPr>
      </w:pPr>
      <w:r>
        <w:rPr>
          <w:rFonts w:ascii="Arial" w:cs="Arial" w:eastAsia="Arial" w:hAnsi="Arial"/>
          <w:sz w:val="14"/>
          <w:szCs w:val="14"/>
          <w:b w:val="1"/>
          <w:bCs w:val="1"/>
          <w:color w:val="auto"/>
        </w:rPr>
        <w:t>PRODUCT DEVELOPMENT, MANUFACTURING, COMMERCIALIZATION AND REGULATORY MATTERS.</w:t>
      </w:r>
    </w:p>
    <w:p>
      <w:pPr>
        <w:spacing w:after="0" w:line="68" w:lineRule="exact"/>
        <w:rPr>
          <w:rFonts w:ascii="Arial" w:cs="Arial" w:eastAsia="Arial" w:hAnsi="Arial"/>
          <w:sz w:val="14"/>
          <w:szCs w:val="14"/>
          <w:b w:val="1"/>
          <w:bCs w:val="1"/>
          <w:color w:val="auto"/>
        </w:rPr>
      </w:pPr>
    </w:p>
    <w:p>
      <w:pPr>
        <w:ind w:left="456"/>
        <w:spacing w:after="0"/>
        <w:rPr>
          <w:rFonts w:ascii="Arial" w:cs="Arial" w:eastAsia="Arial" w:hAnsi="Arial"/>
          <w:sz w:val="14"/>
          <w:szCs w:val="14"/>
          <w:b w:val="1"/>
          <w:bCs w:val="1"/>
          <w:color w:val="auto"/>
        </w:rPr>
      </w:pPr>
      <w:r>
        <w:rPr>
          <w:rFonts w:ascii="Arial" w:cs="Arial" w:eastAsia="Arial" w:hAnsi="Arial"/>
          <w:sz w:val="12"/>
          <w:szCs w:val="12"/>
          <w:color w:val="auto"/>
        </w:rPr>
        <w:t xml:space="preserve">3.1. </w:t>
      </w:r>
      <w:r>
        <w:rPr>
          <w:rFonts w:ascii="Arial" w:cs="Arial" w:eastAsia="Arial" w:hAnsi="Arial"/>
          <w:sz w:val="12"/>
          <w:szCs w:val="12"/>
          <w:b w:val="1"/>
          <w:bCs w:val="1"/>
          <w:color w:val="auto"/>
        </w:rPr>
        <w:t>General</w:t>
      </w:r>
      <w:r>
        <w:rPr>
          <w:rFonts w:ascii="Arial" w:cs="Arial" w:eastAsia="Arial" w:hAnsi="Arial"/>
          <w:sz w:val="12"/>
          <w:szCs w:val="12"/>
          <w:color w:val="auto"/>
        </w:rPr>
        <w:t>. Except as expressly set forth in Section 2, Pfizer shall have sole authority over and control of the Development, Manufacture and Commercialization of Agreement Products.</w:t>
      </w:r>
    </w:p>
    <w:p>
      <w:pPr>
        <w:spacing w:after="0" w:line="91" w:lineRule="exact"/>
        <w:rPr>
          <w:rFonts w:ascii="Arial" w:cs="Arial" w:eastAsia="Arial" w:hAnsi="Arial"/>
          <w:sz w:val="14"/>
          <w:szCs w:val="14"/>
          <w:b w:val="1"/>
          <w:bCs w:val="1"/>
          <w:color w:val="auto"/>
        </w:rPr>
      </w:pPr>
    </w:p>
    <w:p>
      <w:pPr>
        <w:ind w:left="456"/>
        <w:spacing w:after="0"/>
        <w:rPr>
          <w:rFonts w:ascii="Arial" w:cs="Arial" w:eastAsia="Arial" w:hAnsi="Arial"/>
          <w:sz w:val="14"/>
          <w:szCs w:val="14"/>
          <w:b w:val="1"/>
          <w:bCs w:val="1"/>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Diligence</w:t>
      </w:r>
      <w:r>
        <w:rPr>
          <w:rFonts w:ascii="Arial" w:cs="Arial" w:eastAsia="Arial" w:hAnsi="Arial"/>
          <w:sz w:val="14"/>
          <w:szCs w:val="14"/>
          <w:color w:val="auto"/>
        </w:rPr>
        <w:t>.</w:t>
      </w:r>
    </w:p>
    <w:p>
      <w:pPr>
        <w:spacing w:after="0" w:line="69" w:lineRule="exact"/>
        <w:rPr>
          <w:sz w:val="20"/>
          <w:szCs w:val="20"/>
          <w:color w:val="auto"/>
        </w:rPr>
      </w:pPr>
    </w:p>
    <w:p>
      <w:pPr>
        <w:ind w:left="916" w:right="160"/>
        <w:spacing w:after="0" w:line="312" w:lineRule="auto"/>
        <w:rPr>
          <w:sz w:val="20"/>
          <w:szCs w:val="20"/>
          <w:color w:val="auto"/>
        </w:rPr>
      </w:pPr>
      <w:r>
        <w:rPr>
          <w:rFonts w:ascii="Arial" w:cs="Arial" w:eastAsia="Arial" w:hAnsi="Arial"/>
          <w:sz w:val="12"/>
          <w:szCs w:val="12"/>
          <w:color w:val="auto"/>
        </w:rPr>
        <w:t xml:space="preserve">3.2.1. </w:t>
      </w:r>
      <w:r>
        <w:rPr>
          <w:rFonts w:ascii="Arial" w:cs="Arial" w:eastAsia="Arial" w:hAnsi="Arial"/>
          <w:sz w:val="12"/>
          <w:szCs w:val="12"/>
          <w:b w:val="1"/>
          <w:bCs w:val="1"/>
          <w:color w:val="auto"/>
        </w:rPr>
        <w:t>Development Diligence</w:t>
      </w:r>
      <w:r>
        <w:rPr>
          <w:rFonts w:ascii="Arial" w:cs="Arial" w:eastAsia="Arial" w:hAnsi="Arial"/>
          <w:sz w:val="12"/>
          <w:szCs w:val="12"/>
          <w:color w:val="auto"/>
        </w:rPr>
        <w:t xml:space="preserve">. Pfizer will use Commercially Reasonable Efforts to Develop (including to seek Regulatory Approval for) each Agreement Product in at least one Indication in the </w:t>
      </w:r>
      <w:r>
        <w:rPr>
          <w:rFonts w:ascii="Arial" w:cs="Arial" w:eastAsia="Arial" w:hAnsi="Arial"/>
          <w:sz w:val="12"/>
          <w:szCs w:val="12"/>
          <w:b w:val="1"/>
          <w:bCs w:val="1"/>
          <w:color w:val="auto"/>
        </w:rPr>
        <w:t>***</w:t>
      </w:r>
      <w:r>
        <w:rPr>
          <w:rFonts w:ascii="Arial" w:cs="Arial" w:eastAsia="Arial" w:hAnsi="Arial"/>
          <w:sz w:val="12"/>
          <w:szCs w:val="12"/>
          <w:color w:val="auto"/>
        </w:rPr>
        <w:t xml:space="preserve">: (i) </w:t>
      </w:r>
      <w:r>
        <w:rPr>
          <w:rFonts w:ascii="Arial" w:cs="Arial" w:eastAsia="Arial" w:hAnsi="Arial"/>
          <w:sz w:val="12"/>
          <w:szCs w:val="12"/>
          <w:b w:val="1"/>
          <w:bCs w:val="1"/>
          <w:color w:val="auto"/>
        </w:rPr>
        <w:t>***</w:t>
      </w:r>
      <w:r>
        <w:rPr>
          <w:rFonts w:ascii="Arial" w:cs="Arial" w:eastAsia="Arial" w:hAnsi="Arial"/>
          <w:sz w:val="12"/>
          <w:szCs w:val="12"/>
          <w:color w:val="auto"/>
        </w:rPr>
        <w:t>. Pfizer may determine in its sole discretion the order in which it seeks any such Regulatory Approval. Pfizer will have no other diligence obligations with respect to the Development (including to seek Regulatory Approval of) of Agreement Products under this Agreement. For the avoidance of doubt, any actions taken by Pfizer’s Affiliates or Sublicensees under this Agreement shall be treated as actions taken by Pfizer in regard to satisfaction of the requirements of this Section 3.2.</w:t>
      </w:r>
    </w:p>
    <w:p>
      <w:pPr>
        <w:spacing w:after="0" w:line="14" w:lineRule="exact"/>
        <w:rPr>
          <w:sz w:val="20"/>
          <w:szCs w:val="20"/>
          <w:color w:val="auto"/>
        </w:rPr>
      </w:pPr>
    </w:p>
    <w:p>
      <w:pPr>
        <w:ind w:left="916" w:right="80"/>
        <w:spacing w:after="0" w:line="270" w:lineRule="auto"/>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b w:val="1"/>
          <w:bCs w:val="1"/>
          <w:color w:val="auto"/>
        </w:rPr>
        <w:t>Commercial Diligence</w:t>
      </w:r>
      <w:r>
        <w:rPr>
          <w:rFonts w:ascii="Arial" w:cs="Arial" w:eastAsia="Arial" w:hAnsi="Arial"/>
          <w:sz w:val="14"/>
          <w:szCs w:val="14"/>
          <w:color w:val="auto"/>
        </w:rPr>
        <w:t>. Pfizer will use Commercially Reasonable Efforts to Commercialize a given Agreement Product in each Major Market Country in the Field in the Territory where Pfizer or its Affiliates have received Regulatory</w:t>
      </w:r>
    </w:p>
    <w:p>
      <w:pPr>
        <w:spacing w:after="0" w:line="89"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24</w:t>
      </w:r>
    </w:p>
    <w:p>
      <w:pPr>
        <w:spacing w:after="0" w:line="12" w:lineRule="exact"/>
        <w:rPr>
          <w:sz w:val="20"/>
          <w:szCs w:val="20"/>
          <w:color w:val="auto"/>
        </w:rPr>
      </w:pPr>
    </w:p>
    <w:p>
      <w:pPr>
        <w:ind w:left="3836" w:right="2680" w:hanging="1135"/>
        <w:spacing w:after="0" w:line="341" w:lineRule="auto"/>
        <w:tabs>
          <w:tab w:leader="none" w:pos="2940" w:val="left"/>
        </w:tabs>
        <w:numPr>
          <w:ilvl w:val="0"/>
          <w:numId w:val="107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36"/>
          </w:cols>
          <w:pgMar w:left="224" w:top="245" w:right="239" w:bottom="1440" w:gutter="0" w:footer="0" w:header="0"/>
        </w:sectPr>
      </w:pPr>
    </w:p>
    <w:bookmarkStart w:id="894" w:name="page895"/>
    <w:bookmarkEnd w:id="89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Approval for such Agreement Product. Pfizer will have no other diligence obligations with respect to the Commercialization of Agreement Products under this Agreement.</w:t>
      </w:r>
    </w:p>
    <w:p>
      <w:pPr>
        <w:spacing w:after="0" w:line="67"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b w:val="1"/>
          <w:bCs w:val="1"/>
          <w:color w:val="auto"/>
        </w:rPr>
        <w:t>Exceptions to Diligence Obligations</w:t>
      </w:r>
      <w:r>
        <w:rPr>
          <w:rFonts w:ascii="Arial" w:cs="Arial" w:eastAsia="Arial" w:hAnsi="Arial"/>
          <w:sz w:val="14"/>
          <w:szCs w:val="14"/>
          <w:color w:val="auto"/>
        </w:rPr>
        <w:t>. Notwithstanding any provision of this Agreement to the contrary, Pfizer will be relieved from and will have no obligation to undertake any efforts with respect to any Pfizer Diligence Obligation in the event that:</w:t>
      </w:r>
    </w:p>
    <w:p>
      <w:pPr>
        <w:spacing w:after="0" w:line="37" w:lineRule="exact"/>
        <w:rPr>
          <w:sz w:val="20"/>
          <w:szCs w:val="20"/>
          <w:color w:val="auto"/>
        </w:rPr>
      </w:pPr>
    </w:p>
    <w:p>
      <w:pPr>
        <w:ind w:left="580" w:right="180" w:hanging="7"/>
        <w:spacing w:after="0" w:line="258" w:lineRule="auto"/>
        <w:tabs>
          <w:tab w:leader="none" w:pos="765" w:val="left"/>
        </w:tabs>
        <w:numPr>
          <w:ilvl w:val="0"/>
          <w:numId w:val="1080"/>
        </w:numPr>
        <w:rPr>
          <w:rFonts w:ascii="Arial" w:cs="Arial" w:eastAsia="Arial" w:hAnsi="Arial"/>
          <w:sz w:val="14"/>
          <w:szCs w:val="14"/>
          <w:color w:val="auto"/>
        </w:rPr>
      </w:pPr>
      <w:r>
        <w:rPr>
          <w:rFonts w:ascii="Arial" w:cs="Arial" w:eastAsia="Arial" w:hAnsi="Arial"/>
          <w:sz w:val="14"/>
          <w:szCs w:val="14"/>
          <w:color w:val="auto"/>
        </w:rPr>
        <w:t>Pfizer or MacroGenics receives or generates any safety, tolerability or other data reasonably indicating, as measured by Pfizer’s safety and efficacy evaluation criteria and methodology, or signaling that an Agreement Product has or would have an unacceptable risk-benefit profile or is otherwise not reasonably suitable for initiation or continuation of clinical trials in humans; or</w:t>
      </w:r>
    </w:p>
    <w:p>
      <w:pPr>
        <w:spacing w:after="0" w:line="44" w:lineRule="exact"/>
        <w:rPr>
          <w:rFonts w:ascii="Arial" w:cs="Arial" w:eastAsia="Arial" w:hAnsi="Arial"/>
          <w:sz w:val="14"/>
          <w:szCs w:val="14"/>
          <w:color w:val="auto"/>
        </w:rPr>
      </w:pPr>
    </w:p>
    <w:p>
      <w:pPr>
        <w:ind w:left="580" w:right="40" w:hanging="7"/>
        <w:spacing w:after="0" w:line="267" w:lineRule="auto"/>
        <w:tabs>
          <w:tab w:leader="none" w:pos="772" w:val="left"/>
        </w:tabs>
        <w:numPr>
          <w:ilvl w:val="0"/>
          <w:numId w:val="1080"/>
        </w:numPr>
        <w:rPr>
          <w:rFonts w:ascii="Arial" w:cs="Arial" w:eastAsia="Arial" w:hAnsi="Arial"/>
          <w:sz w:val="14"/>
          <w:szCs w:val="14"/>
          <w:color w:val="auto"/>
        </w:rPr>
      </w:pPr>
      <w:r>
        <w:rPr>
          <w:rFonts w:ascii="Arial" w:cs="Arial" w:eastAsia="Arial" w:hAnsi="Arial"/>
          <w:sz w:val="14"/>
          <w:szCs w:val="14"/>
          <w:color w:val="auto"/>
        </w:rPr>
        <w:t>Pfizer or MacroGenics receive any notice, information or correspondence from any applicable Regulatory Authority, or any applicable Regulatory Authority takes any action, that reasonably indicates that an Agreement Product is unlikely to receive Regulatory Approval.</w:t>
      </w:r>
    </w:p>
    <w:p>
      <w:pPr>
        <w:spacing w:after="0" w:line="37" w:lineRule="exact"/>
        <w:rPr>
          <w:sz w:val="20"/>
          <w:szCs w:val="20"/>
          <w:color w:val="auto"/>
        </w:rPr>
      </w:pPr>
    </w:p>
    <w:p>
      <w:pPr>
        <w:spacing w:after="0" w:line="301" w:lineRule="auto"/>
        <w:rPr>
          <w:sz w:val="20"/>
          <w:szCs w:val="20"/>
          <w:color w:val="auto"/>
        </w:rPr>
      </w:pPr>
      <w:r>
        <w:rPr>
          <w:rFonts w:ascii="Arial" w:cs="Arial" w:eastAsia="Arial" w:hAnsi="Arial"/>
          <w:sz w:val="12"/>
          <w:szCs w:val="12"/>
          <w:color w:val="auto"/>
        </w:rPr>
        <w:t xml:space="preserve">3.2.4. </w:t>
      </w:r>
      <w:r>
        <w:rPr>
          <w:rFonts w:ascii="Arial" w:cs="Arial" w:eastAsia="Arial" w:hAnsi="Arial"/>
          <w:sz w:val="12"/>
          <w:szCs w:val="12"/>
          <w:b w:val="1"/>
          <w:bCs w:val="1"/>
          <w:color w:val="auto"/>
        </w:rPr>
        <w:t>Assertion of Pfizer Diligence Obligation Claims</w:t>
      </w:r>
      <w:r>
        <w:rPr>
          <w:rFonts w:ascii="Arial" w:cs="Arial" w:eastAsia="Arial" w:hAnsi="Arial"/>
          <w:sz w:val="12"/>
          <w:szCs w:val="12"/>
          <w:color w:val="auto"/>
        </w:rPr>
        <w:t>. If MacroGenics becomes aware of facts that might form a reasonable basis to allege that Pfizer has failed to meet any Pfizer Diligence Obligation, then MacroGenics will notify Pfizer in writing of such potential alleged performance failure (each such potential alleged performance failure, a “</w:t>
      </w:r>
      <w:r>
        <w:rPr>
          <w:rFonts w:ascii="Arial" w:cs="Arial" w:eastAsia="Arial" w:hAnsi="Arial"/>
          <w:sz w:val="12"/>
          <w:szCs w:val="12"/>
          <w:b w:val="1"/>
          <w:bCs w:val="1"/>
          <w:color w:val="auto"/>
        </w:rPr>
        <w:t>Diligence Issue</w:t>
      </w:r>
      <w:r>
        <w:rPr>
          <w:rFonts w:ascii="Arial" w:cs="Arial" w:eastAsia="Arial" w:hAnsi="Arial"/>
          <w:sz w:val="12"/>
          <w:szCs w:val="12"/>
          <w:color w:val="auto"/>
        </w:rPr>
        <w:t>”). Promptly upon Pfizer’s receipt of any notice of a Diligence Issue pursuant to this Section 3.2.3, the Pfizer Alliance Manager will contact the MacroGenics Alliance Manager to discuss the specific nature of such Diligence Issue and seek to identify an appropriate corrective course of action. If, no later than thirty (30) days after Pfizer’s receipt of such a notice, (a) the Parties have not reached consensus regarding whether Pfizer has failed to satisfy the Pfizer Diligence Obligations and (b) the Parties’ respective Alliance Managers have not agreed upon an appropriate corrective course of action for such Diligence Issue, then such Diligence Issue will be escalated and resolved pursuant to the dispute resolution provisions set forth in Section 11.9. Failure by MacroGenics to provide notice of a Diligence Issue pursuant to this Section 3.2.4 shall not result in a waiver by MacroGenics of its rights under Section 3.2.5 of this Agreement.</w:t>
      </w:r>
    </w:p>
    <w:p>
      <w:pPr>
        <w:spacing w:after="0" w:line="21"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 xml:space="preserve">3.2.5. </w:t>
      </w:r>
      <w:r>
        <w:rPr>
          <w:rFonts w:ascii="Arial" w:cs="Arial" w:eastAsia="Arial" w:hAnsi="Arial"/>
          <w:sz w:val="14"/>
          <w:szCs w:val="14"/>
          <w:b w:val="1"/>
          <w:bCs w:val="1"/>
          <w:color w:val="auto"/>
        </w:rPr>
        <w:t>Remedies for Breach of Pfizer Diligence Obligations</w:t>
      </w:r>
      <w:r>
        <w:rPr>
          <w:rFonts w:ascii="Arial" w:cs="Arial" w:eastAsia="Arial" w:hAnsi="Arial"/>
          <w:sz w:val="14"/>
          <w:szCs w:val="14"/>
          <w:color w:val="auto"/>
        </w:rPr>
        <w:t xml:space="preserve">. If Pfizer materially breaches any Pfizer Diligence Obligation and fails to remedy such breach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of Pfizer’s receipt of notice of such breach from MacroGenics, then MacroGenics may, in its sole discretion, elect to either (a) terminate this Agreement with the effects of the provisions of Section 9.5.2 on an Agreement Product-by-Agreement Product and country-by-country basis, but only to the</w:t>
      </w:r>
    </w:p>
    <w:p>
      <w:pPr>
        <w:spacing w:after="0" w:line="9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25</w:t>
      </w:r>
    </w:p>
    <w:p>
      <w:pPr>
        <w:spacing w:after="0" w:line="12" w:lineRule="exact"/>
        <w:rPr>
          <w:sz w:val="20"/>
          <w:szCs w:val="20"/>
          <w:color w:val="auto"/>
        </w:rPr>
      </w:pPr>
    </w:p>
    <w:p>
      <w:pPr>
        <w:ind w:left="2920" w:right="2660" w:hanging="1135"/>
        <w:spacing w:after="0" w:line="341" w:lineRule="auto"/>
        <w:tabs>
          <w:tab w:leader="none" w:pos="2024" w:val="left"/>
        </w:tabs>
        <w:numPr>
          <w:ilvl w:val="0"/>
          <w:numId w:val="108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00"/>
          </w:cols>
          <w:pgMar w:left="1140" w:top="247" w:right="259" w:bottom="1440" w:gutter="0" w:footer="0" w:header="0"/>
        </w:sectPr>
      </w:pPr>
    </w:p>
    <w:bookmarkStart w:id="895" w:name="page896"/>
    <w:bookmarkEnd w:id="895"/>
    <w:p>
      <w:pPr>
        <w:ind w:left="460" w:right="40"/>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extent that an Agreement Product in a given country in the Territory is directly and adversely impacted by such uncured material breach, or (b) convert any exclusive licenses granted to Pfizer under this Agreement with respect to an Agreement Product in a given country in the Territory into non-exclusive licenses, but only to the extent that such Agreement Product in such country is directly and adversely impacted by such uncured material breach. In the event MacroGenics elects Section 3.2.5(b) as a remedy to address a Diligence Issue, Pfizer shall continue to have the same obligations to pay all milestones, FTE costs and Net Sales royalties for each Agreement T-DART and Agreement Product affected by MacroGenics election. MacroGenics acknowledges and agrees that the elections set forth in this Section 3.2.5 (i) have been negotiated by the Parties to fully address any harm that MacroGenics may incur as a result of Pfizer’s material breach of any Pfizer Diligence Obligation and (ii) constitute MacroGenics’s sole and exclusive remedies with respect to any breach by Pfizer of the Pfizer Diligence Obligations.</w:t>
      </w:r>
    </w:p>
    <w:p>
      <w:pPr>
        <w:spacing w:after="0" w:line="22" w:lineRule="exact"/>
        <w:rPr>
          <w:sz w:val="20"/>
          <w:szCs w:val="20"/>
          <w:color w:val="auto"/>
        </w:rPr>
      </w:pPr>
    </w:p>
    <w:p>
      <w:pPr>
        <w:spacing w:after="0" w:line="312"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b w:val="1"/>
          <w:bCs w:val="1"/>
          <w:color w:val="auto"/>
        </w:rPr>
        <w:t>Regulatory Approvals</w:t>
      </w:r>
      <w:r>
        <w:rPr>
          <w:rFonts w:ascii="Arial" w:cs="Arial" w:eastAsia="Arial" w:hAnsi="Arial"/>
          <w:sz w:val="12"/>
          <w:szCs w:val="12"/>
          <w:color w:val="auto"/>
        </w:rPr>
        <w:t>. Pfizer or its designated Affiliate(s) shall file, in its own name, all Regulatory Approval applications for Agreement Products where, subject to the Pfizer Diligence Obligations, Pfizer, in its sole discretion, determines it is commercially advantageous to do so. Pfizer, or its designated Affiliate(s), shall have the sole responsibility for, and sole authority with respect to, communications with any Regulatory Authority regarding any Regulatory Approval application or any Regulatory Approval for an Agreement Product once granted. Except to the extent necessary to fulfill its obligations under Section 3.2.1, neither Pfizer nor any of its Affiliates shall have any obligation to seek Regulatory Approval for any Agreement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color w:val="auto"/>
        </w:rPr>
        <w:t>Control of Commercialization Activities</w:t>
      </w:r>
      <w:r>
        <w:rPr>
          <w:rFonts w:ascii="Arial" w:cs="Arial" w:eastAsia="Arial" w:hAnsi="Arial"/>
          <w:sz w:val="14"/>
          <w:szCs w:val="14"/>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3.4.1. </w:t>
      </w:r>
      <w:r>
        <w:rPr>
          <w:rFonts w:ascii="Arial" w:cs="Arial" w:eastAsia="Arial" w:hAnsi="Arial"/>
          <w:sz w:val="12"/>
          <w:szCs w:val="12"/>
          <w:b w:val="1"/>
          <w:bCs w:val="1"/>
          <w:color w:val="auto"/>
        </w:rPr>
        <w:t>General</w:t>
      </w:r>
      <w:r>
        <w:rPr>
          <w:rFonts w:ascii="Arial" w:cs="Arial" w:eastAsia="Arial" w:hAnsi="Arial"/>
          <w:sz w:val="12"/>
          <w:szCs w:val="12"/>
          <w:color w:val="auto"/>
        </w:rPr>
        <w:t>. Subject to the Pfizer Diligence Obligations, Pfizer shall have sole and exclusive control over all matters relating to the Commercialization of Agreement Products.</w:t>
      </w:r>
    </w:p>
    <w:p>
      <w:pPr>
        <w:spacing w:after="0" w:line="92" w:lineRule="exact"/>
        <w:rPr>
          <w:sz w:val="20"/>
          <w:szCs w:val="20"/>
          <w:color w:val="auto"/>
        </w:rPr>
      </w:pPr>
    </w:p>
    <w:p>
      <w:pPr>
        <w:ind w:left="460" w:right="260"/>
        <w:spacing w:after="0" w:line="270" w:lineRule="auto"/>
        <w:rPr>
          <w:sz w:val="20"/>
          <w:szCs w:val="20"/>
          <w:color w:val="auto"/>
        </w:rPr>
      </w:pPr>
      <w:r>
        <w:rPr>
          <w:rFonts w:ascii="Arial" w:cs="Arial" w:eastAsia="Arial" w:hAnsi="Arial"/>
          <w:sz w:val="14"/>
          <w:szCs w:val="14"/>
          <w:color w:val="auto"/>
        </w:rPr>
        <w:t xml:space="preserve">3.4.2. </w:t>
      </w:r>
      <w:r>
        <w:rPr>
          <w:rFonts w:ascii="Arial" w:cs="Arial" w:eastAsia="Arial" w:hAnsi="Arial"/>
          <w:sz w:val="14"/>
          <w:szCs w:val="14"/>
          <w:b w:val="1"/>
          <w:bCs w:val="1"/>
          <w:color w:val="auto"/>
        </w:rPr>
        <w:t>Branding</w:t>
      </w:r>
      <w:r>
        <w:rPr>
          <w:rFonts w:ascii="Arial" w:cs="Arial" w:eastAsia="Arial" w:hAnsi="Arial"/>
          <w:sz w:val="14"/>
          <w:szCs w:val="14"/>
          <w:color w:val="auto"/>
        </w:rPr>
        <w:t>. Pfizer shall select and own all Trademarks, including all goodwill associated therewith. Neither MacroGenics nor its Affiliates shall use or seek to register, anywhere in the world, any trademarks which are confusingly similar to any Trademarks.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b w:val="1"/>
          <w:bCs w:val="1"/>
          <w:color w:val="auto"/>
        </w:rPr>
        <w:t>Manufacturing</w:t>
      </w:r>
      <w:r>
        <w:rPr>
          <w:rFonts w:ascii="Arial" w:cs="Arial" w:eastAsia="Arial" w:hAnsi="Arial"/>
          <w:sz w:val="12"/>
          <w:szCs w:val="12"/>
          <w:color w:val="auto"/>
        </w:rPr>
        <w:t>. Subject to Section 2.3.3(f), Pfizer shall have the exclusive right to Manufacture Agreement Products itself or through one or more Affiliates or Third Parties selected by Pfizer.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Pfizer shall have no diligence obligations with respect to the Manufacture of Agreement Products except to the extent necessary to fulfill the Pfizer Diligence Obligations.</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b w:val="1"/>
          <w:bCs w:val="1"/>
          <w:color w:val="auto"/>
        </w:rPr>
        <w:t>Progress Reporting</w:t>
      </w:r>
      <w:r>
        <w:rPr>
          <w:rFonts w:ascii="Arial" w:cs="Arial" w:eastAsia="Arial" w:hAnsi="Arial"/>
          <w:sz w:val="14"/>
          <w:szCs w:val="14"/>
          <w:color w:val="auto"/>
        </w:rPr>
        <w:t>. Pfizer shall provide MacroGenics with semi-annual written reports on Pfizer’s activities to Develop and Commercialize Agreement Products. Any information or written report provided by Pfizer to MacroGenics pursuant to this Section 3.6</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26</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8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7" w:right="239" w:bottom="1440" w:gutter="0" w:footer="0" w:header="0"/>
        </w:sectPr>
      </w:pPr>
    </w:p>
    <w:bookmarkStart w:id="896" w:name="page897"/>
    <w:bookmarkEnd w:id="896"/>
    <w:p>
      <w:pPr>
        <w:ind w:left="460"/>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shall be deemed to be Pfizer’s Confidential Information subject to the provisions of Section 7. MacroGenics shall have the opportunity to reasonably seek further explanation or clarification of matters covered in such reports, and Pfizer shall provide such explanation or clarification. Furthermore, if after receiving such a report MacroGenics wishes to meet with Pfizer to discuss such report, Pfizer shall meet (in person or via teleconference) with MacroGenics at a site reasonably requested by MacroGenics within thirty (30) days after MacroGenics requests such meeting.</w:t>
      </w:r>
    </w:p>
    <w:p>
      <w:pPr>
        <w:spacing w:after="0" w:line="165" w:lineRule="exact"/>
        <w:rPr>
          <w:sz w:val="20"/>
          <w:szCs w:val="20"/>
          <w:color w:val="auto"/>
        </w:rPr>
      </w:pPr>
    </w:p>
    <w:p>
      <w:pPr>
        <w:ind w:left="460" w:right="7900" w:hanging="456"/>
        <w:spacing w:after="0" w:line="342" w:lineRule="auto"/>
        <w:tabs>
          <w:tab w:leader="none" w:pos="451" w:val="left"/>
        </w:tabs>
        <w:numPr>
          <w:ilvl w:val="0"/>
          <w:numId w:val="108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LICENSES AND RELATED GRANTS OF RIGHTS. </w:t>
      </w:r>
      <w:r>
        <w:rPr>
          <w:rFonts w:ascii="Arial" w:cs="Arial" w:eastAsia="Arial" w:hAnsi="Arial"/>
          <w:sz w:val="14"/>
          <w:szCs w:val="14"/>
          <w:color w:val="auto"/>
        </w:rPr>
        <w:t xml:space="preserve">4.1. </w:t>
      </w:r>
      <w:r>
        <w:rPr>
          <w:rFonts w:ascii="Arial" w:cs="Arial" w:eastAsia="Arial" w:hAnsi="Arial"/>
          <w:sz w:val="14"/>
          <w:szCs w:val="14"/>
          <w:b w:val="1"/>
          <w:bCs w:val="1"/>
          <w:color w:val="auto"/>
        </w:rPr>
        <w:t>Grants to Pfizer</w:t>
      </w:r>
      <w:r>
        <w:rPr>
          <w:rFonts w:ascii="Arial" w:cs="Arial" w:eastAsia="Arial" w:hAnsi="Arial"/>
          <w:sz w:val="14"/>
          <w:szCs w:val="14"/>
          <w:color w:val="auto"/>
        </w:rPr>
        <w:t>.</w:t>
      </w:r>
    </w:p>
    <w:p>
      <w:pPr>
        <w:spacing w:after="0" w:line="1" w:lineRule="exact"/>
        <w:rPr>
          <w:sz w:val="20"/>
          <w:szCs w:val="20"/>
          <w:color w:val="auto"/>
        </w:rPr>
      </w:pPr>
    </w:p>
    <w:p>
      <w:pPr>
        <w:ind w:left="920" w:right="220"/>
        <w:spacing w:after="0" w:line="312" w:lineRule="auto"/>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b w:val="1"/>
          <w:bCs w:val="1"/>
          <w:color w:val="auto"/>
        </w:rPr>
        <w:t>Research License</w:t>
      </w:r>
      <w:r>
        <w:rPr>
          <w:rFonts w:ascii="Arial" w:cs="Arial" w:eastAsia="Arial" w:hAnsi="Arial"/>
          <w:sz w:val="12"/>
          <w:szCs w:val="12"/>
          <w:color w:val="auto"/>
        </w:rPr>
        <w:t>. Subject to the terms and conditions of this Agreement and during the Research Term, MacroGenics hereby grants to Pfizer a non-exclusive, worldwide, royalty-free license under the MacroGenics Technology to (a) use, have used, make and have made any T-DART directed to any Research Project Target for any and all uses in the Field, (b) conduct preclinical studies in vitro and in vivo in any non-human species with any T-DART directed to the Research Project Target for any and all uses in the Field and (c) otherwise perform the activities assigned to Pfizer under the Research Plans. The foregoing license shall be sublicenseable by Pfizer as provided in Section 4.1.4.</w:t>
      </w:r>
    </w:p>
    <w:p>
      <w:pPr>
        <w:spacing w:after="0" w:line="14" w:lineRule="exact"/>
        <w:rPr>
          <w:sz w:val="20"/>
          <w:szCs w:val="20"/>
          <w:color w:val="auto"/>
        </w:rPr>
      </w:pPr>
    </w:p>
    <w:p>
      <w:pPr>
        <w:ind w:left="920" w:right="20"/>
        <w:spacing w:after="0" w:line="299"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b w:val="1"/>
          <w:bCs w:val="1"/>
          <w:color w:val="auto"/>
        </w:rPr>
        <w:t>Assignment of Agreement T-DART IP</w:t>
      </w:r>
      <w:r>
        <w:rPr>
          <w:rFonts w:ascii="Arial" w:cs="Arial" w:eastAsia="Arial" w:hAnsi="Arial"/>
          <w:sz w:val="12"/>
          <w:szCs w:val="12"/>
          <w:color w:val="auto"/>
        </w:rPr>
        <w:t>. MacroGenics shall assign and hereby does assign to Pfizer all of MacroGenics’s and its Affiliates’ right, title and interest in and to the Agreement T-DART IP (including the right in and to any data, writings (irrespective of whether in written or electronic form) and information (tangible and intangible) covering the foregoing). MacroGenics shall execute, and cause its employees, agents and subcontractors to execute (directly or through assignment to MacroGenics and assignment by MacroGenics to Pfizer), assignments to Pfizer of all right, title and interest in and to any such Agreement T-DART IP. Subject to the terms of Section 9.5.2(a) and Section 9.5.2(b), any Agreement T-DART IP shall be the sole and exclusive property of Pfizer and shall constitute Confidential Information of Pfizer. MacroGenics will cooperate with Pfizer to execute and deliver any and all documents that Pfizer deems reasonably necessary to perfect and enforce Pfizer’s rights under this Section 4.1.2. Pfizer shall not grant any license under or other right with respect to any rights in any Agreement T-DART IP subject to potential reassignment to MacroGenics under Section 9.5.2 , that would prevent, survive or be otherwise inconsistent with the reassignment of such Agreement T-DART IP to MacroGenics if required by Section 9.5.2 free and clear of any such license or other right and shall take no action with respect to any other Agreement T-DART IP that is inconsistent with Pfizer’s obligations under Section 9.5.2.</w:t>
      </w:r>
    </w:p>
    <w:p>
      <w:pPr>
        <w:spacing w:after="0" w:line="192" w:lineRule="exact"/>
        <w:rPr>
          <w:sz w:val="20"/>
          <w:szCs w:val="20"/>
          <w:color w:val="auto"/>
        </w:rPr>
      </w:pPr>
    </w:p>
    <w:p>
      <w:pPr>
        <w:ind w:left="920" w:right="60"/>
        <w:spacing w:after="0" w:line="270"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b w:val="1"/>
          <w:bCs w:val="1"/>
          <w:color w:val="auto"/>
        </w:rPr>
        <w:t>Exclusive License</w:t>
      </w:r>
      <w:r>
        <w:rPr>
          <w:rFonts w:ascii="Arial" w:cs="Arial" w:eastAsia="Arial" w:hAnsi="Arial"/>
          <w:sz w:val="14"/>
          <w:szCs w:val="14"/>
          <w:color w:val="auto"/>
        </w:rPr>
        <w:t>. Subject to the terms and conditions of this Agreement and effective on the Effective Date, MacroGenics hereby grants to Pfizer an exclusive (even as to MacroGenics, except to the extent necessary for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12" w:lineRule="exact"/>
        <w:rPr>
          <w:sz w:val="20"/>
          <w:szCs w:val="20"/>
          <w:color w:val="auto"/>
        </w:rPr>
      </w:pPr>
    </w:p>
    <w:p>
      <w:pPr>
        <w:ind w:left="3840" w:right="2700" w:hanging="1135"/>
        <w:spacing w:after="0" w:line="341" w:lineRule="auto"/>
        <w:tabs>
          <w:tab w:leader="none" w:pos="2944" w:val="left"/>
        </w:tabs>
        <w:numPr>
          <w:ilvl w:val="0"/>
          <w:numId w:val="108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897" w:name="page898"/>
    <w:bookmarkEnd w:id="897"/>
    <w:p>
      <w:pPr>
        <w:ind w:right="32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MacroGenics to perform its obligations under the Research Program), license under the MacroGenics Technology and MacroGenics’s interest in the Joint Technology to use, have used, Develop, have Developed, Manufacture, have Manufactured, Commercialize, have Commercialized, import, have imported, export and have exported Agreement T-DARTs and Agreement Products in the Territory for use in the Field, with the right to sublicense as provided in Section 4.1.4.</w:t>
      </w:r>
    </w:p>
    <w:p>
      <w:pPr>
        <w:spacing w:after="0" w:line="43" w:lineRule="exact"/>
        <w:rPr>
          <w:sz w:val="20"/>
          <w:szCs w:val="20"/>
          <w:color w:val="auto"/>
        </w:rPr>
      </w:pPr>
    </w:p>
    <w:p>
      <w:pPr>
        <w:ind w:right="40"/>
        <w:spacing w:after="0" w:line="299" w:lineRule="auto"/>
        <w:rPr>
          <w:sz w:val="20"/>
          <w:szCs w:val="20"/>
          <w:color w:val="auto"/>
        </w:rPr>
      </w:pPr>
      <w:r>
        <w:rPr>
          <w:rFonts w:ascii="Arial" w:cs="Arial" w:eastAsia="Arial" w:hAnsi="Arial"/>
          <w:sz w:val="12"/>
          <w:szCs w:val="12"/>
          <w:color w:val="auto"/>
        </w:rPr>
        <w:t xml:space="preserve">4.1.4. </w:t>
      </w:r>
      <w:r>
        <w:rPr>
          <w:rFonts w:ascii="Arial" w:cs="Arial" w:eastAsia="Arial" w:hAnsi="Arial"/>
          <w:sz w:val="12"/>
          <w:szCs w:val="12"/>
          <w:b w:val="1"/>
          <w:bCs w:val="1"/>
          <w:color w:val="auto"/>
        </w:rPr>
        <w:t>Right to Sublicense</w:t>
      </w:r>
      <w:r>
        <w:rPr>
          <w:rFonts w:ascii="Arial" w:cs="Arial" w:eastAsia="Arial" w:hAnsi="Arial"/>
          <w:sz w:val="12"/>
          <w:szCs w:val="12"/>
          <w:color w:val="auto"/>
        </w:rPr>
        <w:t xml:space="preserve">. Pfizer shall have the right to grant sublicenses under the licenses granted to it (a) under Section 4.1.1 and 4.1.3 . to Affiliates of Pfizer at any time, and (b) (i) under Section 4.1.1 to Third Party contractors solely for the provision of services to Pfizer in connection with the performance of activities assigned to Pfizer under the Research Plans; and (ii) under Section 4.1.3 to Third Parties; provided that any sublicense granted to a Third Party under this Agreement shall be pursuant to a written agreement that subjects such sublicensee to all relevant restrictions and limitations set forth in this Agreement. Pfizer shall provide MacroGenics notice of any Third Party sublicense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execution thereof, including the name and address of each permitted sublicensee, the date of the grant of the sublicense and a description of the rights granted. Pfizer shall be jointly and severally responsible with its sublicensees to MacroGenics for failure by its sublicensees to comply with, and Pfizer guarantees the compliance by each of its sublicensees with, all such applicable restrictions and limitations in accordance with the terms and conditions of this Agreement. Pfizer shall remain responsible for the payment to MacroGenics of all Sales Milestones and royalties payable with respect to Net Sales made by any of Pfizer’s Affiliates and Sublicensees.</w:t>
      </w:r>
    </w:p>
    <w:p>
      <w:pPr>
        <w:spacing w:after="0" w:line="25" w:lineRule="exact"/>
        <w:rPr>
          <w:sz w:val="20"/>
          <w:szCs w:val="20"/>
          <w:color w:val="auto"/>
        </w:rPr>
      </w:pPr>
    </w:p>
    <w:p>
      <w:pPr>
        <w:spacing w:after="0" w:line="301" w:lineRule="auto"/>
        <w:rPr>
          <w:sz w:val="20"/>
          <w:szCs w:val="20"/>
          <w:color w:val="auto"/>
        </w:rPr>
      </w:pPr>
      <w:r>
        <w:rPr>
          <w:rFonts w:ascii="Arial" w:cs="Arial" w:eastAsia="Arial" w:hAnsi="Arial"/>
          <w:sz w:val="12"/>
          <w:szCs w:val="12"/>
          <w:color w:val="auto"/>
        </w:rPr>
        <w:t xml:space="preserve">4.1.5. </w:t>
      </w:r>
      <w:r>
        <w:rPr>
          <w:rFonts w:ascii="Arial" w:cs="Arial" w:eastAsia="Arial" w:hAnsi="Arial"/>
          <w:sz w:val="12"/>
          <w:szCs w:val="12"/>
          <w:b w:val="1"/>
          <w:bCs w:val="1"/>
          <w:color w:val="auto"/>
        </w:rPr>
        <w:t>Direct License to Affiliates</w:t>
      </w:r>
      <w:r>
        <w:rPr>
          <w:rFonts w:ascii="Arial" w:cs="Arial" w:eastAsia="Arial" w:hAnsi="Arial"/>
          <w:sz w:val="12"/>
          <w:szCs w:val="12"/>
          <w:color w:val="auto"/>
        </w:rPr>
        <w:t>. Pfizer may at any time request and authorize MacroGenics to grant licenses directly to Affiliates of Pfizer by giving written notice designating to which Affiliate a direct license is to be granted. Upon receipt of any such notice, MacroGenics shall enter into and sign a separate direct license agreement with such designated Affiliate of Pfizer. All such direct license agreements shall be consistent with the terms and conditions of this Agreement, except for such modifications as may be required by the laws and regulations in the country in which the direct license will be exercised. The Parties further agree to make any amendments to this Agreement that are necessary to conform the combined terms of such direct license agreements and this Agreement to the terms of this Agreement as set forth on the Effective Date. In countries where the validity of such direct license agreements requires prior governmental approval or registration, such direct license agreements shall not become binding between the parties thereto until such approval or registration is granted, which approval or registration shall be obtained by Pfizer. All costs of making such direct license agreement(s), including MacroGenics’s reasonable attorneys’ fees, under this Section 4.1.5 shall be borne by Pfizer.</w:t>
      </w:r>
    </w:p>
    <w:p>
      <w:pPr>
        <w:spacing w:after="0" w:line="76"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28</w:t>
      </w:r>
    </w:p>
    <w:p>
      <w:pPr>
        <w:spacing w:after="0" w:line="12" w:lineRule="exact"/>
        <w:rPr>
          <w:sz w:val="20"/>
          <w:szCs w:val="20"/>
          <w:color w:val="auto"/>
        </w:rPr>
      </w:pPr>
    </w:p>
    <w:p>
      <w:pPr>
        <w:ind w:left="2920" w:right="2700" w:hanging="1135"/>
        <w:spacing w:after="0" w:line="341" w:lineRule="auto"/>
        <w:tabs>
          <w:tab w:leader="none" w:pos="2024" w:val="left"/>
        </w:tabs>
        <w:numPr>
          <w:ilvl w:val="0"/>
          <w:numId w:val="108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40"/>
          </w:cols>
          <w:pgMar w:left="1140" w:top="247" w:right="219" w:bottom="1440" w:gutter="0" w:footer="0" w:header="0"/>
        </w:sectPr>
      </w:pPr>
    </w:p>
    <w:bookmarkStart w:id="898" w:name="page899"/>
    <w:bookmarkEnd w:id="898"/>
    <w:p>
      <w:pPr>
        <w:ind w:left="460" w:right="20"/>
        <w:spacing w:after="0" w:line="25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4.1.6. </w:t>
      </w:r>
      <w:r>
        <w:rPr>
          <w:rFonts w:ascii="Arial" w:cs="Arial" w:eastAsia="Arial" w:hAnsi="Arial"/>
          <w:sz w:val="14"/>
          <w:szCs w:val="14"/>
          <w:b w:val="1"/>
          <w:bCs w:val="1"/>
          <w:color w:val="auto"/>
        </w:rPr>
        <w:t>Right of Reference</w:t>
      </w:r>
      <w:r>
        <w:rPr>
          <w:rFonts w:ascii="Arial" w:cs="Arial" w:eastAsia="Arial" w:hAnsi="Arial"/>
          <w:sz w:val="14"/>
          <w:szCs w:val="14"/>
          <w:color w:val="auto"/>
        </w:rPr>
        <w:t>. To the extent that MacroGenics does not breach any contractual obligations it has with Third Parties, MacroGenics hereby grants to Pfizer a “Right of Reference,” as that term is defined in 21 C.F.R. § 314.3(b), to any data Controlled by MacroGenics or its Affiliates (a) that relates to the Agreement T-DARTS, the Agreement Products or preclinical studies with respect to the Agreement Products and (b) that Pfizer reasonably believes may be necessary or useful to the Development, Manufacturing or Commercialization of any Agreement T-DART or any Agreement Product pursuant to this Agreement, and MacroGenics will provide a signed statement to the foregoing effect, if so requested by Pfizer in accordance with 21 C.F.R. § 314.50(g)(3).</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Grants to MacroGenics</w:t>
      </w:r>
      <w:r>
        <w:rPr>
          <w:rFonts w:ascii="Arial" w:cs="Arial" w:eastAsia="Arial" w:hAnsi="Arial"/>
          <w:sz w:val="14"/>
          <w:szCs w:val="14"/>
          <w:color w:val="auto"/>
        </w:rPr>
        <w:t>.</w:t>
      </w:r>
    </w:p>
    <w:p>
      <w:pPr>
        <w:spacing w:after="0" w:line="69" w:lineRule="exact"/>
        <w:rPr>
          <w:sz w:val="20"/>
          <w:szCs w:val="20"/>
          <w:color w:val="auto"/>
        </w:rPr>
      </w:pPr>
    </w:p>
    <w:p>
      <w:pPr>
        <w:ind w:left="460" w:right="200"/>
        <w:spacing w:after="0" w:line="259" w:lineRule="auto"/>
        <w:rPr>
          <w:sz w:val="20"/>
          <w:szCs w:val="20"/>
          <w:color w:val="auto"/>
        </w:rPr>
      </w:pPr>
      <w:r>
        <w:rPr>
          <w:rFonts w:ascii="Arial" w:cs="Arial" w:eastAsia="Arial" w:hAnsi="Arial"/>
          <w:sz w:val="14"/>
          <w:szCs w:val="14"/>
          <w:color w:val="auto"/>
        </w:rPr>
        <w:t xml:space="preserve">4.2.1. </w:t>
      </w:r>
      <w:r>
        <w:rPr>
          <w:rFonts w:ascii="Arial" w:cs="Arial" w:eastAsia="Arial" w:hAnsi="Arial"/>
          <w:sz w:val="14"/>
          <w:szCs w:val="14"/>
          <w:b w:val="1"/>
          <w:bCs w:val="1"/>
          <w:color w:val="auto"/>
        </w:rPr>
        <w:t>Research License</w:t>
      </w:r>
      <w:r>
        <w:rPr>
          <w:rFonts w:ascii="Arial" w:cs="Arial" w:eastAsia="Arial" w:hAnsi="Arial"/>
          <w:sz w:val="14"/>
          <w:szCs w:val="14"/>
          <w:color w:val="auto"/>
        </w:rPr>
        <w:t>. Subject to the terms and conditions of this Agreement and during the Research Term, Pfizer hereby grants to MacroGenics a non-exclusive, worldwide, royalty-free license under the Pfizer Technology solely to the extent necessary to conduct activities assigned to MacroGenics under the Research Plan, with the right to sublicense as provided in Section 4.2.1(a).</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Right to Sublicense</w:t>
      </w:r>
      <w:r>
        <w:rPr>
          <w:rFonts w:ascii="Arial" w:cs="Arial" w:eastAsia="Arial" w:hAnsi="Arial"/>
          <w:sz w:val="14"/>
          <w:szCs w:val="14"/>
          <w:color w:val="auto"/>
        </w:rPr>
        <w:t>. MacroGenics may sublicense the foregoing license but only to any one or more of MacroGenics’ Affiliates or subcontractors.</w:t>
      </w:r>
    </w:p>
    <w:p>
      <w:pPr>
        <w:spacing w:after="0" w:line="69" w:lineRule="exact"/>
        <w:rPr>
          <w:sz w:val="20"/>
          <w:szCs w:val="20"/>
          <w:color w:val="auto"/>
        </w:rPr>
      </w:pPr>
    </w:p>
    <w:p>
      <w:pPr>
        <w:ind w:left="1040"/>
        <w:spacing w:after="0" w:line="253" w:lineRule="auto"/>
        <w:rPr>
          <w:sz w:val="20"/>
          <w:szCs w:val="20"/>
          <w:color w:val="auto"/>
        </w:rPr>
      </w:pPr>
      <w:r>
        <w:rPr>
          <w:rFonts w:ascii="Arial" w:cs="Arial" w:eastAsia="Arial" w:hAnsi="Arial"/>
          <w:sz w:val="14"/>
          <w:szCs w:val="14"/>
          <w:color w:val="auto"/>
        </w:rPr>
        <w:t xml:space="preserve">4.2.2. </w:t>
      </w:r>
      <w:r>
        <w:rPr>
          <w:rFonts w:ascii="Arial" w:cs="Arial" w:eastAsia="Arial" w:hAnsi="Arial"/>
          <w:sz w:val="14"/>
          <w:szCs w:val="14"/>
          <w:b w:val="1"/>
          <w:bCs w:val="1"/>
          <w:color w:val="auto"/>
        </w:rPr>
        <w:t>Grant Back License with Respect to Agreement T-DART IP Assigned to Pfizer</w:t>
      </w:r>
      <w:r>
        <w:rPr>
          <w:rFonts w:ascii="Arial" w:cs="Arial" w:eastAsia="Arial" w:hAnsi="Arial"/>
          <w:sz w:val="14"/>
          <w:szCs w:val="14"/>
          <w:color w:val="auto"/>
        </w:rPr>
        <w:t>. Subject to the terms and conditions of this Agreement, Pfizer hereby grants to MacroGenics a non-exclusive, worldwide, royalty-free license under the Agreement T-DART IP and the Agreement T-DART Patent Rights to use, have used, Develop, have Developed, Manufacture, have Manufactured, Commercialize, have Commercialized, import, have imported, export and have exported any T-DART or other bi-specific targeting molecule (other than (a) any T-DART Targeting any Research Project Target or any Reserved Target or (b) any other bi-specific targeting molecule that consists of or comprises any Research Program Antibody (other than a Passed MacroGenics Antibody) Targeting any Research Project Target or any Reserved Target), either alone or as part of any pharmaceutical or other product, with the right to sublicense.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b w:val="1"/>
          <w:bCs w:val="1"/>
          <w:color w:val="auto"/>
        </w:rPr>
        <w:t>Reciprocal Non-Exclusive Research License for Disclosed Know-How and Confidential Information</w:t>
      </w:r>
      <w:r>
        <w:rPr>
          <w:rFonts w:ascii="Arial" w:cs="Arial" w:eastAsia="Arial" w:hAnsi="Arial"/>
          <w:sz w:val="12"/>
          <w:szCs w:val="12"/>
          <w:color w:val="auto"/>
        </w:rPr>
        <w:t>. Without limiting any other license granted to either Party under this Agreement:</w:t>
      </w:r>
    </w:p>
    <w:p>
      <w:pPr>
        <w:spacing w:after="0" w:line="94" w:lineRule="exact"/>
        <w:rPr>
          <w:sz w:val="20"/>
          <w:szCs w:val="20"/>
          <w:color w:val="auto"/>
        </w:rPr>
      </w:pPr>
    </w:p>
    <w:p>
      <w:pPr>
        <w:ind w:left="460" w:right="100"/>
        <w:spacing w:after="0" w:line="267" w:lineRule="auto"/>
        <w:rPr>
          <w:sz w:val="20"/>
          <w:szCs w:val="20"/>
          <w:color w:val="auto"/>
        </w:rPr>
      </w:pPr>
      <w:r>
        <w:rPr>
          <w:rFonts w:ascii="Arial" w:cs="Arial" w:eastAsia="Arial" w:hAnsi="Arial"/>
          <w:sz w:val="14"/>
          <w:szCs w:val="14"/>
          <w:color w:val="auto"/>
        </w:rPr>
        <w:t>4.3.1. MacroGenics hereby grants to Pfizer and Pfizer’s Affiliates a non-exclusive, irrevocable, perpetual, royalty-free, fully paid-up, worldwide license to use any and all MacroGenics Know-How or MacroGenics Confidential Information disclosed to Pfizer during the Term solely for internal research purposes.</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29</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8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5" w:right="239" w:bottom="1440" w:gutter="0" w:footer="0" w:header="0"/>
        </w:sectPr>
      </w:pPr>
    </w:p>
    <w:bookmarkStart w:id="899" w:name="page900"/>
    <w:bookmarkEnd w:id="899"/>
    <w:p>
      <w:pPr>
        <w:ind w:left="460" w:right="16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4.3.2. Pfizer hereby grants to MacroGenics and MacroGenics Affiliates a non-exclusive, irrevocable, perpetual, royalty-free, fully paid-up, worldwide license to use any and all Pfizer Know-How or Pfizer Confidential Information (other than any information regarding the identity of or Pfizer’s reasons for selecting any Research Project Target or Reserved Target, which shall only be disclosed by MacroGenics to MacroGenics personnel as necessary to comply with the terms of this Agreement) disclosed to MacroGenics during the Term solely for internal research purposes.</w:t>
      </w:r>
    </w:p>
    <w:p>
      <w:pPr>
        <w:spacing w:after="0" w:line="47" w:lineRule="exact"/>
        <w:rPr>
          <w:sz w:val="20"/>
          <w:szCs w:val="20"/>
          <w:color w:val="auto"/>
        </w:rPr>
      </w:pPr>
    </w:p>
    <w:p>
      <w:pPr>
        <w:ind w:left="460" w:right="120"/>
        <w:spacing w:after="0" w:line="267" w:lineRule="auto"/>
        <w:rPr>
          <w:sz w:val="20"/>
          <w:szCs w:val="20"/>
          <w:color w:val="auto"/>
        </w:rPr>
      </w:pPr>
      <w:r>
        <w:rPr>
          <w:rFonts w:ascii="Arial" w:cs="Arial" w:eastAsia="Arial" w:hAnsi="Arial"/>
          <w:sz w:val="14"/>
          <w:szCs w:val="14"/>
          <w:color w:val="auto"/>
        </w:rPr>
        <w:t>4.3.3. Notwithstanding the foregoing, neither Pfizer nor MacroGenics shall have any right under this Section 4.3 to make any use of any physical material supplied by the other Party for use in the Research Program other than for use in the Research Program.</w:t>
      </w:r>
    </w:p>
    <w:p>
      <w:pPr>
        <w:spacing w:after="0" w:line="37"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color w:val="auto"/>
        </w:rPr>
        <w:t>Retained Rights to Antibodies</w:t>
      </w:r>
      <w:r>
        <w:rPr>
          <w:rFonts w:ascii="Arial" w:cs="Arial" w:eastAsia="Arial" w:hAnsi="Arial"/>
          <w:sz w:val="14"/>
          <w:szCs w:val="14"/>
          <w:color w:val="auto"/>
        </w:rPr>
        <w:t>. For the avoidance of doubt, except as expressly provided in regard to the assignments and licenses contained in this Section 4, neither Party will have any rights in the other Party’s Antibodies and each Party will retain ownership of all of its Pfizer Technology, MacroGenics Technology or Joint Technology, as applicable, covering any Antibody that such Party contributes to the collaboration.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b w:val="1"/>
          <w:bCs w:val="1"/>
          <w:color w:val="auto"/>
        </w:rPr>
        <w:t>Exclusivity</w:t>
      </w:r>
      <w:r>
        <w:rPr>
          <w:rFonts w:ascii="Arial" w:cs="Arial" w:eastAsia="Arial" w:hAnsi="Arial"/>
          <w:sz w:val="14"/>
          <w:szCs w:val="14"/>
          <w:color w:val="auto"/>
        </w:rPr>
        <w:t>.</w:t>
      </w:r>
    </w:p>
    <w:p>
      <w:pPr>
        <w:spacing w:after="0" w:line="69" w:lineRule="exact"/>
        <w:rPr>
          <w:sz w:val="20"/>
          <w:szCs w:val="20"/>
          <w:color w:val="auto"/>
        </w:rPr>
      </w:pPr>
    </w:p>
    <w:p>
      <w:pPr>
        <w:ind w:left="460" w:right="300"/>
        <w:spacing w:after="0" w:line="312" w:lineRule="auto"/>
        <w:rPr>
          <w:sz w:val="20"/>
          <w:szCs w:val="20"/>
          <w:color w:val="auto"/>
        </w:rPr>
      </w:pPr>
      <w:r>
        <w:rPr>
          <w:rFonts w:ascii="Arial" w:cs="Arial" w:eastAsia="Arial" w:hAnsi="Arial"/>
          <w:sz w:val="12"/>
          <w:szCs w:val="12"/>
          <w:color w:val="auto"/>
        </w:rPr>
        <w:t xml:space="preserve">4.5.1. </w:t>
      </w:r>
      <w:r>
        <w:rPr>
          <w:rFonts w:ascii="Arial" w:cs="Arial" w:eastAsia="Arial" w:hAnsi="Arial"/>
          <w:sz w:val="12"/>
          <w:szCs w:val="12"/>
          <w:b w:val="1"/>
          <w:bCs w:val="1"/>
          <w:color w:val="auto"/>
        </w:rPr>
        <w:t>Exclusivity Covenant</w:t>
      </w:r>
      <w:r>
        <w:rPr>
          <w:rFonts w:ascii="Arial" w:cs="Arial" w:eastAsia="Arial" w:hAnsi="Arial"/>
          <w:sz w:val="12"/>
          <w:szCs w:val="12"/>
          <w:color w:val="auto"/>
        </w:rPr>
        <w:t xml:space="preserve">. During the Research Term and for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Research Term, except to the extent required for MacroGenics to fulfill its obligations under this Agreement, neither MacroGenics nor any of its Affiliates will (i) (either directly or with or through a Third Party) Develop, Manufacture or Commercialize any T-DART or Research Program Antibody (other than a Passed MacroGenics Antibody) Targeting any Research Project Target or any Reserved Target or (ii) license or otherwise grant any right to any Third Party to Develop, Manufacture or Commercialize any T-DART or Research Program Antibody (other than a Passed MacroGenics Antibody) Targeting any Research Project Target or any Reserved Target.</w:t>
      </w:r>
    </w:p>
    <w:p>
      <w:pPr>
        <w:spacing w:after="0" w:line="14" w:lineRule="exact"/>
        <w:rPr>
          <w:sz w:val="20"/>
          <w:szCs w:val="20"/>
          <w:color w:val="auto"/>
        </w:rPr>
      </w:pPr>
    </w:p>
    <w:p>
      <w:pPr>
        <w:ind w:left="460"/>
        <w:spacing w:after="0" w:line="306" w:lineRule="auto"/>
        <w:rPr>
          <w:sz w:val="20"/>
          <w:szCs w:val="20"/>
          <w:color w:val="auto"/>
        </w:rPr>
      </w:pPr>
      <w:r>
        <w:rPr>
          <w:rFonts w:ascii="Arial" w:cs="Arial" w:eastAsia="Arial" w:hAnsi="Arial"/>
          <w:sz w:val="12"/>
          <w:szCs w:val="12"/>
          <w:color w:val="auto"/>
        </w:rPr>
        <w:t xml:space="preserve">4.5.2. </w:t>
      </w:r>
      <w:r>
        <w:rPr>
          <w:rFonts w:ascii="Arial" w:cs="Arial" w:eastAsia="Arial" w:hAnsi="Arial"/>
          <w:sz w:val="12"/>
          <w:szCs w:val="12"/>
          <w:b w:val="1"/>
          <w:bCs w:val="1"/>
          <w:color w:val="auto"/>
        </w:rPr>
        <w:t>Other Pfizer Programs</w:t>
      </w:r>
      <w:r>
        <w:rPr>
          <w:rFonts w:ascii="Arial" w:cs="Arial" w:eastAsia="Arial" w:hAnsi="Arial"/>
          <w:sz w:val="12"/>
          <w:szCs w:val="12"/>
          <w:color w:val="auto"/>
        </w:rPr>
        <w:t>. MacroGenics understands and acknowledges that Pfizer may have present or future initiatives or opportunities, including initiatives or opportunities with its Affiliates or Third Parties, involving similar products, programs, technologies or processes that are similar to or that may compete with a product, program, technology or process covered by this Agreement. MacroGenics acknowledges and agrees that nothing in this Agreement will be construed as a representation, warranty, covenant or inference that Pfizer will not itself Develop, Manufacture or Commercialize or enter into business relationships with one or more of its Affiliates or Third Parties to Develop, Manufacture or Commercialize products, programs, technologies or processes that are similar to or that may compete with any product, program, technology or process covered by this Agreement.</w:t>
      </w:r>
    </w:p>
    <w:p>
      <w:pPr>
        <w:spacing w:after="0" w:line="7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30</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8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7" w:right="219" w:bottom="1440" w:gutter="0" w:footer="0" w:header="0"/>
        </w:sectPr>
      </w:pPr>
    </w:p>
    <w:bookmarkStart w:id="900" w:name="page901"/>
    <w:bookmarkEnd w:id="900"/>
    <w:p>
      <w:pPr>
        <w:ind w:left="456"/>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4.6. </w:t>
      </w:r>
      <w:r>
        <w:rPr>
          <w:rFonts w:ascii="Arial" w:cs="Arial" w:eastAsia="Arial" w:hAnsi="Arial"/>
          <w:sz w:val="12"/>
          <w:szCs w:val="12"/>
          <w:b w:val="1"/>
          <w:bCs w:val="1"/>
          <w:color w:val="auto"/>
        </w:rPr>
        <w:t>Section 365(n) of Bankruptcy Code</w:t>
      </w:r>
      <w:r>
        <w:rPr>
          <w:rFonts w:ascii="Arial" w:cs="Arial" w:eastAsia="Arial" w:hAnsi="Arial"/>
          <w:sz w:val="12"/>
          <w:szCs w:val="12"/>
          <w:color w:val="auto"/>
        </w:rPr>
        <w:t>. All rights and licenses now or hereinafter granted by a Party to the other Party under or pursuant to any section of this Agreement, including Sections 4.1.1 ,</w:t>
      </w:r>
    </w:p>
    <w:p>
      <w:pPr>
        <w:spacing w:after="0" w:line="37" w:lineRule="exact"/>
        <w:rPr>
          <w:sz w:val="20"/>
          <w:szCs w:val="20"/>
          <w:color w:val="auto"/>
        </w:rPr>
      </w:pPr>
    </w:p>
    <w:p>
      <w:pPr>
        <w:ind w:left="456" w:right="20"/>
        <w:spacing w:after="0" w:line="316" w:lineRule="auto"/>
        <w:rPr>
          <w:sz w:val="20"/>
          <w:szCs w:val="20"/>
          <w:color w:val="auto"/>
        </w:rPr>
      </w:pPr>
      <w:r>
        <w:rPr>
          <w:rFonts w:ascii="Arial" w:cs="Arial" w:eastAsia="Arial" w:hAnsi="Arial"/>
          <w:sz w:val="12"/>
          <w:szCs w:val="12"/>
          <w:color w:val="auto"/>
        </w:rPr>
        <w:t>4.1.3, 4.2.1 and 4.2.2 are rights to “intellectual property” (as defined in Section 101(35A) of Title 11 of the United States Code, as amended (such Title 11, the “</w:t>
      </w:r>
      <w:r>
        <w:rPr>
          <w:rFonts w:ascii="Arial" w:cs="Arial" w:eastAsia="Arial" w:hAnsi="Arial"/>
          <w:sz w:val="12"/>
          <w:szCs w:val="12"/>
          <w:b w:val="1"/>
          <w:bCs w:val="1"/>
          <w:color w:val="auto"/>
        </w:rPr>
        <w:t>Bankruptcy Code</w:t>
      </w:r>
      <w:r>
        <w:rPr>
          <w:rFonts w:ascii="Arial" w:cs="Arial" w:eastAsia="Arial" w:hAnsi="Arial"/>
          <w:sz w:val="12"/>
          <w:szCs w:val="12"/>
          <w:color w:val="auto"/>
        </w:rPr>
        <w:t>”)). The Parties hereto acknowledge and agree that the payments provided for under Sections 5.1, 5.2 and 5.3 and all other payments by Pfizer to MacroGenics under this Agreement, other than royalty payments pursuant to Section 5.4, do not constitute royalties within the meaning of Section 365(n) of the Bankruptcy Code or relate to licenses of intellectual property under this Agreement.</w:t>
      </w:r>
    </w:p>
    <w:p>
      <w:pPr>
        <w:spacing w:after="0" w:line="11" w:lineRule="exact"/>
        <w:rPr>
          <w:sz w:val="20"/>
          <w:szCs w:val="20"/>
          <w:color w:val="auto"/>
        </w:rPr>
      </w:pPr>
    </w:p>
    <w:p>
      <w:pPr>
        <w:ind w:left="456" w:right="140"/>
        <w:spacing w:after="0" w:line="270"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b w:val="1"/>
          <w:bCs w:val="1"/>
          <w:color w:val="auto"/>
        </w:rPr>
        <w:t>No Implied Rights</w:t>
      </w:r>
      <w:r>
        <w:rPr>
          <w:rFonts w:ascii="Arial" w:cs="Arial" w:eastAsia="Arial" w:hAnsi="Arial"/>
          <w:sz w:val="14"/>
          <w:szCs w:val="14"/>
          <w:color w:val="auto"/>
        </w:rPr>
        <w:t>. Except as expressly provided in this Agreement, neither Party shall be deemed by estoppel, implication or otherwise, to have granted the other Party any license or other right with respect to any intellectual property of such Party.</w:t>
      </w:r>
    </w:p>
    <w:p>
      <w:pPr>
        <w:spacing w:after="0" w:line="191" w:lineRule="exact"/>
        <w:rPr>
          <w:sz w:val="20"/>
          <w:szCs w:val="20"/>
          <w:color w:val="auto"/>
        </w:rPr>
      </w:pPr>
    </w:p>
    <w:p>
      <w:pPr>
        <w:ind w:left="456" w:hanging="456"/>
        <w:spacing w:after="0"/>
        <w:tabs>
          <w:tab w:leader="none" w:pos="456" w:val="left"/>
        </w:tabs>
        <w:numPr>
          <w:ilvl w:val="0"/>
          <w:numId w:val="1088"/>
        </w:numPr>
        <w:rPr>
          <w:rFonts w:ascii="Arial" w:cs="Arial" w:eastAsia="Arial" w:hAnsi="Arial"/>
          <w:sz w:val="14"/>
          <w:szCs w:val="14"/>
          <w:b w:val="1"/>
          <w:bCs w:val="1"/>
          <w:color w:val="auto"/>
        </w:rPr>
      </w:pPr>
      <w:r>
        <w:rPr>
          <w:rFonts w:ascii="Arial" w:cs="Arial" w:eastAsia="Arial" w:hAnsi="Arial"/>
          <w:sz w:val="14"/>
          <w:szCs w:val="14"/>
          <w:b w:val="1"/>
          <w:bCs w:val="1"/>
          <w:color w:val="auto"/>
        </w:rPr>
        <w:t>PAYMENTS TO MACROGENICS.</w:t>
      </w:r>
    </w:p>
    <w:p>
      <w:pPr>
        <w:spacing w:after="0" w:line="69" w:lineRule="exact"/>
        <w:rPr>
          <w:sz w:val="20"/>
          <w:szCs w:val="20"/>
          <w:color w:val="auto"/>
        </w:rPr>
      </w:pPr>
    </w:p>
    <w:p>
      <w:pPr>
        <w:ind w:left="456" w:right="200"/>
        <w:spacing w:after="0" w:line="270"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Upfront License Payment</w:t>
      </w:r>
      <w:r>
        <w:rPr>
          <w:rFonts w:ascii="Arial" w:cs="Arial" w:eastAsia="Arial" w:hAnsi="Arial"/>
          <w:sz w:val="14"/>
          <w:szCs w:val="14"/>
          <w:color w:val="auto"/>
        </w:rPr>
        <w:t xml:space="preserve">.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the Effective Date, Pfizer shall pay to MacroGenics the non-creditable, non-refundable amount of Five Million Dollars ($5,000,000) (the “</w:t>
      </w:r>
      <w:r>
        <w:rPr>
          <w:rFonts w:ascii="Arial" w:cs="Arial" w:eastAsia="Arial" w:hAnsi="Arial"/>
          <w:sz w:val="14"/>
          <w:szCs w:val="14"/>
          <w:b w:val="1"/>
          <w:bCs w:val="1"/>
          <w:color w:val="auto"/>
        </w:rPr>
        <w:t>Up-Front Payment</w:t>
      </w:r>
      <w:r>
        <w:rPr>
          <w:rFonts w:ascii="Arial" w:cs="Arial" w:eastAsia="Arial" w:hAnsi="Arial"/>
          <w:sz w:val="14"/>
          <w:szCs w:val="14"/>
          <w:color w:val="auto"/>
        </w:rPr>
        <w:t>”).</w:t>
      </w:r>
    </w:p>
    <w:p>
      <w:pPr>
        <w:spacing w:after="0" w:line="35" w:lineRule="exact"/>
        <w:rPr>
          <w:sz w:val="20"/>
          <w:szCs w:val="20"/>
          <w:color w:val="auto"/>
        </w:rPr>
      </w:pPr>
    </w:p>
    <w:p>
      <w:pPr>
        <w:ind w:left="456"/>
        <w:spacing w:after="0"/>
        <w:tabs>
          <w:tab w:leader="none" w:pos="876"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b w:val="1"/>
          <w:bCs w:val="1"/>
          <w:color w:val="auto"/>
        </w:rPr>
        <w:t>Research Support Funding</w:t>
      </w:r>
      <w:r>
        <w:rPr>
          <w:rFonts w:ascii="Arial" w:cs="Arial" w:eastAsia="Arial" w:hAnsi="Arial"/>
          <w:sz w:val="12"/>
          <w:szCs w:val="12"/>
          <w:color w:val="auto"/>
        </w:rPr>
        <w:t>.</w:t>
      </w:r>
    </w:p>
    <w:p>
      <w:pPr>
        <w:spacing w:after="0" w:line="69" w:lineRule="exact"/>
        <w:rPr>
          <w:sz w:val="20"/>
          <w:szCs w:val="20"/>
          <w:color w:val="auto"/>
        </w:rPr>
      </w:pPr>
    </w:p>
    <w:p>
      <w:pPr>
        <w:ind w:left="916"/>
        <w:spacing w:after="0"/>
        <w:rPr>
          <w:sz w:val="20"/>
          <w:szCs w:val="20"/>
          <w:color w:val="auto"/>
        </w:rPr>
      </w:pPr>
      <w:r>
        <w:rPr>
          <w:rFonts w:ascii="Arial" w:cs="Arial" w:eastAsia="Arial" w:hAnsi="Arial"/>
          <w:sz w:val="12"/>
          <w:szCs w:val="12"/>
          <w:color w:val="auto"/>
        </w:rPr>
        <w:t xml:space="preserve">5.2.1. </w:t>
      </w:r>
      <w:r>
        <w:rPr>
          <w:rFonts w:ascii="Arial" w:cs="Arial" w:eastAsia="Arial" w:hAnsi="Arial"/>
          <w:sz w:val="12"/>
          <w:szCs w:val="12"/>
          <w:b w:val="1"/>
          <w:bCs w:val="1"/>
          <w:color w:val="auto"/>
        </w:rPr>
        <w:t>FTE Reimbursement</w:t>
      </w:r>
      <w:r>
        <w:rPr>
          <w:rFonts w:ascii="Arial" w:cs="Arial" w:eastAsia="Arial" w:hAnsi="Arial"/>
          <w:sz w:val="12"/>
          <w:szCs w:val="12"/>
          <w:color w:val="auto"/>
        </w:rPr>
        <w:t>. During the Research Term, Pfizer shall reimburse MacroGenics for the costs of the FTEs for the Research Program at the FTE Rate per FTE per Calendar Year.</w:t>
      </w:r>
    </w:p>
    <w:p>
      <w:pPr>
        <w:spacing w:after="0" w:line="37" w:lineRule="exact"/>
        <w:rPr>
          <w:sz w:val="20"/>
          <w:szCs w:val="20"/>
          <w:color w:val="auto"/>
        </w:rPr>
      </w:pPr>
    </w:p>
    <w:p>
      <w:pPr>
        <w:ind w:left="916"/>
        <w:spacing w:after="0"/>
        <w:rPr>
          <w:sz w:val="20"/>
          <w:szCs w:val="20"/>
          <w:color w:val="auto"/>
        </w:rPr>
      </w:pPr>
      <w:r>
        <w:rPr>
          <w:rFonts w:ascii="Arial" w:cs="Arial" w:eastAsia="Arial" w:hAnsi="Arial"/>
          <w:sz w:val="14"/>
          <w:szCs w:val="14"/>
          <w:b w:val="1"/>
          <w:bCs w:val="1"/>
          <w:color w:val="auto"/>
        </w:rPr>
        <w:t>***</w:t>
      </w:r>
    </w:p>
    <w:p>
      <w:pPr>
        <w:spacing w:after="0" w:line="61" w:lineRule="exact"/>
        <w:rPr>
          <w:sz w:val="20"/>
          <w:szCs w:val="20"/>
          <w:color w:val="auto"/>
        </w:rPr>
      </w:pPr>
    </w:p>
    <w:p>
      <w:pPr>
        <w:ind w:left="916" w:right="220"/>
        <w:spacing w:after="0" w:line="345" w:lineRule="auto"/>
        <w:rPr>
          <w:sz w:val="20"/>
          <w:szCs w:val="20"/>
          <w:color w:val="auto"/>
        </w:rPr>
      </w:pPr>
      <w:r>
        <w:rPr>
          <w:rFonts w:ascii="Arial" w:cs="Arial" w:eastAsia="Arial" w:hAnsi="Arial"/>
          <w:sz w:val="12"/>
          <w:szCs w:val="12"/>
          <w:color w:val="auto"/>
        </w:rPr>
        <w:t xml:space="preserve">5.2.2. </w:t>
      </w:r>
      <w:r>
        <w:rPr>
          <w:rFonts w:ascii="Arial" w:cs="Arial" w:eastAsia="Arial" w:hAnsi="Arial"/>
          <w:sz w:val="12"/>
          <w:szCs w:val="12"/>
          <w:b w:val="1"/>
          <w:bCs w:val="1"/>
          <w:color w:val="auto"/>
        </w:rPr>
        <w:t>Out-of-Pocket Expenses</w:t>
      </w:r>
      <w:r>
        <w:rPr>
          <w:rFonts w:ascii="Arial" w:cs="Arial" w:eastAsia="Arial" w:hAnsi="Arial"/>
          <w:sz w:val="12"/>
          <w:szCs w:val="12"/>
          <w:color w:val="auto"/>
        </w:rPr>
        <w:t>. During the Research Term, Pfizer shall reimburse MacroGenics’s out-of-pocket costs incurred by MacroGenics and paid to Third Parties in connection with executing the Research Plans, but only to the extent contemplated in the Research Plans or otherwise approved by Pfizer in advance in writing.</w:t>
      </w:r>
    </w:p>
    <w:p>
      <w:pPr>
        <w:ind w:left="916"/>
        <w:spacing w:after="0" w:line="270" w:lineRule="auto"/>
        <w:rPr>
          <w:sz w:val="20"/>
          <w:szCs w:val="20"/>
          <w:color w:val="auto"/>
        </w:rPr>
      </w:pPr>
      <w:r>
        <w:rPr>
          <w:rFonts w:ascii="Arial" w:cs="Arial" w:eastAsia="Arial" w:hAnsi="Arial"/>
          <w:sz w:val="14"/>
          <w:szCs w:val="14"/>
          <w:color w:val="auto"/>
        </w:rPr>
        <w:t xml:space="preserve">5.2.3. </w:t>
      </w:r>
      <w:r>
        <w:rPr>
          <w:rFonts w:ascii="Arial" w:cs="Arial" w:eastAsia="Arial" w:hAnsi="Arial"/>
          <w:sz w:val="14"/>
          <w:szCs w:val="14"/>
          <w:b w:val="1"/>
          <w:bCs w:val="1"/>
          <w:color w:val="auto"/>
        </w:rPr>
        <w:t>Other Expenses</w:t>
      </w:r>
      <w:r>
        <w:rPr>
          <w:rFonts w:ascii="Arial" w:cs="Arial" w:eastAsia="Arial" w:hAnsi="Arial"/>
          <w:sz w:val="14"/>
          <w:szCs w:val="14"/>
          <w:color w:val="auto"/>
        </w:rPr>
        <w:t>. Except as expressly set forth in Section 5.2.1 and Section 5.2.2, MacroGenics shall be solely responsible for all expenses it incurs in performing its obligations under the Research Program.</w:t>
      </w:r>
    </w:p>
    <w:p>
      <w:pPr>
        <w:spacing w:after="0" w:line="35" w:lineRule="exact"/>
        <w:rPr>
          <w:sz w:val="20"/>
          <w:szCs w:val="20"/>
          <w:color w:val="auto"/>
        </w:rPr>
      </w:pPr>
    </w:p>
    <w:p>
      <w:pPr>
        <w:ind w:left="916" w:right="60"/>
        <w:spacing w:after="0" w:line="270" w:lineRule="auto"/>
        <w:rPr>
          <w:sz w:val="20"/>
          <w:szCs w:val="20"/>
          <w:color w:val="auto"/>
        </w:rPr>
      </w:pPr>
      <w:r>
        <w:rPr>
          <w:rFonts w:ascii="Arial" w:cs="Arial" w:eastAsia="Arial" w:hAnsi="Arial"/>
          <w:sz w:val="14"/>
          <w:szCs w:val="14"/>
          <w:color w:val="auto"/>
        </w:rPr>
        <w:t xml:space="preserve">5.2.4. </w:t>
      </w:r>
      <w:r>
        <w:rPr>
          <w:rFonts w:ascii="Arial" w:cs="Arial" w:eastAsia="Arial" w:hAnsi="Arial"/>
          <w:sz w:val="14"/>
          <w:szCs w:val="14"/>
          <w:b w:val="1"/>
          <w:bCs w:val="1"/>
          <w:color w:val="auto"/>
        </w:rPr>
        <w:t>Reimbursement Payments</w:t>
      </w:r>
      <w:r>
        <w:rPr>
          <w:rFonts w:ascii="Arial" w:cs="Arial" w:eastAsia="Arial" w:hAnsi="Arial"/>
          <w:sz w:val="14"/>
          <w:szCs w:val="14"/>
          <w:color w:val="auto"/>
        </w:rPr>
        <w:t xml:space="preserve">. Pfizer shall reimburse MacroGenics for expenses pursuant to Section 5.2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receipt of an invoice issued by MacroGenics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days after the end of each Calendar Quarter.</w:t>
      </w:r>
    </w:p>
    <w:p>
      <w:pPr>
        <w:spacing w:after="0" w:line="35" w:lineRule="exact"/>
        <w:rPr>
          <w:sz w:val="20"/>
          <w:szCs w:val="20"/>
          <w:color w:val="auto"/>
        </w:rPr>
      </w:pPr>
    </w:p>
    <w:p>
      <w:pPr>
        <w:ind w:left="916" w:right="60"/>
        <w:spacing w:after="0" w:line="322" w:lineRule="auto"/>
        <w:rPr>
          <w:sz w:val="20"/>
          <w:szCs w:val="20"/>
          <w:color w:val="auto"/>
        </w:rPr>
      </w:pPr>
      <w:r>
        <w:rPr>
          <w:rFonts w:ascii="Arial" w:cs="Arial" w:eastAsia="Arial" w:hAnsi="Arial"/>
          <w:sz w:val="12"/>
          <w:szCs w:val="12"/>
          <w:color w:val="auto"/>
        </w:rPr>
        <w:t xml:space="preserve">5.2.5. </w:t>
      </w:r>
      <w:r>
        <w:rPr>
          <w:rFonts w:ascii="Arial" w:cs="Arial" w:eastAsia="Arial" w:hAnsi="Arial"/>
          <w:sz w:val="12"/>
          <w:szCs w:val="12"/>
          <w:b w:val="1"/>
          <w:bCs w:val="1"/>
          <w:color w:val="auto"/>
        </w:rPr>
        <w:t>Audit Rights</w:t>
      </w:r>
      <w:r>
        <w:rPr>
          <w:rFonts w:ascii="Arial" w:cs="Arial" w:eastAsia="Arial" w:hAnsi="Arial"/>
          <w:sz w:val="12"/>
          <w:szCs w:val="12"/>
          <w:color w:val="auto"/>
        </w:rPr>
        <w:t>. During the Research Term and for a period of thirty-six (36) months thereafter, MacroGenics shall keep and maintain accurate and complete records showing the time devoted and activities performed by each FTE in performing MacroGenics’s obligations under the Research Program. Upon thirty (30) days prior written notice from Pfizer, MacroGenics shall permit an independent certified public accounting firm of internationally recognized standing selected by Pfizer and reasonably acceptable to MacroGenics, to</w:t>
      </w:r>
    </w:p>
    <w:p>
      <w:pPr>
        <w:spacing w:after="0" w:line="63" w:lineRule="exact"/>
        <w:rPr>
          <w:sz w:val="20"/>
          <w:szCs w:val="20"/>
          <w:color w:val="auto"/>
        </w:rPr>
      </w:pPr>
    </w:p>
    <w:p>
      <w:pPr>
        <w:jc w:val="center"/>
        <w:ind w:right="-55"/>
        <w:spacing w:after="0"/>
        <w:rPr>
          <w:sz w:val="20"/>
          <w:szCs w:val="20"/>
          <w:color w:val="auto"/>
        </w:rPr>
      </w:pPr>
      <w:r>
        <w:rPr>
          <w:rFonts w:ascii="Arial" w:cs="Arial" w:eastAsia="Arial" w:hAnsi="Arial"/>
          <w:sz w:val="14"/>
          <w:szCs w:val="14"/>
          <w:color w:val="auto"/>
        </w:rPr>
        <w:t>31</w:t>
      </w:r>
    </w:p>
    <w:p>
      <w:pPr>
        <w:spacing w:after="0" w:line="12" w:lineRule="exact"/>
        <w:rPr>
          <w:sz w:val="20"/>
          <w:szCs w:val="20"/>
          <w:color w:val="auto"/>
        </w:rPr>
      </w:pPr>
    </w:p>
    <w:p>
      <w:pPr>
        <w:ind w:left="3836" w:right="2660" w:hanging="1135"/>
        <w:spacing w:after="0" w:line="341" w:lineRule="auto"/>
        <w:tabs>
          <w:tab w:leader="none" w:pos="2940" w:val="left"/>
        </w:tabs>
        <w:numPr>
          <w:ilvl w:val="0"/>
          <w:numId w:val="108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16"/>
          </w:cols>
          <w:pgMar w:left="224" w:top="245" w:right="259" w:bottom="1440" w:gutter="0" w:footer="0" w:header="0"/>
        </w:sectPr>
      </w:pPr>
    </w:p>
    <w:bookmarkStart w:id="901" w:name="page902"/>
    <w:bookmarkEnd w:id="901"/>
    <w:p>
      <w:pPr>
        <w:ind w:left="460"/>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examine, at Pfizer’s sole expense, the relevant books and records of MacroGenics as may be reasonably necessary to verify the accuracy of the invoices submitted to Pfizer under Section 5.2.4 for the number of FTEs applied to the performance of MacroGenics’s obligations under the Research Program. An examination by Pfizer under this Section 5.2.5 shall occur not more than once in any Calendar Year and shall be limited to the pertinent books and records for any Calendar Year ending not more than thirty-six (36) months before the date of the request. Such examination shall be conducted during MacroGenics’s normal business hours at MacroGenics’s facility(ies) where such books and records are normally kept. MacroGenics may require the accounting firm to sign a standard non-disclosure agreement before providing the accounting firm access to MacroGenics’s facilities or records. The accounting firm shall provide both MacroGenics and Pfizer a written report disclosing whether the invoices submitted by MacroGenics are correct or incorrect and the specific details concerning any discrepancies. No other information shall be provided to Pfizer. If the accounting firm determines the number of FTEs actually utilized by MacroGenics was materially less than the number funded by Pfizer during the period covered by the audit </w:t>
      </w:r>
      <w:r>
        <w:rPr>
          <w:rFonts w:ascii="Arial" w:cs="Arial" w:eastAsia="Arial" w:hAnsi="Arial"/>
          <w:sz w:val="12"/>
          <w:szCs w:val="12"/>
          <w:b w:val="1"/>
          <w:bCs w:val="1"/>
          <w:color w:val="auto"/>
        </w:rPr>
        <w:t>***</w:t>
      </w:r>
      <w:r>
        <w:rPr>
          <w:rFonts w:ascii="Arial" w:cs="Arial" w:eastAsia="Arial" w:hAnsi="Arial"/>
          <w:sz w:val="12"/>
          <w:szCs w:val="12"/>
          <w:color w:val="auto"/>
        </w:rPr>
        <w:t xml:space="preserve">, MacroGenics shall, at Pfizer’s sole discretion, either (a) refund the excess payments to Pfizer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its receipt of the auditor’s report so concluding or (b) immediately offset all such excess payments against any outstanding or future amounts payable by Pfizer to MacroGenics under this Agreement until Pfizer has received full credit for all such overpayments. Additionally, if the amount to be refunded exceeds more than five percent (5%) of the amount that was properly payable, MacroGenics shall reimburse Pfizer for the cost of the audit.</w:t>
      </w:r>
    </w:p>
    <w:p>
      <w:pPr>
        <w:spacing w:after="0" w:line="25" w:lineRule="exact"/>
        <w:rPr>
          <w:sz w:val="20"/>
          <w:szCs w:val="20"/>
          <w:color w:val="auto"/>
        </w:rPr>
      </w:pPr>
    </w:p>
    <w:p>
      <w:pPr>
        <w:ind w:left="460" w:right="180"/>
        <w:spacing w:after="0" w:line="270" w:lineRule="auto"/>
        <w:rPr>
          <w:sz w:val="20"/>
          <w:szCs w:val="20"/>
          <w:color w:val="auto"/>
        </w:rPr>
      </w:pPr>
      <w:r>
        <w:rPr>
          <w:rFonts w:ascii="Arial" w:cs="Arial" w:eastAsia="Arial" w:hAnsi="Arial"/>
          <w:sz w:val="14"/>
          <w:szCs w:val="14"/>
          <w:color w:val="auto"/>
        </w:rPr>
        <w:t xml:space="preserve">5.2.6. </w:t>
      </w:r>
      <w:r>
        <w:rPr>
          <w:rFonts w:ascii="Arial" w:cs="Arial" w:eastAsia="Arial" w:hAnsi="Arial"/>
          <w:sz w:val="14"/>
          <w:szCs w:val="14"/>
          <w:b w:val="1"/>
          <w:bCs w:val="1"/>
          <w:color w:val="auto"/>
        </w:rPr>
        <w:t>Underpayments/Overpayments</w:t>
      </w:r>
      <w:r>
        <w:rPr>
          <w:rFonts w:ascii="Arial" w:cs="Arial" w:eastAsia="Arial" w:hAnsi="Arial"/>
          <w:sz w:val="14"/>
          <w:szCs w:val="14"/>
          <w:color w:val="auto"/>
        </w:rPr>
        <w:t xml:space="preserve">. If such accounting firm concludes that MacroGenics under-billed Pfizer for such FTEs, Pfizer shall reimburse MacroGenics for such costs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its receipt of the auditor’s report.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b w:val="1"/>
          <w:bCs w:val="1"/>
          <w:color w:val="auto"/>
        </w:rPr>
        <w:t>Milestones</w:t>
      </w:r>
    </w:p>
    <w:p>
      <w:pPr>
        <w:spacing w:after="0" w:line="69" w:lineRule="exact"/>
        <w:rPr>
          <w:sz w:val="20"/>
          <w:szCs w:val="20"/>
          <w:color w:val="auto"/>
        </w:rPr>
      </w:pPr>
    </w:p>
    <w:p>
      <w:pPr>
        <w:ind w:left="460" w:right="60"/>
        <w:spacing w:after="0" w:line="259" w:lineRule="auto"/>
        <w:rPr>
          <w:sz w:val="20"/>
          <w:szCs w:val="20"/>
          <w:color w:val="auto"/>
        </w:rPr>
      </w:pPr>
      <w:r>
        <w:rPr>
          <w:rFonts w:ascii="Arial" w:cs="Arial" w:eastAsia="Arial" w:hAnsi="Arial"/>
          <w:sz w:val="14"/>
          <w:szCs w:val="14"/>
          <w:color w:val="auto"/>
        </w:rPr>
        <w:t xml:space="preserve">5.3.1. </w:t>
      </w:r>
      <w:r>
        <w:rPr>
          <w:rFonts w:ascii="Arial" w:cs="Arial" w:eastAsia="Arial" w:hAnsi="Arial"/>
          <w:sz w:val="14"/>
          <w:szCs w:val="14"/>
          <w:b w:val="1"/>
          <w:bCs w:val="1"/>
          <w:color w:val="auto"/>
        </w:rPr>
        <w:t>Technical Milestones</w:t>
      </w:r>
      <w:r>
        <w:rPr>
          <w:rFonts w:ascii="Arial" w:cs="Arial" w:eastAsia="Arial" w:hAnsi="Arial"/>
          <w:sz w:val="14"/>
          <w:szCs w:val="14"/>
          <w:color w:val="auto"/>
        </w:rPr>
        <w:t xml:space="preserve">. Pfizer shall pay to MacroGenics the amount set forth below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first occurrence of each event (each, a “</w:t>
      </w:r>
      <w:r>
        <w:rPr>
          <w:rFonts w:ascii="Arial" w:cs="Arial" w:eastAsia="Arial" w:hAnsi="Arial"/>
          <w:sz w:val="14"/>
          <w:szCs w:val="14"/>
          <w:b w:val="1"/>
          <w:bCs w:val="1"/>
          <w:color w:val="auto"/>
        </w:rPr>
        <w:t>Technical Milestone</w:t>
      </w:r>
      <w:r>
        <w:rPr>
          <w:rFonts w:ascii="Arial" w:cs="Arial" w:eastAsia="Arial" w:hAnsi="Arial"/>
          <w:sz w:val="14"/>
          <w:szCs w:val="14"/>
          <w:color w:val="auto"/>
        </w:rPr>
        <w:t>”) described below for each Research Project Target, each such amount (a “</w:t>
      </w:r>
      <w:r>
        <w:rPr>
          <w:rFonts w:ascii="Arial" w:cs="Arial" w:eastAsia="Arial" w:hAnsi="Arial"/>
          <w:sz w:val="14"/>
          <w:szCs w:val="14"/>
          <w:b w:val="1"/>
          <w:bCs w:val="1"/>
          <w:color w:val="auto"/>
        </w:rPr>
        <w:t>Technical Milestone Payment</w:t>
      </w:r>
      <w:r>
        <w:rPr>
          <w:rFonts w:ascii="Arial" w:cs="Arial" w:eastAsia="Arial" w:hAnsi="Arial"/>
          <w:sz w:val="14"/>
          <w:szCs w:val="14"/>
          <w:color w:val="auto"/>
        </w:rPr>
        <w:t>”) to be payable only once with respect to each different Research Project Target regardless of how many Agreement T-DARTs binding to such Research Project Target achieve such Technical Milestone.</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960" w:type="dxa"/>
            <w:vAlign w:val="bottom"/>
            <w:vMerge w:val="restart"/>
          </w:tcPr>
          <w:p>
            <w:pPr>
              <w:spacing w:after="0"/>
              <w:rPr>
                <w:sz w:val="20"/>
                <w:szCs w:val="20"/>
                <w:color w:val="auto"/>
              </w:rPr>
            </w:pPr>
            <w:r>
              <w:rPr>
                <w:rFonts w:ascii="Arial" w:cs="Arial" w:eastAsia="Arial" w:hAnsi="Arial"/>
                <w:sz w:val="10"/>
                <w:szCs w:val="10"/>
                <w:b w:val="1"/>
                <w:bCs w:val="1"/>
                <w:color w:val="auto"/>
                <w:w w:val="98"/>
              </w:rPr>
              <w:t>Technical Milestone</w:t>
            </w:r>
          </w:p>
        </w:tc>
        <w:tc>
          <w:tcPr>
            <w:tcW w:w="5940" w:type="dxa"/>
            <w:vAlign w:val="bottom"/>
          </w:tcPr>
          <w:p>
            <w:pPr>
              <w:spacing w:after="0"/>
              <w:rPr>
                <w:sz w:val="10"/>
                <w:szCs w:val="10"/>
                <w:color w:val="auto"/>
              </w:rPr>
            </w:pPr>
          </w:p>
        </w:tc>
        <w:tc>
          <w:tcPr>
            <w:tcW w:w="880" w:type="dxa"/>
            <w:vAlign w:val="bottom"/>
          </w:tcPr>
          <w:p>
            <w:pPr>
              <w:spacing w:after="0"/>
              <w:rPr>
                <w:sz w:val="20"/>
                <w:szCs w:val="20"/>
                <w:color w:val="auto"/>
              </w:rPr>
            </w:pPr>
            <w:r>
              <w:rPr>
                <w:rFonts w:ascii="Arial" w:cs="Arial" w:eastAsia="Arial" w:hAnsi="Arial"/>
                <w:sz w:val="10"/>
                <w:szCs w:val="10"/>
                <w:b w:val="1"/>
                <w:bCs w:val="1"/>
                <w:color w:val="auto"/>
                <w:w w:val="90"/>
              </w:rPr>
              <w:t>Technical Milestone</w:t>
            </w:r>
          </w:p>
        </w:tc>
        <w:tc>
          <w:tcPr>
            <w:tcW w:w="0" w:type="dxa"/>
            <w:vAlign w:val="bottom"/>
          </w:tcPr>
          <w:p>
            <w:pPr>
              <w:spacing w:after="0"/>
              <w:rPr>
                <w:sz w:val="1"/>
                <w:szCs w:val="1"/>
                <w:color w:val="auto"/>
              </w:rPr>
            </w:pPr>
          </w:p>
        </w:tc>
      </w:tr>
      <w:tr>
        <w:trPr>
          <w:trHeight w:val="136"/>
        </w:trPr>
        <w:tc>
          <w:tcPr>
            <w:tcW w:w="960" w:type="dxa"/>
            <w:vAlign w:val="bottom"/>
            <w:tcBorders>
              <w:bottom w:val="single" w:sz="8" w:color="auto"/>
            </w:tcBorders>
            <w:vMerge w:val="continue"/>
          </w:tcPr>
          <w:p>
            <w:pPr>
              <w:spacing w:after="0"/>
              <w:rPr>
                <w:sz w:val="11"/>
                <w:szCs w:val="11"/>
                <w:color w:val="auto"/>
              </w:rPr>
            </w:pPr>
          </w:p>
        </w:tc>
        <w:tc>
          <w:tcPr>
            <w:tcW w:w="5940" w:type="dxa"/>
            <w:vAlign w:val="bottom"/>
          </w:tcPr>
          <w:p>
            <w:pPr>
              <w:spacing w:after="0"/>
              <w:rPr>
                <w:sz w:val="11"/>
                <w:szCs w:val="11"/>
                <w:color w:val="auto"/>
              </w:rPr>
            </w:pPr>
          </w:p>
        </w:tc>
        <w:tc>
          <w:tcPr>
            <w:tcW w:w="880" w:type="dxa"/>
            <w:vAlign w:val="bottom"/>
          </w:tcPr>
          <w:p>
            <w:pPr>
              <w:ind w:left="240"/>
              <w:spacing w:after="0"/>
              <w:rPr>
                <w:sz w:val="20"/>
                <w:szCs w:val="20"/>
                <w:color w:val="auto"/>
              </w:rPr>
            </w:pPr>
            <w:r>
              <w:rPr>
                <w:rFonts w:ascii="Arial" w:cs="Arial" w:eastAsia="Arial" w:hAnsi="Arial"/>
                <w:sz w:val="10"/>
                <w:szCs w:val="10"/>
                <w:b w:val="1"/>
                <w:bCs w:val="1"/>
                <w:color w:val="auto"/>
              </w:rPr>
              <w:t>Payment</w:t>
            </w:r>
          </w:p>
        </w:tc>
        <w:tc>
          <w:tcPr>
            <w:tcW w:w="0" w:type="dxa"/>
            <w:vAlign w:val="bottom"/>
          </w:tcPr>
          <w:p>
            <w:pPr>
              <w:spacing w:after="0"/>
              <w:rPr>
                <w:sz w:val="1"/>
                <w:szCs w:val="1"/>
                <w:color w:val="auto"/>
              </w:rPr>
            </w:pPr>
          </w:p>
        </w:tc>
      </w:tr>
      <w:tr>
        <w:trPr>
          <w:trHeight w:val="148"/>
        </w:trPr>
        <w:tc>
          <w:tcPr>
            <w:tcW w:w="9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59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20"/>
                <w:szCs w:val="20"/>
                <w:color w:val="auto"/>
              </w:rPr>
            </w:pPr>
            <w:r>
              <w:rPr>
                <w:rFonts w:ascii="Arial" w:cs="Arial" w:eastAsia="Arial" w:hAnsi="Arial"/>
                <w:sz w:val="14"/>
                <w:szCs w:val="14"/>
                <w:color w:val="auto"/>
              </w:rPr>
              <w:t>***</w:t>
            </w:r>
          </w:p>
        </w:tc>
        <w:tc>
          <w:tcPr>
            <w:tcW w:w="6820" w:type="dxa"/>
            <w:vAlign w:val="bottom"/>
            <w:gridSpan w:val="2"/>
          </w:tcPr>
          <w:p>
            <w:pPr>
              <w:ind w:left="5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20" w:type="dxa"/>
            <w:vAlign w:val="bottom"/>
            <w:gridSpan w:val="2"/>
            <w:shd w:val="clear" w:color="auto" w:fill="CCEEFF"/>
          </w:tcPr>
          <w:p>
            <w:pPr>
              <w:ind w:left="5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32</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9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7" w:right="219" w:bottom="1440" w:gutter="0" w:footer="0" w:header="0"/>
        </w:sectPr>
      </w:pPr>
    </w:p>
    <w:bookmarkStart w:id="902" w:name="page903"/>
    <w:bookmarkEnd w:id="902"/>
    <w:p>
      <w:pPr>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If the Technical Milestone set forth in Section 5.3.1(c) is achieved prior to the achievement of the Technical Milestone set forth in Section 5.3.1(a) and/or 5.3.1(b), then the unpaid Technical Milestone Payment set forth in Section 5.3.1(a) and/or 5.3.1(b) shall be due and payable simultaneously with the payment for achievement of the milestone set forth in Section 5.3.1(c). For the avoidance of doubt, in the event that the Technical Milestone set forth in Section 5.3.1(b) is achieved prior to the achievement of the Technical Milestone set forth in Section 5.3.1(a), the Technical Milestone Payment set forth in Section 5.3.1(a) shall not be due or payable simultaneously with the Technical Milestone Payment for achievement of the Technical Milestone set forth in Section 5.3.1(b), but instead shall only be due and payable upon achievement of Technical Milestone Payment set forth in Section 5.3.1(a) or Section 5.3.1.(c).</w:t>
      </w:r>
    </w:p>
    <w:p>
      <w:pPr>
        <w:spacing w:after="0" w:line="20" w:lineRule="exact"/>
        <w:rPr>
          <w:sz w:val="20"/>
          <w:szCs w:val="20"/>
          <w:color w:val="auto"/>
        </w:rPr>
      </w:pPr>
    </w:p>
    <w:p>
      <w:pPr>
        <w:ind w:right="100"/>
        <w:spacing w:after="0" w:line="322" w:lineRule="auto"/>
        <w:rPr>
          <w:sz w:val="20"/>
          <w:szCs w:val="20"/>
          <w:color w:val="auto"/>
        </w:rPr>
      </w:pPr>
      <w:r>
        <w:rPr>
          <w:rFonts w:ascii="Arial" w:cs="Arial" w:eastAsia="Arial" w:hAnsi="Arial"/>
          <w:sz w:val="12"/>
          <w:szCs w:val="12"/>
          <w:color w:val="auto"/>
        </w:rPr>
        <w:t xml:space="preserve">5.3.2. </w:t>
      </w:r>
      <w:r>
        <w:rPr>
          <w:rFonts w:ascii="Arial" w:cs="Arial" w:eastAsia="Arial" w:hAnsi="Arial"/>
          <w:sz w:val="12"/>
          <w:szCs w:val="12"/>
          <w:b w:val="1"/>
          <w:bCs w:val="1"/>
          <w:color w:val="auto"/>
        </w:rPr>
        <w:t>Development Milestones</w:t>
      </w:r>
      <w:r>
        <w:rPr>
          <w:rFonts w:ascii="Arial" w:cs="Arial" w:eastAsia="Arial" w:hAnsi="Arial"/>
          <w:sz w:val="12"/>
          <w:szCs w:val="12"/>
          <w:color w:val="auto"/>
        </w:rPr>
        <w:t xml:space="preserve">. Pfizer shall pay to MacroGenics the amount set forth below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days following the first occurrence of each event (each, a “</w:t>
      </w:r>
      <w:r>
        <w:rPr>
          <w:rFonts w:ascii="Arial" w:cs="Arial" w:eastAsia="Arial" w:hAnsi="Arial"/>
          <w:sz w:val="12"/>
          <w:szCs w:val="12"/>
          <w:b w:val="1"/>
          <w:bCs w:val="1"/>
          <w:color w:val="auto"/>
        </w:rPr>
        <w:t>Development Milestone</w:t>
      </w:r>
      <w:r>
        <w:rPr>
          <w:rFonts w:ascii="Arial" w:cs="Arial" w:eastAsia="Arial" w:hAnsi="Arial"/>
          <w:sz w:val="12"/>
          <w:szCs w:val="12"/>
          <w:color w:val="auto"/>
        </w:rPr>
        <w:t>”) described below for each Research Project Target, each such amount (a “</w:t>
      </w:r>
      <w:r>
        <w:rPr>
          <w:rFonts w:ascii="Arial" w:cs="Arial" w:eastAsia="Arial" w:hAnsi="Arial"/>
          <w:sz w:val="12"/>
          <w:szCs w:val="12"/>
          <w:b w:val="1"/>
          <w:bCs w:val="1"/>
          <w:color w:val="auto"/>
        </w:rPr>
        <w:t>Development Milestone Payment</w:t>
      </w:r>
      <w:r>
        <w:rPr>
          <w:rFonts w:ascii="Arial" w:cs="Arial" w:eastAsia="Arial" w:hAnsi="Arial"/>
          <w:sz w:val="12"/>
          <w:szCs w:val="12"/>
          <w:color w:val="auto"/>
        </w:rPr>
        <w:t>”) to be payable only once with respect to each different Research Project Target regardless of how many Agreement T-DARTs binding to such Research Project Target achieve such Development Milestone.</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w w:val="98"/>
              </w:rPr>
              <w:t>Development Milestone</w:t>
            </w:r>
          </w:p>
        </w:tc>
        <w:tc>
          <w:tcPr>
            <w:tcW w:w="56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w w:val="91"/>
              </w:rPr>
              <w:t>Development Milestone</w:t>
            </w:r>
          </w:p>
        </w:tc>
        <w:tc>
          <w:tcPr>
            <w:tcW w:w="0" w:type="dxa"/>
            <w:vAlign w:val="bottom"/>
          </w:tcPr>
          <w:p>
            <w:pPr>
              <w:spacing w:after="0"/>
              <w:rPr>
                <w:sz w:val="1"/>
                <w:szCs w:val="1"/>
                <w:color w:val="auto"/>
              </w:rPr>
            </w:pPr>
          </w:p>
        </w:tc>
      </w:tr>
      <w:tr>
        <w:trPr>
          <w:trHeight w:val="136"/>
        </w:trPr>
        <w:tc>
          <w:tcPr>
            <w:tcW w:w="1120" w:type="dxa"/>
            <w:vAlign w:val="bottom"/>
            <w:tcBorders>
              <w:bottom w:val="single" w:sz="8" w:color="auto"/>
            </w:tcBorders>
            <w:vMerge w:val="continue"/>
          </w:tcPr>
          <w:p>
            <w:pPr>
              <w:spacing w:after="0"/>
              <w:rPr>
                <w:sz w:val="11"/>
                <w:szCs w:val="11"/>
                <w:color w:val="auto"/>
              </w:rPr>
            </w:pPr>
          </w:p>
        </w:tc>
        <w:tc>
          <w:tcPr>
            <w:tcW w:w="5620" w:type="dxa"/>
            <w:vAlign w:val="bottom"/>
          </w:tcPr>
          <w:p>
            <w:pPr>
              <w:spacing w:after="0"/>
              <w:rPr>
                <w:sz w:val="11"/>
                <w:szCs w:val="11"/>
                <w:color w:val="auto"/>
              </w:rPr>
            </w:pPr>
          </w:p>
        </w:tc>
        <w:tc>
          <w:tcPr>
            <w:tcW w:w="1040" w:type="dxa"/>
            <w:vAlign w:val="bottom"/>
          </w:tcPr>
          <w:p>
            <w:pPr>
              <w:jc w:val="right"/>
              <w:ind w:right="263"/>
              <w:spacing w:after="0"/>
              <w:rPr>
                <w:sz w:val="20"/>
                <w:szCs w:val="20"/>
                <w:color w:val="auto"/>
              </w:rPr>
            </w:pPr>
            <w:r>
              <w:rPr>
                <w:rFonts w:ascii="Arial" w:cs="Arial" w:eastAsia="Arial" w:hAnsi="Arial"/>
                <w:sz w:val="10"/>
                <w:szCs w:val="10"/>
                <w:b w:val="1"/>
                <w:bCs w:val="1"/>
                <w:color w:val="auto"/>
              </w:rPr>
              <w:t>Payment</w:t>
            </w:r>
          </w:p>
        </w:tc>
        <w:tc>
          <w:tcPr>
            <w:tcW w:w="0" w:type="dxa"/>
            <w:vAlign w:val="bottom"/>
          </w:tcPr>
          <w:p>
            <w:pPr>
              <w:spacing w:after="0"/>
              <w:rPr>
                <w:sz w:val="1"/>
                <w:szCs w:val="1"/>
                <w:color w:val="auto"/>
              </w:rPr>
            </w:pPr>
          </w:p>
        </w:tc>
      </w:tr>
      <w:tr>
        <w:trPr>
          <w:trHeight w:val="148"/>
        </w:trPr>
        <w:tc>
          <w:tcPr>
            <w:tcW w:w="11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56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783"/>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color w:val="auto"/>
              </w:rPr>
              <w:t>***</w:t>
            </w:r>
          </w:p>
        </w:tc>
        <w:tc>
          <w:tcPr>
            <w:tcW w:w="6660" w:type="dxa"/>
            <w:vAlign w:val="bottom"/>
            <w:gridSpan w:val="2"/>
          </w:tcPr>
          <w:p>
            <w:pPr>
              <w:jc w:val="right"/>
              <w:ind w:right="78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60" w:type="dxa"/>
            <w:vAlign w:val="bottom"/>
            <w:gridSpan w:val="2"/>
            <w:shd w:val="clear" w:color="auto" w:fill="CCEEFF"/>
          </w:tcPr>
          <w:p>
            <w:pPr>
              <w:jc w:val="right"/>
              <w:ind w:right="78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color w:val="auto"/>
              </w:rPr>
              <w:t>***</w:t>
            </w:r>
          </w:p>
        </w:tc>
        <w:tc>
          <w:tcPr>
            <w:tcW w:w="6660" w:type="dxa"/>
            <w:vAlign w:val="bottom"/>
            <w:gridSpan w:val="2"/>
          </w:tcPr>
          <w:p>
            <w:pPr>
              <w:jc w:val="right"/>
              <w:ind w:right="78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60" w:type="dxa"/>
            <w:vAlign w:val="bottom"/>
            <w:gridSpan w:val="2"/>
            <w:shd w:val="clear" w:color="auto" w:fill="CCEEFF"/>
          </w:tcPr>
          <w:p>
            <w:pPr>
              <w:jc w:val="right"/>
              <w:ind w:right="78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1120" w:type="dxa"/>
            <w:vAlign w:val="bottom"/>
          </w:tcPr>
          <w:p>
            <w:pPr>
              <w:spacing w:after="0"/>
              <w:rPr>
                <w:sz w:val="20"/>
                <w:szCs w:val="20"/>
                <w:color w:val="auto"/>
              </w:rPr>
            </w:pPr>
            <w:r>
              <w:rPr>
                <w:rFonts w:ascii="Arial" w:cs="Arial" w:eastAsia="Arial" w:hAnsi="Arial"/>
                <w:sz w:val="14"/>
                <w:szCs w:val="14"/>
                <w:color w:val="auto"/>
              </w:rPr>
              <w:t>***</w:t>
            </w:r>
          </w:p>
        </w:tc>
        <w:tc>
          <w:tcPr>
            <w:tcW w:w="6660" w:type="dxa"/>
            <w:vAlign w:val="bottom"/>
            <w:gridSpan w:val="2"/>
          </w:tcPr>
          <w:p>
            <w:pPr>
              <w:jc w:val="right"/>
              <w:ind w:right="78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60"/>
        <w:spacing w:after="0" w:line="292" w:lineRule="auto"/>
        <w:rPr>
          <w:sz w:val="20"/>
          <w:szCs w:val="20"/>
          <w:color w:val="auto"/>
        </w:rPr>
      </w:pPr>
      <w:r>
        <w:rPr>
          <w:rFonts w:ascii="Arial" w:cs="Arial" w:eastAsia="Arial" w:hAnsi="Arial"/>
          <w:sz w:val="12"/>
          <w:szCs w:val="12"/>
          <w:color w:val="auto"/>
        </w:rPr>
        <w:t>If the Development Milestone set forth in Section 5.3.2(b) is achieved prior to the achievement of the milestone set forth in Section 5.3.2(a), then the Development Milestone Payment set forth in Section 5.3.2(a) shall be due and payable simultaneously with the Development Milestone Payment for achievement of the Development Milestone set forth in Section 5.3.2(b); if the Development Milestone set forth in Section 5.3.2(c) is achieved prior to the achievement of the Development Milestone set forth in Section 5.3.2(a) and/or 5.3.2(b), then the unpaid Development Milestone Payment set forth in Section 5.3.2(a) and/or 5.3.2(b) shall be due and payable simultaneously with the payment for achievement of the milestone set forth in Section 5.3.2(c); if the Development Milestone set forth in Section 5.3.2(d), (e) or (f) is achieved prior to the achievement of the Development Milestone set forth in Section 5.3.2(a), 5.3.2(b) and/or</w:t>
      </w:r>
    </w:p>
    <w:p>
      <w:pPr>
        <w:spacing w:after="0" w:line="2"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5.3.2(c), then the unpaid Development Milestone Payment set forth in Section 5.3.2(a), 5.3.2(b) and/or 5.3.2(c) shall be due and payable simultaneously with the Development Milestone Payment for achievement of the milestone set forth in Section 5.3.2(d), (e) or (f).</w:t>
      </w:r>
    </w:p>
    <w:p>
      <w:pPr>
        <w:spacing w:after="0" w:line="9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33</w:t>
      </w:r>
    </w:p>
    <w:p>
      <w:pPr>
        <w:spacing w:after="0" w:line="12" w:lineRule="exact"/>
        <w:rPr>
          <w:sz w:val="20"/>
          <w:szCs w:val="20"/>
          <w:color w:val="auto"/>
        </w:rPr>
      </w:pPr>
    </w:p>
    <w:p>
      <w:pPr>
        <w:ind w:left="2920" w:right="2640" w:hanging="1135"/>
        <w:spacing w:after="0" w:line="341" w:lineRule="auto"/>
        <w:tabs>
          <w:tab w:leader="none" w:pos="2024" w:val="left"/>
        </w:tabs>
        <w:numPr>
          <w:ilvl w:val="0"/>
          <w:numId w:val="109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480"/>
          </w:cols>
          <w:pgMar w:left="1140" w:top="247" w:right="279" w:bottom="1440" w:gutter="0" w:footer="0" w:header="0"/>
        </w:sectPr>
      </w:pPr>
    </w:p>
    <w:bookmarkStart w:id="903" w:name="page904"/>
    <w:bookmarkEnd w:id="903"/>
    <w:p>
      <w:pPr>
        <w:ind w:left="460" w:right="8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5.3.3. </w:t>
      </w:r>
      <w:r>
        <w:rPr>
          <w:rFonts w:ascii="Arial" w:cs="Arial" w:eastAsia="Arial" w:hAnsi="Arial"/>
          <w:sz w:val="14"/>
          <w:szCs w:val="14"/>
          <w:b w:val="1"/>
          <w:bCs w:val="1"/>
          <w:color w:val="auto"/>
        </w:rPr>
        <w:t>Sales Milestones</w:t>
      </w:r>
      <w:r>
        <w:rPr>
          <w:rFonts w:ascii="Arial" w:cs="Arial" w:eastAsia="Arial" w:hAnsi="Arial"/>
          <w:sz w:val="14"/>
          <w:szCs w:val="14"/>
          <w:color w:val="auto"/>
        </w:rPr>
        <w:t>. Pfizer shall pay to MacroGenics the following one-time payments (each, a “</w:t>
      </w:r>
      <w:r>
        <w:rPr>
          <w:rFonts w:ascii="Arial" w:cs="Arial" w:eastAsia="Arial" w:hAnsi="Arial"/>
          <w:sz w:val="14"/>
          <w:szCs w:val="14"/>
          <w:b w:val="1"/>
          <w:bCs w:val="1"/>
          <w:color w:val="auto"/>
        </w:rPr>
        <w:t>Sales Milestone Payment</w:t>
      </w:r>
      <w:r>
        <w:rPr>
          <w:rFonts w:ascii="Arial" w:cs="Arial" w:eastAsia="Arial" w:hAnsi="Arial"/>
          <w:sz w:val="14"/>
          <w:szCs w:val="14"/>
          <w:color w:val="auto"/>
        </w:rPr>
        <w:t>”) when aggregate Annual Net Sales of all Agreement Product in a Pfizer Year first reach the respective threshold (a “</w:t>
      </w:r>
      <w:r>
        <w:rPr>
          <w:rFonts w:ascii="Arial" w:cs="Arial" w:eastAsia="Arial" w:hAnsi="Arial"/>
          <w:sz w:val="14"/>
          <w:szCs w:val="14"/>
          <w:b w:val="1"/>
          <w:bCs w:val="1"/>
          <w:color w:val="auto"/>
        </w:rPr>
        <w:t>Sales Threshold</w:t>
      </w:r>
      <w:r>
        <w:rPr>
          <w:rFonts w:ascii="Arial" w:cs="Arial" w:eastAsia="Arial" w:hAnsi="Arial"/>
          <w:sz w:val="14"/>
          <w:szCs w:val="14"/>
          <w:color w:val="auto"/>
        </w:rPr>
        <w:t>”) indicated below (each, a “</w:t>
      </w:r>
      <w:r>
        <w:rPr>
          <w:rFonts w:ascii="Arial" w:cs="Arial" w:eastAsia="Arial" w:hAnsi="Arial"/>
          <w:sz w:val="14"/>
          <w:szCs w:val="14"/>
          <w:b w:val="1"/>
          <w:bCs w:val="1"/>
          <w:color w:val="auto"/>
        </w:rPr>
        <w:t>Sales Milestone</w:t>
      </w:r>
      <w:r>
        <w:rPr>
          <w:rFonts w:ascii="Arial" w:cs="Arial" w:eastAsia="Arial" w:hAnsi="Arial"/>
          <w:sz w:val="14"/>
          <w:szCs w:val="14"/>
          <w:color w:val="auto"/>
        </w:rPr>
        <w:t>”):</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146"/>
        </w:trPr>
        <w:tc>
          <w:tcPr>
            <w:tcW w:w="1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7"/>
              </w:rPr>
              <w:t>Total Annual Net Sales</w:t>
            </w:r>
          </w:p>
        </w:tc>
        <w:tc>
          <w:tcPr>
            <w:tcW w:w="7420" w:type="dxa"/>
            <w:vAlign w:val="bottom"/>
          </w:tcPr>
          <w:p>
            <w:pPr>
              <w:spacing w:after="0"/>
              <w:rPr>
                <w:sz w:val="12"/>
                <w:szCs w:val="12"/>
                <w:color w:val="auto"/>
              </w:rPr>
            </w:pPr>
          </w:p>
        </w:tc>
        <w:tc>
          <w:tcPr>
            <w:tcW w:w="1120" w:type="dxa"/>
            <w:vAlign w:val="bottom"/>
          </w:tcPr>
          <w:p>
            <w:pPr>
              <w:ind w:left="20"/>
              <w:spacing w:after="0"/>
              <w:rPr>
                <w:sz w:val="20"/>
                <w:szCs w:val="20"/>
                <w:color w:val="auto"/>
              </w:rPr>
            </w:pPr>
            <w:r>
              <w:rPr>
                <w:rFonts w:ascii="Arial" w:cs="Arial" w:eastAsia="Arial" w:hAnsi="Arial"/>
                <w:sz w:val="10"/>
                <w:szCs w:val="10"/>
                <w:b w:val="1"/>
                <w:bCs w:val="1"/>
                <w:color w:val="auto"/>
                <w:w w:val="90"/>
              </w:rPr>
              <w:t>Sales Milestone Payment</w:t>
            </w:r>
          </w:p>
        </w:tc>
      </w:tr>
      <w:tr>
        <w:trPr>
          <w:trHeight w:val="148"/>
        </w:trPr>
        <w:tc>
          <w:tcPr>
            <w:tcW w:w="850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color w:val="auto"/>
              </w:rPr>
              <w:t xml:space="preserve">Total Annual Net Sales exceeding </w:t>
            </w: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r>
      <w:tr>
        <w:trPr>
          <w:trHeight w:val="167"/>
        </w:trPr>
        <w:tc>
          <w:tcPr>
            <w:tcW w:w="8500" w:type="dxa"/>
            <w:vAlign w:val="bottom"/>
            <w:gridSpan w:val="2"/>
          </w:tcPr>
          <w:p>
            <w:pPr>
              <w:spacing w:after="0"/>
              <w:rPr>
                <w:sz w:val="20"/>
                <w:szCs w:val="20"/>
                <w:color w:val="auto"/>
              </w:rPr>
            </w:pPr>
            <w:r>
              <w:rPr>
                <w:rFonts w:ascii="Arial" w:cs="Arial" w:eastAsia="Arial" w:hAnsi="Arial"/>
                <w:sz w:val="14"/>
                <w:szCs w:val="14"/>
                <w:color w:val="auto"/>
              </w:rPr>
              <w:t xml:space="preserve">Total Annual Net Sales exceeding </w:t>
            </w:r>
            <w:r>
              <w:rPr>
                <w:rFonts w:ascii="Arial" w:cs="Arial" w:eastAsia="Arial" w:hAnsi="Arial"/>
                <w:sz w:val="14"/>
                <w:szCs w:val="14"/>
                <w:b w:val="1"/>
                <w:bCs w:val="1"/>
                <w:color w:val="auto"/>
              </w:rPr>
              <w:t>***</w:t>
            </w:r>
          </w:p>
        </w:tc>
        <w:tc>
          <w:tcPr>
            <w:tcW w:w="1120" w:type="dxa"/>
            <w:vAlign w:val="bottom"/>
          </w:tcPr>
          <w:p>
            <w:pPr>
              <w:spacing w:after="0"/>
              <w:rPr>
                <w:sz w:val="20"/>
                <w:szCs w:val="20"/>
                <w:color w:val="auto"/>
              </w:rPr>
            </w:pPr>
            <w:r>
              <w:rPr>
                <w:rFonts w:ascii="Arial" w:cs="Arial" w:eastAsia="Arial" w:hAnsi="Arial"/>
                <w:sz w:val="14"/>
                <w:szCs w:val="14"/>
                <w:color w:val="auto"/>
              </w:rPr>
              <w:t>***</w:t>
            </w:r>
          </w:p>
        </w:tc>
      </w:tr>
      <w:tr>
        <w:trPr>
          <w:trHeight w:val="167"/>
        </w:trPr>
        <w:tc>
          <w:tcPr>
            <w:tcW w:w="8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Total Annual Net Sales exceeding </w:t>
            </w:r>
            <w:r>
              <w:rPr>
                <w:rFonts w:ascii="Arial" w:cs="Arial" w:eastAsia="Arial" w:hAnsi="Arial"/>
                <w:sz w:val="14"/>
                <w:szCs w:val="14"/>
                <w:b w:val="1"/>
                <w:bCs w:val="1"/>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r>
      <w:tr>
        <w:trPr>
          <w:trHeight w:val="175"/>
        </w:trPr>
        <w:tc>
          <w:tcPr>
            <w:tcW w:w="8500" w:type="dxa"/>
            <w:vAlign w:val="bottom"/>
            <w:gridSpan w:val="2"/>
          </w:tcPr>
          <w:p>
            <w:pPr>
              <w:spacing w:after="0"/>
              <w:rPr>
                <w:sz w:val="20"/>
                <w:szCs w:val="20"/>
                <w:color w:val="auto"/>
              </w:rPr>
            </w:pPr>
            <w:r>
              <w:rPr>
                <w:rFonts w:ascii="Arial" w:cs="Arial" w:eastAsia="Arial" w:hAnsi="Arial"/>
                <w:sz w:val="14"/>
                <w:szCs w:val="14"/>
                <w:color w:val="auto"/>
              </w:rPr>
              <w:t xml:space="preserve">Total Annual Net Sales exceeding </w:t>
            </w:r>
            <w:r>
              <w:rPr>
                <w:rFonts w:ascii="Arial" w:cs="Arial" w:eastAsia="Arial" w:hAnsi="Arial"/>
                <w:sz w:val="14"/>
                <w:szCs w:val="14"/>
                <w:b w:val="1"/>
                <w:bCs w:val="1"/>
                <w:color w:val="auto"/>
              </w:rPr>
              <w:t>***</w:t>
            </w:r>
          </w:p>
        </w:tc>
        <w:tc>
          <w:tcPr>
            <w:tcW w:w="1120" w:type="dxa"/>
            <w:vAlign w:val="bottom"/>
          </w:tcPr>
          <w:p>
            <w:pPr>
              <w:spacing w:after="0"/>
              <w:rPr>
                <w:sz w:val="20"/>
                <w:szCs w:val="20"/>
                <w:color w:val="auto"/>
              </w:rPr>
            </w:pPr>
            <w:r>
              <w:rPr>
                <w:rFonts w:ascii="Arial" w:cs="Arial" w:eastAsia="Arial" w:hAnsi="Arial"/>
                <w:sz w:val="14"/>
                <w:szCs w:val="14"/>
                <w:color w:val="auto"/>
              </w:rPr>
              <w:t>***</w:t>
            </w:r>
          </w:p>
        </w:tc>
      </w:tr>
    </w:tbl>
    <w:p>
      <w:pPr>
        <w:spacing w:after="0" w:line="47" w:lineRule="exact"/>
        <w:rPr>
          <w:sz w:val="20"/>
          <w:szCs w:val="20"/>
          <w:color w:val="auto"/>
        </w:rPr>
      </w:pPr>
    </w:p>
    <w:p>
      <w:pPr>
        <w:ind w:left="460" w:right="280"/>
        <w:spacing w:after="0" w:line="321" w:lineRule="auto"/>
        <w:rPr>
          <w:sz w:val="20"/>
          <w:szCs w:val="20"/>
          <w:color w:val="auto"/>
        </w:rPr>
      </w:pPr>
      <w:r>
        <w:rPr>
          <w:rFonts w:ascii="Arial" w:cs="Arial" w:eastAsia="Arial" w:hAnsi="Arial"/>
          <w:sz w:val="12"/>
          <w:szCs w:val="12"/>
          <w:color w:val="auto"/>
        </w:rPr>
        <w:t>If more than one unmet Sales Threshold is achieved with respect to the same Pfizer Year, payment will be made with respect to the higher or highest Sales Threshold achieved in such Pfizer Year and all other previously unmet Sales Thresholds achieved with respect to such Pfizer Year will remain eligible to be met in future Pfizer Years. Any Sales Milestone Payment shall be payable by Pfizer with respect to any Pfizer Year shall be payable within sixty (60) days of the end of such Pfizer Year in the 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b w:val="1"/>
          <w:bCs w:val="1"/>
          <w:color w:val="auto"/>
        </w:rPr>
        <w:t>Royalties</w:t>
      </w:r>
      <w:r>
        <w:rPr>
          <w:rFonts w:ascii="Arial" w:cs="Arial" w:eastAsia="Arial" w:hAnsi="Arial"/>
          <w:sz w:val="12"/>
          <w:szCs w:val="12"/>
          <w:color w:val="auto"/>
        </w:rPr>
        <w:t>. Subject to the provisions of Section 5.4.3, Pfizer shall pay MacroGenics royalties in the amount of the rates (“</w:t>
      </w:r>
      <w:r>
        <w:rPr>
          <w:rFonts w:ascii="Arial" w:cs="Arial" w:eastAsia="Arial" w:hAnsi="Arial"/>
          <w:sz w:val="12"/>
          <w:szCs w:val="12"/>
          <w:b w:val="1"/>
          <w:bCs w:val="1"/>
          <w:color w:val="auto"/>
        </w:rPr>
        <w:t>Marginal Royalty Rates</w:t>
      </w:r>
      <w:r>
        <w:rPr>
          <w:rFonts w:ascii="Arial" w:cs="Arial" w:eastAsia="Arial" w:hAnsi="Arial"/>
          <w:sz w:val="12"/>
          <w:szCs w:val="12"/>
          <w:color w:val="auto"/>
        </w:rPr>
        <w:t>”) set forth below of Annual Net Sales of any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Agreement Product during the Royalty Term:</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80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1020" w:type="dxa"/>
            <w:vAlign w:val="bottom"/>
          </w:tcPr>
          <w:p>
            <w:pPr>
              <w:spacing w:after="0"/>
              <w:rPr>
                <w:sz w:val="20"/>
                <w:szCs w:val="20"/>
                <w:color w:val="auto"/>
              </w:rPr>
            </w:pPr>
            <w:r>
              <w:rPr>
                <w:rFonts w:ascii="Arial" w:cs="Arial" w:eastAsia="Arial" w:hAnsi="Arial"/>
                <w:sz w:val="10"/>
                <w:szCs w:val="10"/>
                <w:b w:val="1"/>
                <w:bCs w:val="1"/>
                <w:color w:val="auto"/>
                <w:w w:val="95"/>
              </w:rPr>
              <w:t>Marginal Royalty Rate</w:t>
            </w:r>
          </w:p>
        </w:tc>
        <w:tc>
          <w:tcPr>
            <w:tcW w:w="0" w:type="dxa"/>
            <w:vAlign w:val="bottom"/>
          </w:tcPr>
          <w:p>
            <w:pPr>
              <w:spacing w:after="0"/>
              <w:rPr>
                <w:sz w:val="1"/>
                <w:szCs w:val="1"/>
                <w:color w:val="auto"/>
              </w:rPr>
            </w:pPr>
          </w:p>
        </w:tc>
      </w:tr>
      <w:tr>
        <w:trPr>
          <w:trHeight w:val="115"/>
        </w:trPr>
        <w:tc>
          <w:tcPr>
            <w:tcW w:w="800" w:type="dxa"/>
            <w:vAlign w:val="bottom"/>
            <w:vMerge w:val="restart"/>
          </w:tcPr>
          <w:p>
            <w:pPr>
              <w:spacing w:after="0"/>
              <w:rPr>
                <w:sz w:val="20"/>
                <w:szCs w:val="20"/>
                <w:color w:val="auto"/>
              </w:rPr>
            </w:pPr>
            <w:r>
              <w:rPr>
                <w:rFonts w:ascii="Arial" w:cs="Arial" w:eastAsia="Arial" w:hAnsi="Arial"/>
                <w:sz w:val="10"/>
                <w:szCs w:val="10"/>
                <w:b w:val="1"/>
                <w:bCs w:val="1"/>
                <w:color w:val="auto"/>
                <w:w w:val="95"/>
              </w:rPr>
              <w:t>Annual Net Sales</w:t>
            </w:r>
          </w:p>
        </w:tc>
        <w:tc>
          <w:tcPr>
            <w:tcW w:w="7800" w:type="dxa"/>
            <w:vAlign w:val="bottom"/>
            <w:vMerge w:val="restart"/>
          </w:tcPr>
          <w:p>
            <w:pPr>
              <w:spacing w:after="0"/>
              <w:rPr>
                <w:sz w:val="9"/>
                <w:szCs w:val="9"/>
                <w:color w:val="auto"/>
              </w:rPr>
            </w:pPr>
          </w:p>
        </w:tc>
        <w:tc>
          <w:tcPr>
            <w:tcW w:w="1020" w:type="dxa"/>
            <w:vAlign w:val="bottom"/>
          </w:tcPr>
          <w:p>
            <w:pPr>
              <w:ind w:left="360"/>
              <w:spacing w:after="0"/>
              <w:rPr>
                <w:sz w:val="20"/>
                <w:szCs w:val="20"/>
                <w:color w:val="auto"/>
              </w:rPr>
            </w:pPr>
            <w:r>
              <w:rPr>
                <w:rFonts w:ascii="Arial" w:cs="Arial" w:eastAsia="Arial" w:hAnsi="Arial"/>
                <w:sz w:val="10"/>
                <w:szCs w:val="10"/>
                <w:b w:val="1"/>
                <w:bCs w:val="1"/>
                <w:color w:val="auto"/>
              </w:rPr>
              <w:t>(% of</w:t>
            </w:r>
          </w:p>
        </w:tc>
        <w:tc>
          <w:tcPr>
            <w:tcW w:w="0" w:type="dxa"/>
            <w:vAlign w:val="bottom"/>
          </w:tcPr>
          <w:p>
            <w:pPr>
              <w:spacing w:after="0"/>
              <w:rPr>
                <w:sz w:val="1"/>
                <w:szCs w:val="1"/>
                <w:color w:val="auto"/>
              </w:rPr>
            </w:pPr>
          </w:p>
        </w:tc>
      </w:tr>
      <w:tr>
        <w:trPr>
          <w:trHeight w:val="136"/>
        </w:trPr>
        <w:tc>
          <w:tcPr>
            <w:tcW w:w="800" w:type="dxa"/>
            <w:vAlign w:val="bottom"/>
            <w:tcBorders>
              <w:bottom w:val="single" w:sz="8" w:color="auto"/>
            </w:tcBorders>
            <w:vMerge w:val="continue"/>
          </w:tcPr>
          <w:p>
            <w:pPr>
              <w:spacing w:after="0"/>
              <w:rPr>
                <w:sz w:val="11"/>
                <w:szCs w:val="11"/>
                <w:color w:val="auto"/>
              </w:rPr>
            </w:pPr>
          </w:p>
        </w:tc>
        <w:tc>
          <w:tcPr>
            <w:tcW w:w="7800" w:type="dxa"/>
            <w:vAlign w:val="bottom"/>
            <w:vMerge w:val="continue"/>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0"/>
                <w:szCs w:val="10"/>
                <w:b w:val="1"/>
                <w:bCs w:val="1"/>
                <w:color w:val="auto"/>
                <w:w w:val="95"/>
              </w:rPr>
              <w:t>the Annual Net Sales)</w:t>
            </w:r>
          </w:p>
        </w:tc>
        <w:tc>
          <w:tcPr>
            <w:tcW w:w="0" w:type="dxa"/>
            <w:vAlign w:val="bottom"/>
          </w:tcPr>
          <w:p>
            <w:pPr>
              <w:spacing w:after="0"/>
              <w:rPr>
                <w:sz w:val="1"/>
                <w:szCs w:val="1"/>
                <w:color w:val="auto"/>
              </w:rPr>
            </w:pPr>
          </w:p>
        </w:tc>
      </w:tr>
      <w:tr>
        <w:trPr>
          <w:trHeight w:val="148"/>
        </w:trPr>
        <w:tc>
          <w:tcPr>
            <w:tcW w:w="860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color w:val="auto"/>
              </w:rPr>
              <w:t xml:space="preserve">Annual Net Sales of such Agreement Product during a given Pfizer Year above $0, up to and including </w:t>
            </w: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600" w:type="dxa"/>
            <w:vAlign w:val="bottom"/>
            <w:gridSpan w:val="2"/>
          </w:tcPr>
          <w:p>
            <w:pPr>
              <w:spacing w:after="0"/>
              <w:rPr>
                <w:sz w:val="20"/>
                <w:szCs w:val="20"/>
                <w:color w:val="auto"/>
              </w:rPr>
            </w:pPr>
            <w:r>
              <w:rPr>
                <w:rFonts w:ascii="Arial" w:cs="Arial" w:eastAsia="Arial" w:hAnsi="Arial"/>
                <w:sz w:val="14"/>
                <w:szCs w:val="14"/>
                <w:color w:val="auto"/>
              </w:rPr>
              <w:t xml:space="preserve">Annual Net Sales of such Agreement Product during a given Pfizer Year above </w:t>
            </w:r>
            <w:r>
              <w:rPr>
                <w:rFonts w:ascii="Arial" w:cs="Arial" w:eastAsia="Arial" w:hAnsi="Arial"/>
                <w:sz w:val="14"/>
                <w:szCs w:val="14"/>
                <w:b w:val="1"/>
                <w:bCs w:val="1"/>
                <w:color w:val="auto"/>
              </w:rPr>
              <w:t>***</w:t>
            </w:r>
            <w:r>
              <w:rPr>
                <w:rFonts w:ascii="Arial" w:cs="Arial" w:eastAsia="Arial" w:hAnsi="Arial"/>
                <w:sz w:val="14"/>
                <w:szCs w:val="14"/>
                <w:color w:val="auto"/>
              </w:rPr>
              <w:t xml:space="preserve">, up to and including </w:t>
            </w:r>
            <w:r>
              <w:rPr>
                <w:rFonts w:ascii="Arial" w:cs="Arial" w:eastAsia="Arial" w:hAnsi="Arial"/>
                <w:sz w:val="14"/>
                <w:szCs w:val="14"/>
                <w:b w:val="1"/>
                <w:bCs w:val="1"/>
                <w:color w:val="auto"/>
              </w:rPr>
              <w:t>***</w:t>
            </w:r>
          </w:p>
        </w:tc>
        <w:tc>
          <w:tcPr>
            <w:tcW w:w="10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Annual Net Sales of such Agreement Product during a given Pfizer Year above </w:t>
            </w:r>
            <w:r>
              <w:rPr>
                <w:rFonts w:ascii="Arial" w:cs="Arial" w:eastAsia="Arial" w:hAnsi="Arial"/>
                <w:sz w:val="14"/>
                <w:szCs w:val="14"/>
                <w:b w:val="1"/>
                <w:bCs w:val="1"/>
                <w:color w:val="auto"/>
              </w:rPr>
              <w:t>***</w:t>
            </w:r>
            <w:r>
              <w:rPr>
                <w:rFonts w:ascii="Arial" w:cs="Arial" w:eastAsia="Arial" w:hAnsi="Arial"/>
                <w:sz w:val="14"/>
                <w:szCs w:val="14"/>
                <w:color w:val="auto"/>
              </w:rPr>
              <w:t xml:space="preserve">, up to and including </w:t>
            </w:r>
            <w:r>
              <w:rPr>
                <w:rFonts w:ascii="Arial" w:cs="Arial" w:eastAsia="Arial" w:hAnsi="Arial"/>
                <w:sz w:val="14"/>
                <w:szCs w:val="14"/>
                <w:b w:val="1"/>
                <w:bCs w:val="1"/>
                <w:color w:val="auto"/>
              </w:rPr>
              <w:t>***</w:t>
            </w: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600" w:type="dxa"/>
            <w:vAlign w:val="bottom"/>
            <w:gridSpan w:val="2"/>
          </w:tcPr>
          <w:p>
            <w:pPr>
              <w:spacing w:after="0"/>
              <w:rPr>
                <w:sz w:val="20"/>
                <w:szCs w:val="20"/>
                <w:color w:val="auto"/>
              </w:rPr>
            </w:pPr>
            <w:r>
              <w:rPr>
                <w:rFonts w:ascii="Arial" w:cs="Arial" w:eastAsia="Arial" w:hAnsi="Arial"/>
                <w:sz w:val="14"/>
                <w:szCs w:val="14"/>
                <w:color w:val="auto"/>
              </w:rPr>
              <w:t xml:space="preserve">Annual Net Sales of such Agreement Product during a given Pfizer Year above </w:t>
            </w:r>
            <w:r>
              <w:rPr>
                <w:rFonts w:ascii="Arial" w:cs="Arial" w:eastAsia="Arial" w:hAnsi="Arial"/>
                <w:sz w:val="14"/>
                <w:szCs w:val="14"/>
                <w:b w:val="1"/>
                <w:bCs w:val="1"/>
                <w:color w:val="auto"/>
              </w:rPr>
              <w:t>***</w:t>
            </w:r>
          </w:p>
        </w:tc>
        <w:tc>
          <w:tcPr>
            <w:tcW w:w="10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60"/>
        <w:spacing w:after="0" w:line="270" w:lineRule="auto"/>
        <w:rPr>
          <w:sz w:val="20"/>
          <w:szCs w:val="20"/>
          <w:color w:val="auto"/>
        </w:rPr>
      </w:pPr>
      <w:r>
        <w:rPr>
          <w:rFonts w:ascii="Arial" w:cs="Arial" w:eastAsia="Arial" w:hAnsi="Arial"/>
          <w:sz w:val="14"/>
          <w:szCs w:val="14"/>
          <w:color w:val="auto"/>
        </w:rPr>
        <w:t xml:space="preserve">5.4.1. </w:t>
      </w:r>
      <w:r>
        <w:rPr>
          <w:rFonts w:ascii="Arial" w:cs="Arial" w:eastAsia="Arial" w:hAnsi="Arial"/>
          <w:sz w:val="14"/>
          <w:szCs w:val="14"/>
          <w:b w:val="1"/>
          <w:bCs w:val="1"/>
          <w:color w:val="auto"/>
        </w:rPr>
        <w:t>Marginal Royalty Rate Application</w:t>
      </w:r>
      <w:r>
        <w:rPr>
          <w:rFonts w:ascii="Arial" w:cs="Arial" w:eastAsia="Arial" w:hAnsi="Arial"/>
          <w:sz w:val="14"/>
          <w:szCs w:val="14"/>
          <w:color w:val="auto"/>
        </w:rPr>
        <w:t>. Each Marginal Royalty Rate set forth in the table above shall apply only to that portion of the Annual Net Sales of a given Agreement Product in the Territory during a given Pfizer Year that falls within the indicated range.</w:t>
      </w:r>
    </w:p>
    <w:p>
      <w:pPr>
        <w:spacing w:after="0" w:line="8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34</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9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5" w:right="219" w:bottom="1440" w:gutter="0" w:footer="0" w:header="0"/>
        </w:sectPr>
      </w:pPr>
    </w:p>
    <w:bookmarkStart w:id="904" w:name="page905"/>
    <w:bookmarkEnd w:id="904"/>
    <w:p>
      <w:pPr>
        <w:ind w:right="20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5.4.2. </w:t>
      </w:r>
      <w:r>
        <w:rPr>
          <w:rFonts w:ascii="Arial" w:cs="Arial" w:eastAsia="Arial" w:hAnsi="Arial"/>
          <w:sz w:val="14"/>
          <w:szCs w:val="14"/>
          <w:b w:val="1"/>
          <w:bCs w:val="1"/>
          <w:color w:val="auto"/>
        </w:rPr>
        <w:t>Royalty Term</w:t>
      </w:r>
      <w:r>
        <w:rPr>
          <w:rFonts w:ascii="Arial" w:cs="Arial" w:eastAsia="Arial" w:hAnsi="Arial"/>
          <w:sz w:val="14"/>
          <w:szCs w:val="14"/>
          <w:color w:val="auto"/>
        </w:rPr>
        <w:t>. “</w:t>
      </w:r>
      <w:r>
        <w:rPr>
          <w:rFonts w:ascii="Arial" w:cs="Arial" w:eastAsia="Arial" w:hAnsi="Arial"/>
          <w:sz w:val="14"/>
          <w:szCs w:val="14"/>
          <w:b w:val="1"/>
          <w:bCs w:val="1"/>
          <w:color w:val="auto"/>
        </w:rPr>
        <w:t>Royalty Term</w:t>
      </w:r>
      <w:r>
        <w:rPr>
          <w:rFonts w:ascii="Arial" w:cs="Arial" w:eastAsia="Arial" w:hAnsi="Arial"/>
          <w:sz w:val="14"/>
          <w:szCs w:val="14"/>
          <w:color w:val="auto"/>
        </w:rPr>
        <w:t xml:space="preserve">” means, with respect to any Agreement Product and any country in the Territory, the period of time from the First Commercial Sale of such Agreement Product in such country until the later of (a) </w:t>
      </w:r>
      <w:r>
        <w:rPr>
          <w:rFonts w:ascii="Arial" w:cs="Arial" w:eastAsia="Arial" w:hAnsi="Arial"/>
          <w:sz w:val="14"/>
          <w:szCs w:val="14"/>
          <w:b w:val="1"/>
          <w:bCs w:val="1"/>
          <w:color w:val="auto"/>
        </w:rPr>
        <w:t>***</w:t>
      </w:r>
    </w:p>
    <w:p>
      <w:pPr>
        <w:spacing w:after="0" w:line="35" w:lineRule="exact"/>
        <w:rPr>
          <w:sz w:val="20"/>
          <w:szCs w:val="20"/>
          <w:color w:val="auto"/>
        </w:rPr>
      </w:pPr>
    </w:p>
    <w:p>
      <w:pPr>
        <w:ind w:right="460"/>
        <w:spacing w:after="0" w:line="270" w:lineRule="auto"/>
        <w:rPr>
          <w:sz w:val="20"/>
          <w:szCs w:val="20"/>
          <w:color w:val="auto"/>
        </w:rPr>
      </w:pPr>
      <w:r>
        <w:rPr>
          <w:rFonts w:ascii="Arial" w:cs="Arial" w:eastAsia="Arial" w:hAnsi="Arial"/>
          <w:sz w:val="14"/>
          <w:szCs w:val="14"/>
          <w:color w:val="auto"/>
        </w:rPr>
        <w:t xml:space="preserve">5.4.3. </w:t>
      </w:r>
      <w:r>
        <w:rPr>
          <w:rFonts w:ascii="Arial" w:cs="Arial" w:eastAsia="Arial" w:hAnsi="Arial"/>
          <w:sz w:val="14"/>
          <w:szCs w:val="14"/>
          <w:b w:val="1"/>
          <w:bCs w:val="1"/>
          <w:color w:val="auto"/>
        </w:rPr>
        <w:t>Royalty Adjustments</w:t>
      </w:r>
      <w:r>
        <w:rPr>
          <w:rFonts w:ascii="Arial" w:cs="Arial" w:eastAsia="Arial" w:hAnsi="Arial"/>
          <w:sz w:val="14"/>
          <w:szCs w:val="14"/>
          <w:color w:val="auto"/>
        </w:rPr>
        <w:t>. The following adjustments shall be made, on Agreement Product-by-Agreement Agreement Product and country-by-country basis, to the royalties payable pursuant to this Section 5.4:</w:t>
      </w:r>
    </w:p>
    <w:p>
      <w:pPr>
        <w:spacing w:after="0" w:line="35" w:lineRule="exact"/>
        <w:rPr>
          <w:sz w:val="20"/>
          <w:szCs w:val="20"/>
          <w:color w:val="auto"/>
        </w:rPr>
      </w:pPr>
    </w:p>
    <w:p>
      <w:pPr>
        <w:ind w:left="580" w:hanging="7"/>
        <w:spacing w:after="0" w:line="294" w:lineRule="auto"/>
        <w:tabs>
          <w:tab w:leader="none" w:pos="772" w:val="left"/>
        </w:tabs>
        <w:numPr>
          <w:ilvl w:val="0"/>
          <w:numId w:val="1093"/>
        </w:numPr>
        <w:rPr>
          <w:rFonts w:ascii="Arial" w:cs="Arial" w:eastAsia="Arial" w:hAnsi="Arial"/>
          <w:sz w:val="12"/>
          <w:szCs w:val="12"/>
          <w:b w:val="1"/>
          <w:bCs w:val="1"/>
          <w:color w:val="auto"/>
        </w:rPr>
      </w:pPr>
      <w:r>
        <w:rPr>
          <w:rFonts w:ascii="Arial" w:cs="Arial" w:eastAsia="Arial" w:hAnsi="Arial"/>
          <w:sz w:val="12"/>
          <w:szCs w:val="12"/>
          <w:b w:val="1"/>
          <w:bCs w:val="1"/>
          <w:color w:val="auto"/>
        </w:rPr>
        <w:t>Generic Competition</w:t>
      </w:r>
      <w:r>
        <w:rPr>
          <w:rFonts w:ascii="Arial" w:cs="Arial" w:eastAsia="Arial" w:hAnsi="Arial"/>
          <w:sz w:val="12"/>
          <w:szCs w:val="12"/>
          <w:color w:val="auto"/>
        </w:rPr>
        <w:t>. Royalties payable following establishment of Generic Competition with respect to the sale by a Third Party of product that is a Biosimilar Biologic Product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to such Agreement Product in such country shall be payable at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otherwise applicable rate prior to application of this Section 5.4.3(a) </w:t>
      </w:r>
      <w:r>
        <w:rPr>
          <w:rFonts w:ascii="Arial" w:cs="Arial" w:eastAsia="Arial" w:hAnsi="Arial"/>
          <w:sz w:val="12"/>
          <w:szCs w:val="12"/>
          <w:b w:val="1"/>
          <w:bCs w:val="1"/>
          <w:color w:val="auto"/>
        </w:rPr>
        <w:t>“Generic Competition</w:t>
      </w:r>
      <w:r>
        <w:rPr>
          <w:rFonts w:ascii="Arial" w:cs="Arial" w:eastAsia="Arial" w:hAnsi="Arial"/>
          <w:sz w:val="12"/>
          <w:szCs w:val="12"/>
          <w:color w:val="auto"/>
        </w:rPr>
        <w:t xml:space="preserve">” means with respect to a given Calendar Year with respect to an Agreement Product in any country, that during such Calendar Year, </w:t>
      </w:r>
      <w:r>
        <w:rPr>
          <w:rFonts w:ascii="Arial" w:cs="Arial" w:eastAsia="Arial" w:hAnsi="Arial"/>
          <w:sz w:val="12"/>
          <w:szCs w:val="12"/>
          <w:b w:val="1"/>
          <w:bCs w:val="1"/>
          <w:color w:val="auto"/>
        </w:rPr>
        <w:t>***</w:t>
      </w:r>
      <w:r>
        <w:rPr>
          <w:rFonts w:ascii="Arial" w:cs="Arial" w:eastAsia="Arial" w:hAnsi="Arial"/>
          <w:sz w:val="12"/>
          <w:szCs w:val="12"/>
          <w:color w:val="auto"/>
        </w:rPr>
        <w:t xml:space="preserve"> have received Regulatory Approval to sell in such country a Biosimilar Biologic Product, such Biosimilar Biologic Product shall be commercially available in such country and such Biosimilar Biologic Product shall have, in the aggregate,</w:t>
      </w:r>
    </w:p>
    <w:p>
      <w:pPr>
        <w:ind w:left="580" w:right="40"/>
        <w:spacing w:after="0" w:line="297" w:lineRule="auto"/>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or more market share of the aggregate of such Agreement Product and Biosimilar Biologic Product (based on data provided by IMS International, or if such data is not available,</w:t>
      </w:r>
      <w:r>
        <w:rPr>
          <w:rFonts w:ascii="Arial" w:cs="Arial" w:eastAsia="Arial" w:hAnsi="Arial"/>
          <w:sz w:val="12"/>
          <w:szCs w:val="12"/>
          <w:b w:val="1"/>
          <w:bCs w:val="1"/>
          <w:color w:val="auto"/>
        </w:rPr>
        <w:t xml:space="preserve"> </w:t>
      </w:r>
      <w:r>
        <w:rPr>
          <w:rFonts w:ascii="Arial" w:cs="Arial" w:eastAsia="Arial" w:hAnsi="Arial"/>
          <w:sz w:val="12"/>
          <w:szCs w:val="12"/>
          <w:color w:val="auto"/>
        </w:rPr>
        <w:t>such other reliable data source as reasonably determined by Pfizer and agreed by MacroGenics (such agreement not to be unreasonably withheld)) as measured by sales. In the event IMS International data (or such other agreed data source) is not sufficient to determine the percentage market share for each country in the EU, the percent market share for the EU countries for which data is not available will be deemed to be the average percent market share for those EU countries in which the data is available. A product shall be a “</w:t>
      </w:r>
      <w:r>
        <w:rPr>
          <w:rFonts w:ascii="Arial" w:cs="Arial" w:eastAsia="Arial" w:hAnsi="Arial"/>
          <w:sz w:val="12"/>
          <w:szCs w:val="12"/>
          <w:b w:val="1"/>
          <w:bCs w:val="1"/>
          <w:color w:val="auto"/>
        </w:rPr>
        <w:t>Biosimilar</w:t>
      </w:r>
      <w:r>
        <w:rPr>
          <w:rFonts w:ascii="Arial" w:cs="Arial" w:eastAsia="Arial" w:hAnsi="Arial"/>
          <w:sz w:val="12"/>
          <w:szCs w:val="12"/>
          <w:color w:val="auto"/>
        </w:rPr>
        <w:t xml:space="preserve"> </w:t>
      </w:r>
      <w:r>
        <w:rPr>
          <w:rFonts w:ascii="Arial" w:cs="Arial" w:eastAsia="Arial" w:hAnsi="Arial"/>
          <w:sz w:val="12"/>
          <w:szCs w:val="12"/>
          <w:b w:val="1"/>
          <w:bCs w:val="1"/>
          <w:color w:val="auto"/>
        </w:rPr>
        <w:t>Biologic Product</w:t>
      </w:r>
      <w:r>
        <w:rPr>
          <w:rFonts w:ascii="Arial" w:cs="Arial" w:eastAsia="Arial" w:hAnsi="Arial"/>
          <w:sz w:val="12"/>
          <w:szCs w:val="12"/>
          <w:color w:val="auto"/>
        </w:rPr>
        <w:t>” with respect to an Agreement Product if such product (1) has been licensed as a biosimilar or interchangeable product by FDA pursuant to Section 351(k)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Public Health Service Act (42 U.S.C. 262(k)), as may be amended, or any subsequent or superseding law, stature or regulation, (2) has been licensed as a similar biological medicinal product by EMEA pursuant to Directive 2001/83/EC, as may be amended, or any subsequent or superseding law, stature or regulation, or (3) has otherwise achieved analogous Regulatory Marketing Approval from another applicable Regulatory Authority.</w:t>
      </w:r>
    </w:p>
    <w:p>
      <w:pPr>
        <w:spacing w:after="0" w:line="25" w:lineRule="exact"/>
        <w:rPr>
          <w:rFonts w:ascii="Arial" w:cs="Arial" w:eastAsia="Arial" w:hAnsi="Arial"/>
          <w:sz w:val="12"/>
          <w:szCs w:val="12"/>
          <w:b w:val="1"/>
          <w:bCs w:val="1"/>
          <w:color w:val="auto"/>
        </w:rPr>
      </w:pPr>
    </w:p>
    <w:p>
      <w:pPr>
        <w:ind w:left="580" w:right="100" w:hanging="7"/>
        <w:spacing w:after="0" w:line="322" w:lineRule="auto"/>
        <w:tabs>
          <w:tab w:leader="none" w:pos="772" w:val="left"/>
        </w:tabs>
        <w:numPr>
          <w:ilvl w:val="0"/>
          <w:numId w:val="1093"/>
        </w:numPr>
        <w:rPr>
          <w:rFonts w:ascii="Arial" w:cs="Arial" w:eastAsia="Arial" w:hAnsi="Arial"/>
          <w:sz w:val="12"/>
          <w:szCs w:val="12"/>
          <w:color w:val="auto"/>
        </w:rPr>
      </w:pPr>
      <w:r>
        <w:rPr>
          <w:rFonts w:ascii="Arial" w:cs="Arial" w:eastAsia="Arial" w:hAnsi="Arial"/>
          <w:sz w:val="12"/>
          <w:szCs w:val="12"/>
          <w:b w:val="1"/>
          <w:bCs w:val="1"/>
          <w:color w:val="auto"/>
        </w:rPr>
        <w:t>Third Party Patents</w:t>
      </w:r>
      <w:r>
        <w:rPr>
          <w:rFonts w:ascii="Arial" w:cs="Arial" w:eastAsia="Arial" w:hAnsi="Arial"/>
          <w:sz w:val="12"/>
          <w:szCs w:val="12"/>
          <w:color w:val="auto"/>
        </w:rPr>
        <w:t>. If it is necessary for Pfizer to license one or more Patent Rights from one or more Third Parties in order to Develop, Manufacture or Commercialize or use</w:t>
      </w:r>
      <w:r>
        <w:rPr>
          <w:rFonts w:ascii="Arial" w:cs="Arial" w:eastAsia="Arial" w:hAnsi="Arial"/>
          <w:sz w:val="12"/>
          <w:szCs w:val="12"/>
          <w:b w:val="1"/>
          <w:bCs w:val="1"/>
          <w:color w:val="auto"/>
        </w:rPr>
        <w:t xml:space="preserve"> </w:t>
      </w:r>
      <w:r>
        <w:rPr>
          <w:rFonts w:ascii="Arial" w:cs="Arial" w:eastAsia="Arial" w:hAnsi="Arial"/>
          <w:sz w:val="12"/>
          <w:szCs w:val="12"/>
          <w:color w:val="auto"/>
        </w:rPr>
        <w:t>any Agreement Product, whether directly or through any Pfizer Affiliate or Sublicensee, then Pfizer may, in its sole discretion, negotiate and obtain a license under such Patent Right(s) (each such Third Party license referred to herein as an “</w:t>
      </w:r>
      <w:r>
        <w:rPr>
          <w:rFonts w:ascii="Arial" w:cs="Arial" w:eastAsia="Arial" w:hAnsi="Arial"/>
          <w:sz w:val="12"/>
          <w:szCs w:val="12"/>
          <w:b w:val="1"/>
          <w:bCs w:val="1"/>
          <w:color w:val="auto"/>
        </w:rPr>
        <w:t>Additional Third Party License</w:t>
      </w:r>
      <w:r>
        <w:rPr>
          <w:rFonts w:ascii="Arial" w:cs="Arial" w:eastAsia="Arial" w:hAnsi="Arial"/>
          <w:sz w:val="12"/>
          <w:szCs w:val="12"/>
          <w:color w:val="auto"/>
        </w:rPr>
        <w:t>”). Any royalty otherwise payable to</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35</w:t>
      </w:r>
    </w:p>
    <w:p>
      <w:pPr>
        <w:spacing w:after="0" w:line="12" w:lineRule="exact"/>
        <w:rPr>
          <w:sz w:val="20"/>
          <w:szCs w:val="20"/>
          <w:color w:val="auto"/>
        </w:rPr>
      </w:pPr>
    </w:p>
    <w:p>
      <w:pPr>
        <w:ind w:left="2920" w:right="2660" w:hanging="1135"/>
        <w:spacing w:after="0" w:line="341" w:lineRule="auto"/>
        <w:tabs>
          <w:tab w:leader="none" w:pos="2024" w:val="left"/>
        </w:tabs>
        <w:numPr>
          <w:ilvl w:val="0"/>
          <w:numId w:val="109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00"/>
          </w:cols>
          <w:pgMar w:left="1140" w:top="245" w:right="259" w:bottom="1440" w:gutter="0" w:footer="0" w:header="0"/>
        </w:sectPr>
      </w:pPr>
    </w:p>
    <w:bookmarkStart w:id="905" w:name="page906"/>
    <w:bookmarkEnd w:id="905"/>
    <w:p>
      <w:pPr>
        <w:ind w:left="1040" w:right="240"/>
        <w:spacing w:after="0" w:line="25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MacroGenics under this Agreement with respect to Net Sales of any Agreement Product by Pfizer, its Affiliates or Sublicensees shall be reduced by </w:t>
      </w:r>
      <w:r>
        <w:rPr>
          <w:rFonts w:ascii="Arial" w:cs="Arial" w:eastAsia="Arial" w:hAnsi="Arial"/>
          <w:sz w:val="14"/>
          <w:szCs w:val="14"/>
          <w:b w:val="1"/>
          <w:bCs w:val="1"/>
          <w:color w:val="auto"/>
        </w:rPr>
        <w:t>***</w:t>
      </w:r>
      <w:r>
        <w:rPr>
          <w:rFonts w:ascii="Arial" w:cs="Arial" w:eastAsia="Arial" w:hAnsi="Arial"/>
          <w:sz w:val="14"/>
          <w:szCs w:val="14"/>
          <w:color w:val="auto"/>
        </w:rPr>
        <w:t xml:space="preserve"> of the royalties payable to Third Parties that are reasonably allocable to Agreement Products pursuant to any Additional Third Party Licenses, such reduction to continue until all such amounts have been expended, provided that in no event shall the total royalty payable to MacroGenics for any Agreement Product be less than </w:t>
      </w:r>
      <w:r>
        <w:rPr>
          <w:rFonts w:ascii="Arial" w:cs="Arial" w:eastAsia="Arial" w:hAnsi="Arial"/>
          <w:sz w:val="14"/>
          <w:szCs w:val="14"/>
          <w:b w:val="1"/>
          <w:bCs w:val="1"/>
          <w:color w:val="auto"/>
        </w:rPr>
        <w:t>***</w:t>
      </w:r>
      <w:r>
        <w:rPr>
          <w:rFonts w:ascii="Arial" w:cs="Arial" w:eastAsia="Arial" w:hAnsi="Arial"/>
          <w:sz w:val="14"/>
          <w:szCs w:val="14"/>
          <w:color w:val="auto"/>
        </w:rPr>
        <w:t xml:space="preserve"> of the royalty amounts otherwise payable for such Agreement Product.</w:t>
      </w:r>
    </w:p>
    <w:p>
      <w:pPr>
        <w:spacing w:after="0" w:line="44" w:lineRule="exact"/>
        <w:rPr>
          <w:sz w:val="20"/>
          <w:szCs w:val="20"/>
          <w:color w:val="auto"/>
        </w:rPr>
      </w:pPr>
    </w:p>
    <w:p>
      <w:pPr>
        <w:ind w:left="1040" w:right="80" w:hanging="7"/>
        <w:spacing w:after="0" w:line="345" w:lineRule="auto"/>
        <w:tabs>
          <w:tab w:leader="none" w:pos="1225" w:val="left"/>
        </w:tabs>
        <w:numPr>
          <w:ilvl w:val="0"/>
          <w:numId w:val="1095"/>
        </w:numPr>
        <w:rPr>
          <w:rFonts w:ascii="Arial" w:cs="Arial" w:eastAsia="Arial" w:hAnsi="Arial"/>
          <w:sz w:val="12"/>
          <w:szCs w:val="12"/>
          <w:color w:val="auto"/>
        </w:rPr>
      </w:pPr>
      <w:r>
        <w:rPr>
          <w:rFonts w:ascii="Arial" w:cs="Arial" w:eastAsia="Arial" w:hAnsi="Arial"/>
          <w:sz w:val="12"/>
          <w:szCs w:val="12"/>
          <w:b w:val="1"/>
          <w:bCs w:val="1"/>
          <w:color w:val="auto"/>
        </w:rPr>
        <w:t>No Adjustment for MacroGenics Third Party Agreements</w:t>
      </w:r>
      <w:r>
        <w:rPr>
          <w:rFonts w:ascii="Arial" w:cs="Arial" w:eastAsia="Arial" w:hAnsi="Arial"/>
          <w:sz w:val="12"/>
          <w:szCs w:val="12"/>
          <w:color w:val="auto"/>
        </w:rPr>
        <w:t>. MacroGenics shall be solely responsible for all obligations (including any royalty or other obligations that relate to</w:t>
      </w:r>
      <w:r>
        <w:rPr>
          <w:rFonts w:ascii="Arial" w:cs="Arial" w:eastAsia="Arial" w:hAnsi="Arial"/>
          <w:sz w:val="12"/>
          <w:szCs w:val="12"/>
          <w:b w:val="1"/>
          <w:bCs w:val="1"/>
          <w:color w:val="auto"/>
        </w:rPr>
        <w:t xml:space="preserve"> </w:t>
      </w:r>
      <w:r>
        <w:rPr>
          <w:rFonts w:ascii="Arial" w:cs="Arial" w:eastAsia="Arial" w:hAnsi="Arial"/>
          <w:sz w:val="12"/>
          <w:szCs w:val="12"/>
          <w:color w:val="auto"/>
        </w:rPr>
        <w:t>the MacroGenics Technology) under its agreements with Third Parties that are in effect as of the Effective Date or that MacroGenics enters into during the Term.</w:t>
      </w:r>
    </w:p>
    <w:p>
      <w:pPr>
        <w:ind w:left="460"/>
        <w:spacing w:after="0" w:line="259" w:lineRule="auto"/>
        <w:rPr>
          <w:sz w:val="20"/>
          <w:szCs w:val="20"/>
          <w:color w:val="auto"/>
        </w:rPr>
      </w:pPr>
      <w:r>
        <w:rPr>
          <w:rFonts w:ascii="Arial" w:cs="Arial" w:eastAsia="Arial" w:hAnsi="Arial"/>
          <w:sz w:val="14"/>
          <w:szCs w:val="14"/>
          <w:color w:val="auto"/>
        </w:rPr>
        <w:t xml:space="preserve">5.4.4. </w:t>
      </w:r>
      <w:r>
        <w:rPr>
          <w:rFonts w:ascii="Arial" w:cs="Arial" w:eastAsia="Arial" w:hAnsi="Arial"/>
          <w:sz w:val="14"/>
          <w:szCs w:val="14"/>
          <w:b w:val="1"/>
          <w:bCs w:val="1"/>
          <w:color w:val="auto"/>
        </w:rPr>
        <w:t>Fully Paid-Up, Royalty Free License</w:t>
      </w:r>
      <w:r>
        <w:rPr>
          <w:rFonts w:ascii="Arial" w:cs="Arial" w:eastAsia="Arial" w:hAnsi="Arial"/>
          <w:sz w:val="14"/>
          <w:szCs w:val="14"/>
          <w:color w:val="auto"/>
        </w:rPr>
        <w:t>. After expiration of the Royalty Term for any Agreement Product in a country in the Territory, no further royalties shall be payable in respect of sales of such Agreement Product in such country and thereafter, the license granted to Pfizer under Section 4.1.3 with respect to such Agreement Product in such country shall be a fully paid-up, perpetual, non-exclusive, irrevocable, royalty-free license.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b w:val="1"/>
          <w:bCs w:val="1"/>
          <w:color w:val="auto"/>
        </w:rPr>
        <w:t>Reports and Payments</w:t>
      </w:r>
      <w:r>
        <w:rPr>
          <w:rFonts w:ascii="Arial" w:cs="Arial" w:eastAsia="Arial" w:hAnsi="Arial"/>
          <w:sz w:val="14"/>
          <w:szCs w:val="14"/>
          <w:color w:val="auto"/>
        </w:rPr>
        <w:t>.</w:t>
      </w:r>
    </w:p>
    <w:p>
      <w:pPr>
        <w:spacing w:after="0" w:line="69"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4"/>
          <w:szCs w:val="14"/>
          <w:color w:val="auto"/>
        </w:rPr>
        <w:t xml:space="preserve">5.5.1. </w:t>
      </w:r>
      <w:r>
        <w:rPr>
          <w:rFonts w:ascii="Arial" w:cs="Arial" w:eastAsia="Arial" w:hAnsi="Arial"/>
          <w:sz w:val="14"/>
          <w:szCs w:val="14"/>
          <w:b w:val="1"/>
          <w:bCs w:val="1"/>
          <w:color w:val="auto"/>
        </w:rPr>
        <w:t>Cumulative Royalties</w:t>
      </w:r>
      <w:r>
        <w:rPr>
          <w:rFonts w:ascii="Arial" w:cs="Arial" w:eastAsia="Arial" w:hAnsi="Arial"/>
          <w:sz w:val="14"/>
          <w:szCs w:val="14"/>
          <w:color w:val="auto"/>
        </w:rPr>
        <w:t>. The obligation to pay royalties under Section 5.4 shall be imposed only once with respect to a single unit of an Agreement Product regardless of how many Valid Claims in Patent Rights included within the MacroGenics Patent Rights would, but for this Agreement, be infringed by the use or sale of such Agreement Product in the country in which such Agreement Product is used or sold.</w:t>
      </w:r>
    </w:p>
    <w:p>
      <w:pPr>
        <w:spacing w:after="0" w:line="43" w:lineRule="exact"/>
        <w:rPr>
          <w:sz w:val="20"/>
          <w:szCs w:val="20"/>
          <w:color w:val="auto"/>
        </w:rPr>
      </w:pPr>
    </w:p>
    <w:p>
      <w:pPr>
        <w:ind w:left="460" w:right="60"/>
        <w:spacing w:after="0" w:line="312" w:lineRule="auto"/>
        <w:rPr>
          <w:sz w:val="20"/>
          <w:szCs w:val="20"/>
          <w:color w:val="auto"/>
        </w:rPr>
      </w:pPr>
      <w:r>
        <w:rPr>
          <w:rFonts w:ascii="Arial" w:cs="Arial" w:eastAsia="Arial" w:hAnsi="Arial"/>
          <w:sz w:val="12"/>
          <w:szCs w:val="12"/>
          <w:color w:val="auto"/>
        </w:rPr>
        <w:t xml:space="preserve">5.5.2. </w:t>
      </w:r>
      <w:r>
        <w:rPr>
          <w:rFonts w:ascii="Arial" w:cs="Arial" w:eastAsia="Arial" w:hAnsi="Arial"/>
          <w:sz w:val="12"/>
          <w:szCs w:val="12"/>
          <w:b w:val="1"/>
          <w:bCs w:val="1"/>
          <w:color w:val="auto"/>
        </w:rPr>
        <w:t>Royalty Statements and Payments</w:t>
      </w:r>
      <w:r>
        <w:rPr>
          <w:rFonts w:ascii="Arial" w:cs="Arial" w:eastAsia="Arial" w:hAnsi="Arial"/>
          <w:sz w:val="12"/>
          <w:szCs w:val="12"/>
          <w:color w:val="auto"/>
        </w:rPr>
        <w:t xml:space="preserv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end of each Pfizer Quarter, Pfizer shall deliver to MacroGenics a report setting forth for such Calendar Quarter the following information, on an Agreement Product-by-Agreement Product basis: (a) the Net Sales of each Agreement Product, (b) the basis for any adjustments to the royalty payable for the sale of each Agreement Product and (c) the royalty due hereunder for the sale of each Agreement Product. No such reports shall be due for any Agreement Product before the First Commercial Sale of such Agreement Product in the Territory. The total royalty due for the sale of Agreement Products during such Pfizer Quarter shall be remitted at the time such report is delivered to MacroGenics.</w:t>
      </w:r>
    </w:p>
    <w:p>
      <w:pPr>
        <w:spacing w:after="0" w:line="14" w:lineRule="exact"/>
        <w:rPr>
          <w:sz w:val="20"/>
          <w:szCs w:val="20"/>
          <w:color w:val="auto"/>
        </w:rPr>
      </w:pPr>
    </w:p>
    <w:p>
      <w:pPr>
        <w:ind w:left="460" w:right="180"/>
        <w:spacing w:after="0" w:line="270" w:lineRule="auto"/>
        <w:rPr>
          <w:sz w:val="20"/>
          <w:szCs w:val="20"/>
          <w:color w:val="auto"/>
        </w:rPr>
      </w:pPr>
      <w:r>
        <w:rPr>
          <w:rFonts w:ascii="Arial" w:cs="Arial" w:eastAsia="Arial" w:hAnsi="Arial"/>
          <w:sz w:val="14"/>
          <w:szCs w:val="14"/>
          <w:color w:val="auto"/>
        </w:rPr>
        <w:t xml:space="preserve">5.5.3. </w:t>
      </w:r>
      <w:r>
        <w:rPr>
          <w:rFonts w:ascii="Arial" w:cs="Arial" w:eastAsia="Arial" w:hAnsi="Arial"/>
          <w:sz w:val="14"/>
          <w:szCs w:val="14"/>
          <w:b w:val="1"/>
          <w:bCs w:val="1"/>
          <w:color w:val="auto"/>
        </w:rPr>
        <w:t>Taxes and Withholding</w:t>
      </w:r>
      <w:r>
        <w:rPr>
          <w:rFonts w:ascii="Arial" w:cs="Arial" w:eastAsia="Arial" w:hAnsi="Arial"/>
          <w:sz w:val="14"/>
          <w:szCs w:val="14"/>
          <w:color w:val="auto"/>
        </w:rPr>
        <w:t>. It is understood and agreed between the Parties that any payments made this Agreement are inclusive of any value added tax imposed upon such payments. In addition, in the event any of the payments made by Pfizer pursuant to this Agreement become subject to withholding taxes under</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36</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09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4" w:right="239" w:bottom="1440" w:gutter="0" w:footer="0" w:header="0"/>
        </w:sectPr>
      </w:pPr>
    </w:p>
    <w:bookmarkStart w:id="906" w:name="page907"/>
    <w:bookmarkEnd w:id="906"/>
    <w:p>
      <w:pPr>
        <w:ind w:left="460" w:right="20"/>
        <w:spacing w:after="0" w:line="30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the laws of any jurisdiction, Pfizer shall deduct and withhold the amount of such taxes for the account of MacroGenics, to the extent required by law, such amounts payable to MacroGenics shall be reduced by the amount of taxes deducted and withheld, and Pfizer shall pay the amounts of such taxes to the proper Governmental Authority in a timely manner and promptly transmit to MacroGenics an official tax certificate or other evidence of such tax obligations together with proof of payment from the relevant Governmental Authority of all amounts deducted and withheld sufficient to enable MacroGenics to claim such payment of taxes. Any such withholding taxes required under applicable Law to be paid or withheld shall be an expense of, and borne solely by, MacroGenics. Pfizer will provide MacroGenics with reasonable assistance to enable MacroGenics to recover such taxes as permitted by Law.</w:t>
      </w:r>
    </w:p>
    <w:p>
      <w:pPr>
        <w:spacing w:after="0" w:line="20" w:lineRule="exact"/>
        <w:rPr>
          <w:sz w:val="20"/>
          <w:szCs w:val="20"/>
          <w:color w:val="auto"/>
        </w:rPr>
      </w:pPr>
    </w:p>
    <w:p>
      <w:pPr>
        <w:ind w:left="460" w:right="280"/>
        <w:spacing w:after="0" w:line="270" w:lineRule="auto"/>
        <w:rPr>
          <w:sz w:val="20"/>
          <w:szCs w:val="20"/>
          <w:color w:val="auto"/>
        </w:rPr>
      </w:pPr>
      <w:r>
        <w:rPr>
          <w:rFonts w:ascii="Arial" w:cs="Arial" w:eastAsia="Arial" w:hAnsi="Arial"/>
          <w:sz w:val="14"/>
          <w:szCs w:val="14"/>
          <w:color w:val="auto"/>
        </w:rPr>
        <w:t xml:space="preserve">5.5.4. </w:t>
      </w:r>
      <w:r>
        <w:rPr>
          <w:rFonts w:ascii="Arial" w:cs="Arial" w:eastAsia="Arial" w:hAnsi="Arial"/>
          <w:sz w:val="14"/>
          <w:szCs w:val="14"/>
          <w:b w:val="1"/>
          <w:bCs w:val="1"/>
          <w:color w:val="auto"/>
        </w:rPr>
        <w:t>Currency</w:t>
      </w:r>
      <w:r>
        <w:rPr>
          <w:rFonts w:ascii="Arial" w:cs="Arial" w:eastAsia="Arial" w:hAnsi="Arial"/>
          <w:sz w:val="14"/>
          <w:szCs w:val="14"/>
          <w:color w:val="auto"/>
        </w:rPr>
        <w:t>. All amounts payable and calculations hereunder shall be in United States dollars. As applicable, Net Sales and any royalty deductions shall be converted into United States dollars in accordance with Pfizer’s customary and usual conversion procedures, consistently applied.</w:t>
      </w:r>
    </w:p>
    <w:p>
      <w:pPr>
        <w:spacing w:after="0" w:line="35" w:lineRule="exact"/>
        <w:rPr>
          <w:sz w:val="20"/>
          <w:szCs w:val="20"/>
          <w:color w:val="auto"/>
        </w:rPr>
      </w:pPr>
    </w:p>
    <w:p>
      <w:pPr>
        <w:ind w:left="460" w:right="60"/>
        <w:spacing w:after="0" w:line="306" w:lineRule="auto"/>
        <w:rPr>
          <w:sz w:val="20"/>
          <w:szCs w:val="20"/>
          <w:color w:val="auto"/>
        </w:rPr>
      </w:pPr>
      <w:r>
        <w:rPr>
          <w:rFonts w:ascii="Arial" w:cs="Arial" w:eastAsia="Arial" w:hAnsi="Arial"/>
          <w:sz w:val="12"/>
          <w:szCs w:val="12"/>
          <w:color w:val="auto"/>
        </w:rPr>
        <w:t xml:space="preserve">5.5.5. </w:t>
      </w:r>
      <w:r>
        <w:rPr>
          <w:rFonts w:ascii="Arial" w:cs="Arial" w:eastAsia="Arial" w:hAnsi="Arial"/>
          <w:sz w:val="12"/>
          <w:szCs w:val="12"/>
          <w:b w:val="1"/>
          <w:bCs w:val="1"/>
          <w:color w:val="auto"/>
        </w:rPr>
        <w:t>Additional Provisions Relating to Payments</w:t>
      </w:r>
      <w:r>
        <w:rPr>
          <w:rFonts w:ascii="Arial" w:cs="Arial" w:eastAsia="Arial" w:hAnsi="Arial"/>
          <w:sz w:val="12"/>
          <w:szCs w:val="12"/>
          <w:color w:val="auto"/>
        </w:rPr>
        <w:t>. MacroGenics acknowledges and agrees that nothing in this Agreement (including any schedules and exhibits hereto) shall be construed as representing an estimate or projection of either (a) the number of Agreement Products that shall or may be successfully Developed or Commercialized or (b) anticipated sales or the actual value of any Agreement Product. PFIZER MAKES NO REPRESENTATION OR WARRANTY, EITHER EXPRESS OR IMPLIED, THAT IT SHALL BE ABLE TO SUCCESSFULLY DEVELOP OR COMMERCIALIZE ANY PRODUCT OR, IF COMMERCIALIZED, THAT IT WILL ACHIEVE ANY PARTICULAR SALES LEVEL OF SUCH PRODUCT(S), PROVIDED THAT THE FOREGOING SHALL NOT LIMIT PFIZER’S OBLIGATIONS UNDER THIS AGREEMENT.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b w:val="1"/>
          <w:bCs w:val="1"/>
          <w:color w:val="auto"/>
        </w:rPr>
        <w:t>Maintenance of Records; Audits</w:t>
      </w:r>
      <w:r>
        <w:rPr>
          <w:rFonts w:ascii="Arial" w:cs="Arial" w:eastAsia="Arial" w:hAnsi="Arial"/>
          <w:sz w:val="14"/>
          <w:szCs w:val="14"/>
          <w:color w:val="auto"/>
        </w:rPr>
        <w:t>.</w:t>
      </w:r>
    </w:p>
    <w:p>
      <w:pPr>
        <w:spacing w:after="0" w:line="69" w:lineRule="exact"/>
        <w:rPr>
          <w:sz w:val="20"/>
          <w:szCs w:val="20"/>
          <w:color w:val="auto"/>
        </w:rPr>
      </w:pPr>
    </w:p>
    <w:p>
      <w:pPr>
        <w:ind w:left="460" w:right="60"/>
        <w:spacing w:after="0" w:line="322" w:lineRule="auto"/>
        <w:rPr>
          <w:sz w:val="20"/>
          <w:szCs w:val="20"/>
          <w:color w:val="auto"/>
        </w:rPr>
      </w:pPr>
      <w:r>
        <w:rPr>
          <w:rFonts w:ascii="Arial" w:cs="Arial" w:eastAsia="Arial" w:hAnsi="Arial"/>
          <w:sz w:val="12"/>
          <w:szCs w:val="12"/>
          <w:color w:val="auto"/>
        </w:rPr>
        <w:t xml:space="preserve">5.6.1. </w:t>
      </w:r>
      <w:r>
        <w:rPr>
          <w:rFonts w:ascii="Arial" w:cs="Arial" w:eastAsia="Arial" w:hAnsi="Arial"/>
          <w:sz w:val="12"/>
          <w:szCs w:val="12"/>
          <w:b w:val="1"/>
          <w:bCs w:val="1"/>
          <w:color w:val="auto"/>
        </w:rPr>
        <w:t>Record Keeping</w:t>
      </w:r>
      <w:r>
        <w:rPr>
          <w:rFonts w:ascii="Arial" w:cs="Arial" w:eastAsia="Arial" w:hAnsi="Arial"/>
          <w:sz w:val="12"/>
          <w:szCs w:val="12"/>
          <w:color w:val="auto"/>
        </w:rPr>
        <w:t>. Pfizer shall keep, and shall cause its Affiliates and Sublicensees to keep, accurate books of account and records in connection with the sale of Agreement Products, in sufficient detail to permit accurate determination of all figures necessary for verification of royalties to be paid hereunder. Pfizer shall maintain, and shall cause its Affiliates and Sublicensees to maintain, such records for a period of at least three (3) years after the end of the Calendar Year in which they were generated.</w:t>
      </w:r>
    </w:p>
    <w:p>
      <w:pPr>
        <w:spacing w:after="0" w:line="9" w:lineRule="exact"/>
        <w:rPr>
          <w:sz w:val="20"/>
          <w:szCs w:val="20"/>
          <w:color w:val="auto"/>
        </w:rPr>
      </w:pPr>
    </w:p>
    <w:p>
      <w:pPr>
        <w:ind w:left="460"/>
        <w:spacing w:after="0" w:line="355" w:lineRule="auto"/>
        <w:rPr>
          <w:sz w:val="20"/>
          <w:szCs w:val="20"/>
          <w:color w:val="auto"/>
        </w:rPr>
      </w:pPr>
      <w:r>
        <w:rPr>
          <w:rFonts w:ascii="Arial" w:cs="Arial" w:eastAsia="Arial" w:hAnsi="Arial"/>
          <w:sz w:val="12"/>
          <w:szCs w:val="12"/>
          <w:color w:val="auto"/>
        </w:rPr>
        <w:t xml:space="preserve">5.6.2. </w:t>
      </w:r>
      <w:r>
        <w:rPr>
          <w:rFonts w:ascii="Arial" w:cs="Arial" w:eastAsia="Arial" w:hAnsi="Arial"/>
          <w:sz w:val="12"/>
          <w:szCs w:val="12"/>
          <w:b w:val="1"/>
          <w:bCs w:val="1"/>
          <w:color w:val="auto"/>
        </w:rPr>
        <w:t>Audits</w:t>
      </w:r>
      <w:r>
        <w:rPr>
          <w:rFonts w:ascii="Arial" w:cs="Arial" w:eastAsia="Arial" w:hAnsi="Arial"/>
          <w:sz w:val="12"/>
          <w:szCs w:val="12"/>
          <w:color w:val="auto"/>
        </w:rPr>
        <w:t>. Upon thirty (30) days prior written notice from MacroGenics, Pfizer shall permit an independent certified public accounting firm of internationally recognized standing selected by MacroGenics and reasonably acceptable to Pfizer to examine, at MacroGenics’s sole expense, the relevant books and records of Pfizer during the period covered by such examination, as</w:t>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37</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9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7" w:right="219" w:bottom="1440" w:gutter="0" w:footer="0" w:header="0"/>
        </w:sectPr>
      </w:pPr>
    </w:p>
    <w:bookmarkStart w:id="907" w:name="page908"/>
    <w:bookmarkEnd w:id="907"/>
    <w:p>
      <w:pPr>
        <w:ind w:left="460" w:right="80"/>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may be reasonably necessary to verify the accuracy of the reports submitted by Pfizer in accordance with Section 5.5 and the payment of royalties hereunder. An examination by MacroGenics under this Section 5.6.2 shall occur not more than once in any Calendar Year and shall be limited to the pertinent books and records for any Calendar Year ending not more than three (3) years before the date of the request. The accounting firm shall be provided access to such books and records at Pfizer’s or its Affiliates’ facilities where such books and records are kept and such examination shall be conducted during Pfizer’s normal business hours. Pfizer may require the accounting firm to sign a standard non-disclosure agreement before providing the accounting firm access to Pfizer’s facilities or records. Upon completion of the audit, the accounting firm shall provide both Pfizer and MacroGenics a written report disclosing whether the reports submitted by Pfizer are correct or incorrect, whether the royalties paid are correct or incorrect and, in each case, the specific details concerning any discrepancies. No other information shall be provided to MacroGenics.</w:t>
      </w:r>
    </w:p>
    <w:p>
      <w:pPr>
        <w:spacing w:after="0" w:line="23" w:lineRule="exact"/>
        <w:rPr>
          <w:sz w:val="20"/>
          <w:szCs w:val="20"/>
          <w:color w:val="auto"/>
        </w:rPr>
      </w:pPr>
    </w:p>
    <w:p>
      <w:pPr>
        <w:ind w:left="460"/>
        <w:spacing w:after="0" w:line="254" w:lineRule="auto"/>
        <w:rPr>
          <w:sz w:val="20"/>
          <w:szCs w:val="20"/>
          <w:color w:val="auto"/>
        </w:rPr>
      </w:pPr>
      <w:r>
        <w:rPr>
          <w:rFonts w:ascii="Arial" w:cs="Arial" w:eastAsia="Arial" w:hAnsi="Arial"/>
          <w:sz w:val="14"/>
          <w:szCs w:val="14"/>
          <w:color w:val="auto"/>
        </w:rPr>
        <w:t xml:space="preserve">5.6.3. </w:t>
      </w:r>
      <w:r>
        <w:rPr>
          <w:rFonts w:ascii="Arial" w:cs="Arial" w:eastAsia="Arial" w:hAnsi="Arial"/>
          <w:sz w:val="14"/>
          <w:szCs w:val="14"/>
          <w:b w:val="1"/>
          <w:bCs w:val="1"/>
          <w:color w:val="auto"/>
        </w:rPr>
        <w:t>Underpayments/Overpayments</w:t>
      </w:r>
      <w:r>
        <w:rPr>
          <w:rFonts w:ascii="Arial" w:cs="Arial" w:eastAsia="Arial" w:hAnsi="Arial"/>
          <w:sz w:val="14"/>
          <w:szCs w:val="14"/>
          <w:color w:val="auto"/>
        </w:rPr>
        <w:t>. If such accounting firm concludes that additional royalties were due to MacroGenics, Pfizer shall pay to MacroGenics the additional royalties within thirty (30) days after the date Pfizer receives such accountant’s written report so concluding. If such underpayment exceeds five percent (5%) of the royalties that were to be paid to MacroGenics, Pfizer also shall reimburse MacroGenics for all reasonable charges of such accountants for conducting the audit. If such accounting firm concludes that Pfizer overpaid royalties to MacroGenics, Pfizer shall be entitled to offset all such overpayments against any outstanding or future amounts payable by Pfizer to MacroGenics under this Agreement until Pfizer has received full credit for all such overpayments.</w:t>
      </w:r>
    </w:p>
    <w:p>
      <w:pPr>
        <w:spacing w:after="0" w:line="47" w:lineRule="exact"/>
        <w:rPr>
          <w:sz w:val="20"/>
          <w:szCs w:val="20"/>
          <w:color w:val="auto"/>
        </w:rPr>
      </w:pPr>
    </w:p>
    <w:p>
      <w:pPr>
        <w:ind w:left="460" w:right="40"/>
        <w:spacing w:after="0" w:line="256" w:lineRule="auto"/>
        <w:rPr>
          <w:sz w:val="20"/>
          <w:szCs w:val="20"/>
          <w:color w:val="auto"/>
        </w:rPr>
      </w:pPr>
      <w:r>
        <w:rPr>
          <w:rFonts w:ascii="Arial" w:cs="Arial" w:eastAsia="Arial" w:hAnsi="Arial"/>
          <w:sz w:val="14"/>
          <w:szCs w:val="14"/>
          <w:color w:val="auto"/>
        </w:rPr>
        <w:t xml:space="preserve">5.6.4. </w:t>
      </w:r>
      <w:r>
        <w:rPr>
          <w:rFonts w:ascii="Arial" w:cs="Arial" w:eastAsia="Arial" w:hAnsi="Arial"/>
          <w:sz w:val="14"/>
          <w:szCs w:val="14"/>
          <w:b w:val="1"/>
          <w:bCs w:val="1"/>
          <w:color w:val="auto"/>
        </w:rPr>
        <w:t>Confidentiality</w:t>
      </w:r>
      <w:r>
        <w:rPr>
          <w:rFonts w:ascii="Arial" w:cs="Arial" w:eastAsia="Arial" w:hAnsi="Arial"/>
          <w:sz w:val="14"/>
          <w:szCs w:val="14"/>
          <w:color w:val="auto"/>
        </w:rPr>
        <w:t>. All financial information of Pfizer which is subject to review under this Section 5.6 shall be deemed to be Pfizer’s Confidential Information subject to the provisions of Section 7 hereof, and MacroGenics shall not disclose such Confidential Information to any Third Party or use such Confidential Information for any purpose other than verifying payments to be made by Pfizer to MacroGenics hereunder, provided, however, that such Confidential Information may be disclosed by MacroGenics to Third Parties only to the extent necessary to enforce MacroGenics’s rights under this Agreement.</w:t>
      </w:r>
    </w:p>
    <w:p>
      <w:pPr>
        <w:spacing w:after="0" w:line="44" w:lineRule="exact"/>
        <w:rPr>
          <w:sz w:val="20"/>
          <w:szCs w:val="20"/>
          <w:color w:val="auto"/>
        </w:rPr>
      </w:pPr>
    </w:p>
    <w:p>
      <w:pPr>
        <w:ind w:right="220"/>
        <w:spacing w:after="0" w:line="270"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b w:val="1"/>
          <w:bCs w:val="1"/>
          <w:color w:val="auto"/>
        </w:rPr>
        <w:t>Late Payments</w:t>
      </w:r>
      <w:r>
        <w:rPr>
          <w:rFonts w:ascii="Arial" w:cs="Arial" w:eastAsia="Arial" w:hAnsi="Arial"/>
          <w:sz w:val="14"/>
          <w:szCs w:val="14"/>
          <w:color w:val="auto"/>
        </w:rPr>
        <w:t xml:space="preserve">. If a Party shall fail to make a timely payment pursuant to the terms of this Agreement, interest shall accrue on the past due amount at the </w:t>
      </w:r>
      <w:r>
        <w:rPr>
          <w:rFonts w:ascii="Arial" w:cs="Arial" w:eastAsia="Arial" w:hAnsi="Arial"/>
          <w:sz w:val="14"/>
          <w:szCs w:val="14"/>
          <w:b w:val="1"/>
          <w:bCs w:val="1"/>
          <w:color w:val="auto"/>
        </w:rPr>
        <w:t>***</w:t>
      </w:r>
      <w:r>
        <w:rPr>
          <w:rFonts w:ascii="Arial" w:cs="Arial" w:eastAsia="Arial" w:hAnsi="Arial"/>
          <w:sz w:val="14"/>
          <w:szCs w:val="14"/>
          <w:color w:val="auto"/>
        </w:rPr>
        <w:t>, computed for the actual number of days the payment was past due (but in no event in excess of the maximum rate permissible under Applicable Law).</w:t>
      </w:r>
    </w:p>
    <w:p>
      <w:pPr>
        <w:spacing w:after="0" w:line="8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38</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09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6" w:right="219" w:bottom="1440" w:gutter="0" w:footer="0" w:header="0"/>
        </w:sectPr>
      </w:pPr>
    </w:p>
    <w:bookmarkStart w:id="908" w:name="page909"/>
    <w:bookmarkEnd w:id="908"/>
    <w:p>
      <w:pPr>
        <w:ind w:left="456" w:hanging="456"/>
        <w:spacing w:after="0"/>
        <w:tabs>
          <w:tab w:leader="none" w:pos="456" w:val="left"/>
        </w:tabs>
        <w:numPr>
          <w:ilvl w:val="0"/>
          <w:numId w:val="1099"/>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INTELLECTUAL PROPERTY.</w:t>
      </w:r>
    </w:p>
    <w:p>
      <w:pPr>
        <w:spacing w:after="0" w:line="68" w:lineRule="exact"/>
        <w:rPr>
          <w:rFonts w:ascii="Arial" w:cs="Arial" w:eastAsia="Arial" w:hAnsi="Arial"/>
          <w:sz w:val="14"/>
          <w:szCs w:val="14"/>
          <w:b w:val="1"/>
          <w:bCs w:val="1"/>
          <w:color w:val="auto"/>
        </w:rPr>
      </w:pPr>
    </w:p>
    <w:p>
      <w:pPr>
        <w:ind w:left="456"/>
        <w:spacing w:after="0"/>
        <w:rPr>
          <w:rFonts w:ascii="Arial" w:cs="Arial" w:eastAsia="Arial" w:hAnsi="Arial"/>
          <w:sz w:val="14"/>
          <w:szCs w:val="14"/>
          <w:b w:val="1"/>
          <w:bCs w:val="1"/>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Inventions</w:t>
      </w:r>
      <w:r>
        <w:rPr>
          <w:rFonts w:ascii="Arial" w:cs="Arial" w:eastAsia="Arial" w:hAnsi="Arial"/>
          <w:sz w:val="14"/>
          <w:szCs w:val="14"/>
          <w:color w:val="auto"/>
        </w:rPr>
        <w:t>.</w:t>
      </w:r>
    </w:p>
    <w:p>
      <w:pPr>
        <w:spacing w:after="0" w:line="68" w:lineRule="exact"/>
        <w:rPr>
          <w:rFonts w:ascii="Arial" w:cs="Arial" w:eastAsia="Arial" w:hAnsi="Arial"/>
          <w:sz w:val="14"/>
          <w:szCs w:val="14"/>
          <w:b w:val="1"/>
          <w:bCs w:val="1"/>
          <w:color w:val="auto"/>
        </w:rPr>
      </w:pPr>
    </w:p>
    <w:p>
      <w:pPr>
        <w:ind w:left="916"/>
        <w:spacing w:after="0"/>
        <w:rPr>
          <w:rFonts w:ascii="Arial" w:cs="Arial" w:eastAsia="Arial" w:hAnsi="Arial"/>
          <w:sz w:val="14"/>
          <w:szCs w:val="14"/>
          <w:b w:val="1"/>
          <w:bCs w:val="1"/>
          <w:color w:val="auto"/>
        </w:rPr>
      </w:pPr>
      <w:r>
        <w:rPr>
          <w:rFonts w:ascii="Arial" w:cs="Arial" w:eastAsia="Arial" w:hAnsi="Arial"/>
          <w:sz w:val="14"/>
          <w:szCs w:val="14"/>
          <w:color w:val="auto"/>
        </w:rPr>
        <w:t xml:space="preserve">6.1.1. </w:t>
      </w:r>
      <w:r>
        <w:rPr>
          <w:rFonts w:ascii="Arial" w:cs="Arial" w:eastAsia="Arial" w:hAnsi="Arial"/>
          <w:sz w:val="14"/>
          <w:szCs w:val="14"/>
          <w:b w:val="1"/>
          <w:bCs w:val="1"/>
          <w:color w:val="auto"/>
        </w:rPr>
        <w:t>Ownership</w:t>
      </w:r>
      <w:r>
        <w:rPr>
          <w:rFonts w:ascii="Arial" w:cs="Arial" w:eastAsia="Arial" w:hAnsi="Arial"/>
          <w:sz w:val="14"/>
          <w:szCs w:val="14"/>
          <w:color w:val="auto"/>
        </w:rPr>
        <w:t>.</w:t>
      </w:r>
    </w:p>
    <w:p>
      <w:pPr>
        <w:spacing w:after="0" w:line="70" w:lineRule="exact"/>
        <w:rPr>
          <w:rFonts w:ascii="Arial" w:cs="Arial" w:eastAsia="Arial" w:hAnsi="Arial"/>
          <w:sz w:val="14"/>
          <w:szCs w:val="14"/>
          <w:b w:val="1"/>
          <w:bCs w:val="1"/>
          <w:color w:val="auto"/>
        </w:rPr>
      </w:pPr>
    </w:p>
    <w:p>
      <w:pPr>
        <w:ind w:left="1496" w:hanging="7"/>
        <w:spacing w:after="0" w:line="258" w:lineRule="auto"/>
        <w:tabs>
          <w:tab w:leader="none" w:pos="1681" w:val="left"/>
        </w:tabs>
        <w:numPr>
          <w:ilvl w:val="1"/>
          <w:numId w:val="1099"/>
        </w:numPr>
        <w:rPr>
          <w:rFonts w:ascii="Arial" w:cs="Arial" w:eastAsia="Arial" w:hAnsi="Arial"/>
          <w:sz w:val="14"/>
          <w:szCs w:val="14"/>
          <w:color w:val="auto"/>
        </w:rPr>
      </w:pPr>
      <w:r>
        <w:rPr>
          <w:rFonts w:ascii="Arial" w:cs="Arial" w:eastAsia="Arial" w:hAnsi="Arial"/>
          <w:sz w:val="14"/>
          <w:szCs w:val="14"/>
          <w:color w:val="auto"/>
        </w:rPr>
        <w:t>Except for inventions and Know-How subject to Section 2.13.6 or Section 4.1.2, each Party shall own all inventions and Know-How conceived or generated solely by it and its Affiliates and their respective employees, agents and independent contractors in the course of performing research or development activities under this Agreement (a “</w:t>
      </w:r>
      <w:r>
        <w:rPr>
          <w:rFonts w:ascii="Arial" w:cs="Arial" w:eastAsia="Arial" w:hAnsi="Arial"/>
          <w:sz w:val="14"/>
          <w:szCs w:val="14"/>
          <w:b w:val="1"/>
          <w:bCs w:val="1"/>
          <w:color w:val="auto"/>
        </w:rPr>
        <w:t>Sole Invention</w:t>
      </w:r>
      <w:r>
        <w:rPr>
          <w:rFonts w:ascii="Arial" w:cs="Arial" w:eastAsia="Arial" w:hAnsi="Arial"/>
          <w:sz w:val="14"/>
          <w:szCs w:val="14"/>
          <w:color w:val="auto"/>
        </w:rPr>
        <w:t>” or “</w:t>
      </w:r>
      <w:r>
        <w:rPr>
          <w:rFonts w:ascii="Arial" w:cs="Arial" w:eastAsia="Arial" w:hAnsi="Arial"/>
          <w:sz w:val="14"/>
          <w:szCs w:val="14"/>
          <w:b w:val="1"/>
          <w:bCs w:val="1"/>
          <w:color w:val="auto"/>
        </w:rPr>
        <w:t>Sole Know-How</w:t>
      </w:r>
      <w:r>
        <w:rPr>
          <w:rFonts w:ascii="Arial" w:cs="Arial" w:eastAsia="Arial" w:hAnsi="Arial"/>
          <w:sz w:val="14"/>
          <w:szCs w:val="14"/>
          <w:color w:val="auto"/>
        </w:rPr>
        <w:t>,” respectively).</w:t>
      </w:r>
    </w:p>
    <w:p>
      <w:pPr>
        <w:spacing w:after="0" w:line="44" w:lineRule="exact"/>
        <w:rPr>
          <w:rFonts w:ascii="Arial" w:cs="Arial" w:eastAsia="Arial" w:hAnsi="Arial"/>
          <w:sz w:val="14"/>
          <w:szCs w:val="14"/>
          <w:color w:val="auto"/>
        </w:rPr>
      </w:pPr>
    </w:p>
    <w:p>
      <w:pPr>
        <w:ind w:left="1496" w:right="120" w:hanging="7"/>
        <w:spacing w:after="0" w:line="302" w:lineRule="auto"/>
        <w:tabs>
          <w:tab w:leader="none" w:pos="1689" w:val="left"/>
        </w:tabs>
        <w:numPr>
          <w:ilvl w:val="1"/>
          <w:numId w:val="1099"/>
        </w:numPr>
        <w:rPr>
          <w:rFonts w:ascii="Arial" w:cs="Arial" w:eastAsia="Arial" w:hAnsi="Arial"/>
          <w:sz w:val="12"/>
          <w:szCs w:val="12"/>
          <w:color w:val="auto"/>
        </w:rPr>
      </w:pPr>
      <w:r>
        <w:rPr>
          <w:rFonts w:ascii="Arial" w:cs="Arial" w:eastAsia="Arial" w:hAnsi="Arial"/>
          <w:sz w:val="12"/>
          <w:szCs w:val="12"/>
          <w:color w:val="auto"/>
        </w:rPr>
        <w:t>Except for inventions and Know-How subject to Section 2.13.6 or Section 4.1.2, all inventions and Know-How that are conceived or generated jointly by employees, Affiliates, agents, or independent contractors of each Party in the course of performing research or development activities under this Agreement shall be owned jointly by the Parties (a “</w:t>
      </w:r>
      <w:r>
        <w:rPr>
          <w:rFonts w:ascii="Arial" w:cs="Arial" w:eastAsia="Arial" w:hAnsi="Arial"/>
          <w:sz w:val="12"/>
          <w:szCs w:val="12"/>
          <w:b w:val="1"/>
          <w:bCs w:val="1"/>
          <w:color w:val="auto"/>
        </w:rPr>
        <w:t>Joint</w:t>
      </w:r>
      <w:r>
        <w:rPr>
          <w:rFonts w:ascii="Arial" w:cs="Arial" w:eastAsia="Arial" w:hAnsi="Arial"/>
          <w:sz w:val="12"/>
          <w:szCs w:val="12"/>
          <w:color w:val="auto"/>
        </w:rPr>
        <w:t xml:space="preserve"> </w:t>
      </w:r>
      <w:r>
        <w:rPr>
          <w:rFonts w:ascii="Arial" w:cs="Arial" w:eastAsia="Arial" w:hAnsi="Arial"/>
          <w:sz w:val="12"/>
          <w:szCs w:val="12"/>
          <w:b w:val="1"/>
          <w:bCs w:val="1"/>
          <w:color w:val="auto"/>
        </w:rPr>
        <w:t>Invention</w:t>
      </w:r>
      <w:r>
        <w:rPr>
          <w:rFonts w:ascii="Arial" w:cs="Arial" w:eastAsia="Arial" w:hAnsi="Arial"/>
          <w:sz w:val="12"/>
          <w:szCs w:val="12"/>
          <w:color w:val="auto"/>
        </w:rPr>
        <w:t>” or “</w:t>
      </w:r>
      <w:r>
        <w:rPr>
          <w:rFonts w:ascii="Arial" w:cs="Arial" w:eastAsia="Arial" w:hAnsi="Arial"/>
          <w:sz w:val="12"/>
          <w:szCs w:val="12"/>
          <w:b w:val="1"/>
          <w:bCs w:val="1"/>
          <w:color w:val="auto"/>
        </w:rPr>
        <w:t>Joint Know-How</w:t>
      </w:r>
      <w:r>
        <w:rPr>
          <w:rFonts w:ascii="Arial" w:cs="Arial" w:eastAsia="Arial" w:hAnsi="Arial"/>
          <w:sz w:val="12"/>
          <w:szCs w:val="12"/>
          <w:color w:val="auto"/>
        </w:rPr>
        <w:t>,” respectively). During and after the Term, either Party may exploit (including by license, sublicense, assignment of such Party’s interest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any Joint Technology without accounting to or obtaining consent from the other Party, subject to the rights and obligations of the Parties with respect to Joint Technology under this Agreement, including the exclusive license of MacroGenics’s interest in the Joint Technology granted to Pfizer under Section 4.1.3, the Joint Patent Right prosecution and maintenance provisions set forth in Section 6.2 and Pfizer’s obligation to pay royalties on Agreement Products under Section 5.4.</w:t>
      </w:r>
    </w:p>
    <w:p>
      <w:pPr>
        <w:spacing w:after="0" w:line="23" w:lineRule="exact"/>
        <w:rPr>
          <w:rFonts w:ascii="Arial" w:cs="Arial" w:eastAsia="Arial" w:hAnsi="Arial"/>
          <w:sz w:val="12"/>
          <w:szCs w:val="12"/>
          <w:color w:val="auto"/>
        </w:rPr>
      </w:pPr>
    </w:p>
    <w:p>
      <w:pPr>
        <w:ind w:left="1676" w:hanging="187"/>
        <w:spacing w:after="0"/>
        <w:tabs>
          <w:tab w:leader="none" w:pos="1676" w:val="left"/>
        </w:tabs>
        <w:numPr>
          <w:ilvl w:val="1"/>
          <w:numId w:val="1099"/>
        </w:numPr>
        <w:rPr>
          <w:rFonts w:ascii="Arial" w:cs="Arial" w:eastAsia="Arial" w:hAnsi="Arial"/>
          <w:sz w:val="14"/>
          <w:szCs w:val="14"/>
          <w:color w:val="auto"/>
        </w:rPr>
      </w:pPr>
      <w:r>
        <w:rPr>
          <w:rFonts w:ascii="Arial" w:cs="Arial" w:eastAsia="Arial" w:hAnsi="Arial"/>
          <w:sz w:val="14"/>
          <w:szCs w:val="14"/>
          <w:color w:val="auto"/>
        </w:rPr>
        <w:t>All determinations of inventorship under this Agreement shall be made in accordance with the patent law of the United States.</w:t>
      </w:r>
    </w:p>
    <w:p>
      <w:pPr>
        <w:spacing w:after="0" w:line="67" w:lineRule="exact"/>
        <w:rPr>
          <w:sz w:val="20"/>
          <w:szCs w:val="20"/>
          <w:color w:val="auto"/>
        </w:rPr>
      </w:pPr>
    </w:p>
    <w:p>
      <w:pPr>
        <w:ind w:left="916" w:right="160"/>
        <w:spacing w:after="0" w:line="312" w:lineRule="auto"/>
        <w:rPr>
          <w:sz w:val="20"/>
          <w:szCs w:val="20"/>
          <w:color w:val="auto"/>
        </w:rPr>
      </w:pPr>
      <w:r>
        <w:rPr>
          <w:rFonts w:ascii="Arial" w:cs="Arial" w:eastAsia="Arial" w:hAnsi="Arial"/>
          <w:sz w:val="12"/>
          <w:szCs w:val="12"/>
          <w:color w:val="auto"/>
        </w:rPr>
        <w:t xml:space="preserve">6.1.2. </w:t>
      </w:r>
      <w:r>
        <w:rPr>
          <w:rFonts w:ascii="Arial" w:cs="Arial" w:eastAsia="Arial" w:hAnsi="Arial"/>
          <w:sz w:val="12"/>
          <w:szCs w:val="12"/>
          <w:b w:val="1"/>
          <w:bCs w:val="1"/>
          <w:color w:val="auto"/>
        </w:rPr>
        <w:t>Disclosure</w:t>
      </w:r>
      <w:r>
        <w:rPr>
          <w:rFonts w:ascii="Arial" w:cs="Arial" w:eastAsia="Arial" w:hAnsi="Arial"/>
          <w:sz w:val="12"/>
          <w:szCs w:val="12"/>
          <w:color w:val="auto"/>
        </w:rPr>
        <w:t>. Each Party shall promptly disclose to the other Party any Joint Invention, Sole Invention, Agreement T-DART IP or Pfizer Proprietary Material Improvement, including all invention disclosures or other similar documents submitted to such Party by its or its Affiliates’, employees, agents or independent contractors describing such foregoing invention, and shall cooperate to promptly determine each Party’s inventive contribution thereto. The Parties shall cooperate with each other with respect to the timing, scope, and filing of patent applications and patent claims relating to any of the foregoing inventions to enhance the patent protection for Agreement T-DARTs and Agreement Products, and their manufacture and use.</w:t>
      </w:r>
    </w:p>
    <w:p>
      <w:pPr>
        <w:spacing w:after="0" w:line="14"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Patent Rights</w:t>
      </w:r>
      <w:r>
        <w:rPr>
          <w:rFonts w:ascii="Arial" w:cs="Arial" w:eastAsia="Arial" w:hAnsi="Arial"/>
          <w:sz w:val="14"/>
          <w:szCs w:val="14"/>
          <w:color w:val="auto"/>
        </w:rPr>
        <w:t>.</w:t>
      </w:r>
    </w:p>
    <w:p>
      <w:pPr>
        <w:spacing w:after="0" w:line="69" w:lineRule="exact"/>
        <w:rPr>
          <w:sz w:val="20"/>
          <w:szCs w:val="20"/>
          <w:color w:val="auto"/>
        </w:rPr>
      </w:pPr>
    </w:p>
    <w:p>
      <w:pPr>
        <w:ind w:left="916"/>
        <w:spacing w:after="0"/>
        <w:rPr>
          <w:sz w:val="20"/>
          <w:szCs w:val="20"/>
          <w:color w:val="auto"/>
        </w:rPr>
      </w:pPr>
      <w:r>
        <w:rPr>
          <w:rFonts w:ascii="Arial" w:cs="Arial" w:eastAsia="Arial" w:hAnsi="Arial"/>
          <w:sz w:val="14"/>
          <w:szCs w:val="14"/>
          <w:color w:val="auto"/>
        </w:rPr>
        <w:t xml:space="preserve">6.2.1. </w:t>
      </w:r>
      <w:r>
        <w:rPr>
          <w:rFonts w:ascii="Arial" w:cs="Arial" w:eastAsia="Arial" w:hAnsi="Arial"/>
          <w:sz w:val="14"/>
          <w:szCs w:val="14"/>
          <w:b w:val="1"/>
          <w:bCs w:val="1"/>
          <w:color w:val="auto"/>
        </w:rPr>
        <w:t>Filing, Prosecution and Maintenance of Patent Rights</w:t>
      </w:r>
      <w:r>
        <w:rPr>
          <w:rFonts w:ascii="Arial" w:cs="Arial" w:eastAsia="Arial" w:hAnsi="Arial"/>
          <w:sz w:val="14"/>
          <w:szCs w:val="14"/>
          <w:color w:val="auto"/>
        </w:rPr>
        <w:t>.</w:t>
      </w:r>
    </w:p>
    <w:p>
      <w:pPr>
        <w:spacing w:after="0" w:line="69" w:lineRule="exact"/>
        <w:rPr>
          <w:sz w:val="20"/>
          <w:szCs w:val="20"/>
          <w:color w:val="auto"/>
        </w:rPr>
      </w:pPr>
    </w:p>
    <w:p>
      <w:pPr>
        <w:ind w:left="1496" w:right="140" w:hanging="7"/>
        <w:spacing w:after="0" w:line="270" w:lineRule="auto"/>
        <w:tabs>
          <w:tab w:leader="none" w:pos="1681" w:val="left"/>
        </w:tabs>
        <w:numPr>
          <w:ilvl w:val="0"/>
          <w:numId w:val="1100"/>
        </w:numPr>
        <w:rPr>
          <w:rFonts w:ascii="Arial" w:cs="Arial" w:eastAsia="Arial" w:hAnsi="Arial"/>
          <w:sz w:val="14"/>
          <w:szCs w:val="14"/>
          <w:color w:val="auto"/>
        </w:rPr>
      </w:pPr>
      <w:r>
        <w:rPr>
          <w:rFonts w:ascii="Arial" w:cs="Arial" w:eastAsia="Arial" w:hAnsi="Arial"/>
          <w:sz w:val="14"/>
          <w:szCs w:val="14"/>
          <w:b w:val="1"/>
          <w:bCs w:val="1"/>
          <w:color w:val="auto"/>
        </w:rPr>
        <w:t>Pfizer Patent Rights</w:t>
      </w:r>
      <w:r>
        <w:rPr>
          <w:rFonts w:ascii="Arial" w:cs="Arial" w:eastAsia="Arial" w:hAnsi="Arial"/>
          <w:sz w:val="14"/>
          <w:szCs w:val="14"/>
          <w:color w:val="auto"/>
        </w:rPr>
        <w:t>. Pfizer, at its own expense, shall have the sole right, but not the obligation, to prepare, file, prosecute and maintain, throughout the world, any Pfizer Patent</w:t>
      </w:r>
      <w:r>
        <w:rPr>
          <w:rFonts w:ascii="Arial" w:cs="Arial" w:eastAsia="Arial" w:hAnsi="Arial"/>
          <w:sz w:val="14"/>
          <w:szCs w:val="14"/>
          <w:b w:val="1"/>
          <w:bCs w:val="1"/>
          <w:color w:val="auto"/>
        </w:rPr>
        <w:t xml:space="preserve"> </w:t>
      </w:r>
      <w:r>
        <w:rPr>
          <w:rFonts w:ascii="Arial" w:cs="Arial" w:eastAsia="Arial" w:hAnsi="Arial"/>
          <w:sz w:val="14"/>
          <w:szCs w:val="14"/>
          <w:color w:val="auto"/>
        </w:rPr>
        <w:t>Right other than any Agreement T-DART Patent Right.</w:t>
      </w:r>
    </w:p>
    <w:p>
      <w:pPr>
        <w:spacing w:after="0" w:line="89"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39</w:t>
      </w:r>
    </w:p>
    <w:p>
      <w:pPr>
        <w:spacing w:after="0" w:line="12" w:lineRule="exact"/>
        <w:rPr>
          <w:sz w:val="20"/>
          <w:szCs w:val="20"/>
          <w:color w:val="auto"/>
        </w:rPr>
      </w:pPr>
    </w:p>
    <w:p>
      <w:pPr>
        <w:ind w:left="3836" w:right="2680" w:hanging="1135"/>
        <w:spacing w:after="0" w:line="341" w:lineRule="auto"/>
        <w:tabs>
          <w:tab w:leader="none" w:pos="2940" w:val="left"/>
        </w:tabs>
        <w:numPr>
          <w:ilvl w:val="0"/>
          <w:numId w:val="110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36"/>
          </w:cols>
          <w:pgMar w:left="224" w:top="245" w:right="239" w:bottom="1440" w:gutter="0" w:footer="0" w:header="0"/>
        </w:sectPr>
      </w:pPr>
    </w:p>
    <w:bookmarkStart w:id="909" w:name="page910"/>
    <w:bookmarkEnd w:id="909"/>
    <w:p>
      <w:pPr>
        <w:ind w:left="460" w:hanging="187"/>
        <w:spacing w:after="0"/>
        <w:tabs>
          <w:tab w:leader="none" w:pos="460" w:val="left"/>
        </w:tabs>
        <w:numPr>
          <w:ilvl w:val="0"/>
          <w:numId w:val="1102"/>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316470" cy="33020"/>
                    </a:xfrm>
                    <a:prstGeom prst="rect">
                      <a:avLst/>
                    </a:prstGeom>
                    <a:noFill/>
                  </pic:spPr>
                </pic:pic>
              </a:graphicData>
            </a:graphic>
          </wp:anchor>
        </w:drawing>
        <w:t>Agreement T-DART Patent Rights</w:t>
      </w:r>
      <w:r>
        <w:rPr>
          <w:rFonts w:ascii="Arial" w:cs="Arial" w:eastAsia="Arial" w:hAnsi="Arial"/>
          <w:sz w:val="14"/>
          <w:szCs w:val="14"/>
          <w:color w:val="auto"/>
        </w:rPr>
        <w:t>.</w:t>
      </w:r>
    </w:p>
    <w:p>
      <w:pPr>
        <w:spacing w:after="0" w:line="70" w:lineRule="exact"/>
        <w:rPr>
          <w:rFonts w:ascii="Arial" w:cs="Arial" w:eastAsia="Arial" w:hAnsi="Arial"/>
          <w:sz w:val="14"/>
          <w:szCs w:val="14"/>
          <w:color w:val="auto"/>
        </w:rPr>
      </w:pPr>
    </w:p>
    <w:p>
      <w:pPr>
        <w:ind w:left="740" w:hanging="8"/>
        <w:spacing w:after="0" w:line="299" w:lineRule="auto"/>
        <w:tabs>
          <w:tab w:leader="none" w:pos="902" w:val="left"/>
        </w:tabs>
        <w:numPr>
          <w:ilvl w:val="1"/>
          <w:numId w:val="1102"/>
        </w:numPr>
        <w:rPr>
          <w:rFonts w:ascii="Arial" w:cs="Arial" w:eastAsia="Arial" w:hAnsi="Arial"/>
          <w:sz w:val="12"/>
          <w:szCs w:val="12"/>
          <w:color w:val="auto"/>
        </w:rPr>
      </w:pPr>
      <w:r>
        <w:rPr>
          <w:rFonts w:ascii="Arial" w:cs="Arial" w:eastAsia="Arial" w:hAnsi="Arial"/>
          <w:sz w:val="12"/>
          <w:szCs w:val="12"/>
          <w:color w:val="auto"/>
        </w:rPr>
        <w:t>Pfizer shall have the first right, but not the obligation, to file, prosecute and maintain, at Pfizer’s expense, any Agreement T-DART Patent Right. Pfizer will provide MacroGenics with an opportunity to review the text of the initial application with respect to any Agreement T-DART Patent Right before filing, shall consult MacroGenics with respect thereto, shall not unreasonably refuse to address any of MacroGenics’ comments, and shall provide MacroGenics promptly with a copy of the application as filed, together with notice of its filing date and serial number. Pfizer will keep MacroGenics advised of the status of the Agreement T-DART Patent Rights annually or more often at MacroGenics’ reasonable request. Pfizer shall either provide MacroGenics with copies of, or require that Pfizer’s outside counsel copy MacroGenics on, substantive official correspondence received from all patent offices related to the filing, prosecution and maintenance of the patent filings in those offices (e.g., office actions and any other correspondence of a similar nature), and of Pfizer’s proposed responses to such correspondence or other substantive filings (e.g., responses to office actions, elections and any other responses or filings of a similar nature), in each case, reasonably in advance of Pfizer’s proposed responses or other filings to allow MacroGenics to comment.</w:t>
      </w:r>
    </w:p>
    <w:p>
      <w:pPr>
        <w:spacing w:after="0" w:line="24" w:lineRule="exact"/>
        <w:rPr>
          <w:rFonts w:ascii="Arial" w:cs="Arial" w:eastAsia="Arial" w:hAnsi="Arial"/>
          <w:sz w:val="12"/>
          <w:szCs w:val="12"/>
          <w:color w:val="auto"/>
        </w:rPr>
      </w:pPr>
    </w:p>
    <w:p>
      <w:pPr>
        <w:ind w:left="940" w:hanging="208"/>
        <w:spacing w:after="0"/>
        <w:tabs>
          <w:tab w:leader="none" w:pos="940" w:val="left"/>
        </w:tabs>
        <w:numPr>
          <w:ilvl w:val="1"/>
          <w:numId w:val="1102"/>
        </w:numPr>
        <w:rPr>
          <w:rFonts w:ascii="Arial" w:cs="Arial" w:eastAsia="Arial" w:hAnsi="Arial"/>
          <w:sz w:val="12"/>
          <w:szCs w:val="12"/>
          <w:color w:val="auto"/>
        </w:rPr>
      </w:pPr>
      <w:r>
        <w:rPr>
          <w:rFonts w:ascii="Arial" w:cs="Arial" w:eastAsia="Arial" w:hAnsi="Arial"/>
          <w:sz w:val="12"/>
          <w:szCs w:val="12"/>
          <w:color w:val="auto"/>
        </w:rPr>
        <w:t>Pfizer shall file, prosecute and maintain each Agreement T-DART Patent Right in all Major Market Countries and in such other countries as MacroGenics may request,</w:t>
      </w:r>
    </w:p>
    <w:p>
      <w:pPr>
        <w:spacing w:after="0" w:line="35" w:lineRule="exact"/>
        <w:rPr>
          <w:rFonts w:ascii="Arial" w:cs="Arial" w:eastAsia="Arial" w:hAnsi="Arial"/>
          <w:sz w:val="12"/>
          <w:szCs w:val="12"/>
          <w:color w:val="auto"/>
        </w:rPr>
      </w:pPr>
    </w:p>
    <w:p>
      <w:pPr>
        <w:ind w:left="740" w:right="20"/>
        <w:spacing w:after="0" w:line="300" w:lineRule="auto"/>
        <w:rPr>
          <w:rFonts w:ascii="Arial" w:cs="Arial" w:eastAsia="Arial" w:hAnsi="Arial"/>
          <w:sz w:val="12"/>
          <w:szCs w:val="12"/>
          <w:color w:val="auto"/>
        </w:rPr>
      </w:pPr>
      <w:r>
        <w:rPr>
          <w:rFonts w:ascii="Arial" w:cs="Arial" w:eastAsia="Arial" w:hAnsi="Arial"/>
          <w:sz w:val="12"/>
          <w:szCs w:val="12"/>
          <w:color w:val="auto"/>
        </w:rPr>
        <w:t>provided, however, that if Pfizer at any time wishes not to file, prosecute or maintain any Agreement T-DART Patent Right in any country (a “</w:t>
      </w:r>
      <w:r>
        <w:rPr>
          <w:rFonts w:ascii="Arial" w:cs="Arial" w:eastAsia="Arial" w:hAnsi="Arial"/>
          <w:sz w:val="12"/>
          <w:szCs w:val="12"/>
          <w:b w:val="1"/>
          <w:bCs w:val="1"/>
          <w:color w:val="auto"/>
        </w:rPr>
        <w:t>Foregone Agreement T-DART</w:t>
      </w:r>
      <w:r>
        <w:rPr>
          <w:rFonts w:ascii="Arial" w:cs="Arial" w:eastAsia="Arial" w:hAnsi="Arial"/>
          <w:sz w:val="12"/>
          <w:szCs w:val="12"/>
          <w:color w:val="auto"/>
        </w:rPr>
        <w:t xml:space="preserve"> </w:t>
      </w:r>
      <w:r>
        <w:rPr>
          <w:rFonts w:ascii="Arial" w:cs="Arial" w:eastAsia="Arial" w:hAnsi="Arial"/>
          <w:sz w:val="12"/>
          <w:szCs w:val="12"/>
          <w:b w:val="1"/>
          <w:bCs w:val="1"/>
          <w:color w:val="auto"/>
        </w:rPr>
        <w:t>Patent Right</w:t>
      </w:r>
      <w:r>
        <w:rPr>
          <w:rFonts w:ascii="Arial" w:cs="Arial" w:eastAsia="Arial" w:hAnsi="Arial"/>
          <w:sz w:val="12"/>
          <w:szCs w:val="12"/>
          <w:color w:val="auto"/>
        </w:rPr>
        <w:t>”), Pfizer shall provide MacroGenics with</w:t>
      </w:r>
      <w:r>
        <w:rPr>
          <w:rFonts w:ascii="Arial" w:cs="Arial" w:eastAsia="Arial" w:hAnsi="Arial"/>
          <w:sz w:val="12"/>
          <w:szCs w:val="12"/>
          <w:b w:val="1"/>
          <w:bCs w:val="1"/>
          <w:color w:val="auto"/>
        </w:rPr>
        <w:t xml:space="preserve"> *** </w:t>
      </w:r>
      <w:r>
        <w:rPr>
          <w:rFonts w:ascii="Arial" w:cs="Arial" w:eastAsia="Arial" w:hAnsi="Arial"/>
          <w:sz w:val="12"/>
          <w:szCs w:val="12"/>
          <w:color w:val="auto"/>
        </w:rPr>
        <w:t>prior written notice to such effect, provided that an Agreement T-DART Patent Right shall not constitute a</w:t>
      </w:r>
      <w:r>
        <w:rPr>
          <w:rFonts w:ascii="Arial" w:cs="Arial" w:eastAsia="Arial" w:hAnsi="Arial"/>
          <w:sz w:val="12"/>
          <w:szCs w:val="12"/>
          <w:b w:val="1"/>
          <w:bCs w:val="1"/>
          <w:color w:val="auto"/>
        </w:rPr>
        <w:t xml:space="preserve"> </w:t>
      </w:r>
      <w:r>
        <w:rPr>
          <w:rFonts w:ascii="Arial" w:cs="Arial" w:eastAsia="Arial" w:hAnsi="Arial"/>
          <w:sz w:val="12"/>
          <w:szCs w:val="12"/>
          <w:color w:val="auto"/>
        </w:rPr>
        <w:t>Foregone Agreement T-DART Patent Right if Pfizer’s discontinuation of filing, prosecution or maintenance of such Agreement T-DART Patent Right is in order to effect a settlement or to avoid an interference, opposition or other proceeding in which the validity of such Agreement T-DART Patent Right may be determined or because another Agreement T-DART Patent Right of similar claim scope is being prosecuted or has been issued. For any such Foregone Agreement T-DART Patent Right for which Pfizer gives notice in accordance with the foregoing sentence and of which MacroGenics, its Affiliates, or</w:t>
      </w:r>
    </w:p>
    <w:p>
      <w:pPr>
        <w:spacing w:after="0" w:line="7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40</w:t>
      </w:r>
    </w:p>
    <w:p>
      <w:pPr>
        <w:spacing w:after="0" w:line="12" w:lineRule="exact"/>
        <w:rPr>
          <w:sz w:val="20"/>
          <w:szCs w:val="20"/>
          <w:color w:val="auto"/>
        </w:rPr>
      </w:pPr>
    </w:p>
    <w:p>
      <w:pPr>
        <w:ind w:left="2620" w:right="2700" w:hanging="1135"/>
        <w:spacing w:after="0" w:line="341" w:lineRule="auto"/>
        <w:tabs>
          <w:tab w:leader="none" w:pos="1724" w:val="left"/>
        </w:tabs>
        <w:numPr>
          <w:ilvl w:val="0"/>
          <w:numId w:val="110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40"/>
          </w:cols>
          <w:pgMar w:left="1440" w:top="245" w:right="219" w:bottom="1440" w:gutter="0" w:footer="0" w:header="0"/>
        </w:sectPr>
      </w:pPr>
    </w:p>
    <w:bookmarkStart w:id="910" w:name="page911"/>
    <w:bookmarkEnd w:id="910"/>
    <w:p>
      <w:pPr>
        <w:ind w:left="74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Subcontractors of MacroGenics or any of its Affiliates are the sole inventors, MacroGenics shall have the right to request assignment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after MacroGenics’ receipt of the notice provided by Pfizer and Pfizer shall assign to MacroGenics all of Pfizer’s right, title and interest in and to any such Foregone Agreement T-DART Patent Right so requested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of such request. Upon assignment of such Foregone Agreement T-DART Patent Right, Pfizer shall have no responsibility for any further prosecution or maintenance of or expenses incurred in connection with such Foregone Agreement T-DART Patent Right. Pfizer shall execute, and cause its employees, agents and subcontractors to execute, at MacroGenics’ expense, all documents necessary for MacroGenics to continue prosecution and maintenance of such Foregone Agreement T-DART Patent Right. Any Foregone Agreement T-DART Patent Right assigned to MacroGenics will be included in MacroGenics Patent Rights for the purposes of this Agreement.</w:t>
      </w:r>
    </w:p>
    <w:p>
      <w:pPr>
        <w:spacing w:after="0" w:line="51" w:lineRule="exact"/>
        <w:rPr>
          <w:sz w:val="20"/>
          <w:szCs w:val="20"/>
          <w:color w:val="auto"/>
        </w:rPr>
      </w:pPr>
    </w:p>
    <w:p>
      <w:pPr>
        <w:ind w:left="740" w:hanging="8"/>
        <w:spacing w:after="0" w:line="300" w:lineRule="auto"/>
        <w:tabs>
          <w:tab w:leader="none" w:pos="978" w:val="left"/>
        </w:tabs>
        <w:numPr>
          <w:ilvl w:val="1"/>
          <w:numId w:val="1104"/>
        </w:numPr>
        <w:rPr>
          <w:rFonts w:ascii="Arial" w:cs="Arial" w:eastAsia="Arial" w:hAnsi="Arial"/>
          <w:sz w:val="12"/>
          <w:szCs w:val="12"/>
          <w:color w:val="auto"/>
        </w:rPr>
      </w:pPr>
      <w:r>
        <w:rPr>
          <w:rFonts w:ascii="Arial" w:cs="Arial" w:eastAsia="Arial" w:hAnsi="Arial"/>
          <w:sz w:val="12"/>
          <w:szCs w:val="12"/>
          <w:color w:val="auto"/>
        </w:rPr>
        <w:t>If, upon a timely request by MacroGenics in connection with an Agreement T-DART Patent Right of which MacroGenics, its Affiliates, or Subcontractors of MacroGenics or any of its Affiliates are the sole inventors, Pfizer declines to file a continuation or divisional application to pursue claims of a broader scope than those that have been allowed or are being or will be sought by Pfizer, MacroGenics shall have the right to file, in Pfizer’s name, such continuation or divisional application (but not a continuation-in-part) and Pfizer shall have no responsibility for any further prosecution or maintenance of or expenses incurred in connection with such application. Pfizer shall execute, and cause its employees, agents and subcontractors to execute, at MacroGenics’ expense, all documents necessary for MacroGenics to continue prosecution and maintenance of such application. The second, third and fourth sentences of this Section 6.2.1(b) shall apply to MacroGenics’ filing and prosecution, provided that each Party’s name in those sentences shall be substituted with the other Party’s name.</w:t>
      </w:r>
    </w:p>
    <w:p>
      <w:pPr>
        <w:spacing w:after="0" w:line="23" w:lineRule="exact"/>
        <w:rPr>
          <w:rFonts w:ascii="Arial" w:cs="Arial" w:eastAsia="Arial" w:hAnsi="Arial"/>
          <w:sz w:val="12"/>
          <w:szCs w:val="12"/>
          <w:color w:val="auto"/>
        </w:rPr>
      </w:pPr>
    </w:p>
    <w:p>
      <w:pPr>
        <w:ind w:left="280" w:right="40" w:hanging="7"/>
        <w:spacing w:after="0" w:line="345" w:lineRule="auto"/>
        <w:tabs>
          <w:tab w:leader="none" w:pos="465" w:val="left"/>
        </w:tabs>
        <w:numPr>
          <w:ilvl w:val="0"/>
          <w:numId w:val="1105"/>
        </w:numPr>
        <w:rPr>
          <w:rFonts w:ascii="Arial" w:cs="Arial" w:eastAsia="Arial" w:hAnsi="Arial"/>
          <w:sz w:val="12"/>
          <w:szCs w:val="12"/>
          <w:color w:val="auto"/>
        </w:rPr>
      </w:pPr>
      <w:r>
        <w:rPr>
          <w:rFonts w:ascii="Arial" w:cs="Arial" w:eastAsia="Arial" w:hAnsi="Arial"/>
          <w:sz w:val="12"/>
          <w:szCs w:val="12"/>
          <w:b w:val="1"/>
          <w:bCs w:val="1"/>
          <w:color w:val="auto"/>
        </w:rPr>
        <w:t>MacroGenics Patent Rights Other than Subject T-DART Patent Rights</w:t>
      </w:r>
      <w:r>
        <w:rPr>
          <w:rFonts w:ascii="Arial" w:cs="Arial" w:eastAsia="Arial" w:hAnsi="Arial"/>
          <w:sz w:val="12"/>
          <w:szCs w:val="12"/>
          <w:color w:val="auto"/>
        </w:rPr>
        <w:t>. Except as provided in the Section 6.2.1(d) in regard to Subject Patent Rights, MacroGenics, at its own</w:t>
      </w:r>
      <w:r>
        <w:rPr>
          <w:rFonts w:ascii="Arial" w:cs="Arial" w:eastAsia="Arial" w:hAnsi="Arial"/>
          <w:sz w:val="12"/>
          <w:szCs w:val="12"/>
          <w:b w:val="1"/>
          <w:bCs w:val="1"/>
          <w:color w:val="auto"/>
        </w:rPr>
        <w:t xml:space="preserve"> </w:t>
      </w:r>
      <w:r>
        <w:rPr>
          <w:rFonts w:ascii="Arial" w:cs="Arial" w:eastAsia="Arial" w:hAnsi="Arial"/>
          <w:sz w:val="12"/>
          <w:szCs w:val="12"/>
          <w:color w:val="auto"/>
        </w:rPr>
        <w:t>expense, shall have the sole right, but not the obligation, to prepare, file, prosecute and maintain, throughout the world, any MacroGenics Patent Right.</w:t>
      </w:r>
    </w:p>
    <w:p>
      <w:pPr>
        <w:ind w:left="460" w:hanging="187"/>
        <w:spacing w:after="0"/>
        <w:tabs>
          <w:tab w:leader="none" w:pos="460" w:val="left"/>
        </w:tabs>
        <w:numPr>
          <w:ilvl w:val="0"/>
          <w:numId w:val="1105"/>
        </w:numPr>
        <w:rPr>
          <w:rFonts w:ascii="Arial" w:cs="Arial" w:eastAsia="Arial" w:hAnsi="Arial"/>
          <w:sz w:val="12"/>
          <w:szCs w:val="12"/>
          <w:color w:val="auto"/>
        </w:rPr>
      </w:pPr>
      <w:r>
        <w:rPr>
          <w:rFonts w:ascii="Arial" w:cs="Arial" w:eastAsia="Arial" w:hAnsi="Arial"/>
          <w:sz w:val="12"/>
          <w:szCs w:val="12"/>
          <w:b w:val="1"/>
          <w:bCs w:val="1"/>
          <w:color w:val="auto"/>
        </w:rPr>
        <w:t>Subject Patent Rights</w:t>
      </w:r>
      <w:r>
        <w:rPr>
          <w:rFonts w:ascii="Arial" w:cs="Arial" w:eastAsia="Arial" w:hAnsi="Arial"/>
          <w:sz w:val="12"/>
          <w:szCs w:val="12"/>
          <w:color w:val="auto"/>
        </w:rPr>
        <w:t>. MacroGenics shall have the first right, but not the obligation, to file, prosecute and maintain, at MacroGenics’s expense, any Subject Patent Right.</w:t>
      </w:r>
    </w:p>
    <w:p>
      <w:pPr>
        <w:spacing w:after="0" w:line="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Subject Patent Right</w:t>
      </w:r>
      <w:r>
        <w:rPr>
          <w:rFonts w:ascii="Arial" w:cs="Arial" w:eastAsia="Arial" w:hAnsi="Arial"/>
          <w:sz w:val="14"/>
          <w:szCs w:val="14"/>
          <w:color w:val="auto"/>
        </w:rPr>
        <w:t>” means any MacroGenics Patent Right covering the composition of, or any method of</w:t>
      </w:r>
    </w:p>
    <w:p>
      <w:pPr>
        <w:spacing w:after="0" w:line="11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41</w:t>
      </w:r>
    </w:p>
    <w:p>
      <w:pPr>
        <w:spacing w:after="0" w:line="12" w:lineRule="exact"/>
        <w:rPr>
          <w:sz w:val="20"/>
          <w:szCs w:val="20"/>
          <w:color w:val="auto"/>
        </w:rPr>
      </w:pPr>
    </w:p>
    <w:p>
      <w:pPr>
        <w:ind w:left="2620" w:right="2680" w:hanging="1135"/>
        <w:spacing w:after="0" w:line="341" w:lineRule="auto"/>
        <w:tabs>
          <w:tab w:leader="none" w:pos="1724" w:val="left"/>
        </w:tabs>
        <w:numPr>
          <w:ilvl w:val="0"/>
          <w:numId w:val="110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20"/>
          </w:cols>
          <w:pgMar w:left="1440" w:top="246" w:right="239" w:bottom="1440" w:gutter="0" w:footer="0" w:header="0"/>
        </w:sectPr>
      </w:pPr>
    </w:p>
    <w:bookmarkStart w:id="911" w:name="page912"/>
    <w:bookmarkEnd w:id="911"/>
    <w:p>
      <w:pPr>
        <w:ind w:left="580"/>
        <w:spacing w:after="0" w:line="29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making or method of using, any Agreement T-DART or Agreement Product. MacroGenics shall keep Pfizer advised of the status of Subject Patent Rights (once published) annually or more often at Pfizer’s reasonable request. MacroGenics shall consider in good faith any comments provided by Pfizer concerning the prosecution of Subject Patent Rights, and MacroGenics shall not use any information generated in the Research Program in connection with prosecution of any Subject Patent Rights without Pfizer’s prior written consent, which shall not be unreasonably withheld or delayed. MacroGenics shall file, prosecute and maintain each Subject Patent Right in all Major Market Countries, provided, however, that if MacroGenics at any time wishes not to file, prosecute or maintain any Subject Patent Right in any country, MacroGenics shall provide Pfizer with </w:t>
      </w:r>
      <w:r>
        <w:rPr>
          <w:rFonts w:ascii="Arial" w:cs="Arial" w:eastAsia="Arial" w:hAnsi="Arial"/>
          <w:sz w:val="12"/>
          <w:szCs w:val="12"/>
          <w:b w:val="1"/>
          <w:bCs w:val="1"/>
          <w:color w:val="auto"/>
        </w:rPr>
        <w:t>***</w:t>
      </w:r>
      <w:r>
        <w:rPr>
          <w:rFonts w:ascii="Arial" w:cs="Arial" w:eastAsia="Arial" w:hAnsi="Arial"/>
          <w:sz w:val="12"/>
          <w:szCs w:val="12"/>
          <w:color w:val="auto"/>
        </w:rPr>
        <w:t xml:space="preserve"> prior written notice to such effect. Unless MacroGenics’ discontinuation of filing, prosecution or maintenance of such Subject Patent Right is in order to effect a settlement or to avoid an interference, opposition or other proceeding in which the validity of such Subject T-DART Patent Right may be determined or because another Subject T-DART Patent Right of similar claim scope is being prosecuted or has been issued, Pfizer shall have the first right to file, prosecute and maintain such Subject Patent Right (in MacroGenics’ name) in each such country, in which event the Subject Patent Right will no longer be deemed to be included in the MacroGenics Patent Rights for the purpose of determining the Royalty Term with respect to any Agreement Product.</w:t>
      </w:r>
    </w:p>
    <w:p>
      <w:pPr>
        <w:spacing w:after="0" w:line="190" w:lineRule="exact"/>
        <w:rPr>
          <w:sz w:val="20"/>
          <w:szCs w:val="20"/>
          <w:color w:val="auto"/>
        </w:rPr>
      </w:pPr>
    </w:p>
    <w:p>
      <w:pPr>
        <w:ind w:left="580" w:right="100" w:hanging="7"/>
        <w:spacing w:after="0" w:line="259" w:lineRule="auto"/>
        <w:tabs>
          <w:tab w:leader="none" w:pos="765" w:val="left"/>
        </w:tabs>
        <w:numPr>
          <w:ilvl w:val="0"/>
          <w:numId w:val="1107"/>
        </w:numPr>
        <w:rPr>
          <w:rFonts w:ascii="Arial" w:cs="Arial" w:eastAsia="Arial" w:hAnsi="Arial"/>
          <w:sz w:val="14"/>
          <w:szCs w:val="14"/>
          <w:color w:val="auto"/>
        </w:rPr>
      </w:pPr>
      <w:r>
        <w:rPr>
          <w:rFonts w:ascii="Arial" w:cs="Arial" w:eastAsia="Arial" w:hAnsi="Arial"/>
          <w:sz w:val="14"/>
          <w:szCs w:val="14"/>
          <w:b w:val="1"/>
          <w:bCs w:val="1"/>
          <w:color w:val="auto"/>
        </w:rPr>
        <w:t>Joint Patent Rights</w:t>
      </w:r>
      <w:r>
        <w:rPr>
          <w:rFonts w:ascii="Arial" w:cs="Arial" w:eastAsia="Arial" w:hAnsi="Arial"/>
          <w:sz w:val="14"/>
          <w:szCs w:val="14"/>
          <w:color w:val="auto"/>
        </w:rPr>
        <w:t>. In the event the Parties make any Joint Invention, the Parties shall promptly meet to discuss and determine, based on mutual consent, whether to seek patent</w:t>
      </w:r>
      <w:r>
        <w:rPr>
          <w:rFonts w:ascii="Arial" w:cs="Arial" w:eastAsia="Arial" w:hAnsi="Arial"/>
          <w:sz w:val="14"/>
          <w:szCs w:val="14"/>
          <w:b w:val="1"/>
          <w:bCs w:val="1"/>
          <w:color w:val="auto"/>
        </w:rPr>
        <w:t xml:space="preserve"> </w:t>
      </w:r>
      <w:r>
        <w:rPr>
          <w:rFonts w:ascii="Arial" w:cs="Arial" w:eastAsia="Arial" w:hAnsi="Arial"/>
          <w:sz w:val="14"/>
          <w:szCs w:val="14"/>
          <w:color w:val="auto"/>
        </w:rPr>
        <w:t>protection thereon and how prosecution, maintenance and enforcement of any Patent Right covering such Joint Invention will be handled. Neither Party will file any Patent Right covering or claiming a Joint Invention without the consent of the other Party.</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6.2.2. </w:t>
      </w:r>
      <w:r>
        <w:rPr>
          <w:rFonts w:ascii="Arial" w:cs="Arial" w:eastAsia="Arial" w:hAnsi="Arial"/>
          <w:sz w:val="14"/>
          <w:szCs w:val="14"/>
          <w:b w:val="1"/>
          <w:bCs w:val="1"/>
          <w:color w:val="auto"/>
        </w:rPr>
        <w:t>Enforcement of Patent Rights</w:t>
      </w:r>
      <w:r>
        <w:rPr>
          <w:rFonts w:ascii="Arial" w:cs="Arial" w:eastAsia="Arial" w:hAnsi="Arial"/>
          <w:sz w:val="14"/>
          <w:szCs w:val="14"/>
          <w:color w:val="auto"/>
        </w:rPr>
        <w:t>.</w:t>
      </w:r>
    </w:p>
    <w:p>
      <w:pPr>
        <w:spacing w:after="0" w:line="69" w:lineRule="exact"/>
        <w:rPr>
          <w:sz w:val="20"/>
          <w:szCs w:val="20"/>
          <w:color w:val="auto"/>
        </w:rPr>
      </w:pPr>
    </w:p>
    <w:p>
      <w:pPr>
        <w:ind w:left="580" w:right="100" w:hanging="7"/>
        <w:spacing w:after="0" w:line="270" w:lineRule="auto"/>
        <w:tabs>
          <w:tab w:leader="none" w:pos="765" w:val="left"/>
        </w:tabs>
        <w:numPr>
          <w:ilvl w:val="0"/>
          <w:numId w:val="1108"/>
        </w:numPr>
        <w:rPr>
          <w:rFonts w:ascii="Arial" w:cs="Arial" w:eastAsia="Arial" w:hAnsi="Arial"/>
          <w:sz w:val="14"/>
          <w:szCs w:val="14"/>
          <w:color w:val="auto"/>
        </w:rPr>
      </w:pPr>
      <w:r>
        <w:rPr>
          <w:rFonts w:ascii="Arial" w:cs="Arial" w:eastAsia="Arial" w:hAnsi="Arial"/>
          <w:sz w:val="14"/>
          <w:szCs w:val="14"/>
          <w:b w:val="1"/>
          <w:bCs w:val="1"/>
          <w:color w:val="auto"/>
        </w:rPr>
        <w:t>Notice</w:t>
      </w:r>
      <w:r>
        <w:rPr>
          <w:rFonts w:ascii="Arial" w:cs="Arial" w:eastAsia="Arial" w:hAnsi="Arial"/>
          <w:sz w:val="14"/>
          <w:szCs w:val="14"/>
          <w:color w:val="auto"/>
        </w:rPr>
        <w:t>. If either Pfizer or MacroGenics becomes aware of any infringement, anywhere in the world, of any issued Subject Patent Right or Agreement T-DART Patent Right, such</w:t>
      </w:r>
      <w:r>
        <w:rPr>
          <w:rFonts w:ascii="Arial" w:cs="Arial" w:eastAsia="Arial" w:hAnsi="Arial"/>
          <w:sz w:val="14"/>
          <w:szCs w:val="14"/>
          <w:b w:val="1"/>
          <w:bCs w:val="1"/>
          <w:color w:val="auto"/>
        </w:rPr>
        <w:t xml:space="preserve"> </w:t>
      </w:r>
      <w:r>
        <w:rPr>
          <w:rFonts w:ascii="Arial" w:cs="Arial" w:eastAsia="Arial" w:hAnsi="Arial"/>
          <w:sz w:val="14"/>
          <w:szCs w:val="14"/>
          <w:color w:val="auto"/>
        </w:rPr>
        <w:t>Party shall promptly notify the other Party in writing to that effect.</w:t>
      </w:r>
    </w:p>
    <w:p>
      <w:pPr>
        <w:spacing w:after="0" w:line="36" w:lineRule="exact"/>
        <w:rPr>
          <w:rFonts w:ascii="Arial" w:cs="Arial" w:eastAsia="Arial" w:hAnsi="Arial"/>
          <w:sz w:val="14"/>
          <w:szCs w:val="14"/>
          <w:color w:val="auto"/>
        </w:rPr>
      </w:pPr>
    </w:p>
    <w:p>
      <w:pPr>
        <w:ind w:left="760" w:hanging="187"/>
        <w:spacing w:after="0"/>
        <w:tabs>
          <w:tab w:leader="none" w:pos="760" w:val="left"/>
        </w:tabs>
        <w:numPr>
          <w:ilvl w:val="0"/>
          <w:numId w:val="1108"/>
        </w:numPr>
        <w:rPr>
          <w:rFonts w:ascii="Arial" w:cs="Arial" w:eastAsia="Arial" w:hAnsi="Arial"/>
          <w:sz w:val="14"/>
          <w:szCs w:val="14"/>
          <w:color w:val="auto"/>
        </w:rPr>
      </w:pPr>
      <w:r>
        <w:rPr>
          <w:rFonts w:ascii="Arial" w:cs="Arial" w:eastAsia="Arial" w:hAnsi="Arial"/>
          <w:sz w:val="14"/>
          <w:szCs w:val="14"/>
          <w:color w:val="auto"/>
        </w:rPr>
        <w:t>Infringement of Subject Patent Rights.</w:t>
      </w:r>
    </w:p>
    <w:p>
      <w:pPr>
        <w:spacing w:after="0" w:line="68" w:lineRule="exact"/>
        <w:rPr>
          <w:rFonts w:ascii="Arial" w:cs="Arial" w:eastAsia="Arial" w:hAnsi="Arial"/>
          <w:sz w:val="14"/>
          <w:szCs w:val="14"/>
          <w:color w:val="auto"/>
        </w:rPr>
      </w:pPr>
    </w:p>
    <w:p>
      <w:pPr>
        <w:ind w:left="1040" w:right="420" w:hanging="8"/>
        <w:spacing w:after="0" w:line="267" w:lineRule="auto"/>
        <w:tabs>
          <w:tab w:leader="none" w:pos="1232" w:val="left"/>
        </w:tabs>
        <w:numPr>
          <w:ilvl w:val="1"/>
          <w:numId w:val="1108"/>
        </w:numPr>
        <w:rPr>
          <w:rFonts w:ascii="Arial" w:cs="Arial" w:eastAsia="Arial" w:hAnsi="Arial"/>
          <w:sz w:val="14"/>
          <w:szCs w:val="14"/>
          <w:color w:val="auto"/>
        </w:rPr>
      </w:pPr>
      <w:r>
        <w:rPr>
          <w:rFonts w:ascii="Arial" w:cs="Arial" w:eastAsia="Arial" w:hAnsi="Arial"/>
          <w:sz w:val="14"/>
          <w:szCs w:val="14"/>
          <w:color w:val="auto"/>
        </w:rPr>
        <w:t>If any infringement of a Subject Patent Right by a Third Party arises from the Development, Manufacture or Commercialization of a product that competes with an Agreement Product, Pfizer shall have the first right, but not the obligation, to</w:t>
      </w:r>
    </w:p>
    <w:p>
      <w:pPr>
        <w:spacing w:after="0" w:line="91"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42</w:t>
      </w:r>
    </w:p>
    <w:p>
      <w:pPr>
        <w:spacing w:after="0" w:line="12" w:lineRule="exact"/>
        <w:rPr>
          <w:sz w:val="20"/>
          <w:szCs w:val="20"/>
          <w:color w:val="auto"/>
        </w:rPr>
      </w:pPr>
    </w:p>
    <w:p>
      <w:pPr>
        <w:ind w:left="2920" w:right="2680" w:hanging="1135"/>
        <w:spacing w:after="0" w:line="341" w:lineRule="auto"/>
        <w:tabs>
          <w:tab w:leader="none" w:pos="2024" w:val="left"/>
        </w:tabs>
        <w:numPr>
          <w:ilvl w:val="0"/>
          <w:numId w:val="110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20"/>
          </w:cols>
          <w:pgMar w:left="1140" w:top="248" w:right="239" w:bottom="1440" w:gutter="0" w:footer="0" w:header="0"/>
        </w:sectPr>
      </w:pPr>
    </w:p>
    <w:bookmarkStart w:id="912" w:name="page913"/>
    <w:bookmarkEnd w:id="912"/>
    <w:p>
      <w:pPr>
        <w:ind w:left="7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take action to obtain a discontinuance of infringement or bring suit against a Third Party infringer of such Subject Patent Right within *** from the date of notice and to join MacroGenics as a party plaintiff.</w:t>
      </w:r>
    </w:p>
    <w:p>
      <w:pPr>
        <w:spacing w:after="0" w:line="39" w:lineRule="exact"/>
        <w:rPr>
          <w:sz w:val="20"/>
          <w:szCs w:val="20"/>
          <w:color w:val="auto"/>
        </w:rPr>
      </w:pPr>
    </w:p>
    <w:p>
      <w:pPr>
        <w:jc w:val="both"/>
        <w:ind w:left="740" w:right="60" w:hanging="8"/>
        <w:spacing w:after="0" w:line="305" w:lineRule="auto"/>
        <w:tabs>
          <w:tab w:leader="none" w:pos="932" w:val="left"/>
        </w:tabs>
        <w:numPr>
          <w:ilvl w:val="0"/>
          <w:numId w:val="1110"/>
        </w:numPr>
        <w:rPr>
          <w:rFonts w:ascii="Arial" w:cs="Arial" w:eastAsia="Arial" w:hAnsi="Arial"/>
          <w:sz w:val="12"/>
          <w:szCs w:val="12"/>
          <w:color w:val="auto"/>
        </w:rPr>
      </w:pPr>
      <w:r>
        <w:rPr>
          <w:rFonts w:ascii="Arial" w:cs="Arial" w:eastAsia="Arial" w:hAnsi="Arial"/>
          <w:sz w:val="12"/>
          <w:szCs w:val="12"/>
          <w:color w:val="auto"/>
        </w:rPr>
        <w:t>Pfizer shall bear all the expenses of any suit brought by it claiming infringement of any such Subject Patent Right. MacroGenics shall cooperate with Pfizer in any such suit and shall have the right to consult with Pfizer and to participate in and be represented by independent counsel in such litigation at its own expense. Pfizer shall incur no liability to MacroGenics as a consequence of such litigation or any unfavorable decision resulting therefrom, including any decision holding any such Subject Patent Right invalid or unenforceable; provided, however, that Pfizer shall not, without MacroGenics’ prior written consent, enter into any settlement or consent decree that requires any payment by or admits or imparts any other liability to MacroGenics or admits the invalidity or unenforceabilty of any such Subject Patent Right.</w:t>
      </w:r>
    </w:p>
    <w:p>
      <w:pPr>
        <w:spacing w:after="0" w:line="21" w:lineRule="exact"/>
        <w:rPr>
          <w:rFonts w:ascii="Arial" w:cs="Arial" w:eastAsia="Arial" w:hAnsi="Arial"/>
          <w:sz w:val="12"/>
          <w:szCs w:val="12"/>
          <w:color w:val="auto"/>
        </w:rPr>
      </w:pPr>
    </w:p>
    <w:p>
      <w:pPr>
        <w:ind w:left="740" w:hanging="8"/>
        <w:spacing w:after="0" w:line="299" w:lineRule="auto"/>
        <w:tabs>
          <w:tab w:leader="none" w:pos="932" w:val="left"/>
        </w:tabs>
        <w:numPr>
          <w:ilvl w:val="0"/>
          <w:numId w:val="1110"/>
        </w:numPr>
        <w:rPr>
          <w:rFonts w:ascii="Arial" w:cs="Arial" w:eastAsia="Arial" w:hAnsi="Arial"/>
          <w:sz w:val="12"/>
          <w:szCs w:val="12"/>
          <w:color w:val="auto"/>
        </w:rPr>
      </w:pPr>
      <w:r>
        <w:rPr>
          <w:rFonts w:ascii="Arial" w:cs="Arial" w:eastAsia="Arial" w:hAnsi="Arial"/>
          <w:sz w:val="12"/>
          <w:szCs w:val="12"/>
          <w:color w:val="auto"/>
        </w:rPr>
        <w:t>If Pfizer has not obtained a discontinuance of infringement by, or filed suit against, any such Third Party infringer within the *** period set forth in subsection (i) above, then MacroGenics shall have the right, but not the obligation, to bring suit against such Third Party infringer, at MacroGenics’ sole expense. provided that (x) Pfizer will not be obligated to join such suit unless Applicable Law requires that Pfizer must be a party for MacroGenics to maintain the suit, and (y) MacroGenics shall indemnify Pfizer against any damages, penalties, attorney fees or other recoveries assessed against Pfizer in or as a result of such suit. Pfizer may, at its sole discretion, elect to consult with MacroGenics and to participate in and be represented by independent counsel in such litigation at its own expense. MacroGenics shall incur no liability to Pfizer as a consequence of such litigation or any unfavorable decision resulting therefrom, including any decision holding any such Subject Patent Right invalid or unenforceable; provided, however, that MacroGenics shall not, without Pfizer’s prior written consent, enter into any settlement or consent decree that requires any payment by or admits or imparts any other liability to Pfizer.</w:t>
      </w:r>
    </w:p>
    <w:p>
      <w:pPr>
        <w:spacing w:after="0" w:line="7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43</w:t>
      </w:r>
    </w:p>
    <w:p>
      <w:pPr>
        <w:spacing w:after="0" w:line="12" w:lineRule="exact"/>
        <w:rPr>
          <w:sz w:val="20"/>
          <w:szCs w:val="20"/>
          <w:color w:val="auto"/>
        </w:rPr>
      </w:pPr>
    </w:p>
    <w:p>
      <w:pPr>
        <w:ind w:left="2620" w:right="2580" w:hanging="1135"/>
        <w:spacing w:after="0" w:line="341" w:lineRule="auto"/>
        <w:tabs>
          <w:tab w:leader="none" w:pos="1724" w:val="left"/>
        </w:tabs>
        <w:numPr>
          <w:ilvl w:val="0"/>
          <w:numId w:val="111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120"/>
          </w:cols>
          <w:pgMar w:left="1440" w:top="247" w:right="339" w:bottom="1440" w:gutter="0" w:footer="0" w:header="0"/>
        </w:sectPr>
      </w:pPr>
    </w:p>
    <w:bookmarkStart w:id="913" w:name="page914"/>
    <w:bookmarkEnd w:id="913"/>
    <w:p>
      <w:pPr>
        <w:ind w:left="740" w:right="20" w:hanging="8"/>
        <w:spacing w:after="0" w:line="267" w:lineRule="auto"/>
        <w:tabs>
          <w:tab w:leader="none" w:pos="932" w:val="left"/>
        </w:tabs>
        <w:numPr>
          <w:ilvl w:val="1"/>
          <w:numId w:val="111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The enforcing Party shall keep the other Party reasonably informed of all material developments in connection with any such suit. Any recoveries obtained by either Party as a result of any proceeding against such a Third Party infringer shall be allocated as follows:</w:t>
      </w:r>
    </w:p>
    <w:p>
      <w:pPr>
        <w:spacing w:after="0" w:line="38" w:lineRule="exact"/>
        <w:rPr>
          <w:rFonts w:ascii="Arial" w:cs="Arial" w:eastAsia="Arial" w:hAnsi="Arial"/>
          <w:sz w:val="14"/>
          <w:szCs w:val="14"/>
          <w:color w:val="auto"/>
        </w:rPr>
      </w:pPr>
    </w:p>
    <w:p>
      <w:pPr>
        <w:ind w:left="1420" w:hanging="230"/>
        <w:spacing w:after="0"/>
        <w:tabs>
          <w:tab w:leader="none" w:pos="1420" w:val="left"/>
        </w:tabs>
        <w:numPr>
          <w:ilvl w:val="2"/>
          <w:numId w:val="1112"/>
        </w:numPr>
        <w:rPr>
          <w:rFonts w:ascii="Arial" w:cs="Arial" w:eastAsia="Arial" w:hAnsi="Arial"/>
          <w:sz w:val="12"/>
          <w:szCs w:val="12"/>
          <w:color w:val="auto"/>
        </w:rPr>
      </w:pPr>
      <w:r>
        <w:rPr>
          <w:rFonts w:ascii="Arial" w:cs="Arial" w:eastAsia="Arial" w:hAnsi="Arial"/>
          <w:sz w:val="12"/>
          <w:szCs w:val="12"/>
          <w:color w:val="auto"/>
        </w:rPr>
        <w:t>Such recovery shall first be used to reimburse each Party for all out-of-pocket litigation costs in connection with such litigation paid by that Party; and</w:t>
      </w:r>
    </w:p>
    <w:p>
      <w:pPr>
        <w:spacing w:after="0" w:line="91" w:lineRule="exact"/>
        <w:rPr>
          <w:rFonts w:ascii="Arial" w:cs="Arial" w:eastAsia="Arial" w:hAnsi="Arial"/>
          <w:sz w:val="12"/>
          <w:szCs w:val="12"/>
          <w:color w:val="auto"/>
        </w:rPr>
      </w:pPr>
    </w:p>
    <w:p>
      <w:pPr>
        <w:ind w:left="1200" w:hanging="10"/>
        <w:spacing w:after="0" w:line="305" w:lineRule="auto"/>
        <w:tabs>
          <w:tab w:leader="none" w:pos="1415" w:val="left"/>
        </w:tabs>
        <w:numPr>
          <w:ilvl w:val="2"/>
          <w:numId w:val="1112"/>
        </w:numPr>
        <w:rPr>
          <w:rFonts w:ascii="Arial" w:cs="Arial" w:eastAsia="Arial" w:hAnsi="Arial"/>
          <w:sz w:val="12"/>
          <w:szCs w:val="12"/>
          <w:color w:val="auto"/>
        </w:rPr>
      </w:pPr>
      <w:r>
        <w:rPr>
          <w:rFonts w:ascii="Arial" w:cs="Arial" w:eastAsia="Arial" w:hAnsi="Arial"/>
          <w:sz w:val="12"/>
          <w:szCs w:val="12"/>
          <w:color w:val="auto"/>
        </w:rPr>
        <w:t>With respect to any remaining portion of such recovery, if Pfizer was the enforcing Party, MacroGenics shall receive either (1) if the reward to Pfizer is based on lost profits, an amount equal to the royalty that would be payable, pursuant to Section 5.4, on the corresponding amount (as determined by the court) of lost Net Sales of the relevant Agreement Product(s) in the country(ies) where such infringement occurred; or (2) if the reward is based on reasonable royalty payments, such reward due to Pfizer (as determined by the court) shall be considered as Net Sales subject to the applicable royalty in accordance with Section 5.4, unless MacroGenics is separately awarded its own royalty award, and Pfizer shall receive any remaining portion of such recovery; or</w:t>
      </w:r>
    </w:p>
    <w:p>
      <w:pPr>
        <w:spacing w:after="0" w:line="21" w:lineRule="exact"/>
        <w:rPr>
          <w:rFonts w:ascii="Arial" w:cs="Arial" w:eastAsia="Arial" w:hAnsi="Arial"/>
          <w:sz w:val="12"/>
          <w:szCs w:val="12"/>
          <w:color w:val="auto"/>
        </w:rPr>
      </w:pPr>
    </w:p>
    <w:p>
      <w:pPr>
        <w:ind w:left="1200" w:right="380" w:hanging="10"/>
        <w:spacing w:after="0" w:line="267" w:lineRule="auto"/>
        <w:tabs>
          <w:tab w:leader="none" w:pos="1415" w:val="left"/>
        </w:tabs>
        <w:numPr>
          <w:ilvl w:val="2"/>
          <w:numId w:val="1112"/>
        </w:numPr>
        <w:rPr>
          <w:rFonts w:ascii="Arial" w:cs="Arial" w:eastAsia="Arial" w:hAnsi="Arial"/>
          <w:sz w:val="14"/>
          <w:szCs w:val="14"/>
          <w:color w:val="auto"/>
        </w:rPr>
      </w:pPr>
      <w:r>
        <w:rPr>
          <w:rFonts w:ascii="Arial" w:cs="Arial" w:eastAsia="Arial" w:hAnsi="Arial"/>
          <w:sz w:val="14"/>
          <w:szCs w:val="14"/>
          <w:color w:val="auto"/>
        </w:rPr>
        <w:t>With respect to any remaining portion of such recovery, if MacroGenics was the enforcing Party, MacroGenics shall receive any remaining portion of such recovery.</w:t>
      </w:r>
    </w:p>
    <w:p>
      <w:pPr>
        <w:spacing w:after="0" w:line="36" w:lineRule="exact"/>
        <w:rPr>
          <w:rFonts w:ascii="Arial" w:cs="Arial" w:eastAsia="Arial" w:hAnsi="Arial"/>
          <w:sz w:val="14"/>
          <w:szCs w:val="14"/>
          <w:color w:val="auto"/>
        </w:rPr>
      </w:pPr>
    </w:p>
    <w:p>
      <w:pPr>
        <w:ind w:left="280" w:right="60" w:hanging="7"/>
        <w:spacing w:after="0" w:line="270" w:lineRule="auto"/>
        <w:tabs>
          <w:tab w:leader="none" w:pos="465" w:val="left"/>
        </w:tabs>
        <w:numPr>
          <w:ilvl w:val="0"/>
          <w:numId w:val="1113"/>
        </w:numPr>
        <w:rPr>
          <w:rFonts w:ascii="Arial" w:cs="Arial" w:eastAsia="Arial" w:hAnsi="Arial"/>
          <w:sz w:val="14"/>
          <w:szCs w:val="14"/>
          <w:color w:val="auto"/>
        </w:rPr>
      </w:pPr>
      <w:r>
        <w:rPr>
          <w:rFonts w:ascii="Arial" w:cs="Arial" w:eastAsia="Arial" w:hAnsi="Arial"/>
          <w:sz w:val="14"/>
          <w:szCs w:val="14"/>
          <w:b w:val="1"/>
          <w:bCs w:val="1"/>
          <w:color w:val="auto"/>
        </w:rPr>
        <w:t>Other Infringement of MacroGenics Patent Rights</w:t>
      </w:r>
      <w:r>
        <w:rPr>
          <w:rFonts w:ascii="Arial" w:cs="Arial" w:eastAsia="Arial" w:hAnsi="Arial"/>
          <w:sz w:val="14"/>
          <w:szCs w:val="14"/>
          <w:color w:val="auto"/>
        </w:rPr>
        <w:t>. If the infringement of any MacroGenics Patent Right does not fall within the category of infringements covered by the first</w:t>
      </w:r>
      <w:r>
        <w:rPr>
          <w:rFonts w:ascii="Arial" w:cs="Arial" w:eastAsia="Arial" w:hAnsi="Arial"/>
          <w:sz w:val="14"/>
          <w:szCs w:val="14"/>
          <w:b w:val="1"/>
          <w:bCs w:val="1"/>
          <w:color w:val="auto"/>
        </w:rPr>
        <w:t xml:space="preserve"> </w:t>
      </w:r>
      <w:r>
        <w:rPr>
          <w:rFonts w:ascii="Arial" w:cs="Arial" w:eastAsia="Arial" w:hAnsi="Arial"/>
          <w:sz w:val="14"/>
          <w:szCs w:val="14"/>
          <w:color w:val="auto"/>
        </w:rPr>
        <w:t>sentence of Section 6.2.2(b), MacroGenics shall have the sole right, but not the obligation, to take action against such infringement.</w:t>
      </w:r>
    </w:p>
    <w:p>
      <w:pPr>
        <w:spacing w:after="0" w:line="34" w:lineRule="exact"/>
        <w:rPr>
          <w:rFonts w:ascii="Arial" w:cs="Arial" w:eastAsia="Arial" w:hAnsi="Arial"/>
          <w:sz w:val="14"/>
          <w:szCs w:val="14"/>
          <w:color w:val="auto"/>
        </w:rPr>
      </w:pPr>
    </w:p>
    <w:p>
      <w:pPr>
        <w:ind w:left="460" w:hanging="187"/>
        <w:spacing w:after="0"/>
        <w:tabs>
          <w:tab w:leader="none" w:pos="460" w:val="left"/>
        </w:tabs>
        <w:numPr>
          <w:ilvl w:val="0"/>
          <w:numId w:val="1113"/>
        </w:numPr>
        <w:rPr>
          <w:rFonts w:ascii="Arial" w:cs="Arial" w:eastAsia="Arial" w:hAnsi="Arial"/>
          <w:sz w:val="14"/>
          <w:szCs w:val="14"/>
          <w:color w:val="auto"/>
        </w:rPr>
      </w:pPr>
      <w:r>
        <w:rPr>
          <w:rFonts w:ascii="Arial" w:cs="Arial" w:eastAsia="Arial" w:hAnsi="Arial"/>
          <w:sz w:val="14"/>
          <w:szCs w:val="14"/>
          <w:b w:val="1"/>
          <w:bCs w:val="1"/>
          <w:color w:val="auto"/>
        </w:rPr>
        <w:t>Infringement of Agreement T-DART Patent Rights</w:t>
      </w:r>
      <w:r>
        <w:rPr>
          <w:rFonts w:ascii="Arial" w:cs="Arial" w:eastAsia="Arial" w:hAnsi="Arial"/>
          <w:sz w:val="14"/>
          <w:szCs w:val="14"/>
          <w:color w:val="auto"/>
        </w:rPr>
        <w:t>.</w:t>
      </w:r>
    </w:p>
    <w:p>
      <w:pPr>
        <w:spacing w:after="0" w:line="70" w:lineRule="exact"/>
        <w:rPr>
          <w:rFonts w:ascii="Arial" w:cs="Arial" w:eastAsia="Arial" w:hAnsi="Arial"/>
          <w:sz w:val="14"/>
          <w:szCs w:val="14"/>
          <w:color w:val="auto"/>
        </w:rPr>
      </w:pPr>
    </w:p>
    <w:p>
      <w:pPr>
        <w:ind w:left="740" w:hanging="8"/>
        <w:spacing w:after="0" w:line="311" w:lineRule="auto"/>
        <w:tabs>
          <w:tab w:leader="none" w:pos="932" w:val="left"/>
        </w:tabs>
        <w:numPr>
          <w:ilvl w:val="1"/>
          <w:numId w:val="1113"/>
        </w:numPr>
        <w:rPr>
          <w:rFonts w:ascii="Arial" w:cs="Arial" w:eastAsia="Arial" w:hAnsi="Arial"/>
          <w:sz w:val="12"/>
          <w:szCs w:val="12"/>
          <w:color w:val="auto"/>
        </w:rPr>
      </w:pPr>
      <w:r>
        <w:rPr>
          <w:rFonts w:ascii="Arial" w:cs="Arial" w:eastAsia="Arial" w:hAnsi="Arial"/>
          <w:sz w:val="12"/>
          <w:szCs w:val="12"/>
          <w:color w:val="auto"/>
        </w:rPr>
        <w:t>Pfizer shall have the sole right but not the obligation to bring an action against a Third Party infringer of an Agreement T-DART Patent Right or otherwise address such alleged infringement. MacroGenics shall cooperate with Pfizer, at Pfizer’s expense, in any such suit brought by Pfizer and shall have the right to consult with Pfizer concerning the status and prosecution of such litigation Pfizer shall incur no liability to MacroGenics as a consequence of such litigation or any unfavorable decision resulting therefrom, including any decision holding any such Agreement T-DART Patent Right invalid or unenforceable.</w:t>
      </w:r>
    </w:p>
    <w:p>
      <w:pPr>
        <w:spacing w:after="0" w:line="6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44</w:t>
      </w:r>
    </w:p>
    <w:p>
      <w:pPr>
        <w:spacing w:after="0" w:line="12" w:lineRule="exact"/>
        <w:rPr>
          <w:sz w:val="20"/>
          <w:szCs w:val="20"/>
          <w:color w:val="auto"/>
        </w:rPr>
      </w:pPr>
    </w:p>
    <w:p>
      <w:pPr>
        <w:ind w:left="2620" w:right="2660" w:hanging="1135"/>
        <w:spacing w:after="0" w:line="341" w:lineRule="auto"/>
        <w:tabs>
          <w:tab w:leader="none" w:pos="1724" w:val="left"/>
        </w:tabs>
        <w:numPr>
          <w:ilvl w:val="0"/>
          <w:numId w:val="111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00"/>
          </w:cols>
          <w:pgMar w:left="1440" w:top="248" w:right="259" w:bottom="1440" w:gutter="0" w:footer="0" w:header="0"/>
        </w:sectPr>
      </w:pPr>
    </w:p>
    <w:bookmarkStart w:id="914" w:name="page915"/>
    <w:bookmarkEnd w:id="914"/>
    <w:p>
      <w:pPr>
        <w:ind w:left="1220" w:hanging="188"/>
        <w:spacing w:after="0"/>
        <w:tabs>
          <w:tab w:leader="none" w:pos="1220" w:val="left"/>
        </w:tabs>
        <w:numPr>
          <w:ilvl w:val="0"/>
          <w:numId w:val="111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Any recoveries obtained by Pfizer as a result of any proceeding against a Third Party infringer shall be allocated as follows:</w:t>
      </w:r>
    </w:p>
    <w:p>
      <w:pPr>
        <w:spacing w:after="0" w:line="68" w:lineRule="exact"/>
        <w:rPr>
          <w:rFonts w:ascii="Arial" w:cs="Arial" w:eastAsia="Arial" w:hAnsi="Arial"/>
          <w:sz w:val="14"/>
          <w:szCs w:val="14"/>
          <w:color w:val="auto"/>
        </w:rPr>
      </w:pPr>
    </w:p>
    <w:p>
      <w:pPr>
        <w:ind w:left="1720" w:hanging="230"/>
        <w:spacing w:after="0"/>
        <w:tabs>
          <w:tab w:leader="none" w:pos="1720" w:val="left"/>
        </w:tabs>
        <w:numPr>
          <w:ilvl w:val="1"/>
          <w:numId w:val="1115"/>
        </w:numPr>
        <w:rPr>
          <w:rFonts w:ascii="Arial" w:cs="Arial" w:eastAsia="Arial" w:hAnsi="Arial"/>
          <w:sz w:val="12"/>
          <w:szCs w:val="12"/>
          <w:color w:val="auto"/>
        </w:rPr>
      </w:pPr>
      <w:r>
        <w:rPr>
          <w:rFonts w:ascii="Arial" w:cs="Arial" w:eastAsia="Arial" w:hAnsi="Arial"/>
          <w:sz w:val="12"/>
          <w:szCs w:val="12"/>
          <w:color w:val="auto"/>
        </w:rPr>
        <w:t>Such recovery shall first be used to reimburse each Party for all out-of-pocket litigation costs in connection with such litigation paid by that Party; and</w:t>
      </w:r>
    </w:p>
    <w:p>
      <w:pPr>
        <w:spacing w:after="0" w:line="154" w:lineRule="exact"/>
        <w:rPr>
          <w:rFonts w:ascii="Arial" w:cs="Arial" w:eastAsia="Arial" w:hAnsi="Arial"/>
          <w:sz w:val="12"/>
          <w:szCs w:val="12"/>
          <w:color w:val="auto"/>
        </w:rPr>
      </w:pPr>
    </w:p>
    <w:p>
      <w:pPr>
        <w:ind w:left="1500" w:hanging="10"/>
        <w:spacing w:after="0" w:line="253" w:lineRule="auto"/>
        <w:tabs>
          <w:tab w:leader="none" w:pos="1715" w:val="left"/>
        </w:tabs>
        <w:numPr>
          <w:ilvl w:val="1"/>
          <w:numId w:val="1115"/>
        </w:numPr>
        <w:rPr>
          <w:rFonts w:ascii="Arial" w:cs="Arial" w:eastAsia="Arial" w:hAnsi="Arial"/>
          <w:sz w:val="14"/>
          <w:szCs w:val="14"/>
          <w:color w:val="auto"/>
        </w:rPr>
      </w:pPr>
      <w:r>
        <w:rPr>
          <w:rFonts w:ascii="Arial" w:cs="Arial" w:eastAsia="Arial" w:hAnsi="Arial"/>
          <w:sz w:val="14"/>
          <w:szCs w:val="14"/>
          <w:color w:val="auto"/>
        </w:rPr>
        <w:t>With respect to any remaining portion of such recovery, MacroGenics shall receive either (1) if the reward to Pfizer is based on lost profits, an amount equal to the royalty that would be payable, pursuant to Section 5.4, on the corresponding amount (as determined by the court) of lost Net Sales of the relevant Agreement Product(s) in the country(ies) where such infringement occurred; or (2) if the reward is based on reasonable royalty payments , such reward due to Pfizer (as determined by the court) shall be considered as Net Sales subject to the applicable royalty in accordance with Section 5.4, and Pfizer shall receive any remaining portion of such recovery.</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 xml:space="preserve">6.2.3. </w:t>
      </w:r>
      <w:r>
        <w:rPr>
          <w:rFonts w:ascii="Arial" w:cs="Arial" w:eastAsia="Arial" w:hAnsi="Arial"/>
          <w:sz w:val="14"/>
          <w:szCs w:val="14"/>
          <w:b w:val="1"/>
          <w:bCs w:val="1"/>
          <w:color w:val="auto"/>
        </w:rPr>
        <w:t>Infringement of Third Party Patent Rights</w:t>
      </w:r>
      <w:r>
        <w:rPr>
          <w:rFonts w:ascii="Arial" w:cs="Arial" w:eastAsia="Arial" w:hAnsi="Arial"/>
          <w:sz w:val="14"/>
          <w:szCs w:val="14"/>
          <w:color w:val="auto"/>
        </w:rPr>
        <w:t>. If the Development, Manufacture or Commercialization of any Agreement T-DART and/or Agreement Product is alleged by a Third Party to infringe a Third Party’s patent or other intellectual property rights, the Party becoming aware of such allegation shall promptly notify the other Party. The Party that is alleged to infringe the Third Party’s patent or intellectual property shall have the right to take such action as it deems appropriate in response to such allegation, and shall be solely responsible for all damages, costs and expenses in connection therewith, subject to Section 10.</w:t>
      </w:r>
    </w:p>
    <w:p>
      <w:pPr>
        <w:spacing w:after="0" w:line="4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 xml:space="preserve">6.2.4. </w:t>
      </w:r>
      <w:r>
        <w:rPr>
          <w:rFonts w:ascii="Arial" w:cs="Arial" w:eastAsia="Arial" w:hAnsi="Arial"/>
          <w:sz w:val="14"/>
          <w:szCs w:val="14"/>
          <w:b w:val="1"/>
          <w:bCs w:val="1"/>
          <w:color w:val="auto"/>
        </w:rPr>
        <w:t>Patent Invalidity Claim</w:t>
      </w:r>
      <w:r>
        <w:rPr>
          <w:rFonts w:ascii="Arial" w:cs="Arial" w:eastAsia="Arial" w:hAnsi="Arial"/>
          <w:sz w:val="14"/>
          <w:szCs w:val="14"/>
          <w:color w:val="auto"/>
        </w:rPr>
        <w:t>. Each Party shall promptly notify the other in the event of any legal or administrative action by any Third Party against any Subject Patent Right or Agreement T-DART Patent Right of which it becomes aware, including any opposition, interference, nullity, revocation, reexamination or compulsory license proceeding. Such action shall be treated as part of the prosecution of such Patent Right under Section 6.2.1 unless such action is a declaratory judgment action or counterclaim in response to an assertion of infringement, in which cases such action shall be treated as an enforcement action under Section 6.2.2.</w:t>
      </w:r>
    </w:p>
    <w:p>
      <w:pPr>
        <w:spacing w:after="0" w:line="44" w:lineRule="exact"/>
        <w:rPr>
          <w:sz w:val="20"/>
          <w:szCs w:val="20"/>
          <w:color w:val="auto"/>
        </w:rPr>
      </w:pPr>
    </w:p>
    <w:p>
      <w:pPr>
        <w:spacing w:after="0" w:line="312" w:lineRule="auto"/>
        <w:rPr>
          <w:sz w:val="20"/>
          <w:szCs w:val="20"/>
          <w:color w:val="auto"/>
        </w:rPr>
      </w:pPr>
      <w:r>
        <w:rPr>
          <w:rFonts w:ascii="Arial" w:cs="Arial" w:eastAsia="Arial" w:hAnsi="Arial"/>
          <w:sz w:val="12"/>
          <w:szCs w:val="12"/>
          <w:color w:val="auto"/>
        </w:rPr>
        <w:t xml:space="preserve">6.2.5. </w:t>
      </w:r>
      <w:r>
        <w:rPr>
          <w:rFonts w:ascii="Arial" w:cs="Arial" w:eastAsia="Arial" w:hAnsi="Arial"/>
          <w:sz w:val="12"/>
          <w:szCs w:val="12"/>
          <w:b w:val="1"/>
          <w:bCs w:val="1"/>
          <w:color w:val="auto"/>
        </w:rPr>
        <w:t>Biosimilar Applications</w:t>
      </w:r>
      <w:r>
        <w:rPr>
          <w:rFonts w:ascii="Arial" w:cs="Arial" w:eastAsia="Arial" w:hAnsi="Arial"/>
          <w:sz w:val="12"/>
          <w:szCs w:val="12"/>
          <w:color w:val="auto"/>
        </w:rPr>
        <w:t>. Each Party shall immediately give written notice to the other of any notice received from a Third Party of an application for FDA approval under the Biologics Price Competition and Innovation Act of 2009 (or any amendment or successor statute thereto) of a Biosimilar Biologic Product referencing an Agreement Product or any certification under a similar statutory or regulatory requirement in any non-United States country in the Territory claiming that a Subject Patent Right or an Agreement T-DART Patent Right covering any Agreement Product is invalid or that infringement will not arise from the Development, Manufacture or Commercialization of a proposed Biosimilar</w:t>
      </w:r>
    </w:p>
    <w:p>
      <w:pPr>
        <w:spacing w:after="0" w:line="68"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45</w:t>
      </w:r>
    </w:p>
    <w:p>
      <w:pPr>
        <w:spacing w:after="0" w:line="12" w:lineRule="exact"/>
        <w:rPr>
          <w:sz w:val="20"/>
          <w:szCs w:val="20"/>
          <w:color w:val="auto"/>
        </w:rPr>
      </w:pPr>
    </w:p>
    <w:p>
      <w:pPr>
        <w:ind w:left="2920" w:right="2700" w:hanging="1135"/>
        <w:spacing w:after="0" w:line="341" w:lineRule="auto"/>
        <w:tabs>
          <w:tab w:leader="none" w:pos="2024" w:val="left"/>
        </w:tabs>
        <w:numPr>
          <w:ilvl w:val="0"/>
          <w:numId w:val="111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40"/>
          </w:cols>
          <w:pgMar w:left="1140" w:top="247" w:right="219" w:bottom="1440" w:gutter="0" w:footer="0" w:header="0"/>
        </w:sectPr>
      </w:pPr>
    </w:p>
    <w:bookmarkStart w:id="915" w:name="page916"/>
    <w:bookmarkEnd w:id="915"/>
    <w:p>
      <w:pPr>
        <w:ind w:left="460" w:right="20"/>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Biologic Product by a Third Party. Upon the giving or receipt of such notice, Pfizer shall have the first right (or the sole right, in the case of an Agreement T-DART Patent Right) but not the obligation, to bring an infringement action against such Third Party in connection with such certification. In the case of a Subject Patent Right, Pfizer shall notify MacroGenics at least </w:t>
      </w:r>
      <w:r>
        <w:rPr>
          <w:rFonts w:ascii="Arial" w:cs="Arial" w:eastAsia="Arial" w:hAnsi="Arial"/>
          <w:sz w:val="14"/>
          <w:szCs w:val="14"/>
          <w:b w:val="1"/>
          <w:bCs w:val="1"/>
          <w:color w:val="auto"/>
        </w:rPr>
        <w:t>***</w:t>
      </w:r>
      <w:r>
        <w:rPr>
          <w:rFonts w:ascii="Arial" w:cs="Arial" w:eastAsia="Arial" w:hAnsi="Arial"/>
          <w:sz w:val="14"/>
          <w:szCs w:val="14"/>
          <w:color w:val="auto"/>
        </w:rPr>
        <w:t xml:space="preserve"> to the date set forth by statute or regulation of its intent to exercise, or not exercise, this right. Any infringement action against a Third Party arising under this Section 6.2.5 shall be governed by the provisions of Section 6.2.2(b).</w:t>
      </w:r>
    </w:p>
    <w:p>
      <w:pPr>
        <w:spacing w:after="0" w:line="45" w:lineRule="exact"/>
        <w:rPr>
          <w:sz w:val="20"/>
          <w:szCs w:val="20"/>
          <w:color w:val="auto"/>
        </w:rPr>
      </w:pPr>
    </w:p>
    <w:p>
      <w:pPr>
        <w:ind w:left="460"/>
        <w:spacing w:after="0" w:line="301" w:lineRule="auto"/>
        <w:rPr>
          <w:sz w:val="20"/>
          <w:szCs w:val="20"/>
          <w:color w:val="auto"/>
        </w:rPr>
      </w:pPr>
      <w:r>
        <w:rPr>
          <w:rFonts w:ascii="Arial" w:cs="Arial" w:eastAsia="Arial" w:hAnsi="Arial"/>
          <w:sz w:val="12"/>
          <w:szCs w:val="12"/>
          <w:color w:val="auto"/>
        </w:rPr>
        <w:t xml:space="preserve">6.2.6. </w:t>
      </w:r>
      <w:r>
        <w:rPr>
          <w:rFonts w:ascii="Arial" w:cs="Arial" w:eastAsia="Arial" w:hAnsi="Arial"/>
          <w:sz w:val="12"/>
          <w:szCs w:val="12"/>
          <w:b w:val="1"/>
          <w:bCs w:val="1"/>
          <w:color w:val="auto"/>
        </w:rPr>
        <w:t>Patent Term Restoration and Extension</w:t>
      </w:r>
      <w:r>
        <w:rPr>
          <w:rFonts w:ascii="Arial" w:cs="Arial" w:eastAsia="Arial" w:hAnsi="Arial"/>
          <w:sz w:val="12"/>
          <w:szCs w:val="12"/>
          <w:color w:val="auto"/>
        </w:rPr>
        <w:t>. Pfizer shall have the first right, but not the obligation, to seek, in MacroGenics’s name if so required, patent term extensions, and supplemental protection certificates and the like available under Applicable Law, including 35 U.S.C. § 156 and applicable foreign counterparts, in any country in the Territory in relation to any Subject Patent Right and Agreement Products. MacroGenics and Pfizer shall cooperate in connection with all such activities. Pfizer, its agents and attorneys will give due consideration to all suggestions and comments of MacroGenics regarding any such activities, but in the event of a disagreement between the Parties, Pfizer will have the final decision-making authority. If Pfizer does not do so, MacroGenics may seek to extend any Subject Patent Right in relation to Agreement Products, including through the use of supplemental protection certificates and the like, unless in Pfizer’s reasonable legal determination such Subject Patent Right may not be extended under Applicable Law in relation to Agreement Products without limiting Pfizer’s right to extend any other Patent Right in relation to Agreement Products.</w:t>
      </w:r>
    </w:p>
    <w:p>
      <w:pPr>
        <w:spacing w:after="0" w:line="21" w:lineRule="exact"/>
        <w:rPr>
          <w:sz w:val="20"/>
          <w:szCs w:val="20"/>
          <w:color w:val="auto"/>
        </w:rPr>
      </w:pPr>
    </w:p>
    <w:p>
      <w:pPr>
        <w:ind w:left="460" w:right="60"/>
        <w:spacing w:after="0" w:line="270" w:lineRule="auto"/>
        <w:rPr>
          <w:sz w:val="20"/>
          <w:szCs w:val="20"/>
          <w:color w:val="auto"/>
        </w:rPr>
      </w:pPr>
      <w:r>
        <w:rPr>
          <w:rFonts w:ascii="Arial" w:cs="Arial" w:eastAsia="Arial" w:hAnsi="Arial"/>
          <w:sz w:val="14"/>
          <w:szCs w:val="14"/>
          <w:color w:val="auto"/>
        </w:rPr>
        <w:t xml:space="preserve">6.2.7. </w:t>
      </w:r>
      <w:r>
        <w:rPr>
          <w:rFonts w:ascii="Arial" w:cs="Arial" w:eastAsia="Arial" w:hAnsi="Arial"/>
          <w:sz w:val="14"/>
          <w:szCs w:val="14"/>
          <w:b w:val="1"/>
          <w:bCs w:val="1"/>
          <w:color w:val="auto"/>
        </w:rPr>
        <w:t>Joint Research Agreement</w:t>
      </w:r>
      <w:r>
        <w:rPr>
          <w:rFonts w:ascii="Arial" w:cs="Arial" w:eastAsia="Arial" w:hAnsi="Arial"/>
          <w:sz w:val="14"/>
          <w:szCs w:val="14"/>
          <w:color w:val="auto"/>
        </w:rPr>
        <w:t>. This Agreement shall be understood to be a joint research agreement under 35 U.S.C. § 103(c)(3) entered into for the purpose of researching, identifying and Developing Agreement T-DARTs and Agreement Products.</w:t>
      </w:r>
    </w:p>
    <w:p>
      <w:pPr>
        <w:spacing w:after="0" w:line="35" w:lineRule="exact"/>
        <w:rPr>
          <w:sz w:val="20"/>
          <w:szCs w:val="20"/>
          <w:color w:val="auto"/>
        </w:rPr>
      </w:pPr>
    </w:p>
    <w:p>
      <w:pPr>
        <w:ind w:left="460" w:right="160"/>
        <w:spacing w:after="0" w:line="259" w:lineRule="auto"/>
        <w:rPr>
          <w:sz w:val="20"/>
          <w:szCs w:val="20"/>
          <w:color w:val="auto"/>
        </w:rPr>
      </w:pPr>
      <w:r>
        <w:rPr>
          <w:rFonts w:ascii="Arial" w:cs="Arial" w:eastAsia="Arial" w:hAnsi="Arial"/>
          <w:sz w:val="14"/>
          <w:szCs w:val="14"/>
          <w:color w:val="auto"/>
        </w:rPr>
        <w:t xml:space="preserve">6.2.8. </w:t>
      </w:r>
      <w:r>
        <w:rPr>
          <w:rFonts w:ascii="Arial" w:cs="Arial" w:eastAsia="Arial" w:hAnsi="Arial"/>
          <w:sz w:val="14"/>
          <w:szCs w:val="14"/>
          <w:b w:val="1"/>
          <w:bCs w:val="1"/>
          <w:color w:val="auto"/>
        </w:rPr>
        <w:t>Orange Book Information</w:t>
      </w:r>
      <w:r>
        <w:rPr>
          <w:rFonts w:ascii="Arial" w:cs="Arial" w:eastAsia="Arial" w:hAnsi="Arial"/>
          <w:sz w:val="14"/>
          <w:szCs w:val="14"/>
          <w:color w:val="auto"/>
        </w:rPr>
        <w:t>. Pfizer shall be responsible for all submissions of patent information pertaining to each Agreement Product pursuant to 21 U.S.C. § 355(b)(1)(G) (or any amendment or successor statute thereto), any similar statutory or regulatory requirement enacted in the future regarding biologic products, or any similar statutory or regulatory requirement in any non-United States country or other regulatory jurisdiction.</w:t>
      </w:r>
    </w:p>
    <w:p>
      <w:pPr>
        <w:spacing w:after="0" w:line="43"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color w:val="auto"/>
        </w:rPr>
        <w:t>Recording</w:t>
      </w:r>
      <w:r>
        <w:rPr>
          <w:rFonts w:ascii="Arial" w:cs="Arial" w:eastAsia="Arial" w:hAnsi="Arial"/>
          <w:sz w:val="14"/>
          <w:szCs w:val="14"/>
          <w:color w:val="auto"/>
        </w:rPr>
        <w:t>. If Pfizer deems it necessary or desirable to register or record this Agreement or evidence of this Agreement with any patent office or other appropriate government authorities in one or more jurisdictions in the Territory, then Pfizer shall submit to MacroGenics any proposed evidence of such recording and the Parties will comply with the terms of Section 7.2.3 in respect of such filing. MacroGenics shall, at Pfizer’s expense, execute and deliver to Pfizer any documents necessary or desirable, in Pfizer’s reasonable judgment, to complete such registration or recordation in accordance with the terms of Section 7.2.3; provided that such registration or recordation specifies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46</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11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8" w:right="219" w:bottom="1440" w:gutter="0" w:footer="0" w:header="0"/>
        </w:sectPr>
      </w:pPr>
    </w:p>
    <w:bookmarkStart w:id="916" w:name="page917"/>
    <w:bookmarkEnd w:id="916"/>
    <w:p>
      <w:pPr>
        <w:ind w:left="456"/>
        <w:spacing w:after="0" w:line="32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the applicable limitations of such license, and provided further that such registration shall have no effect on the allocation of patent prosecution, maintenance and enforcement rights and obligations set forth in this Section 6. In the event the licenses granted to Pfizer under this Agreement are terminated, Pfizer shall promptly take such actions and execute such documents as are reasonably requested by MacroGenics to cancel such registration(s) or recordation(s) in the applicable countries with respect to the terminated license grants.</w:t>
      </w:r>
    </w:p>
    <w:p>
      <w:pPr>
        <w:spacing w:after="0" w:line="8" w:lineRule="exact"/>
        <w:rPr>
          <w:sz w:val="20"/>
          <w:szCs w:val="20"/>
          <w:color w:val="auto"/>
        </w:rPr>
      </w:pPr>
    </w:p>
    <w:p>
      <w:pPr>
        <w:ind w:left="456" w:right="160"/>
        <w:spacing w:after="0" w:line="312"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b w:val="1"/>
          <w:bCs w:val="1"/>
          <w:color w:val="auto"/>
        </w:rPr>
        <w:t>Trademarks</w:t>
      </w:r>
      <w:r>
        <w:rPr>
          <w:rFonts w:ascii="Arial" w:cs="Arial" w:eastAsia="Arial" w:hAnsi="Arial"/>
          <w:sz w:val="12"/>
          <w:szCs w:val="12"/>
          <w:color w:val="auto"/>
        </w:rPr>
        <w:t>. Pfizer shall, in its sole discretion, select and own all Agreement Product-related Trademarks and copyrights to be used in connection with the Commercialization of any Agreement Product hereunder. MacroGenics shall neither use nor seek to register, anywhere in the world, any Trademarks that are confusingly similar to any Trademark used by or on behalf of Pfizer or its Affiliates or Sublicensees in connection with any Agreement Product; provided, however, that nothing in this Section 6.4 shall be construed to prevent MacroGenics from enforcing its own trademark rights or grant Pfizer any license or right in and to any MacroGenics trademark or house mark.</w:t>
      </w:r>
    </w:p>
    <w:p>
      <w:pPr>
        <w:spacing w:after="0" w:line="170" w:lineRule="exact"/>
        <w:rPr>
          <w:sz w:val="20"/>
          <w:szCs w:val="20"/>
          <w:color w:val="auto"/>
        </w:rPr>
      </w:pPr>
    </w:p>
    <w:p>
      <w:pPr>
        <w:ind w:left="456" w:hanging="456"/>
        <w:spacing w:after="0"/>
        <w:tabs>
          <w:tab w:leader="none" w:pos="456" w:val="left"/>
        </w:tabs>
        <w:numPr>
          <w:ilvl w:val="0"/>
          <w:numId w:val="1118"/>
        </w:numPr>
        <w:rPr>
          <w:rFonts w:ascii="Arial" w:cs="Arial" w:eastAsia="Arial" w:hAnsi="Arial"/>
          <w:sz w:val="14"/>
          <w:szCs w:val="14"/>
          <w:b w:val="1"/>
          <w:bCs w:val="1"/>
          <w:color w:val="auto"/>
        </w:rPr>
      </w:pPr>
      <w:r>
        <w:rPr>
          <w:rFonts w:ascii="Arial" w:cs="Arial" w:eastAsia="Arial" w:hAnsi="Arial"/>
          <w:sz w:val="14"/>
          <w:szCs w:val="14"/>
          <w:b w:val="1"/>
          <w:bCs w:val="1"/>
          <w:color w:val="auto"/>
        </w:rPr>
        <w:t>CONFIDENTIALITY</w:t>
      </w:r>
    </w:p>
    <w:p>
      <w:pPr>
        <w:spacing w:after="0" w:line="68" w:lineRule="exact"/>
        <w:rPr>
          <w:rFonts w:ascii="Arial" w:cs="Arial" w:eastAsia="Arial" w:hAnsi="Arial"/>
          <w:sz w:val="14"/>
          <w:szCs w:val="14"/>
          <w:b w:val="1"/>
          <w:bCs w:val="1"/>
          <w:color w:val="auto"/>
        </w:rPr>
      </w:pPr>
    </w:p>
    <w:p>
      <w:pPr>
        <w:ind w:left="456" w:right="20"/>
        <w:spacing w:after="0" w:line="298" w:lineRule="auto"/>
        <w:rPr>
          <w:rFonts w:ascii="Arial" w:cs="Arial" w:eastAsia="Arial" w:hAnsi="Arial"/>
          <w:sz w:val="14"/>
          <w:szCs w:val="14"/>
          <w:b w:val="1"/>
          <w:bCs w:val="1"/>
          <w:color w:val="auto"/>
        </w:rPr>
      </w:pPr>
      <w:r>
        <w:rPr>
          <w:rFonts w:ascii="Arial" w:cs="Arial" w:eastAsia="Arial" w:hAnsi="Arial"/>
          <w:sz w:val="12"/>
          <w:szCs w:val="12"/>
          <w:color w:val="auto"/>
        </w:rPr>
        <w:t xml:space="preserve">7.1. </w:t>
      </w:r>
      <w:r>
        <w:rPr>
          <w:rFonts w:ascii="Arial" w:cs="Arial" w:eastAsia="Arial" w:hAnsi="Arial"/>
          <w:sz w:val="12"/>
          <w:szCs w:val="12"/>
          <w:b w:val="1"/>
          <w:bCs w:val="1"/>
          <w:color w:val="auto"/>
        </w:rPr>
        <w:t>Confidentiality</w:t>
      </w:r>
      <w:r>
        <w:rPr>
          <w:rFonts w:ascii="Arial" w:cs="Arial" w:eastAsia="Arial" w:hAnsi="Arial"/>
          <w:sz w:val="12"/>
          <w:szCs w:val="12"/>
          <w:color w:val="auto"/>
        </w:rPr>
        <w:t xml:space="preserve">. Except to the extent expressly authorized by this Agreement, the Parties agree that, during the Term and for </w:t>
      </w:r>
      <w:r>
        <w:rPr>
          <w:rFonts w:ascii="Arial" w:cs="Arial" w:eastAsia="Arial" w:hAnsi="Arial"/>
          <w:sz w:val="12"/>
          <w:szCs w:val="12"/>
          <w:b w:val="1"/>
          <w:bCs w:val="1"/>
          <w:color w:val="auto"/>
        </w:rPr>
        <w:t>***</w:t>
      </w:r>
      <w:r>
        <w:rPr>
          <w:rFonts w:ascii="Arial" w:cs="Arial" w:eastAsia="Arial" w:hAnsi="Arial"/>
          <w:sz w:val="12"/>
          <w:szCs w:val="12"/>
          <w:color w:val="auto"/>
        </w:rPr>
        <w:t>, each Party (the “</w:t>
      </w:r>
      <w:r>
        <w:rPr>
          <w:rFonts w:ascii="Arial" w:cs="Arial" w:eastAsia="Arial" w:hAnsi="Arial"/>
          <w:sz w:val="12"/>
          <w:szCs w:val="12"/>
          <w:b w:val="1"/>
          <w:bCs w:val="1"/>
          <w:color w:val="auto"/>
        </w:rPr>
        <w:t>Receiving Party</w:t>
      </w:r>
      <w:r>
        <w:rPr>
          <w:rFonts w:ascii="Arial" w:cs="Arial" w:eastAsia="Arial" w:hAnsi="Arial"/>
          <w:sz w:val="12"/>
          <w:szCs w:val="12"/>
          <w:color w:val="auto"/>
        </w:rPr>
        <w:t>”) receiving any Confidential Information of the other Party (the “</w:t>
      </w:r>
      <w:r>
        <w:rPr>
          <w:rFonts w:ascii="Arial" w:cs="Arial" w:eastAsia="Arial" w:hAnsi="Arial"/>
          <w:sz w:val="12"/>
          <w:szCs w:val="12"/>
          <w:b w:val="1"/>
          <w:bCs w:val="1"/>
          <w:color w:val="auto"/>
        </w:rPr>
        <w:t>Disclosing Party</w:t>
      </w:r>
      <w:r>
        <w:rPr>
          <w:rFonts w:ascii="Arial" w:cs="Arial" w:eastAsia="Arial" w:hAnsi="Arial"/>
          <w:sz w:val="12"/>
          <w:szCs w:val="12"/>
          <w:color w:val="auto"/>
        </w:rPr>
        <w:t>”) hereunder shall: (a) keep the Disclosing Party’s Confidential Information confidential; (b) not disclose, or permit the disclosure of, the Disclosing Party’s Confidential Information; and (c) not use, or permit to be used, the Disclosing Party’s Confidential Information for any purpose; provided, however, that a Receiving Party may disclose Confidential Information of the Disclosing Party to the extent that such Confidential Information (i) was already known by the Receiving Party (other than under an obligation of confidentiality to the Disclosing Party) at the time of disclosure by the Disclosing Party; (ii) was generally available to the public or otherwise part of the public domain at the time of its disclosure to the Receiving Party; (iii) became generally available to the public or otherwise part of the public domain after its disclosure to the Receiving Party, other than through any act or omission of the Receiving Party in breach of its obligations under this Agreement; (iv) was disclosed to the Receiving Party, other than under an obligation of confidentiality, by a Third Party who had no obligation to the Disclosing Party not to disclose such information to the Receiving Party; or (v) was independently discovered or developed by or on behalf of the Receiving Party without the use of any Confidential Information of the Disclosing Party. The terms and conditions of this Agreement shall be considered Confidential Information of each Party.</w:t>
      </w:r>
    </w:p>
    <w:p>
      <w:pPr>
        <w:spacing w:after="0" w:line="25"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Authorized Disclosure</w:t>
      </w:r>
      <w:r>
        <w:rPr>
          <w:rFonts w:ascii="Arial" w:cs="Arial" w:eastAsia="Arial" w:hAnsi="Arial"/>
          <w:sz w:val="14"/>
          <w:szCs w:val="14"/>
          <w:color w:val="auto"/>
        </w:rPr>
        <w:t>.</w:t>
      </w:r>
    </w:p>
    <w:p>
      <w:pPr>
        <w:spacing w:after="0" w:line="69" w:lineRule="exact"/>
        <w:rPr>
          <w:sz w:val="20"/>
          <w:szCs w:val="20"/>
          <w:color w:val="auto"/>
        </w:rPr>
      </w:pPr>
    </w:p>
    <w:p>
      <w:pPr>
        <w:ind w:left="916" w:right="180"/>
        <w:spacing w:after="0" w:line="270" w:lineRule="auto"/>
        <w:rPr>
          <w:sz w:val="20"/>
          <w:szCs w:val="20"/>
          <w:color w:val="auto"/>
        </w:rPr>
      </w:pPr>
      <w:r>
        <w:rPr>
          <w:rFonts w:ascii="Arial" w:cs="Arial" w:eastAsia="Arial" w:hAnsi="Arial"/>
          <w:sz w:val="14"/>
          <w:szCs w:val="14"/>
          <w:color w:val="auto"/>
        </w:rPr>
        <w:t xml:space="preserve">7.2.1. </w:t>
      </w:r>
      <w:r>
        <w:rPr>
          <w:rFonts w:ascii="Arial" w:cs="Arial" w:eastAsia="Arial" w:hAnsi="Arial"/>
          <w:sz w:val="14"/>
          <w:szCs w:val="14"/>
          <w:b w:val="1"/>
          <w:bCs w:val="1"/>
          <w:color w:val="auto"/>
        </w:rPr>
        <w:t>Disclosure to Party Representatives</w:t>
      </w:r>
      <w:r>
        <w:rPr>
          <w:rFonts w:ascii="Arial" w:cs="Arial" w:eastAsia="Arial" w:hAnsi="Arial"/>
          <w:sz w:val="14"/>
          <w:szCs w:val="14"/>
          <w:color w:val="auto"/>
        </w:rPr>
        <w:t>. Notwithstanding the foregoing provisions of Section 7.1, the Receiving Party may disclose Confidential Information belonging to the Disclosing Party to the Receiving Party’s, its Affiliates’ and its Sublicensees’ officers, directors, employees, consultants,</w:t>
      </w:r>
    </w:p>
    <w:p>
      <w:pPr>
        <w:spacing w:after="0" w:line="89"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47</w:t>
      </w:r>
    </w:p>
    <w:p>
      <w:pPr>
        <w:spacing w:after="0" w:line="12" w:lineRule="exact"/>
        <w:rPr>
          <w:sz w:val="20"/>
          <w:szCs w:val="20"/>
          <w:color w:val="auto"/>
        </w:rPr>
      </w:pPr>
    </w:p>
    <w:p>
      <w:pPr>
        <w:ind w:left="3836" w:right="2680" w:hanging="1135"/>
        <w:spacing w:after="0" w:line="341" w:lineRule="auto"/>
        <w:tabs>
          <w:tab w:leader="none" w:pos="2940" w:val="left"/>
        </w:tabs>
        <w:numPr>
          <w:ilvl w:val="0"/>
          <w:numId w:val="111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36"/>
          </w:cols>
          <w:pgMar w:left="224" w:top="247" w:right="239" w:bottom="1440" w:gutter="0" w:footer="0" w:header="0"/>
        </w:sectPr>
      </w:pPr>
    </w:p>
    <w:bookmarkStart w:id="917" w:name="page918"/>
    <w:bookmarkEnd w:id="917"/>
    <w:p>
      <w:pPr>
        <w:jc w:val="both"/>
        <w:ind w:right="100"/>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contractors and agents (collectively, “</w:t>
      </w:r>
      <w:r>
        <w:rPr>
          <w:rFonts w:ascii="Arial" w:cs="Arial" w:eastAsia="Arial" w:hAnsi="Arial"/>
          <w:sz w:val="14"/>
          <w:szCs w:val="14"/>
          <w:b w:val="1"/>
          <w:bCs w:val="1"/>
          <w:color w:val="auto"/>
        </w:rPr>
        <w:t>Representatives</w:t>
      </w:r>
      <w:r>
        <w:rPr>
          <w:rFonts w:ascii="Arial" w:cs="Arial" w:eastAsia="Arial" w:hAnsi="Arial"/>
          <w:sz w:val="14"/>
          <w:szCs w:val="14"/>
          <w:color w:val="auto"/>
        </w:rPr>
        <w:t>”)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Section 7.</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7.2.2. </w:t>
      </w:r>
      <w:r>
        <w:rPr>
          <w:rFonts w:ascii="Arial" w:cs="Arial" w:eastAsia="Arial" w:hAnsi="Arial"/>
          <w:sz w:val="14"/>
          <w:szCs w:val="14"/>
          <w:b w:val="1"/>
          <w:bCs w:val="1"/>
          <w:color w:val="auto"/>
        </w:rPr>
        <w:t>Disclosure to Third Parties</w:t>
      </w:r>
      <w:r>
        <w:rPr>
          <w:rFonts w:ascii="Arial" w:cs="Arial" w:eastAsia="Arial" w:hAnsi="Arial"/>
          <w:sz w:val="14"/>
          <w:szCs w:val="14"/>
          <w:color w:val="auto"/>
        </w:rPr>
        <w:t>.</w:t>
      </w:r>
    </w:p>
    <w:p>
      <w:pPr>
        <w:spacing w:after="0" w:line="71" w:lineRule="exact"/>
        <w:rPr>
          <w:sz w:val="20"/>
          <w:szCs w:val="20"/>
          <w:color w:val="auto"/>
        </w:rPr>
      </w:pPr>
    </w:p>
    <w:p>
      <w:pPr>
        <w:ind w:left="760" w:hanging="187"/>
        <w:spacing w:after="0"/>
        <w:tabs>
          <w:tab w:leader="none" w:pos="760" w:val="left"/>
        </w:tabs>
        <w:numPr>
          <w:ilvl w:val="0"/>
          <w:numId w:val="1120"/>
        </w:numPr>
        <w:rPr>
          <w:rFonts w:ascii="Arial" w:cs="Arial" w:eastAsia="Arial" w:hAnsi="Arial"/>
          <w:sz w:val="14"/>
          <w:szCs w:val="14"/>
          <w:color w:val="auto"/>
        </w:rPr>
      </w:pPr>
      <w:r>
        <w:rPr>
          <w:rFonts w:ascii="Arial" w:cs="Arial" w:eastAsia="Arial" w:hAnsi="Arial"/>
          <w:sz w:val="14"/>
          <w:szCs w:val="14"/>
          <w:color w:val="auto"/>
        </w:rPr>
        <w:t>Notwithstanding the foregoing provisions of Section 7.1, each Party may disclose Confidential Information belonging to the other Party:</w:t>
      </w:r>
    </w:p>
    <w:p>
      <w:pPr>
        <w:spacing w:after="0" w:line="68" w:lineRule="exact"/>
        <w:rPr>
          <w:rFonts w:ascii="Arial" w:cs="Arial" w:eastAsia="Arial" w:hAnsi="Arial"/>
          <w:sz w:val="14"/>
          <w:szCs w:val="14"/>
          <w:color w:val="auto"/>
        </w:rPr>
      </w:pPr>
    </w:p>
    <w:p>
      <w:pPr>
        <w:ind w:left="1040" w:right="40" w:hanging="8"/>
        <w:spacing w:after="0" w:line="267" w:lineRule="auto"/>
        <w:tabs>
          <w:tab w:leader="none" w:pos="1202" w:val="left"/>
        </w:tabs>
        <w:numPr>
          <w:ilvl w:val="1"/>
          <w:numId w:val="1120"/>
        </w:numPr>
        <w:rPr>
          <w:rFonts w:ascii="Arial" w:cs="Arial" w:eastAsia="Arial" w:hAnsi="Arial"/>
          <w:sz w:val="14"/>
          <w:szCs w:val="14"/>
          <w:color w:val="auto"/>
        </w:rPr>
      </w:pPr>
      <w:r>
        <w:rPr>
          <w:rFonts w:ascii="Arial" w:cs="Arial" w:eastAsia="Arial" w:hAnsi="Arial"/>
          <w:sz w:val="14"/>
          <w:szCs w:val="14"/>
          <w:color w:val="auto"/>
        </w:rPr>
        <w:t>to Governmental Authorities (i) to the extent reasonably necessary to obtain or maintain INDs or Regulatory Approvals for any Agreement T-DART or Agreement Product within the Territory, and (ii) in order to respond to inquiries, requests or investigations relating to this Agreement;</w:t>
      </w:r>
    </w:p>
    <w:p>
      <w:pPr>
        <w:spacing w:after="0" w:line="38" w:lineRule="exact"/>
        <w:rPr>
          <w:rFonts w:ascii="Arial" w:cs="Arial" w:eastAsia="Arial" w:hAnsi="Arial"/>
          <w:sz w:val="14"/>
          <w:szCs w:val="14"/>
          <w:color w:val="auto"/>
        </w:rPr>
      </w:pPr>
    </w:p>
    <w:p>
      <w:pPr>
        <w:ind w:left="1040" w:hanging="8"/>
        <w:spacing w:after="0" w:line="258" w:lineRule="auto"/>
        <w:tabs>
          <w:tab w:leader="none" w:pos="1240" w:val="left"/>
        </w:tabs>
        <w:numPr>
          <w:ilvl w:val="1"/>
          <w:numId w:val="1120"/>
        </w:numPr>
        <w:rPr>
          <w:rFonts w:ascii="Arial" w:cs="Arial" w:eastAsia="Arial" w:hAnsi="Arial"/>
          <w:sz w:val="14"/>
          <w:szCs w:val="14"/>
          <w:color w:val="auto"/>
        </w:rPr>
      </w:pPr>
      <w:r>
        <w:rPr>
          <w:rFonts w:ascii="Arial" w:cs="Arial" w:eastAsia="Arial" w:hAnsi="Arial"/>
          <w:sz w:val="14"/>
          <w:szCs w:val="14"/>
          <w:color w:val="auto"/>
        </w:rPr>
        <w:t>to outside consultants, contractors, advisory boards, managed care organizations, and non-clinical and clinical investigators, in each case to the extent reasonably necessary to develop, register or market any Agreement T-DART or Agreement Product; provided that the Receiving Party shall obtain the same confidentiality obligations from such Third Parties as it obtains with respect to its own similar types of confidential information;</w:t>
      </w:r>
    </w:p>
    <w:p>
      <w:pPr>
        <w:spacing w:after="0" w:line="44" w:lineRule="exact"/>
        <w:rPr>
          <w:rFonts w:ascii="Arial" w:cs="Arial" w:eastAsia="Arial" w:hAnsi="Arial"/>
          <w:sz w:val="14"/>
          <w:szCs w:val="14"/>
          <w:color w:val="auto"/>
        </w:rPr>
      </w:pPr>
    </w:p>
    <w:p>
      <w:pPr>
        <w:ind w:left="1260" w:hanging="228"/>
        <w:spacing w:after="0"/>
        <w:tabs>
          <w:tab w:leader="none" w:pos="1260" w:val="left"/>
        </w:tabs>
        <w:numPr>
          <w:ilvl w:val="1"/>
          <w:numId w:val="1120"/>
        </w:numPr>
        <w:rPr>
          <w:rFonts w:ascii="Arial" w:cs="Arial" w:eastAsia="Arial" w:hAnsi="Arial"/>
          <w:sz w:val="14"/>
          <w:szCs w:val="14"/>
          <w:color w:val="auto"/>
        </w:rPr>
      </w:pPr>
      <w:r>
        <w:rPr>
          <w:rFonts w:ascii="Arial" w:cs="Arial" w:eastAsia="Arial" w:hAnsi="Arial"/>
          <w:sz w:val="14"/>
          <w:szCs w:val="14"/>
          <w:color w:val="auto"/>
        </w:rPr>
        <w:t>to the extent reasonably necessary in connection with filing or prosecuting Patent Rights as permitted by this Agreement;</w:t>
      </w:r>
    </w:p>
    <w:p>
      <w:pPr>
        <w:spacing w:after="0" w:line="68" w:lineRule="exact"/>
        <w:rPr>
          <w:rFonts w:ascii="Arial" w:cs="Arial" w:eastAsia="Arial" w:hAnsi="Arial"/>
          <w:sz w:val="14"/>
          <w:szCs w:val="14"/>
          <w:color w:val="auto"/>
        </w:rPr>
      </w:pPr>
    </w:p>
    <w:p>
      <w:pPr>
        <w:ind w:left="1260" w:hanging="228"/>
        <w:spacing w:after="0"/>
        <w:tabs>
          <w:tab w:leader="none" w:pos="1260" w:val="left"/>
        </w:tabs>
        <w:numPr>
          <w:ilvl w:val="1"/>
          <w:numId w:val="1120"/>
        </w:numPr>
        <w:rPr>
          <w:rFonts w:ascii="Arial" w:cs="Arial" w:eastAsia="Arial" w:hAnsi="Arial"/>
          <w:sz w:val="14"/>
          <w:szCs w:val="14"/>
          <w:color w:val="auto"/>
        </w:rPr>
      </w:pPr>
      <w:r>
        <w:rPr>
          <w:rFonts w:ascii="Arial" w:cs="Arial" w:eastAsia="Arial" w:hAnsi="Arial"/>
          <w:sz w:val="14"/>
          <w:szCs w:val="14"/>
          <w:color w:val="auto"/>
        </w:rPr>
        <w:t>to the extent reasonably necessary in connection with prosecuting or defending litigation as permitted by this Agreement;</w:t>
      </w:r>
    </w:p>
    <w:p>
      <w:pPr>
        <w:spacing w:after="0" w:line="68" w:lineRule="exact"/>
        <w:rPr>
          <w:rFonts w:ascii="Arial" w:cs="Arial" w:eastAsia="Arial" w:hAnsi="Arial"/>
          <w:sz w:val="14"/>
          <w:szCs w:val="14"/>
          <w:color w:val="auto"/>
        </w:rPr>
      </w:pPr>
    </w:p>
    <w:p>
      <w:pPr>
        <w:ind w:left="1040" w:right="320" w:hanging="8"/>
        <w:spacing w:after="0" w:line="345" w:lineRule="auto"/>
        <w:tabs>
          <w:tab w:leader="none" w:pos="1232" w:val="left"/>
        </w:tabs>
        <w:numPr>
          <w:ilvl w:val="1"/>
          <w:numId w:val="1120"/>
        </w:numPr>
        <w:rPr>
          <w:rFonts w:ascii="Arial" w:cs="Arial" w:eastAsia="Arial" w:hAnsi="Arial"/>
          <w:sz w:val="12"/>
          <w:szCs w:val="12"/>
          <w:color w:val="auto"/>
        </w:rPr>
      </w:pPr>
      <w:r>
        <w:rPr>
          <w:rFonts w:ascii="Arial" w:cs="Arial" w:eastAsia="Arial" w:hAnsi="Arial"/>
          <w:sz w:val="12"/>
          <w:szCs w:val="12"/>
          <w:color w:val="auto"/>
        </w:rPr>
        <w:t>subject to Section 7.3.2, in connection with or included in scientific presentations and publications relating to Agreement T-DARTs or Agreement Products, including abstracts, posters, journal articles and the like, and posting results of and other information about clinical trials to clincialtrials.gov or PhRMA websites; and</w:t>
      </w:r>
    </w:p>
    <w:p>
      <w:pPr>
        <w:ind w:left="1260" w:hanging="228"/>
        <w:spacing w:after="0"/>
        <w:tabs>
          <w:tab w:leader="none" w:pos="1260" w:val="left"/>
        </w:tabs>
        <w:numPr>
          <w:ilvl w:val="1"/>
          <w:numId w:val="1120"/>
        </w:numPr>
        <w:rPr>
          <w:rFonts w:ascii="Arial" w:cs="Arial" w:eastAsia="Arial" w:hAnsi="Arial"/>
          <w:sz w:val="14"/>
          <w:szCs w:val="14"/>
          <w:color w:val="auto"/>
        </w:rPr>
      </w:pPr>
      <w:r>
        <w:rPr>
          <w:rFonts w:ascii="Arial" w:cs="Arial" w:eastAsia="Arial" w:hAnsi="Arial"/>
          <w:sz w:val="14"/>
          <w:szCs w:val="14"/>
          <w:color w:val="auto"/>
        </w:rPr>
        <w:t>to the extent necessary or desirable in order to enforce its rights under this Agreement.</w:t>
      </w:r>
    </w:p>
    <w:p>
      <w:pPr>
        <w:spacing w:after="0" w:line="68" w:lineRule="exact"/>
        <w:rPr>
          <w:rFonts w:ascii="Arial" w:cs="Arial" w:eastAsia="Arial" w:hAnsi="Arial"/>
          <w:sz w:val="14"/>
          <w:szCs w:val="14"/>
          <w:color w:val="auto"/>
        </w:rPr>
      </w:pPr>
    </w:p>
    <w:p>
      <w:pPr>
        <w:ind w:left="580" w:right="240" w:hanging="7"/>
        <w:spacing w:after="0" w:line="351" w:lineRule="auto"/>
        <w:tabs>
          <w:tab w:leader="none" w:pos="772" w:val="left"/>
        </w:tabs>
        <w:numPr>
          <w:ilvl w:val="0"/>
          <w:numId w:val="1120"/>
        </w:numPr>
        <w:rPr>
          <w:rFonts w:ascii="Arial" w:cs="Arial" w:eastAsia="Arial" w:hAnsi="Arial"/>
          <w:sz w:val="12"/>
          <w:szCs w:val="12"/>
          <w:color w:val="auto"/>
        </w:rPr>
      </w:pPr>
      <w:r>
        <w:rPr>
          <w:rFonts w:ascii="Arial" w:cs="Arial" w:eastAsia="Arial" w:hAnsi="Arial"/>
          <w:sz w:val="12"/>
          <w:szCs w:val="12"/>
          <w:color w:val="auto"/>
        </w:rPr>
        <w:t>Notwithstanding anything to the contrary in this Section 7, MacroGenics may disclose Pfizer’s Confidential Information to: (i) Governmental Authorities in order to respond to inquiries, requests or investigations relating to this Agreement and (ii) to the extent necessary or desirable in order to enforce its rights under this Agreement. In the event a</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48</w:t>
      </w:r>
    </w:p>
    <w:p>
      <w:pPr>
        <w:spacing w:after="0" w:line="12" w:lineRule="exact"/>
        <w:rPr>
          <w:sz w:val="20"/>
          <w:szCs w:val="20"/>
          <w:color w:val="auto"/>
        </w:rPr>
      </w:pPr>
    </w:p>
    <w:p>
      <w:pPr>
        <w:ind w:left="2920" w:right="2700" w:hanging="1135"/>
        <w:spacing w:after="0" w:line="341" w:lineRule="auto"/>
        <w:tabs>
          <w:tab w:leader="none" w:pos="2024" w:val="left"/>
        </w:tabs>
        <w:numPr>
          <w:ilvl w:val="0"/>
          <w:numId w:val="112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40"/>
          </w:cols>
          <w:pgMar w:left="1140" w:top="246" w:right="219" w:bottom="1440" w:gutter="0" w:footer="0" w:header="0"/>
        </w:sectPr>
      </w:pPr>
    </w:p>
    <w:bookmarkStart w:id="918" w:name="page919"/>
    <w:bookmarkEnd w:id="918"/>
    <w:p>
      <w:pPr>
        <w:ind w:left="580" w:right="20"/>
        <w:spacing w:after="0" w:line="34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Party deems it reasonably necessary to disclose Confidential Information belonging to the other Party pursuant to this Section 7.2, the Disclosing Party shall to the extent possible give reasonable advance written notice of such disclosure to the other Party and take all reasonable measures to ensure confidential treatment of such information.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7.2.3. </w:t>
      </w:r>
      <w:r>
        <w:rPr>
          <w:rFonts w:ascii="Arial" w:cs="Arial" w:eastAsia="Arial" w:hAnsi="Arial"/>
          <w:sz w:val="14"/>
          <w:szCs w:val="14"/>
          <w:b w:val="1"/>
          <w:bCs w:val="1"/>
          <w:color w:val="auto"/>
        </w:rPr>
        <w:t>SEC Filings and Other Disclosures</w:t>
      </w:r>
      <w:r>
        <w:rPr>
          <w:rFonts w:ascii="Arial" w:cs="Arial" w:eastAsia="Arial" w:hAnsi="Arial"/>
          <w:sz w:val="14"/>
          <w:szCs w:val="14"/>
          <w:color w:val="auto"/>
        </w:rPr>
        <w:t>. Notwithstanding any provision of this Agreement to the contrary:</w:t>
      </w:r>
    </w:p>
    <w:p>
      <w:pPr>
        <w:spacing w:after="0" w:line="71" w:lineRule="exact"/>
        <w:rPr>
          <w:sz w:val="20"/>
          <w:szCs w:val="20"/>
          <w:color w:val="auto"/>
        </w:rPr>
      </w:pPr>
    </w:p>
    <w:p>
      <w:pPr>
        <w:ind w:left="580" w:hanging="7"/>
        <w:spacing w:after="0" w:line="305" w:lineRule="auto"/>
        <w:tabs>
          <w:tab w:leader="none" w:pos="765" w:val="left"/>
        </w:tabs>
        <w:numPr>
          <w:ilvl w:val="0"/>
          <w:numId w:val="1122"/>
        </w:numPr>
        <w:rPr>
          <w:rFonts w:ascii="Arial" w:cs="Arial" w:eastAsia="Arial" w:hAnsi="Arial"/>
          <w:sz w:val="12"/>
          <w:szCs w:val="12"/>
          <w:color w:val="auto"/>
        </w:rPr>
      </w:pPr>
      <w:r>
        <w:rPr>
          <w:rFonts w:ascii="Arial" w:cs="Arial" w:eastAsia="Arial" w:hAnsi="Arial"/>
          <w:sz w:val="12"/>
          <w:szCs w:val="12"/>
          <w:color w:val="auto"/>
        </w:rPr>
        <w:t>Either Party may disclose the terms of this Agreement to the extent required, in the reasonable opinion of such Party’s legal counsel, to comply with Applicable Law, including the rules and regulations promulgated by the SEC or any equivalent governmental agency in any country in the Territory. Notwithstanding the foregoing, before disclosing this Agreement or any of the terms hereof pursuant to this Section 7.2.3, the Parties will consult with one another on the terms of this Agreement to be redacted in making any such disclosure. Further, if a Party discloses this Agreement or any of the terms hereof in accordance with this Section 7.2.3, such Party shall, at its own expense, seek such confidential treatment of confidential portions of this Agreement and such other terms, as may be reasonably requested by the other Party.</w:t>
      </w:r>
    </w:p>
    <w:p>
      <w:pPr>
        <w:spacing w:after="0" w:line="21" w:lineRule="exact"/>
        <w:rPr>
          <w:rFonts w:ascii="Arial" w:cs="Arial" w:eastAsia="Arial" w:hAnsi="Arial"/>
          <w:sz w:val="12"/>
          <w:szCs w:val="12"/>
          <w:color w:val="auto"/>
        </w:rPr>
      </w:pPr>
    </w:p>
    <w:p>
      <w:pPr>
        <w:ind w:left="760" w:hanging="187"/>
        <w:spacing w:after="0"/>
        <w:tabs>
          <w:tab w:leader="none" w:pos="760" w:val="left"/>
        </w:tabs>
        <w:numPr>
          <w:ilvl w:val="0"/>
          <w:numId w:val="1122"/>
        </w:numPr>
        <w:rPr>
          <w:rFonts w:ascii="Arial" w:cs="Arial" w:eastAsia="Arial" w:hAnsi="Arial"/>
          <w:sz w:val="14"/>
          <w:szCs w:val="14"/>
          <w:color w:val="auto"/>
        </w:rPr>
      </w:pPr>
      <w:r>
        <w:rPr>
          <w:rFonts w:ascii="Arial" w:cs="Arial" w:eastAsia="Arial" w:hAnsi="Arial"/>
          <w:sz w:val="14"/>
          <w:szCs w:val="14"/>
          <w:color w:val="auto"/>
        </w:rPr>
        <w:t>Either Party may disclose the existence and terms of this Agreement in confidence:</w:t>
      </w:r>
    </w:p>
    <w:p>
      <w:pPr>
        <w:spacing w:after="0" w:line="68" w:lineRule="exact"/>
        <w:rPr>
          <w:rFonts w:ascii="Arial" w:cs="Arial" w:eastAsia="Arial" w:hAnsi="Arial"/>
          <w:sz w:val="14"/>
          <w:szCs w:val="14"/>
          <w:color w:val="auto"/>
        </w:rPr>
      </w:pPr>
    </w:p>
    <w:p>
      <w:pPr>
        <w:ind w:left="1040" w:right="220" w:hanging="8"/>
        <w:spacing w:after="0" w:line="255" w:lineRule="auto"/>
        <w:tabs>
          <w:tab w:leader="none" w:pos="1202" w:val="left"/>
        </w:tabs>
        <w:numPr>
          <w:ilvl w:val="1"/>
          <w:numId w:val="1122"/>
        </w:numPr>
        <w:rPr>
          <w:rFonts w:ascii="Arial" w:cs="Arial" w:eastAsia="Arial" w:hAnsi="Arial"/>
          <w:sz w:val="14"/>
          <w:szCs w:val="14"/>
          <w:color w:val="auto"/>
        </w:rPr>
      </w:pPr>
      <w:r>
        <w:rPr>
          <w:rFonts w:ascii="Arial" w:cs="Arial" w:eastAsia="Arial" w:hAnsi="Arial"/>
          <w:sz w:val="14"/>
          <w:szCs w:val="14"/>
          <w:color w:val="auto"/>
        </w:rPr>
        <w:t>(A) to its attorneys, professional accountants, and auditors, and (B) bankers or other financial advisors in connection with an initial public offering, other strategic transaction, or corporate valuation for internal purposes; provided that any such disclosure to such professional accountants, auditors, bankers or other financial advisors is under an agreement to keep the terms of confidentiality and non-use no less rigorous than the terms contained in this Agreement and to use such information solely for the applicable purpose permitted pursuant to this Section 7.2.3(b)(i);</w:t>
      </w:r>
    </w:p>
    <w:p>
      <w:pPr>
        <w:spacing w:after="0" w:line="47" w:lineRule="exact"/>
        <w:rPr>
          <w:rFonts w:ascii="Arial" w:cs="Arial" w:eastAsia="Arial" w:hAnsi="Arial"/>
          <w:sz w:val="14"/>
          <w:szCs w:val="14"/>
          <w:color w:val="auto"/>
        </w:rPr>
      </w:pPr>
    </w:p>
    <w:p>
      <w:pPr>
        <w:ind w:left="1040" w:right="100" w:hanging="8"/>
        <w:spacing w:after="0" w:line="255" w:lineRule="auto"/>
        <w:tabs>
          <w:tab w:leader="none" w:pos="1240" w:val="left"/>
        </w:tabs>
        <w:numPr>
          <w:ilvl w:val="1"/>
          <w:numId w:val="1122"/>
        </w:numPr>
        <w:rPr>
          <w:rFonts w:ascii="Arial" w:cs="Arial" w:eastAsia="Arial" w:hAnsi="Arial"/>
          <w:sz w:val="14"/>
          <w:szCs w:val="14"/>
          <w:color w:val="auto"/>
        </w:rPr>
      </w:pPr>
      <w:r>
        <w:rPr>
          <w:rFonts w:ascii="Arial" w:cs="Arial" w:eastAsia="Arial" w:hAnsi="Arial"/>
          <w:sz w:val="14"/>
          <w:szCs w:val="14"/>
          <w:color w:val="auto"/>
        </w:rPr>
        <w:t>to potential acquirers (and their respective attorneys and professional advisors), in connection with a potential merger, acquisition or reorganization; provided that (A) the Party making the disclosure has a bona fide offer from such Third Party for such a transaction, and (B) such disclosure is under an agreement to keep the terms of confidentiality and non-use no less rigorous than the terms contained in this Agreement and to use such information solely for the purpose permitted pursuant to this Section 7.2.3(b)(i);</w:t>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49</w:t>
      </w:r>
    </w:p>
    <w:p>
      <w:pPr>
        <w:spacing w:after="0" w:line="12" w:lineRule="exact"/>
        <w:rPr>
          <w:sz w:val="20"/>
          <w:szCs w:val="20"/>
          <w:color w:val="auto"/>
        </w:rPr>
      </w:pPr>
    </w:p>
    <w:p>
      <w:pPr>
        <w:ind w:left="2920" w:right="2700" w:hanging="1135"/>
        <w:spacing w:after="0" w:line="341" w:lineRule="auto"/>
        <w:tabs>
          <w:tab w:leader="none" w:pos="2024" w:val="left"/>
        </w:tabs>
        <w:numPr>
          <w:ilvl w:val="0"/>
          <w:numId w:val="112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40"/>
          </w:cols>
          <w:pgMar w:left="1140" w:top="247" w:right="219" w:bottom="1440" w:gutter="0" w:footer="0" w:header="0"/>
        </w:sectPr>
      </w:pPr>
    </w:p>
    <w:bookmarkStart w:id="919" w:name="page920"/>
    <w:bookmarkEnd w:id="919"/>
    <w:p>
      <w:pPr>
        <w:ind w:left="1500" w:right="60" w:hanging="8"/>
        <w:spacing w:after="0" w:line="345" w:lineRule="auto"/>
        <w:tabs>
          <w:tab w:leader="none" w:pos="1738" w:val="left"/>
        </w:tabs>
        <w:numPr>
          <w:ilvl w:val="0"/>
          <w:numId w:val="112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to existing or potential investors, lenders or permitted assignees of such Party (and their respective attorneys and professional advisors); provided that such disclosure is under an agreement to keep the terms of confidentiality and non-use no less rigorous than the terms contained in this Agreement; and</w:t>
      </w:r>
    </w:p>
    <w:p>
      <w:pPr>
        <w:ind w:left="1500" w:right="80" w:hanging="8"/>
        <w:spacing w:after="0" w:line="258" w:lineRule="auto"/>
        <w:tabs>
          <w:tab w:leader="none" w:pos="1730" w:val="left"/>
        </w:tabs>
        <w:numPr>
          <w:ilvl w:val="0"/>
          <w:numId w:val="1124"/>
        </w:numPr>
        <w:rPr>
          <w:rFonts w:ascii="Arial" w:cs="Arial" w:eastAsia="Arial" w:hAnsi="Arial"/>
          <w:sz w:val="14"/>
          <w:szCs w:val="14"/>
          <w:color w:val="auto"/>
        </w:rPr>
      </w:pPr>
      <w:r>
        <w:rPr>
          <w:rFonts w:ascii="Arial" w:cs="Arial" w:eastAsia="Arial" w:hAnsi="Arial"/>
          <w:sz w:val="14"/>
          <w:szCs w:val="14"/>
          <w:color w:val="auto"/>
        </w:rPr>
        <w:t>to potential licensees or sublicensees of such Party (and their respective attorneys and professional advisors); provided that (A) such disclosure shall not include any financial terms or identify any Research Project Targets or Reserved Targets; and (B) such disclosure is under an agreement to keep the terms of confidentiality and non-use no less rigorous than the terms contained in this Agreement.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color w:val="auto"/>
        </w:rPr>
        <w:t>Public Announcements; Publications</w:t>
      </w:r>
      <w:r>
        <w:rPr>
          <w:rFonts w:ascii="Arial" w:cs="Arial" w:eastAsia="Arial" w:hAnsi="Arial"/>
          <w:sz w:val="14"/>
          <w:szCs w:val="14"/>
          <w:color w:val="auto"/>
        </w:rPr>
        <w:t>.</w:t>
      </w:r>
    </w:p>
    <w:p>
      <w:pPr>
        <w:spacing w:after="0" w:line="69" w:lineRule="exact"/>
        <w:rPr>
          <w:sz w:val="20"/>
          <w:szCs w:val="20"/>
          <w:color w:val="auto"/>
        </w:rPr>
      </w:pPr>
    </w:p>
    <w:p>
      <w:pPr>
        <w:ind w:left="460"/>
        <w:spacing w:after="0" w:line="301" w:lineRule="auto"/>
        <w:rPr>
          <w:sz w:val="20"/>
          <w:szCs w:val="20"/>
          <w:color w:val="auto"/>
        </w:rPr>
      </w:pPr>
      <w:r>
        <w:rPr>
          <w:rFonts w:ascii="Arial" w:cs="Arial" w:eastAsia="Arial" w:hAnsi="Arial"/>
          <w:sz w:val="12"/>
          <w:szCs w:val="12"/>
          <w:color w:val="auto"/>
        </w:rPr>
        <w:t xml:space="preserve">7.3.1. </w:t>
      </w:r>
      <w:r>
        <w:rPr>
          <w:rFonts w:ascii="Arial" w:cs="Arial" w:eastAsia="Arial" w:hAnsi="Arial"/>
          <w:sz w:val="12"/>
          <w:szCs w:val="12"/>
          <w:b w:val="1"/>
          <w:bCs w:val="1"/>
          <w:color w:val="auto"/>
        </w:rPr>
        <w:t>Announcements</w:t>
      </w:r>
      <w:r>
        <w:rPr>
          <w:rFonts w:ascii="Arial" w:cs="Arial" w:eastAsia="Arial" w:hAnsi="Arial"/>
          <w:sz w:val="12"/>
          <w:szCs w:val="12"/>
          <w:color w:val="auto"/>
        </w:rPr>
        <w:t xml:space="preserve">. Except as may be expressly permitted under Section 7.2.3, neither Party will make any public announcement regarding this Agreement without the prior written approval of the other Party. For the sake of clarity, nothing in this Agreement shall prevent (a) either Party from making any public disclosure relating to this Agreement if the contents of such public disclosure has previously been made public other than through a breach of this Agreement by the issuing Party or its Affiliates; (b) Pfizer from making any scientific publication (in accordance with Section 7.3.2) or public announcement with respect to any Agreement Product under this Agreement; or (c) MacroGenics from making any public announcement approved in advance by Pfizer with respect to any Milestone Payment received by MacroGenics hereunder, which approval may not be unreasonably withheld or delayed; provided, however, that, except as permitted under Section 7.2, Pfizer shall not disclose any of MacroGenics’s Confidential Information in any such publication or announcement without obtaining MacroGenics’s prior written consent to do so. The Parties agree that MacroGenics may release the announcement attached hereto as </w:t>
      </w:r>
      <w:r>
        <w:rPr>
          <w:rFonts w:ascii="Arial" w:cs="Arial" w:eastAsia="Arial" w:hAnsi="Arial"/>
          <w:sz w:val="12"/>
          <w:szCs w:val="12"/>
          <w:u w:val="single" w:color="auto"/>
          <w:color w:val="auto"/>
        </w:rPr>
        <w:t>Exhibit 7.3.1</w:t>
      </w:r>
      <w:r>
        <w:rPr>
          <w:rFonts w:ascii="Arial" w:cs="Arial" w:eastAsia="Arial" w:hAnsi="Arial"/>
          <w:sz w:val="12"/>
          <w:szCs w:val="12"/>
          <w:color w:val="auto"/>
        </w:rPr>
        <w:t xml:space="preserve"> regarding the signing of this Agreement following the Effective Date.</w:t>
      </w:r>
    </w:p>
    <w:p>
      <w:pPr>
        <w:spacing w:after="0" w:line="21" w:lineRule="exact"/>
        <w:rPr>
          <w:sz w:val="20"/>
          <w:szCs w:val="20"/>
          <w:color w:val="auto"/>
        </w:rPr>
      </w:pPr>
    </w:p>
    <w:p>
      <w:pPr>
        <w:ind w:left="460" w:right="60"/>
        <w:spacing w:after="0" w:line="312" w:lineRule="auto"/>
        <w:rPr>
          <w:sz w:val="20"/>
          <w:szCs w:val="20"/>
          <w:color w:val="auto"/>
        </w:rPr>
      </w:pPr>
      <w:r>
        <w:rPr>
          <w:rFonts w:ascii="Arial" w:cs="Arial" w:eastAsia="Arial" w:hAnsi="Arial"/>
          <w:sz w:val="12"/>
          <w:szCs w:val="12"/>
          <w:color w:val="auto"/>
        </w:rPr>
        <w:t xml:space="preserve">7.3.2. </w:t>
      </w:r>
      <w:r>
        <w:rPr>
          <w:rFonts w:ascii="Arial" w:cs="Arial" w:eastAsia="Arial" w:hAnsi="Arial"/>
          <w:sz w:val="12"/>
          <w:szCs w:val="12"/>
          <w:b w:val="1"/>
          <w:bCs w:val="1"/>
          <w:color w:val="auto"/>
        </w:rPr>
        <w:t>Publications</w:t>
      </w:r>
      <w:r>
        <w:rPr>
          <w:rFonts w:ascii="Arial" w:cs="Arial" w:eastAsia="Arial" w:hAnsi="Arial"/>
          <w:sz w:val="12"/>
          <w:szCs w:val="12"/>
          <w:color w:val="auto"/>
        </w:rPr>
        <w:t>. During the Term, each Party shall submit to the other Party (the “</w:t>
      </w:r>
      <w:r>
        <w:rPr>
          <w:rFonts w:ascii="Arial" w:cs="Arial" w:eastAsia="Arial" w:hAnsi="Arial"/>
          <w:sz w:val="12"/>
          <w:szCs w:val="12"/>
          <w:b w:val="1"/>
          <w:bCs w:val="1"/>
          <w:color w:val="auto"/>
        </w:rPr>
        <w:t>Non-Disclosing Party</w:t>
      </w:r>
      <w:r>
        <w:rPr>
          <w:rFonts w:ascii="Arial" w:cs="Arial" w:eastAsia="Arial" w:hAnsi="Arial"/>
          <w:sz w:val="12"/>
          <w:szCs w:val="12"/>
          <w:color w:val="auto"/>
        </w:rPr>
        <w:t>”) for review and approval any proposed academic, scientific and medical publication or public presentation which contains the Non-Disclosing Party’s Confidential Information. In addition, MacroGenics shall submit to Pfizer for review and approval any proposed publication or public presentation relating to the Research Program. In both instances, such review and approval will be conducted for the purposes of preserving the value of the MacroGenics Technology, the Pfizer Technology, the Joint Technology, the rights granted to Pfizer hereunder and determining whether any portion of the proposed</w:t>
      </w:r>
    </w:p>
    <w:p>
      <w:pPr>
        <w:spacing w:after="0" w:line="68"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50</w:t>
      </w:r>
    </w:p>
    <w:p>
      <w:pPr>
        <w:spacing w:after="0" w:line="12" w:lineRule="exact"/>
        <w:rPr>
          <w:sz w:val="20"/>
          <w:szCs w:val="20"/>
          <w:color w:val="auto"/>
        </w:rPr>
      </w:pPr>
    </w:p>
    <w:p>
      <w:pPr>
        <w:ind w:left="3380" w:right="2620" w:hanging="1135"/>
        <w:spacing w:after="0" w:line="341" w:lineRule="auto"/>
        <w:tabs>
          <w:tab w:leader="none" w:pos="2484" w:val="left"/>
        </w:tabs>
        <w:numPr>
          <w:ilvl w:val="0"/>
          <w:numId w:val="112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20"/>
          </w:cols>
          <w:pgMar w:left="680" w:top="248" w:right="299" w:bottom="1440" w:gutter="0" w:footer="0" w:header="0"/>
        </w:sectPr>
      </w:pPr>
    </w:p>
    <w:bookmarkStart w:id="920" w:name="page921"/>
    <w:bookmarkEnd w:id="920"/>
    <w:p>
      <w:pPr>
        <w:jc w:val="both"/>
        <w:ind w:left="916"/>
        <w:spacing w:after="0" w:line="29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publication or presentation containing the Non-Disclosing Party’s Confidential Information should be modified or deleted. Written copies of such proposed publication or presentation required to be submitted hereunder shall be submitted to the Non-Disclosing Party no later than </w:t>
      </w:r>
      <w:r>
        <w:rPr>
          <w:rFonts w:ascii="Arial" w:cs="Arial" w:eastAsia="Arial" w:hAnsi="Arial"/>
          <w:sz w:val="12"/>
          <w:szCs w:val="12"/>
          <w:b w:val="1"/>
          <w:bCs w:val="1"/>
          <w:color w:val="auto"/>
        </w:rPr>
        <w:t>***</w:t>
      </w:r>
      <w:r>
        <w:rPr>
          <w:rFonts w:ascii="Arial" w:cs="Arial" w:eastAsia="Arial" w:hAnsi="Arial"/>
          <w:sz w:val="12"/>
          <w:szCs w:val="12"/>
          <w:color w:val="auto"/>
        </w:rPr>
        <w:t xml:space="preserve"> before submission for publication or presentation (the “</w:t>
      </w:r>
      <w:r>
        <w:rPr>
          <w:rFonts w:ascii="Arial" w:cs="Arial" w:eastAsia="Arial" w:hAnsi="Arial"/>
          <w:sz w:val="12"/>
          <w:szCs w:val="12"/>
          <w:b w:val="1"/>
          <w:bCs w:val="1"/>
          <w:color w:val="auto"/>
        </w:rPr>
        <w:t>Review Period</w:t>
      </w:r>
      <w:r>
        <w:rPr>
          <w:rFonts w:ascii="Arial" w:cs="Arial" w:eastAsia="Arial" w:hAnsi="Arial"/>
          <w:sz w:val="12"/>
          <w:szCs w:val="12"/>
          <w:color w:val="auto"/>
        </w:rPr>
        <w:t xml:space="preserve">”). The Non-Disclosing Party shall provide its comments with respect to such publications and presentations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its receipt of such written copy. The Review Period may be extended for an additional </w:t>
      </w:r>
      <w:r>
        <w:rPr>
          <w:rFonts w:ascii="Arial" w:cs="Arial" w:eastAsia="Arial" w:hAnsi="Arial"/>
          <w:sz w:val="12"/>
          <w:szCs w:val="12"/>
          <w:b w:val="1"/>
          <w:bCs w:val="1"/>
          <w:color w:val="auto"/>
        </w:rPr>
        <w:t>***</w:t>
      </w:r>
      <w:r>
        <w:rPr>
          <w:rFonts w:ascii="Arial" w:cs="Arial" w:eastAsia="Arial" w:hAnsi="Arial"/>
          <w:sz w:val="12"/>
          <w:szCs w:val="12"/>
          <w:color w:val="auto"/>
        </w:rPr>
        <w:t xml:space="preserve"> in the event the Non-Disclosing Party can,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of the written copy, demonstrate reasonable need for such extension including for the preparation and filing of patent applications.</w:t>
      </w:r>
    </w:p>
    <w:p>
      <w:pPr>
        <w:spacing w:after="0" w:line="1" w:lineRule="exact"/>
        <w:rPr>
          <w:sz w:val="20"/>
          <w:szCs w:val="20"/>
          <w:color w:val="auto"/>
        </w:rPr>
      </w:pPr>
    </w:p>
    <w:p>
      <w:pPr>
        <w:ind w:left="916" w:right="240"/>
        <w:spacing w:after="0" w:line="258" w:lineRule="auto"/>
        <w:rPr>
          <w:sz w:val="20"/>
          <w:szCs w:val="20"/>
          <w:color w:val="auto"/>
        </w:rPr>
      </w:pPr>
      <w:r>
        <w:rPr>
          <w:rFonts w:ascii="Arial" w:cs="Arial" w:eastAsia="Arial" w:hAnsi="Arial"/>
          <w:sz w:val="14"/>
          <w:szCs w:val="14"/>
          <w:color w:val="auto"/>
        </w:rPr>
        <w:t>MacroGenics and Pfizer will each comply with standard academic practice regarding authorship of scientific publications and recognition of contribution of other parties in any publication governed by this Section 7.3.2.</w:t>
      </w:r>
    </w:p>
    <w:p>
      <w:pPr>
        <w:spacing w:after="0" w:line="43" w:lineRule="exact"/>
        <w:rPr>
          <w:sz w:val="20"/>
          <w:szCs w:val="20"/>
          <w:color w:val="auto"/>
        </w:rPr>
      </w:pPr>
    </w:p>
    <w:p>
      <w:pPr>
        <w:ind w:left="456" w:right="80"/>
        <w:spacing w:after="0" w:line="306"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b w:val="1"/>
          <w:bCs w:val="1"/>
          <w:color w:val="auto"/>
        </w:rPr>
        <w:t>Obligations in Connection with Change of Control</w:t>
      </w:r>
      <w:r>
        <w:rPr>
          <w:rFonts w:ascii="Arial" w:cs="Arial" w:eastAsia="Arial" w:hAnsi="Arial"/>
          <w:sz w:val="12"/>
          <w:szCs w:val="12"/>
          <w:color w:val="auto"/>
        </w:rPr>
        <w:t xml:space="preserve">. If MacroGenics is subject to a Change of Control, MacroGenics will, and it will cause its Affiliates and Representatives to, ensure that no Confidential Information of Pfizer (except as may be expressly permitted under Section 7.2.3 with respect to the terms of this Agreement and with respect to any royalty statements provided by Pfizer pursuant to Section 5.5.2) is released to (a) any Affiliate of MacroGenics that becomes an Affiliate as a result of the Change of Control or (b) any Representatives of MacroGenics (or of the relevant surviving entity of such Change of Control) who become Representatives as a result of the Change of Control, unless such Representatives have signed individual confidentiality agreements which include equivalent obligations to those set out in this Section 7. If any Change of Control of MacroGenics occurs, MacroGenics shall promptly notify Pfizer, </w:t>
      </w:r>
      <w:r>
        <w:rPr>
          <w:rFonts w:ascii="Arial" w:cs="Arial" w:eastAsia="Arial" w:hAnsi="Arial"/>
          <w:sz w:val="12"/>
          <w:szCs w:val="12"/>
          <w:b w:val="1"/>
          <w:bCs w:val="1"/>
          <w:color w:val="auto"/>
        </w:rPr>
        <w:t>***</w:t>
      </w:r>
    </w:p>
    <w:p>
      <w:pPr>
        <w:spacing w:after="0" w:line="176" w:lineRule="exact"/>
        <w:rPr>
          <w:sz w:val="20"/>
          <w:szCs w:val="20"/>
          <w:color w:val="auto"/>
        </w:rPr>
      </w:pPr>
    </w:p>
    <w:p>
      <w:pPr>
        <w:ind w:left="456" w:hanging="456"/>
        <w:spacing w:after="0"/>
        <w:tabs>
          <w:tab w:leader="none" w:pos="456" w:val="left"/>
        </w:tabs>
        <w:numPr>
          <w:ilvl w:val="0"/>
          <w:numId w:val="1126"/>
        </w:numPr>
        <w:rPr>
          <w:rFonts w:ascii="Arial" w:cs="Arial" w:eastAsia="Arial" w:hAnsi="Arial"/>
          <w:sz w:val="14"/>
          <w:szCs w:val="14"/>
          <w:b w:val="1"/>
          <w:bCs w:val="1"/>
          <w:color w:val="auto"/>
        </w:rPr>
      </w:pPr>
      <w:r>
        <w:rPr>
          <w:rFonts w:ascii="Arial" w:cs="Arial" w:eastAsia="Arial" w:hAnsi="Arial"/>
          <w:sz w:val="14"/>
          <w:szCs w:val="14"/>
          <w:b w:val="1"/>
          <w:bCs w:val="1"/>
          <w:color w:val="auto"/>
        </w:rPr>
        <w:t>REPRESENTATIONS AND WARRANTIES.</w:t>
      </w:r>
    </w:p>
    <w:p>
      <w:pPr>
        <w:spacing w:after="0" w:line="69" w:lineRule="exact"/>
        <w:rPr>
          <w:sz w:val="20"/>
          <w:szCs w:val="20"/>
          <w:color w:val="auto"/>
        </w:rPr>
      </w:pPr>
    </w:p>
    <w:p>
      <w:pPr>
        <w:ind w:left="456"/>
        <w:spacing w:after="0"/>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Mutual Representations and Warranties</w:t>
      </w:r>
      <w:r>
        <w:rPr>
          <w:rFonts w:ascii="Arial" w:cs="Arial" w:eastAsia="Arial" w:hAnsi="Arial"/>
          <w:sz w:val="14"/>
          <w:szCs w:val="14"/>
          <w:color w:val="auto"/>
        </w:rPr>
        <w:t>. Each of MacroGenics and Pfizer hereby represents and warrants to the other Party that:</w:t>
      </w:r>
    </w:p>
    <w:p>
      <w:pPr>
        <w:spacing w:after="0" w:line="71" w:lineRule="exact"/>
        <w:rPr>
          <w:sz w:val="20"/>
          <w:szCs w:val="20"/>
          <w:color w:val="auto"/>
        </w:rPr>
      </w:pPr>
    </w:p>
    <w:p>
      <w:pPr>
        <w:ind w:left="916"/>
        <w:spacing w:after="0"/>
        <w:rPr>
          <w:sz w:val="20"/>
          <w:szCs w:val="20"/>
          <w:color w:val="auto"/>
        </w:rPr>
      </w:pPr>
      <w:r>
        <w:rPr>
          <w:rFonts w:ascii="Arial" w:cs="Arial" w:eastAsia="Arial" w:hAnsi="Arial"/>
          <w:sz w:val="14"/>
          <w:szCs w:val="14"/>
          <w:color w:val="auto"/>
        </w:rPr>
        <w:t>8.1.1. it is duly organized, validly existing and in good standing under the laws of the jurisdiction of its organization;</w:t>
      </w:r>
    </w:p>
    <w:p>
      <w:pPr>
        <w:spacing w:after="0" w:line="69" w:lineRule="exact"/>
        <w:rPr>
          <w:sz w:val="20"/>
          <w:szCs w:val="20"/>
          <w:color w:val="auto"/>
        </w:rPr>
      </w:pPr>
    </w:p>
    <w:p>
      <w:pPr>
        <w:ind w:left="916" w:right="680"/>
        <w:spacing w:after="0" w:line="345" w:lineRule="auto"/>
        <w:rPr>
          <w:sz w:val="20"/>
          <w:szCs w:val="20"/>
          <w:color w:val="auto"/>
        </w:rPr>
      </w:pPr>
      <w:r>
        <w:rPr>
          <w:rFonts w:ascii="Arial" w:cs="Arial" w:eastAsia="Arial" w:hAnsi="Arial"/>
          <w:sz w:val="12"/>
          <w:szCs w:val="12"/>
          <w:color w:val="auto"/>
        </w:rPr>
        <w:t>8.1.2.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ind w:left="916"/>
        <w:spacing w:after="0"/>
        <w:rPr>
          <w:sz w:val="20"/>
          <w:szCs w:val="20"/>
          <w:color w:val="auto"/>
        </w:rPr>
      </w:pPr>
      <w:r>
        <w:rPr>
          <w:rFonts w:ascii="Arial" w:cs="Arial" w:eastAsia="Arial" w:hAnsi="Arial"/>
          <w:sz w:val="14"/>
          <w:szCs w:val="14"/>
          <w:color w:val="auto"/>
        </w:rPr>
        <w:t>8.1.3. it has the power and authority to execute and deliver this Agreement and to perform its obligations hereunder</w:t>
      </w:r>
    </w:p>
    <w:p>
      <w:pPr>
        <w:spacing w:after="0" w:line="69" w:lineRule="exact"/>
        <w:rPr>
          <w:sz w:val="20"/>
          <w:szCs w:val="20"/>
          <w:color w:val="auto"/>
        </w:rPr>
      </w:pPr>
    </w:p>
    <w:p>
      <w:pPr>
        <w:ind w:left="916"/>
        <w:spacing w:after="0"/>
        <w:rPr>
          <w:sz w:val="20"/>
          <w:szCs w:val="20"/>
          <w:color w:val="auto"/>
        </w:rPr>
      </w:pPr>
      <w:r>
        <w:rPr>
          <w:rFonts w:ascii="Arial" w:cs="Arial" w:eastAsia="Arial" w:hAnsi="Arial"/>
          <w:sz w:val="12"/>
          <w:szCs w:val="12"/>
          <w:color w:val="auto"/>
        </w:rPr>
        <w:t>8.1.4. this Agreement has been duly executed and is a legal, valid and Binding Obligation on each Party, enforceable against such Party in accordance with its terms; and</w:t>
      </w:r>
    </w:p>
    <w:p>
      <w:pPr>
        <w:spacing w:after="0" w:line="144" w:lineRule="exact"/>
        <w:rPr>
          <w:sz w:val="20"/>
          <w:szCs w:val="20"/>
          <w:color w:val="auto"/>
        </w:rPr>
      </w:pPr>
    </w:p>
    <w:p>
      <w:pPr>
        <w:jc w:val="center"/>
        <w:ind w:right="-95"/>
        <w:spacing w:after="0"/>
        <w:rPr>
          <w:sz w:val="20"/>
          <w:szCs w:val="20"/>
          <w:color w:val="auto"/>
        </w:rPr>
      </w:pPr>
      <w:r>
        <w:rPr>
          <w:rFonts w:ascii="Arial" w:cs="Arial" w:eastAsia="Arial" w:hAnsi="Arial"/>
          <w:sz w:val="14"/>
          <w:szCs w:val="14"/>
          <w:color w:val="auto"/>
        </w:rPr>
        <w:t>51</w:t>
      </w:r>
    </w:p>
    <w:p>
      <w:pPr>
        <w:spacing w:after="0" w:line="12" w:lineRule="exact"/>
        <w:rPr>
          <w:sz w:val="20"/>
          <w:szCs w:val="20"/>
          <w:color w:val="auto"/>
        </w:rPr>
      </w:pPr>
    </w:p>
    <w:p>
      <w:pPr>
        <w:ind w:left="3836" w:right="2600" w:hanging="1135"/>
        <w:spacing w:after="0" w:line="341" w:lineRule="auto"/>
        <w:tabs>
          <w:tab w:leader="none" w:pos="2940" w:val="left"/>
        </w:tabs>
        <w:numPr>
          <w:ilvl w:val="0"/>
          <w:numId w:val="112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356"/>
          </w:cols>
          <w:pgMar w:left="224" w:top="247" w:right="319" w:bottom="1440" w:gutter="0" w:footer="0" w:header="0"/>
        </w:sectPr>
      </w:pPr>
    </w:p>
    <w:bookmarkStart w:id="921" w:name="page922"/>
    <w:bookmarkEnd w:id="921"/>
    <w:p>
      <w:pPr>
        <w:ind w:left="460" w:right="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8.1.5. the execution, delivery and performance by such Party of this Agreement and its compliance with the terms and provisions hereof does not and will not conflict with or result in a breach of or default under any Binding Obligation existing as of the Effective Date.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Representations and Warranties of MacroGenics</w:t>
      </w:r>
      <w:r>
        <w:rPr>
          <w:rFonts w:ascii="Arial" w:cs="Arial" w:eastAsia="Arial" w:hAnsi="Arial"/>
          <w:sz w:val="14"/>
          <w:szCs w:val="14"/>
          <w:color w:val="auto"/>
        </w:rPr>
        <w:t>. MacroGenics hereby represents and warrants to Pfizer that as of the Effective Date: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8.2.1. MacroGenics is the sole and exclusive owner of the MacroGenics Technology, all of which is free and clear of any claims, liens, charges or encumbrances;</w:t>
      </w:r>
    </w:p>
    <w:p>
      <w:pPr>
        <w:spacing w:after="0" w:line="69" w:lineRule="exact"/>
        <w:rPr>
          <w:sz w:val="20"/>
          <w:szCs w:val="20"/>
          <w:color w:val="auto"/>
        </w:rPr>
      </w:pPr>
    </w:p>
    <w:p>
      <w:pPr>
        <w:ind w:left="460"/>
        <w:spacing w:after="0" w:line="267" w:lineRule="auto"/>
        <w:rPr>
          <w:sz w:val="20"/>
          <w:szCs w:val="20"/>
          <w:color w:val="auto"/>
        </w:rPr>
      </w:pPr>
      <w:r>
        <w:rPr>
          <w:rFonts w:ascii="Arial" w:cs="Arial" w:eastAsia="Arial" w:hAnsi="Arial"/>
          <w:sz w:val="14"/>
          <w:szCs w:val="14"/>
          <w:color w:val="auto"/>
        </w:rPr>
        <w:t>8.2.2. it has and will have the full right, power and authority to grant all of the right, title and interest in the licenses and other rights granted or to be granted to Pfizer or Pfizer’s Affiliates under this Agreement;</w:t>
      </w:r>
    </w:p>
    <w:p>
      <w:pPr>
        <w:spacing w:after="0" w:line="39" w:lineRule="exact"/>
        <w:rPr>
          <w:sz w:val="20"/>
          <w:szCs w:val="20"/>
          <w:color w:val="auto"/>
        </w:rPr>
      </w:pPr>
    </w:p>
    <w:p>
      <w:pPr>
        <w:ind w:left="460" w:right="360"/>
        <w:spacing w:after="0" w:line="345" w:lineRule="auto"/>
        <w:rPr>
          <w:sz w:val="20"/>
          <w:szCs w:val="20"/>
          <w:color w:val="auto"/>
        </w:rPr>
      </w:pPr>
      <w:r>
        <w:rPr>
          <w:rFonts w:ascii="Arial" w:cs="Arial" w:eastAsia="Arial" w:hAnsi="Arial"/>
          <w:sz w:val="12"/>
          <w:szCs w:val="12"/>
          <w:color w:val="auto"/>
        </w:rPr>
        <w:t xml:space="preserve">8.2.3. (a) </w:t>
      </w:r>
      <w:r>
        <w:rPr>
          <w:rFonts w:ascii="Arial" w:cs="Arial" w:eastAsia="Arial" w:hAnsi="Arial"/>
          <w:sz w:val="12"/>
          <w:szCs w:val="12"/>
          <w:u w:val="single" w:color="auto"/>
          <w:color w:val="auto"/>
        </w:rPr>
        <w:t>Schedule 8.2.3</w:t>
      </w:r>
      <w:r>
        <w:rPr>
          <w:rFonts w:ascii="Arial" w:cs="Arial" w:eastAsia="Arial" w:hAnsi="Arial"/>
          <w:sz w:val="12"/>
          <w:szCs w:val="12"/>
          <w:color w:val="auto"/>
        </w:rPr>
        <w:t xml:space="preserve"> sets forth a true and complete list of all Patent Rights owned or otherwise Controlled by MacroGenics or its Affiliates that relate to the MacroGenics Technology, (b) each such Patent Right remains in full force and effect and (c) MacroGenics or its Affiliates have timely paid all filing and renewal fees payable with respect to such Patent Rights;</w:t>
      </w:r>
    </w:p>
    <w:p>
      <w:pPr>
        <w:jc w:val="both"/>
        <w:ind w:left="460" w:right="180"/>
        <w:spacing w:after="0" w:line="321" w:lineRule="auto"/>
        <w:rPr>
          <w:sz w:val="20"/>
          <w:szCs w:val="20"/>
          <w:color w:val="auto"/>
        </w:rPr>
      </w:pPr>
      <w:r>
        <w:rPr>
          <w:rFonts w:ascii="Arial" w:cs="Arial" w:eastAsia="Arial" w:hAnsi="Arial"/>
          <w:sz w:val="12"/>
          <w:szCs w:val="12"/>
          <w:color w:val="auto"/>
        </w:rPr>
        <w:t>8.2.4. to its best knowledge: (a) the MacroGenics Patent Rights, are, or, upon issuance, will be, valid and enforceable patents and (b) no Third Party (i) is infringing any MacroGenics Patent Right or (ii) has challenged or threatened to challenge the extent, validity or enforceability of any MacroGenics Patent Right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0" w:lineRule="exact"/>
        <w:rPr>
          <w:sz w:val="20"/>
          <w:szCs w:val="20"/>
          <w:color w:val="auto"/>
        </w:rPr>
      </w:pPr>
    </w:p>
    <w:p>
      <w:pPr>
        <w:jc w:val="both"/>
        <w:ind w:left="460" w:right="180"/>
        <w:spacing w:after="0" w:line="267" w:lineRule="auto"/>
        <w:rPr>
          <w:sz w:val="20"/>
          <w:szCs w:val="20"/>
          <w:color w:val="auto"/>
        </w:rPr>
      </w:pPr>
      <w:r>
        <w:rPr>
          <w:rFonts w:ascii="Arial" w:cs="Arial" w:eastAsia="Arial" w:hAnsi="Arial"/>
          <w:sz w:val="14"/>
          <w:szCs w:val="14"/>
          <w:color w:val="auto"/>
        </w:rPr>
        <w:t>8.2.5. to its best knowledge, it has complied with all Applicable Laws, including any disclosure requirements, in connection with the filing, prosecution and maintenance of the MacroGenics Patent Rights;</w:t>
      </w:r>
    </w:p>
    <w:p>
      <w:pPr>
        <w:spacing w:after="0" w:line="39" w:lineRule="exact"/>
        <w:rPr>
          <w:sz w:val="20"/>
          <w:szCs w:val="20"/>
          <w:color w:val="auto"/>
        </w:rPr>
      </w:pPr>
    </w:p>
    <w:p>
      <w:pPr>
        <w:ind w:left="460" w:right="40"/>
        <w:spacing w:after="0" w:line="267" w:lineRule="auto"/>
        <w:rPr>
          <w:sz w:val="20"/>
          <w:szCs w:val="20"/>
          <w:color w:val="auto"/>
        </w:rPr>
      </w:pPr>
      <w:r>
        <w:rPr>
          <w:rFonts w:ascii="Arial" w:cs="Arial" w:eastAsia="Arial" w:hAnsi="Arial"/>
          <w:sz w:val="14"/>
          <w:szCs w:val="14"/>
          <w:color w:val="auto"/>
        </w:rPr>
        <w:t>8.2.6. MacroGenics has independently developed all MacroGenics Know-How or otherwise has a valid right to use, and to permit Pfizer, Pfizer’s Affiliates and Pfizer’s Sublicensees to use, the MacroGenics Know-How for all permitted purposes under this Agreement;</w:t>
      </w:r>
    </w:p>
    <w:p>
      <w:pPr>
        <w:spacing w:after="0" w:line="39" w:lineRule="exact"/>
        <w:rPr>
          <w:sz w:val="20"/>
          <w:szCs w:val="20"/>
          <w:color w:val="auto"/>
        </w:rPr>
      </w:pPr>
    </w:p>
    <w:p>
      <w:pPr>
        <w:ind w:left="460" w:right="140"/>
        <w:spacing w:after="0" w:line="267" w:lineRule="auto"/>
        <w:rPr>
          <w:sz w:val="20"/>
          <w:szCs w:val="20"/>
          <w:color w:val="auto"/>
        </w:rPr>
      </w:pPr>
      <w:r>
        <w:rPr>
          <w:rFonts w:ascii="Arial" w:cs="Arial" w:eastAsia="Arial" w:hAnsi="Arial"/>
          <w:sz w:val="14"/>
          <w:szCs w:val="14"/>
          <w:color w:val="auto"/>
        </w:rPr>
        <w:t>8.2.7. it has obtained from all inventors of MacroGenics Technology existing as of the Effective Date, valid and enforceable agreements assigning to MacroGenics each such inventor’s entire right, title and interest in and to all such MacroGenics Technology;</w:t>
      </w:r>
    </w:p>
    <w:p>
      <w:pPr>
        <w:spacing w:after="0" w:line="91"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52</w:t>
      </w:r>
    </w:p>
    <w:p>
      <w:pPr>
        <w:spacing w:after="0" w:line="12" w:lineRule="exact"/>
        <w:rPr>
          <w:sz w:val="20"/>
          <w:szCs w:val="20"/>
          <w:color w:val="auto"/>
        </w:rPr>
      </w:pPr>
    </w:p>
    <w:p>
      <w:pPr>
        <w:ind w:left="3380" w:right="2640" w:hanging="1135"/>
        <w:spacing w:after="0" w:line="341" w:lineRule="auto"/>
        <w:tabs>
          <w:tab w:leader="none" w:pos="2484" w:val="left"/>
        </w:tabs>
        <w:numPr>
          <w:ilvl w:val="0"/>
          <w:numId w:val="112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40"/>
          </w:cols>
          <w:pgMar w:left="680" w:top="247" w:right="279" w:bottom="1440" w:gutter="0" w:footer="0" w:header="0"/>
        </w:sectPr>
      </w:pPr>
    </w:p>
    <w:bookmarkStart w:id="922" w:name="page923"/>
    <w:bookmarkEnd w:id="922"/>
    <w:p>
      <w:pPr>
        <w:ind w:left="46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8.2.8. except as expressly disclosed in </w:t>
      </w:r>
      <w:r>
        <w:rPr>
          <w:rFonts w:ascii="Arial" w:cs="Arial" w:eastAsia="Arial" w:hAnsi="Arial"/>
          <w:sz w:val="14"/>
          <w:szCs w:val="14"/>
          <w:u w:val="single" w:color="auto"/>
          <w:color w:val="auto"/>
        </w:rPr>
        <w:t>Schedule 8.2.8</w:t>
      </w:r>
      <w:r>
        <w:rPr>
          <w:rFonts w:ascii="Arial" w:cs="Arial" w:eastAsia="Arial" w:hAnsi="Arial"/>
          <w:sz w:val="14"/>
          <w:szCs w:val="14"/>
          <w:color w:val="auto"/>
        </w:rPr>
        <w:t>, no MacroGenics Technology existing as of the Effective Date is subject to any funding agreement with any government or Governmental Authority;</w:t>
      </w:r>
    </w:p>
    <w:p>
      <w:pPr>
        <w:spacing w:after="0" w:line="39" w:lineRule="exact"/>
        <w:rPr>
          <w:sz w:val="20"/>
          <w:szCs w:val="20"/>
          <w:color w:val="auto"/>
        </w:rPr>
      </w:pPr>
    </w:p>
    <w:p>
      <w:pPr>
        <w:ind w:left="460"/>
        <w:spacing w:after="0" w:line="255" w:lineRule="auto"/>
        <w:rPr>
          <w:sz w:val="20"/>
          <w:szCs w:val="20"/>
          <w:color w:val="auto"/>
        </w:rPr>
      </w:pPr>
      <w:r>
        <w:rPr>
          <w:rFonts w:ascii="Arial" w:cs="Arial" w:eastAsia="Arial" w:hAnsi="Arial"/>
          <w:sz w:val="14"/>
          <w:szCs w:val="14"/>
          <w:color w:val="auto"/>
        </w:rPr>
        <w:t>8.2.9. neither MacroGenics nor any of its Affiliates are subject to any agreement or obligation that limits any ownership or license right granted to Pfizer or its Affiliates under this Agreement, including any right granted to Pfizer or its Affiliates to access, practice, grant any licenses or sublicenses under, or provide Pfizer’s Sublicensees with access to any intellectual property right or material (including any Patent Right, Know-How or other data or information), in each case, that would, but for such agreement or obligation, be included in the rights licensed or assigned to Pfizer or its Affiliates pursuant to this Agreement;</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8.2.10. (a) there are no MacroGenics Third Party Agreements and (b) no Third Party has any right, title or interest in or to, or any license under, any MacroGenics Technology;</w:t>
      </w:r>
    </w:p>
    <w:p>
      <w:pPr>
        <w:spacing w:after="0" w:line="90" w:lineRule="exact"/>
        <w:rPr>
          <w:sz w:val="20"/>
          <w:szCs w:val="20"/>
          <w:color w:val="auto"/>
        </w:rPr>
      </w:pPr>
    </w:p>
    <w:p>
      <w:pPr>
        <w:ind w:left="460" w:right="400"/>
        <w:spacing w:after="0" w:line="270" w:lineRule="auto"/>
        <w:rPr>
          <w:sz w:val="20"/>
          <w:szCs w:val="20"/>
          <w:color w:val="auto"/>
        </w:rPr>
      </w:pPr>
      <w:r>
        <w:rPr>
          <w:rFonts w:ascii="Arial" w:cs="Arial" w:eastAsia="Arial" w:hAnsi="Arial"/>
          <w:sz w:val="14"/>
          <w:szCs w:val="14"/>
          <w:color w:val="auto"/>
        </w:rPr>
        <w:t xml:space="preserve">8.2.11. it has disclosed to Pfizer all provisions of </w:t>
      </w:r>
      <w:r>
        <w:rPr>
          <w:rFonts w:ascii="Arial" w:cs="Arial" w:eastAsia="Arial" w:hAnsi="Arial"/>
          <w:sz w:val="14"/>
          <w:szCs w:val="14"/>
          <w:b w:val="1"/>
          <w:bCs w:val="1"/>
          <w:color w:val="auto"/>
        </w:rPr>
        <w:t>***</w:t>
      </w:r>
      <w:r>
        <w:rPr>
          <w:rFonts w:ascii="Arial" w:cs="Arial" w:eastAsia="Arial" w:hAnsi="Arial"/>
          <w:sz w:val="14"/>
          <w:szCs w:val="14"/>
          <w:color w:val="auto"/>
        </w:rPr>
        <w:t xml:space="preserve"> relevant to determining the extent of any and all limitations on Pfizer’s rights under this Agreement necessitated by MacroGenics’s obligations under </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37" w:lineRule="exact"/>
        <w:rPr>
          <w:sz w:val="20"/>
          <w:szCs w:val="20"/>
          <w:color w:val="auto"/>
        </w:rPr>
      </w:pPr>
    </w:p>
    <w:p>
      <w:pPr>
        <w:ind w:left="460"/>
        <w:spacing w:after="0" w:line="321" w:lineRule="auto"/>
        <w:rPr>
          <w:sz w:val="20"/>
          <w:szCs w:val="20"/>
          <w:color w:val="auto"/>
        </w:rPr>
      </w:pPr>
      <w:r>
        <w:rPr>
          <w:rFonts w:ascii="Arial" w:cs="Arial" w:eastAsia="Arial" w:hAnsi="Arial"/>
          <w:sz w:val="12"/>
          <w:szCs w:val="12"/>
          <w:color w:val="auto"/>
        </w:rPr>
        <w:t>8.2.12. except as disclosed to Pfizer prior to the Effective Date in written form, referencing this Section 8.2.12 of the Agreement, to the best of its knowledge, the use, practice or application by MacroGenics or Pfizer (or their respective Affiliates or Sublicensees) as contemplated under this Agreement of any MacroGenics Technology relating to T-DARTs (a) does not and will not infringe any issued patent of any Third Party or (b) would not infringe the claims of any published Third Party patent application when and if such claims were to issue;</w:t>
      </w:r>
    </w:p>
    <w:p>
      <w:pPr>
        <w:spacing w:after="0" w:line="10" w:lineRule="exact"/>
        <w:rPr>
          <w:sz w:val="20"/>
          <w:szCs w:val="20"/>
          <w:color w:val="auto"/>
        </w:rPr>
      </w:pPr>
    </w:p>
    <w:p>
      <w:pPr>
        <w:ind w:left="460" w:right="220"/>
        <w:spacing w:after="0" w:line="321" w:lineRule="auto"/>
        <w:rPr>
          <w:sz w:val="20"/>
          <w:szCs w:val="20"/>
          <w:color w:val="auto"/>
        </w:rPr>
      </w:pPr>
      <w:r>
        <w:rPr>
          <w:rFonts w:ascii="Arial" w:cs="Arial" w:eastAsia="Arial" w:hAnsi="Arial"/>
          <w:sz w:val="12"/>
          <w:szCs w:val="12"/>
          <w:color w:val="auto"/>
        </w:rPr>
        <w:t xml:space="preserve">8.2.13. except as expressly disclosed in </w:t>
      </w:r>
      <w:r>
        <w:rPr>
          <w:rFonts w:ascii="Arial" w:cs="Arial" w:eastAsia="Arial" w:hAnsi="Arial"/>
          <w:sz w:val="12"/>
          <w:szCs w:val="12"/>
          <w:u w:val="single" w:color="auto"/>
          <w:color w:val="auto"/>
        </w:rPr>
        <w:t>Schedule 8.2.13</w:t>
      </w:r>
      <w:r>
        <w:rPr>
          <w:rFonts w:ascii="Arial" w:cs="Arial" w:eastAsia="Arial" w:hAnsi="Arial"/>
          <w:sz w:val="12"/>
          <w:szCs w:val="12"/>
          <w:color w:val="auto"/>
        </w:rPr>
        <w:t>, there is no (a) claim, demand, suit, proceeding, arbitration, inquiry, investigation or other legal action of any nature, civil, criminal, regulatory or otherwise, pending or, to the best knowledge of MacroGenics, threatened against MacroGenics or any of its Affiliates or (b) judgment or settlement against or owed by MacroGenics or any of its Affiliates, in each case in connection with the MacroGenics Technology or relating to the transactions contemplated by this Agreement.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Representations and Warranties of Pfizer</w:t>
      </w:r>
      <w:r>
        <w:rPr>
          <w:rFonts w:ascii="Arial" w:cs="Arial" w:eastAsia="Arial" w:hAnsi="Arial"/>
          <w:sz w:val="14"/>
          <w:szCs w:val="14"/>
          <w:color w:val="auto"/>
        </w:rPr>
        <w:t>. Pfizer hereby represents and warrants to MacroGenics that as of the Effective Date:</w:t>
      </w:r>
    </w:p>
    <w:p>
      <w:pPr>
        <w:spacing w:after="0" w:line="71" w:lineRule="exact"/>
        <w:rPr>
          <w:sz w:val="20"/>
          <w:szCs w:val="20"/>
          <w:color w:val="auto"/>
        </w:rPr>
      </w:pPr>
    </w:p>
    <w:p>
      <w:pPr>
        <w:ind w:left="460" w:right="100"/>
        <w:spacing w:after="0" w:line="258" w:lineRule="auto"/>
        <w:rPr>
          <w:sz w:val="20"/>
          <w:szCs w:val="20"/>
          <w:color w:val="auto"/>
        </w:rPr>
      </w:pPr>
      <w:r>
        <w:rPr>
          <w:rFonts w:ascii="Arial" w:cs="Arial" w:eastAsia="Arial" w:hAnsi="Arial"/>
          <w:sz w:val="14"/>
          <w:szCs w:val="14"/>
          <w:color w:val="auto"/>
        </w:rPr>
        <w:t>8.3.1. there is no (a) claim, demand, suit, proceeding, arbitration, inquiry, investigation or other legal action of any nature, civil, criminal, regulatory or otherwise, pending or, to the best knowledge of Pfizer, threatened against Pfizer or any of its Affiliates or (b) judgment or settlement against or owed by Pfizer or any of its Affiliates, in each case in connection with the Pfizer Proprietary Materials or relating to the transactions contemplated by this Agreement.</w:t>
      </w:r>
    </w:p>
    <w:p>
      <w:pPr>
        <w:spacing w:after="0" w:line="97"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53</w:t>
      </w:r>
    </w:p>
    <w:p>
      <w:pPr>
        <w:spacing w:after="0" w:line="12" w:lineRule="exact"/>
        <w:rPr>
          <w:sz w:val="20"/>
          <w:szCs w:val="20"/>
          <w:color w:val="auto"/>
        </w:rPr>
      </w:pPr>
    </w:p>
    <w:p>
      <w:pPr>
        <w:ind w:left="3380" w:right="2600" w:hanging="1135"/>
        <w:spacing w:after="0" w:line="341" w:lineRule="auto"/>
        <w:tabs>
          <w:tab w:leader="none" w:pos="2484" w:val="left"/>
        </w:tabs>
        <w:numPr>
          <w:ilvl w:val="0"/>
          <w:numId w:val="112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00"/>
          </w:cols>
          <w:pgMar w:left="680" w:top="247" w:right="319" w:bottom="1440" w:gutter="0" w:footer="0" w:header="0"/>
        </w:sectPr>
      </w:pPr>
    </w:p>
    <w:bookmarkStart w:id="923" w:name="page924"/>
    <w:bookmarkEnd w:id="923"/>
    <w:p>
      <w:pPr>
        <w:ind w:right="6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8.4. </w:t>
      </w:r>
      <w:r>
        <w:rPr>
          <w:rFonts w:ascii="Arial" w:cs="Arial" w:eastAsia="Arial" w:hAnsi="Arial"/>
          <w:sz w:val="14"/>
          <w:szCs w:val="14"/>
          <w:b w:val="1"/>
          <w:bCs w:val="1"/>
          <w:color w:val="auto"/>
        </w:rPr>
        <w:t>MacroGenics Covenants</w:t>
      </w:r>
      <w:r>
        <w:rPr>
          <w:rFonts w:ascii="Arial" w:cs="Arial" w:eastAsia="Arial" w:hAnsi="Arial"/>
          <w:sz w:val="14"/>
          <w:szCs w:val="14"/>
          <w:color w:val="auto"/>
        </w:rPr>
        <w:t>. In addition to the covenants made by MacroGenics elsewhere in this Agreement, and subject to the provisions of Section 6, MacroGenics hereby covenants to Pfizer that, from the Effective Date until expiration or termination of this Agreement:</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2"/>
          <w:szCs w:val="12"/>
          <w:color w:val="auto"/>
        </w:rPr>
        <w:t>8.4.1. it will (a) not enter into any MacroGenics Third Party Agreement that is inconsistent with (i) the rights granted to Pfizer or Pfizer’s Affiliates hereunder or (ii) MacroGenics’s ability to fully perform its obligations hereunder; (b) not amend or otherwise modify any MacroGenics Third Party Agreement (including any Disclosed Third Party Agreement) or consent or waive rights with respect thereto in any manner that (i) is inconsistent with the rights granted to Pfizer or Pfizer’s Affiliates hereunder or (ii) MacroGenics’s ability to fully perform its obligations hereunder;</w:t>
      </w:r>
    </w:p>
    <w:p>
      <w:pPr>
        <w:ind w:left="460" w:right="20"/>
        <w:spacing w:after="0" w:line="307" w:lineRule="auto"/>
        <w:tabs>
          <w:tab w:leader="none" w:pos="645" w:val="left"/>
        </w:tabs>
        <w:numPr>
          <w:ilvl w:val="0"/>
          <w:numId w:val="1130"/>
        </w:numPr>
        <w:rPr>
          <w:rFonts w:ascii="Arial" w:cs="Arial" w:eastAsia="Arial" w:hAnsi="Arial"/>
          <w:sz w:val="12"/>
          <w:szCs w:val="12"/>
          <w:color w:val="auto"/>
        </w:rPr>
      </w:pPr>
      <w:r>
        <w:rPr>
          <w:rFonts w:ascii="Arial" w:cs="Arial" w:eastAsia="Arial" w:hAnsi="Arial"/>
          <w:sz w:val="12"/>
          <w:szCs w:val="12"/>
          <w:color w:val="auto"/>
        </w:rPr>
        <w:t>promptly furnish Pfizer with copies of all (i) amendments to the Disclosed Third Party Agreements and (ii) MacroGenics Third Party Agreements and related amendments executed following the Effective Date; (d) remain, and cause its Affiliates to remain, in compliance in all material respects with all MacroGenics Third Party Agreements (including Disclosed Third Party Agreements); and (e) furnish Pfizer with copies of all notices received by MacroGenics or its Affiliates relating to any alleged breach or default by MacroGenics or its Affiliates under any MacroGenics Third Party Agreement (including and Disclosed Third Party Agreement) within fifteen (15) Business Days after receipt thereof;</w:t>
      </w:r>
    </w:p>
    <w:p>
      <w:pPr>
        <w:spacing w:after="0" w:line="19" w:lineRule="exact"/>
        <w:rPr>
          <w:sz w:val="20"/>
          <w:szCs w:val="20"/>
          <w:color w:val="auto"/>
        </w:rPr>
      </w:pPr>
    </w:p>
    <w:p>
      <w:pPr>
        <w:ind w:left="460" w:right="60"/>
        <w:spacing w:after="0" w:line="255" w:lineRule="auto"/>
        <w:rPr>
          <w:sz w:val="20"/>
          <w:szCs w:val="20"/>
          <w:color w:val="auto"/>
        </w:rPr>
      </w:pPr>
      <w:r>
        <w:rPr>
          <w:rFonts w:ascii="Arial" w:cs="Arial" w:eastAsia="Arial" w:hAnsi="Arial"/>
          <w:sz w:val="14"/>
          <w:szCs w:val="14"/>
          <w:color w:val="auto"/>
        </w:rPr>
        <w:t>8.4.2. it will not enter into or otherwise allow itself or its Affiliates to be subject to any agreement or arrangement which limits the ownership rights of Pfizer or its Affiliates with respect to, or limits the ability of Pfizer or its Affiliates to grant a license, sublicense or access, or provide or provide access or other rights in, to or under, any intellectual property right or material (including any Patent Right, Know-How or other data or information), in each case, that would, but for such agreement or arrangement, be included in the rights licensed or assigned to Pfizer or its Affiliates pursuant to this Agreement;</w:t>
      </w:r>
    </w:p>
    <w:p>
      <w:pPr>
        <w:spacing w:after="0" w:line="47" w:lineRule="exact"/>
        <w:rPr>
          <w:sz w:val="20"/>
          <w:szCs w:val="20"/>
          <w:color w:val="auto"/>
        </w:rPr>
      </w:pPr>
    </w:p>
    <w:p>
      <w:pPr>
        <w:ind w:left="460" w:right="240"/>
        <w:spacing w:after="0" w:line="267" w:lineRule="auto"/>
        <w:rPr>
          <w:sz w:val="20"/>
          <w:szCs w:val="20"/>
          <w:color w:val="auto"/>
        </w:rPr>
      </w:pPr>
      <w:r>
        <w:rPr>
          <w:rFonts w:ascii="Arial" w:cs="Arial" w:eastAsia="Arial" w:hAnsi="Arial"/>
          <w:sz w:val="14"/>
          <w:szCs w:val="14"/>
          <w:color w:val="auto"/>
        </w:rPr>
        <w:t>8.4.3. it will maintain valid and enforceable agreements with all Persons acting by or on behalf of MacroGenics or its Affiliates under this Agreement which require such Persons to assign to MacroGenics their entire right, title and interest in and to all MacroGenics Technology and Joint Technology; and</w:t>
      </w:r>
    </w:p>
    <w:p>
      <w:pPr>
        <w:spacing w:after="0" w:line="39" w:lineRule="exact"/>
        <w:rPr>
          <w:sz w:val="20"/>
          <w:szCs w:val="20"/>
          <w:color w:val="auto"/>
        </w:rPr>
      </w:pPr>
    </w:p>
    <w:p>
      <w:pPr>
        <w:ind w:left="460" w:right="220"/>
        <w:spacing w:after="0" w:line="267" w:lineRule="auto"/>
        <w:rPr>
          <w:sz w:val="20"/>
          <w:szCs w:val="20"/>
          <w:color w:val="auto"/>
        </w:rPr>
      </w:pPr>
      <w:r>
        <w:rPr>
          <w:rFonts w:ascii="Arial" w:cs="Arial" w:eastAsia="Arial" w:hAnsi="Arial"/>
          <w:sz w:val="14"/>
          <w:szCs w:val="14"/>
          <w:color w:val="auto"/>
        </w:rPr>
        <w:t>8.4.4. in the conduct of any Research Project, unless MacroGenics receives prior written consent from Pfizer, MacroGenics shall neither use funding from any Government Authority nor use CHO-S cells.</w:t>
      </w:r>
    </w:p>
    <w:p>
      <w:pPr>
        <w:spacing w:after="0" w:line="37" w:lineRule="exact"/>
        <w:rPr>
          <w:sz w:val="20"/>
          <w:szCs w:val="20"/>
          <w:color w:val="auto"/>
        </w:rPr>
      </w:pPr>
    </w:p>
    <w:p>
      <w:pPr>
        <w:jc w:val="both"/>
        <w:ind w:right="220"/>
        <w:spacing w:after="0" w:line="259"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Representation by Legal Counsel</w:t>
      </w:r>
      <w:r>
        <w:rPr>
          <w:rFonts w:ascii="Arial" w:cs="Arial" w:eastAsia="Arial" w:hAnsi="Arial"/>
          <w:sz w:val="14"/>
          <w:szCs w:val="14"/>
          <w:color w:val="auto"/>
        </w:rPr>
        <w:t>.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54</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13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5" w:right="219" w:bottom="1440" w:gutter="0" w:footer="0" w:header="0"/>
        </w:sectPr>
      </w:pPr>
    </w:p>
    <w:bookmarkStart w:id="924" w:name="page925"/>
    <w:bookmarkEnd w:id="924"/>
    <w:p>
      <w:pPr>
        <w:ind w:left="456" w:right="80"/>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8.6. </w:t>
      </w:r>
      <w:r>
        <w:rPr>
          <w:rFonts w:ascii="Arial" w:cs="Arial" w:eastAsia="Arial" w:hAnsi="Arial"/>
          <w:sz w:val="14"/>
          <w:szCs w:val="14"/>
          <w:b w:val="1"/>
          <w:bCs w:val="1"/>
          <w:color w:val="auto"/>
        </w:rPr>
        <w:t>Disclaimer</w:t>
      </w:r>
      <w:r>
        <w:rPr>
          <w:rFonts w:ascii="Arial" w:cs="Arial" w:eastAsia="Arial" w:hAnsi="Arial"/>
          <w:sz w:val="14"/>
          <w:szCs w:val="14"/>
          <w:color w:val="auto"/>
        </w:rPr>
        <w:t>. THE FOREGOING REPRESENTATIONS AND WARRANTIES OF EACH PARTY ARE IN LIEU OF ANY OTHER REPRESENTATIONS AND WARRANTIES, EXPRESS OR IMPLIED, INCLUDING ANY IMPLIED WARRANTIES OF MERCHANTABILITY, ANY IMPLIED WARRANTY OF NON-INFRINGEMENT OR ANY IMPLIED WARRANTIES OF FITNESS FOR A PARTICULAR PURPOSE, ALL OF WHICH ARE HEREBY SPECIFICALLY EXCLUDED AND DISCLAIMED.</w:t>
      </w:r>
    </w:p>
    <w:p>
      <w:pPr>
        <w:spacing w:after="0" w:line="200" w:lineRule="exact"/>
        <w:rPr>
          <w:sz w:val="20"/>
          <w:szCs w:val="20"/>
          <w:color w:val="auto"/>
        </w:rPr>
      </w:pPr>
    </w:p>
    <w:p>
      <w:pPr>
        <w:ind w:left="456" w:hanging="456"/>
        <w:spacing w:after="0"/>
        <w:tabs>
          <w:tab w:leader="none" w:pos="456" w:val="left"/>
        </w:tabs>
        <w:numPr>
          <w:ilvl w:val="0"/>
          <w:numId w:val="1132"/>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APPROVALS; TERM AND TERMINATION.</w:t>
      </w:r>
    </w:p>
    <w:p>
      <w:pPr>
        <w:spacing w:after="0" w:line="68" w:lineRule="exact"/>
        <w:rPr>
          <w:rFonts w:ascii="Arial" w:cs="Arial" w:eastAsia="Arial" w:hAnsi="Arial"/>
          <w:sz w:val="14"/>
          <w:szCs w:val="14"/>
          <w:b w:val="1"/>
          <w:bCs w:val="1"/>
          <w:color w:val="auto"/>
        </w:rPr>
      </w:pPr>
    </w:p>
    <w:p>
      <w:pPr>
        <w:ind w:left="456" w:right="10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Government Approvals</w:t>
      </w:r>
      <w:r>
        <w:rPr>
          <w:rFonts w:ascii="Arial" w:cs="Arial" w:eastAsia="Arial" w:hAnsi="Arial"/>
          <w:sz w:val="14"/>
          <w:szCs w:val="14"/>
          <w:color w:val="auto"/>
        </w:rPr>
        <w:t>. Each of MacroGenics and Pfizer shall cooperate with the other Party and use Commercially Reasonable Efforts to make all registrations, filings and applications, to 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42" w:lineRule="exact"/>
        <w:rPr>
          <w:rFonts w:ascii="Arial" w:cs="Arial" w:eastAsia="Arial" w:hAnsi="Arial"/>
          <w:sz w:val="14"/>
          <w:szCs w:val="14"/>
          <w:b w:val="1"/>
          <w:bCs w:val="1"/>
          <w:color w:val="auto"/>
        </w:rPr>
      </w:pPr>
    </w:p>
    <w:p>
      <w:pPr>
        <w:ind w:left="456" w:right="140"/>
        <w:spacing w:after="0" w:line="270" w:lineRule="auto"/>
        <w:rPr>
          <w:rFonts w:ascii="Arial" w:cs="Arial" w:eastAsia="Arial" w:hAnsi="Arial"/>
          <w:sz w:val="14"/>
          <w:szCs w:val="14"/>
          <w:b w:val="1"/>
          <w:bCs w:val="1"/>
          <w:color w:val="auto"/>
        </w:rPr>
      </w:pPr>
      <w:r>
        <w:rPr>
          <w:rFonts w:ascii="Arial" w:cs="Arial" w:eastAsia="Arial" w:hAnsi="Arial"/>
          <w:sz w:val="14"/>
          <w:szCs w:val="14"/>
          <w:color w:val="auto"/>
        </w:rPr>
        <w:t xml:space="preserve">9.2. </w:t>
      </w:r>
      <w:r>
        <w:rPr>
          <w:rFonts w:ascii="Arial" w:cs="Arial" w:eastAsia="Arial" w:hAnsi="Arial"/>
          <w:sz w:val="14"/>
          <w:szCs w:val="14"/>
          <w:b w:val="1"/>
          <w:bCs w:val="1"/>
          <w:color w:val="auto"/>
        </w:rPr>
        <w:t>Term</w:t>
      </w:r>
      <w:r>
        <w:rPr>
          <w:rFonts w:ascii="Arial" w:cs="Arial" w:eastAsia="Arial" w:hAnsi="Arial"/>
          <w:sz w:val="14"/>
          <w:szCs w:val="14"/>
          <w:color w:val="auto"/>
        </w:rPr>
        <w:t>. The term of this Agreement shall commence on the Effective Date and shall extend, unless this Agreement is terminated earlier in accordance with this Section 9, until the expiration of the last-to-expire of all Royalty Terms with respect to all Agreement Products (the “</w:t>
      </w:r>
      <w:r>
        <w:rPr>
          <w:rFonts w:ascii="Arial" w:cs="Arial" w:eastAsia="Arial" w:hAnsi="Arial"/>
          <w:sz w:val="14"/>
          <w:szCs w:val="14"/>
          <w:b w:val="1"/>
          <w:bCs w:val="1"/>
          <w:color w:val="auto"/>
        </w:rPr>
        <w:t>Term</w:t>
      </w:r>
      <w:r>
        <w:rPr>
          <w:rFonts w:ascii="Arial" w:cs="Arial" w:eastAsia="Arial" w:hAnsi="Arial"/>
          <w:sz w:val="14"/>
          <w:szCs w:val="14"/>
          <w:color w:val="auto"/>
        </w:rPr>
        <w:t>”).</w:t>
      </w:r>
    </w:p>
    <w:p>
      <w:pPr>
        <w:spacing w:after="0" w:line="34" w:lineRule="exact"/>
        <w:rPr>
          <w:rFonts w:ascii="Arial" w:cs="Arial" w:eastAsia="Arial" w:hAnsi="Arial"/>
          <w:sz w:val="14"/>
          <w:szCs w:val="14"/>
          <w:b w:val="1"/>
          <w:bCs w:val="1"/>
          <w:color w:val="auto"/>
        </w:rPr>
      </w:pPr>
    </w:p>
    <w:p>
      <w:pPr>
        <w:ind w:left="456"/>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Termination by Either Party for Cause</w:t>
      </w:r>
      <w:r>
        <w:rPr>
          <w:rFonts w:ascii="Arial" w:cs="Arial" w:eastAsia="Arial" w:hAnsi="Arial"/>
          <w:sz w:val="14"/>
          <w:szCs w:val="14"/>
          <w:color w:val="auto"/>
        </w:rPr>
        <w:t xml:space="preserve">. Either Party may terminate this Agreement, in its entirety or, at the terminating Party’s option, on an Agreement T-DART-by-Agreement T-DART basis, at any time during the Term by giving written notice to the other Party if the other Party commits a material breach of its obligations under this Agreement and such breach remains uncured for </w:t>
      </w:r>
      <w:r>
        <w:rPr>
          <w:rFonts w:ascii="Arial" w:cs="Arial" w:eastAsia="Arial" w:hAnsi="Arial"/>
          <w:sz w:val="14"/>
          <w:szCs w:val="14"/>
          <w:b w:val="1"/>
          <w:bCs w:val="1"/>
          <w:color w:val="auto"/>
        </w:rPr>
        <w:t>***</w:t>
      </w:r>
      <w:r>
        <w:rPr>
          <w:rFonts w:ascii="Arial" w:cs="Arial" w:eastAsia="Arial" w:hAnsi="Arial"/>
          <w:sz w:val="14"/>
          <w:szCs w:val="14"/>
          <w:color w:val="auto"/>
        </w:rPr>
        <w:t xml:space="preserve">, measured from the date written notice of such breach is given to the breaching Party; provided, however, that if such breach (other than breach of an undisputed payment obligation) is not susceptible of cure within the stated period and the breaching Party uses diligent, good faith efforts to cure such breach, the stated period shall be extended by an </w:t>
      </w:r>
      <w:r>
        <w:rPr>
          <w:rFonts w:ascii="Arial" w:cs="Arial" w:eastAsia="Arial" w:hAnsi="Arial"/>
          <w:sz w:val="14"/>
          <w:szCs w:val="14"/>
          <w:b w:val="1"/>
          <w:bCs w:val="1"/>
          <w:color w:val="auto"/>
        </w:rPr>
        <w:t>***</w:t>
      </w:r>
      <w:r>
        <w:rPr>
          <w:rFonts w:ascii="Arial" w:cs="Arial" w:eastAsia="Arial" w:hAnsi="Arial"/>
          <w:sz w:val="14"/>
          <w:szCs w:val="14"/>
          <w:color w:val="auto"/>
        </w:rPr>
        <w:t xml:space="preserve"> Notwithstanding the foregoing, a Party shall have the right to terminate this Agreement pursuant to this Section 9.3 in part with respect to an individual Agreement T-DART only if the other Party’s material breach giving rise to such termination right relates solely to such Agreement T-DART.</w:t>
      </w:r>
    </w:p>
    <w:p>
      <w:pPr>
        <w:spacing w:after="0" w:line="47" w:lineRule="exact"/>
        <w:rPr>
          <w:rFonts w:ascii="Arial" w:cs="Arial" w:eastAsia="Arial" w:hAnsi="Arial"/>
          <w:sz w:val="14"/>
          <w:szCs w:val="14"/>
          <w:b w:val="1"/>
          <w:bCs w:val="1"/>
          <w:color w:val="auto"/>
        </w:rPr>
      </w:pPr>
    </w:p>
    <w:p>
      <w:pPr>
        <w:ind w:left="456" w:right="80"/>
        <w:spacing w:after="0" w:line="256" w:lineRule="auto"/>
        <w:rPr>
          <w:rFonts w:ascii="Arial" w:cs="Arial" w:eastAsia="Arial" w:hAnsi="Arial"/>
          <w:sz w:val="14"/>
          <w:szCs w:val="14"/>
          <w:b w:val="1"/>
          <w:bCs w:val="1"/>
          <w:color w:val="auto"/>
        </w:rPr>
      </w:pPr>
      <w:r>
        <w:rPr>
          <w:rFonts w:ascii="Arial" w:cs="Arial" w:eastAsia="Arial" w:hAnsi="Arial"/>
          <w:sz w:val="14"/>
          <w:szCs w:val="14"/>
          <w:color w:val="auto"/>
        </w:rPr>
        <w:t xml:space="preserve">9.4. </w:t>
      </w:r>
      <w:r>
        <w:rPr>
          <w:rFonts w:ascii="Arial" w:cs="Arial" w:eastAsia="Arial" w:hAnsi="Arial"/>
          <w:sz w:val="14"/>
          <w:szCs w:val="14"/>
          <w:b w:val="1"/>
          <w:bCs w:val="1"/>
          <w:color w:val="auto"/>
        </w:rPr>
        <w:t>Termination by Pfizer without Cause</w:t>
      </w:r>
      <w:r>
        <w:rPr>
          <w:rFonts w:ascii="Arial" w:cs="Arial" w:eastAsia="Arial" w:hAnsi="Arial"/>
          <w:sz w:val="14"/>
          <w:szCs w:val="14"/>
          <w:color w:val="auto"/>
        </w:rPr>
        <w:t xml:space="preserve">. Pfizer shall have the right to terminate the Agreement at any time for any or no reason, on a Research Project Target-by-Research Project Target basis, by providing </w:t>
      </w:r>
      <w:r>
        <w:rPr>
          <w:rFonts w:ascii="Arial" w:cs="Arial" w:eastAsia="Arial" w:hAnsi="Arial"/>
          <w:sz w:val="14"/>
          <w:szCs w:val="14"/>
          <w:b w:val="1"/>
          <w:bCs w:val="1"/>
          <w:color w:val="auto"/>
        </w:rPr>
        <w:t>***</w:t>
      </w:r>
      <w:r>
        <w:rPr>
          <w:rFonts w:ascii="Arial" w:cs="Arial" w:eastAsia="Arial" w:hAnsi="Arial"/>
          <w:sz w:val="14"/>
          <w:szCs w:val="14"/>
          <w:color w:val="auto"/>
        </w:rPr>
        <w:t xml:space="preserve"> advance written notice of such termination to MacroGenics; provided that, during the </w:t>
      </w:r>
      <w:r>
        <w:rPr>
          <w:rFonts w:ascii="Arial" w:cs="Arial" w:eastAsia="Arial" w:hAnsi="Arial"/>
          <w:sz w:val="14"/>
          <w:szCs w:val="14"/>
          <w:b w:val="1"/>
          <w:bCs w:val="1"/>
          <w:color w:val="auto"/>
        </w:rPr>
        <w:t>***</w:t>
      </w:r>
      <w:r>
        <w:rPr>
          <w:rFonts w:ascii="Arial" w:cs="Arial" w:eastAsia="Arial" w:hAnsi="Arial"/>
          <w:sz w:val="14"/>
          <w:szCs w:val="14"/>
          <w:color w:val="auto"/>
        </w:rPr>
        <w:t xml:space="preserve">, Pfizer will retain at least one Research Project Target under the Research Program. </w:t>
      </w:r>
      <w:r>
        <w:rPr>
          <w:rFonts w:ascii="Arial" w:cs="Arial" w:eastAsia="Arial" w:hAnsi="Arial"/>
          <w:sz w:val="14"/>
          <w:szCs w:val="14"/>
          <w:b w:val="1"/>
          <w:bCs w:val="1"/>
          <w:color w:val="auto"/>
        </w:rPr>
        <w:t>***</w:t>
      </w:r>
      <w:r>
        <w:rPr>
          <w:rFonts w:ascii="Arial" w:cs="Arial" w:eastAsia="Arial" w:hAnsi="Arial"/>
          <w:sz w:val="14"/>
          <w:szCs w:val="14"/>
          <w:color w:val="auto"/>
        </w:rPr>
        <w:t xml:space="preserve">, Pfizer shall have the right, exercisable upon </w:t>
      </w:r>
      <w:r>
        <w:rPr>
          <w:rFonts w:ascii="Arial" w:cs="Arial" w:eastAsia="Arial" w:hAnsi="Arial"/>
          <w:sz w:val="14"/>
          <w:szCs w:val="14"/>
          <w:b w:val="1"/>
          <w:bCs w:val="1"/>
          <w:color w:val="auto"/>
        </w:rPr>
        <w:t>***</w:t>
      </w:r>
      <w:r>
        <w:rPr>
          <w:rFonts w:ascii="Arial" w:cs="Arial" w:eastAsia="Arial" w:hAnsi="Arial"/>
          <w:sz w:val="14"/>
          <w:szCs w:val="14"/>
          <w:color w:val="auto"/>
        </w:rPr>
        <w:t xml:space="preserve"> prior written notice to MacroGenics, to terminate this Agreement at any time for any or no reason either (a) in its entirety or (b) on a Research Project Target-by-Research Project Target basis.</w:t>
      </w:r>
    </w:p>
    <w:p>
      <w:pPr>
        <w:spacing w:after="0" w:line="99" w:lineRule="exact"/>
        <w:rPr>
          <w:sz w:val="20"/>
          <w:szCs w:val="20"/>
          <w:color w:val="auto"/>
        </w:rPr>
      </w:pPr>
    </w:p>
    <w:p>
      <w:pPr>
        <w:jc w:val="center"/>
        <w:ind w:right="-55"/>
        <w:spacing w:after="0"/>
        <w:rPr>
          <w:sz w:val="20"/>
          <w:szCs w:val="20"/>
          <w:color w:val="auto"/>
        </w:rPr>
      </w:pPr>
      <w:r>
        <w:rPr>
          <w:rFonts w:ascii="Arial" w:cs="Arial" w:eastAsia="Arial" w:hAnsi="Arial"/>
          <w:sz w:val="14"/>
          <w:szCs w:val="14"/>
          <w:color w:val="auto"/>
        </w:rPr>
        <w:t>55</w:t>
      </w:r>
    </w:p>
    <w:p>
      <w:pPr>
        <w:spacing w:after="0" w:line="12" w:lineRule="exact"/>
        <w:rPr>
          <w:sz w:val="20"/>
          <w:szCs w:val="20"/>
          <w:color w:val="auto"/>
        </w:rPr>
      </w:pPr>
    </w:p>
    <w:p>
      <w:pPr>
        <w:ind w:left="3836" w:right="2660" w:hanging="1135"/>
        <w:spacing w:after="0" w:line="341" w:lineRule="auto"/>
        <w:tabs>
          <w:tab w:leader="none" w:pos="2940" w:val="left"/>
        </w:tabs>
        <w:numPr>
          <w:ilvl w:val="0"/>
          <w:numId w:val="113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16"/>
          </w:cols>
          <w:pgMar w:left="224" w:top="246" w:right="259" w:bottom="1440" w:gutter="0" w:footer="0" w:header="0"/>
        </w:sectPr>
      </w:pPr>
    </w:p>
    <w:bookmarkStart w:id="925" w:name="page926"/>
    <w:bookmarkEnd w:id="92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9.5. </w:t>
      </w:r>
      <w:r>
        <w:rPr>
          <w:rFonts w:ascii="Arial" w:cs="Arial" w:eastAsia="Arial" w:hAnsi="Arial"/>
          <w:sz w:val="14"/>
          <w:szCs w:val="14"/>
          <w:b w:val="1"/>
          <w:bCs w:val="1"/>
          <w:color w:val="auto"/>
        </w:rPr>
        <w:t>Effects of Termination</w:t>
      </w:r>
      <w:r>
        <w:rPr>
          <w:rFonts w:ascii="Arial" w:cs="Arial" w:eastAsia="Arial" w:hAnsi="Arial"/>
          <w:sz w:val="14"/>
          <w:szCs w:val="14"/>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9.5.1. </w:t>
      </w:r>
      <w:r>
        <w:rPr>
          <w:rFonts w:ascii="Arial" w:cs="Arial" w:eastAsia="Arial" w:hAnsi="Arial"/>
          <w:sz w:val="12"/>
          <w:szCs w:val="12"/>
          <w:b w:val="1"/>
          <w:bCs w:val="1"/>
          <w:color w:val="auto"/>
        </w:rPr>
        <w:t>Effect of Termination by Pfizer for Cause</w:t>
      </w:r>
      <w:r>
        <w:rPr>
          <w:rFonts w:ascii="Arial" w:cs="Arial" w:eastAsia="Arial" w:hAnsi="Arial"/>
          <w:sz w:val="12"/>
          <w:szCs w:val="12"/>
          <w:color w:val="auto"/>
        </w:rPr>
        <w:t>. If Pfizer terminates this Agreement with respect to any or all Agreement T-DARTS pursuant to Section 9.3 (each, a “</w:t>
      </w:r>
      <w:r>
        <w:rPr>
          <w:rFonts w:ascii="Arial" w:cs="Arial" w:eastAsia="Arial" w:hAnsi="Arial"/>
          <w:sz w:val="12"/>
          <w:szCs w:val="12"/>
          <w:b w:val="1"/>
          <w:bCs w:val="1"/>
          <w:color w:val="auto"/>
        </w:rPr>
        <w:t>Terminated T-DART</w:t>
      </w:r>
      <w:r>
        <w:rPr>
          <w:rFonts w:ascii="Arial" w:cs="Arial" w:eastAsia="Arial" w:hAnsi="Arial"/>
          <w:sz w:val="12"/>
          <w:szCs w:val="12"/>
          <w:color w:val="auto"/>
        </w:rPr>
        <w:t>”):</w:t>
      </w:r>
    </w:p>
    <w:p>
      <w:pPr>
        <w:spacing w:after="0" w:line="94" w:lineRule="exact"/>
        <w:rPr>
          <w:sz w:val="20"/>
          <w:szCs w:val="20"/>
          <w:color w:val="auto"/>
        </w:rPr>
      </w:pPr>
    </w:p>
    <w:p>
      <w:pPr>
        <w:ind w:left="1220" w:hanging="187"/>
        <w:spacing w:after="0"/>
        <w:tabs>
          <w:tab w:leader="none" w:pos="1220" w:val="left"/>
        </w:tabs>
        <w:numPr>
          <w:ilvl w:val="0"/>
          <w:numId w:val="1134"/>
        </w:numPr>
        <w:rPr>
          <w:rFonts w:ascii="Arial" w:cs="Arial" w:eastAsia="Arial" w:hAnsi="Arial"/>
          <w:sz w:val="14"/>
          <w:szCs w:val="14"/>
          <w:color w:val="auto"/>
        </w:rPr>
      </w:pPr>
      <w:r>
        <w:rPr>
          <w:rFonts w:ascii="Arial" w:cs="Arial" w:eastAsia="Arial" w:hAnsi="Arial"/>
          <w:sz w:val="14"/>
          <w:szCs w:val="14"/>
          <w:color w:val="auto"/>
        </w:rPr>
        <w:t>all work under the applicable Research Plan(s) with respect to each Terminated T-DART shall cease;</w:t>
      </w:r>
    </w:p>
    <w:p>
      <w:pPr>
        <w:spacing w:after="0" w:line="66" w:lineRule="exact"/>
        <w:rPr>
          <w:rFonts w:ascii="Arial" w:cs="Arial" w:eastAsia="Arial" w:hAnsi="Arial"/>
          <w:sz w:val="14"/>
          <w:szCs w:val="14"/>
          <w:color w:val="auto"/>
        </w:rPr>
      </w:pPr>
    </w:p>
    <w:p>
      <w:pPr>
        <w:ind w:left="1040" w:right="80" w:hanging="7"/>
        <w:spacing w:after="0" w:line="303" w:lineRule="auto"/>
        <w:tabs>
          <w:tab w:leader="none" w:pos="1232" w:val="left"/>
        </w:tabs>
        <w:numPr>
          <w:ilvl w:val="0"/>
          <w:numId w:val="1134"/>
        </w:numPr>
        <w:rPr>
          <w:rFonts w:ascii="Arial" w:cs="Arial" w:eastAsia="Arial" w:hAnsi="Arial"/>
          <w:sz w:val="12"/>
          <w:szCs w:val="12"/>
          <w:color w:val="auto"/>
        </w:rPr>
      </w:pPr>
      <w:r>
        <w:rPr>
          <w:rFonts w:ascii="Arial" w:cs="Arial" w:eastAsia="Arial" w:hAnsi="Arial"/>
          <w:sz w:val="12"/>
          <w:szCs w:val="12"/>
          <w:color w:val="auto"/>
        </w:rPr>
        <w:t>(i) all licenses granted to Pfizer with respect to such Terminated T-DART and any Agreement Product incorporating such Terminated T-DART (“</w:t>
      </w:r>
      <w:r>
        <w:rPr>
          <w:rFonts w:ascii="Arial" w:cs="Arial" w:eastAsia="Arial" w:hAnsi="Arial"/>
          <w:sz w:val="12"/>
          <w:szCs w:val="12"/>
          <w:b w:val="1"/>
          <w:bCs w:val="1"/>
          <w:color w:val="auto"/>
        </w:rPr>
        <w:t>Terminated Agreement</w:t>
      </w:r>
      <w:r>
        <w:rPr>
          <w:rFonts w:ascii="Arial" w:cs="Arial" w:eastAsia="Arial" w:hAnsi="Arial"/>
          <w:sz w:val="12"/>
          <w:szCs w:val="12"/>
          <w:color w:val="auto"/>
        </w:rPr>
        <w:t xml:space="preserve"> </w:t>
      </w:r>
      <w:r>
        <w:rPr>
          <w:rFonts w:ascii="Arial" w:cs="Arial" w:eastAsia="Arial" w:hAnsi="Arial"/>
          <w:sz w:val="12"/>
          <w:szCs w:val="12"/>
          <w:b w:val="1"/>
          <w:bCs w:val="1"/>
          <w:color w:val="auto"/>
        </w:rPr>
        <w:t>Product</w:t>
      </w:r>
      <w:r>
        <w:rPr>
          <w:rFonts w:ascii="Arial" w:cs="Arial" w:eastAsia="Arial" w:hAnsi="Arial"/>
          <w:sz w:val="12"/>
          <w:szCs w:val="12"/>
          <w:color w:val="auto"/>
        </w:rPr>
        <w:t>”), including licenses under Section 4.1, shall continue and shall become perpetual, irrevocable licenses; (ii) Pfizer’s rights under Section 4.1 shall remain in full force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effect with respect to any such Terminated T-DART or Terminated Agreement Product; and (iii) Pfizer shall have no further obligations to MacroGenics under this Agreement with respect to any such Terminated T-DART or Terminated Agreement Product, other than (x) obligations to pay Milestones and royalties with respect to each Terminated Target and Net Sales of Agreement Products incorporating each Terminated T-DART, as applicable, in an amount equal to </w:t>
      </w:r>
      <w:r>
        <w:rPr>
          <w:rFonts w:ascii="Arial" w:cs="Arial" w:eastAsia="Arial" w:hAnsi="Arial"/>
          <w:sz w:val="12"/>
          <w:szCs w:val="12"/>
          <w:b w:val="1"/>
          <w:bCs w:val="1"/>
          <w:color w:val="auto"/>
        </w:rPr>
        <w:t>***</w:t>
      </w:r>
      <w:r>
        <w:rPr>
          <w:rFonts w:ascii="Arial" w:cs="Arial" w:eastAsia="Arial" w:hAnsi="Arial"/>
          <w:sz w:val="12"/>
          <w:szCs w:val="12"/>
          <w:color w:val="auto"/>
        </w:rPr>
        <w:t xml:space="preserve"> of the amount that would otherwise have been payable under this Agreement, and (y) those other obligations that expressly survive termination in accordance with Section 9.7 shall survive;</w:t>
      </w:r>
    </w:p>
    <w:p>
      <w:pPr>
        <w:spacing w:after="0" w:line="22" w:lineRule="exact"/>
        <w:rPr>
          <w:rFonts w:ascii="Arial" w:cs="Arial" w:eastAsia="Arial" w:hAnsi="Arial"/>
          <w:sz w:val="12"/>
          <w:szCs w:val="12"/>
          <w:color w:val="auto"/>
        </w:rPr>
      </w:pPr>
    </w:p>
    <w:p>
      <w:pPr>
        <w:ind w:left="1220" w:hanging="187"/>
        <w:spacing w:after="0"/>
        <w:tabs>
          <w:tab w:leader="none" w:pos="1220" w:val="left"/>
        </w:tabs>
        <w:numPr>
          <w:ilvl w:val="0"/>
          <w:numId w:val="1134"/>
        </w:numPr>
        <w:rPr>
          <w:rFonts w:ascii="Arial" w:cs="Arial" w:eastAsia="Arial" w:hAnsi="Arial"/>
          <w:sz w:val="14"/>
          <w:szCs w:val="14"/>
          <w:color w:val="auto"/>
        </w:rPr>
      </w:pPr>
      <w:r>
        <w:rPr>
          <w:rFonts w:ascii="Arial" w:cs="Arial" w:eastAsia="Arial" w:hAnsi="Arial"/>
          <w:sz w:val="14"/>
          <w:szCs w:val="14"/>
          <w:color w:val="auto"/>
        </w:rPr>
        <w:t>MacroGenics shall remain entitled to receive payments that accrued before the effective date of such termination;</w:t>
      </w:r>
    </w:p>
    <w:p>
      <w:pPr>
        <w:spacing w:after="0" w:line="68" w:lineRule="exact"/>
        <w:rPr>
          <w:rFonts w:ascii="Arial" w:cs="Arial" w:eastAsia="Arial" w:hAnsi="Arial"/>
          <w:sz w:val="14"/>
          <w:szCs w:val="14"/>
          <w:color w:val="auto"/>
        </w:rPr>
      </w:pPr>
    </w:p>
    <w:p>
      <w:pPr>
        <w:ind w:left="1220" w:hanging="187"/>
        <w:spacing w:after="0"/>
        <w:tabs>
          <w:tab w:leader="none" w:pos="1220" w:val="left"/>
        </w:tabs>
        <w:numPr>
          <w:ilvl w:val="0"/>
          <w:numId w:val="1134"/>
        </w:numPr>
        <w:rPr>
          <w:rFonts w:ascii="Arial" w:cs="Arial" w:eastAsia="Arial" w:hAnsi="Arial"/>
          <w:sz w:val="14"/>
          <w:szCs w:val="14"/>
          <w:color w:val="auto"/>
        </w:rPr>
      </w:pPr>
      <w:r>
        <w:rPr>
          <w:rFonts w:ascii="Arial" w:cs="Arial" w:eastAsia="Arial" w:hAnsi="Arial"/>
          <w:sz w:val="14"/>
          <w:szCs w:val="14"/>
          <w:color w:val="auto"/>
        </w:rPr>
        <w:t>nothing in this Section 9.5.1 shall limit any other remedy Pfizer may have for MacroGenics’s breach of this Agreement; and</w:t>
      </w:r>
    </w:p>
    <w:p>
      <w:pPr>
        <w:spacing w:after="0" w:line="68" w:lineRule="exact"/>
        <w:rPr>
          <w:rFonts w:ascii="Arial" w:cs="Arial" w:eastAsia="Arial" w:hAnsi="Arial"/>
          <w:sz w:val="14"/>
          <w:szCs w:val="14"/>
          <w:color w:val="auto"/>
        </w:rPr>
      </w:pPr>
    </w:p>
    <w:p>
      <w:pPr>
        <w:ind w:left="1220" w:hanging="187"/>
        <w:spacing w:after="0"/>
        <w:tabs>
          <w:tab w:leader="none" w:pos="1220" w:val="left"/>
        </w:tabs>
        <w:numPr>
          <w:ilvl w:val="0"/>
          <w:numId w:val="1134"/>
        </w:numPr>
        <w:rPr>
          <w:rFonts w:ascii="Arial" w:cs="Arial" w:eastAsia="Arial" w:hAnsi="Arial"/>
          <w:sz w:val="14"/>
          <w:szCs w:val="14"/>
          <w:color w:val="auto"/>
        </w:rPr>
      </w:pPr>
      <w:r>
        <w:rPr>
          <w:rFonts w:ascii="Arial" w:cs="Arial" w:eastAsia="Arial" w:hAnsi="Arial"/>
          <w:sz w:val="14"/>
          <w:szCs w:val="14"/>
          <w:color w:val="auto"/>
        </w:rPr>
        <w:t>the rights and obligations of the Parties with respect to all Agreement T-DARTs other than any such Terminated T-DART shall remain in full force and effect.</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9.5.2. </w:t>
      </w:r>
      <w:r>
        <w:rPr>
          <w:rFonts w:ascii="Arial" w:cs="Arial" w:eastAsia="Arial" w:hAnsi="Arial"/>
          <w:sz w:val="14"/>
          <w:szCs w:val="14"/>
          <w:b w:val="1"/>
          <w:bCs w:val="1"/>
          <w:color w:val="auto"/>
        </w:rPr>
        <w:t>Effect of Termination by MacroGenics for Cause or by Pfizer without Cause</w:t>
      </w:r>
      <w:r>
        <w:rPr>
          <w:rFonts w:ascii="Arial" w:cs="Arial" w:eastAsia="Arial" w:hAnsi="Arial"/>
          <w:sz w:val="14"/>
          <w:szCs w:val="14"/>
          <w:color w:val="auto"/>
        </w:rPr>
        <w:t>.</w:t>
      </w:r>
    </w:p>
    <w:p>
      <w:pPr>
        <w:spacing w:after="0" w:line="71" w:lineRule="exact"/>
        <w:rPr>
          <w:sz w:val="20"/>
          <w:szCs w:val="20"/>
          <w:color w:val="auto"/>
        </w:rPr>
      </w:pPr>
    </w:p>
    <w:p>
      <w:pPr>
        <w:ind w:left="1040" w:right="80" w:hanging="7"/>
        <w:spacing w:after="0" w:line="311" w:lineRule="auto"/>
        <w:tabs>
          <w:tab w:leader="none" w:pos="1225" w:val="left"/>
        </w:tabs>
        <w:numPr>
          <w:ilvl w:val="0"/>
          <w:numId w:val="1135"/>
        </w:numPr>
        <w:rPr>
          <w:rFonts w:ascii="Arial" w:cs="Arial" w:eastAsia="Arial" w:hAnsi="Arial"/>
          <w:sz w:val="12"/>
          <w:szCs w:val="12"/>
          <w:color w:val="auto"/>
        </w:rPr>
      </w:pPr>
      <w:r>
        <w:rPr>
          <w:rFonts w:ascii="Arial" w:cs="Arial" w:eastAsia="Arial" w:hAnsi="Arial"/>
          <w:sz w:val="12"/>
          <w:szCs w:val="12"/>
          <w:color w:val="auto"/>
        </w:rPr>
        <w:t xml:space="preserve">If MacroGenics terminates this Agreement with respect to any Agreement T-DARTs pursuant to Section 9.3, or if Pfizer terminates this Agreement with respect to any Agreement T-DARTs pursuant to Section 9.4: (i) all licenses granted by MacroGenics to Pfizer under Section 4.1 with respect to any such Agreement T-DART and any Agreement Product containing such Agreement T-DART shall terminate and (ii) on MacroGenics’s written request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of such termination, Pfizer shall reassign to MacroGenics all of the right, title and interest in Agreement T-DART IP that was assigned by MacroGenics to Pfizer pursuant to Section 4.1.2 with respect to such Agreement T-DART, and in any Agreement</w:t>
      </w:r>
    </w:p>
    <w:p>
      <w:pPr>
        <w:spacing w:after="0" w:line="6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56</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13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5" w:right="239" w:bottom="1440" w:gutter="0" w:footer="0" w:header="0"/>
        </w:sectPr>
      </w:pPr>
    </w:p>
    <w:bookmarkStart w:id="926" w:name="page927"/>
    <w:bookmarkEnd w:id="926"/>
    <w:p>
      <w:pPr>
        <w:ind w:left="280"/>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T-DART Patent Rights relating thereto that have been filed (unless another alternative approach has been agreed by the Parties in view of prosecution exigencies), any such assignment to be completed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of such request. After such assignment, or if MacroGenics declines to request assignment or such </w:t>
      </w:r>
      <w:r>
        <w:rPr>
          <w:rFonts w:ascii="Arial" w:cs="Arial" w:eastAsia="Arial" w:hAnsi="Arial"/>
          <w:sz w:val="12"/>
          <w:szCs w:val="12"/>
          <w:b w:val="1"/>
          <w:bCs w:val="1"/>
          <w:color w:val="auto"/>
        </w:rPr>
        <w:t>***</w:t>
      </w:r>
      <w:r>
        <w:rPr>
          <w:rFonts w:ascii="Arial" w:cs="Arial" w:eastAsia="Arial" w:hAnsi="Arial"/>
          <w:sz w:val="12"/>
          <w:szCs w:val="12"/>
          <w:color w:val="auto"/>
        </w:rPr>
        <w:t xml:space="preserve"> period expires without a request by MacroGenics, Pfizer will have no further obligations to prosecute or maintain such Agreement T-DART Patent Rights or to pay any costs related thereto. All rights and obligations with respect to all other Agreement T-DARTs and Agreement Products shall remain in full force and effect (and for avoidance of doubt, any Agreement T-DART IP and Agreement T-DART Patent Rights assigned to MacroGenics pursuant to this Section 9.5.2(a) will be included in MacroGenics Technology and MacroGenics Patent Rights, respectively, for the purposes of such other Agreement T-DARTs and Agreement Products). MacroGenics shall have a fully paid up, royalty free non-exclusive license under any such Agreement T-DART Patent Right not assigned to MacroGenics pursuant to the provisions of this Section 9.5.2(a).</w:t>
      </w:r>
    </w:p>
    <w:p>
      <w:pPr>
        <w:spacing w:after="0" w:line="25" w:lineRule="exact"/>
        <w:rPr>
          <w:sz w:val="20"/>
          <w:szCs w:val="20"/>
          <w:color w:val="auto"/>
        </w:rPr>
      </w:pPr>
    </w:p>
    <w:p>
      <w:pPr>
        <w:ind w:left="280" w:right="80" w:hanging="7"/>
        <w:spacing w:after="0" w:line="299" w:lineRule="auto"/>
        <w:tabs>
          <w:tab w:leader="none" w:pos="472" w:val="left"/>
        </w:tabs>
        <w:numPr>
          <w:ilvl w:val="0"/>
          <w:numId w:val="1137"/>
        </w:numPr>
        <w:rPr>
          <w:rFonts w:ascii="Arial" w:cs="Arial" w:eastAsia="Arial" w:hAnsi="Arial"/>
          <w:sz w:val="12"/>
          <w:szCs w:val="12"/>
          <w:color w:val="auto"/>
        </w:rPr>
      </w:pPr>
      <w:r>
        <w:rPr>
          <w:rFonts w:ascii="Arial" w:cs="Arial" w:eastAsia="Arial" w:hAnsi="Arial"/>
          <w:sz w:val="12"/>
          <w:szCs w:val="12"/>
          <w:color w:val="auto"/>
        </w:rPr>
        <w:t xml:space="preserve">If MacroGenics terminates this Agreement in its entirety pursuant to Section 9.3, or if Pfizer terminates this Agreement in its entirety pursuant to Section 9.4: (i) all licenses granted by MacroGenics to Pfizer under Section 4.1 shall terminate, (ii) on MacroGenics’s written request within thirty (30) days of such termination, Pfizer shall reassign to MacroGenics all of MacroGenics’ right, title and interest in Agreement T-DART IP that was assigned by MacroGenics to Pfizer pursuant to Section 4.1.2, and in any Agreement T-DART Patent Rights relating thereto that have been filed (unless another alternative approach has been agreed by the Parties in view of prosecution exigencies), any such assignment to be completed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of such request, and MacroGenics shall have no further obligations to Pfizer under this Agreement other than those obligations that expressly survive termination in accordance with Section 9.7. After assignment of any Agreement T-DART Patent Rights pursuant to this Section 9.5.2(b), or if MacroGenics declines to request assignment or </w:t>
      </w:r>
      <w:r>
        <w:rPr>
          <w:rFonts w:ascii="Arial" w:cs="Arial" w:eastAsia="Arial" w:hAnsi="Arial"/>
          <w:sz w:val="12"/>
          <w:szCs w:val="12"/>
          <w:b w:val="1"/>
          <w:bCs w:val="1"/>
          <w:color w:val="auto"/>
        </w:rPr>
        <w:t>***</w:t>
      </w:r>
      <w:r>
        <w:rPr>
          <w:rFonts w:ascii="Arial" w:cs="Arial" w:eastAsia="Arial" w:hAnsi="Arial"/>
          <w:sz w:val="12"/>
          <w:szCs w:val="12"/>
          <w:color w:val="auto"/>
        </w:rPr>
        <w:t xml:space="preserve"> expires without a request by MacroGenics, Pfizer will have no further obligations to prosecute or maintain such Agreement T-DART Patent Rights or to pay any costs related thereto. MacroGenics shall have a fully paid up, royalty free non-exclusive license under any Agreement T-DART Patent Right not assigned to MacroGenics pursuant to the provisions of this Section 9.5.2(b).</w:t>
      </w:r>
    </w:p>
    <w:p>
      <w:pPr>
        <w:spacing w:after="0" w:line="191" w:lineRule="exact"/>
        <w:rPr>
          <w:rFonts w:ascii="Arial" w:cs="Arial" w:eastAsia="Arial" w:hAnsi="Arial"/>
          <w:sz w:val="12"/>
          <w:szCs w:val="12"/>
          <w:color w:val="auto"/>
        </w:rPr>
      </w:pPr>
    </w:p>
    <w:p>
      <w:pPr>
        <w:ind w:left="280" w:right="200" w:hanging="7"/>
        <w:spacing w:after="0" w:line="258" w:lineRule="auto"/>
        <w:tabs>
          <w:tab w:leader="none" w:pos="465" w:val="left"/>
        </w:tabs>
        <w:numPr>
          <w:ilvl w:val="0"/>
          <w:numId w:val="1137"/>
        </w:numPr>
        <w:rPr>
          <w:rFonts w:ascii="Arial" w:cs="Arial" w:eastAsia="Arial" w:hAnsi="Arial"/>
          <w:sz w:val="14"/>
          <w:szCs w:val="14"/>
          <w:color w:val="auto"/>
        </w:rPr>
      </w:pPr>
      <w:r>
        <w:rPr>
          <w:rFonts w:ascii="Arial" w:cs="Arial" w:eastAsia="Arial" w:hAnsi="Arial"/>
          <w:sz w:val="14"/>
          <w:szCs w:val="14"/>
          <w:color w:val="auto"/>
        </w:rPr>
        <w:t>For the avoidance of doubt, if MacroGenics terminates this Agreement with respect to any Agreement T-DARTs pursuant to Section 9.3, or if Pfizer terminates this Agreement with respect to any Agreement T-DARTs pursuant to Section 9.4, in each case including all Agreement T-DARTs in the event that this Agreement is terminated in its entirety, (i) all rights granted by Pfizer to MacroGenics under Section 4.2</w:t>
      </w:r>
    </w:p>
    <w:p>
      <w:pPr>
        <w:spacing w:after="0" w:line="9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57</w:t>
      </w:r>
    </w:p>
    <w:p>
      <w:pPr>
        <w:spacing w:after="0" w:line="12" w:lineRule="exact"/>
        <w:rPr>
          <w:sz w:val="20"/>
          <w:szCs w:val="20"/>
          <w:color w:val="auto"/>
        </w:rPr>
      </w:pPr>
    </w:p>
    <w:p>
      <w:pPr>
        <w:ind w:left="2620" w:right="2700" w:hanging="1135"/>
        <w:spacing w:after="0" w:line="341" w:lineRule="auto"/>
        <w:tabs>
          <w:tab w:leader="none" w:pos="1724" w:val="left"/>
        </w:tabs>
        <w:numPr>
          <w:ilvl w:val="0"/>
          <w:numId w:val="113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40"/>
          </w:cols>
          <w:pgMar w:left="1440" w:top="248" w:right="219" w:bottom="1440" w:gutter="0" w:footer="0" w:header="0"/>
        </w:sectPr>
      </w:pPr>
    </w:p>
    <w:bookmarkStart w:id="927" w:name="page928"/>
    <w:bookmarkEnd w:id="927"/>
    <w:p>
      <w:pPr>
        <w:ind w:left="2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shall survive such termination and (ii) any such Agreement T-DART will no longer be considered to be an Agreement T-DART for the purpose of this Agreement.</w:t>
      </w:r>
    </w:p>
    <w:p>
      <w:pPr>
        <w:spacing w:after="0" w:line="92" w:lineRule="exact"/>
        <w:rPr>
          <w:sz w:val="20"/>
          <w:szCs w:val="20"/>
          <w:color w:val="auto"/>
        </w:rPr>
      </w:pPr>
    </w:p>
    <w:p>
      <w:pPr>
        <w:ind w:left="280" w:right="20" w:hanging="7"/>
        <w:spacing w:after="0" w:line="267" w:lineRule="auto"/>
        <w:tabs>
          <w:tab w:leader="none" w:pos="472" w:val="left"/>
        </w:tabs>
        <w:numPr>
          <w:ilvl w:val="0"/>
          <w:numId w:val="1139"/>
        </w:numPr>
        <w:rPr>
          <w:rFonts w:ascii="Arial" w:cs="Arial" w:eastAsia="Arial" w:hAnsi="Arial"/>
          <w:sz w:val="14"/>
          <w:szCs w:val="14"/>
          <w:color w:val="auto"/>
        </w:rPr>
      </w:pPr>
      <w:r>
        <w:rPr>
          <w:rFonts w:ascii="Arial" w:cs="Arial" w:eastAsia="Arial" w:hAnsi="Arial"/>
          <w:sz w:val="14"/>
          <w:szCs w:val="14"/>
          <w:color w:val="auto"/>
        </w:rPr>
        <w:t>Nothing in this Section 9.5.3 shall limit MacroGenics’s right to receive payments that accrued before the effective date of termination or limit any other remedy MacroGenics may have for Pfizer’s breach of this Agreement.</w:t>
      </w:r>
    </w:p>
    <w:p>
      <w:pPr>
        <w:spacing w:after="0" w:line="38" w:lineRule="exact"/>
        <w:rPr>
          <w:rFonts w:ascii="Arial" w:cs="Arial" w:eastAsia="Arial" w:hAnsi="Arial"/>
          <w:sz w:val="14"/>
          <w:szCs w:val="14"/>
          <w:color w:val="auto"/>
        </w:rPr>
      </w:pPr>
    </w:p>
    <w:p>
      <w:pPr>
        <w:ind w:left="280" w:right="80" w:hanging="7"/>
        <w:spacing w:after="0" w:line="321" w:lineRule="auto"/>
        <w:tabs>
          <w:tab w:leader="none" w:pos="465" w:val="left"/>
        </w:tabs>
        <w:numPr>
          <w:ilvl w:val="0"/>
          <w:numId w:val="1139"/>
        </w:numPr>
        <w:rPr>
          <w:rFonts w:ascii="Arial" w:cs="Arial" w:eastAsia="Arial" w:hAnsi="Arial"/>
          <w:sz w:val="12"/>
          <w:szCs w:val="12"/>
          <w:color w:val="auto"/>
        </w:rPr>
      </w:pPr>
      <w:r>
        <w:rPr>
          <w:rFonts w:ascii="Arial" w:cs="Arial" w:eastAsia="Arial" w:hAnsi="Arial"/>
          <w:sz w:val="12"/>
          <w:szCs w:val="12"/>
          <w:color w:val="auto"/>
        </w:rPr>
        <w:t xml:space="preserve">At MacroGenics’s request within thirty (30) days of any termination of this Agreement, Pfizer shall negotiate with MacroGenics regarding the possible grant to MacroGenics of some or all of the following rights, it being understood and agreed that neither Party shall have any obligation to enter into any such arrangement and that if agreement is not reached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such request there shall be no further obligation on either Party to conduct further negotiations:</w:t>
      </w:r>
    </w:p>
    <w:p>
      <w:pPr>
        <w:spacing w:after="0" w:line="10" w:lineRule="exact"/>
        <w:rPr>
          <w:rFonts w:ascii="Arial" w:cs="Arial" w:eastAsia="Arial" w:hAnsi="Arial"/>
          <w:sz w:val="12"/>
          <w:szCs w:val="12"/>
          <w:color w:val="auto"/>
        </w:rPr>
      </w:pPr>
    </w:p>
    <w:p>
      <w:pPr>
        <w:ind w:left="740" w:hanging="8"/>
        <w:spacing w:after="0" w:line="299" w:lineRule="auto"/>
        <w:tabs>
          <w:tab w:leader="none" w:pos="902" w:val="left"/>
        </w:tabs>
        <w:numPr>
          <w:ilvl w:val="1"/>
          <w:numId w:val="1139"/>
        </w:numPr>
        <w:rPr>
          <w:rFonts w:ascii="Arial" w:cs="Arial" w:eastAsia="Arial" w:hAnsi="Arial"/>
          <w:sz w:val="12"/>
          <w:szCs w:val="12"/>
          <w:color w:val="auto"/>
        </w:rPr>
      </w:pPr>
      <w:r>
        <w:rPr>
          <w:rFonts w:ascii="Arial" w:cs="Arial" w:eastAsia="Arial" w:hAnsi="Arial"/>
          <w:sz w:val="12"/>
          <w:szCs w:val="12"/>
          <w:u w:val="single" w:color="auto"/>
          <w:color w:val="auto"/>
        </w:rPr>
        <w:t>Grant Back License with Respect to MacroGenics-Derived Terminated Agreement T-DARTs</w:t>
      </w:r>
      <w:r>
        <w:rPr>
          <w:rFonts w:ascii="Arial" w:cs="Arial" w:eastAsia="Arial" w:hAnsi="Arial"/>
          <w:sz w:val="12"/>
          <w:szCs w:val="12"/>
          <w:color w:val="auto"/>
        </w:rPr>
        <w:t>. The grant by Pfizer to MacroGenics of an exclusive or non-exclusive, worldwide, royalty-bearing license under the Pfizer Collaboration Patent Rights to use, have used, Develop, have Developed, Manufacture, have Manufactured, Commercialize, have Commercialized, import, have imported, export and have exported any MacroGenics-Derived Terminated Agreement T-DART and, in each case in the form in which such MacroGenics-Derived Terminated Agreement T-DART or related Agreement Product exists as of termination, for a commercially reasonable royalty rate and on terms and conditions regarding payment provisions based on the provisions of this Agreement regarding such matters as royalty term, adjustments, reports, audits and the like). “</w:t>
      </w:r>
      <w:r>
        <w:rPr>
          <w:rFonts w:ascii="Arial" w:cs="Arial" w:eastAsia="Arial" w:hAnsi="Arial"/>
          <w:sz w:val="12"/>
          <w:szCs w:val="12"/>
          <w:b w:val="1"/>
          <w:bCs w:val="1"/>
          <w:color w:val="auto"/>
        </w:rPr>
        <w:t>Pfizer Collaboration Patent Right</w:t>
      </w:r>
      <w:r>
        <w:rPr>
          <w:rFonts w:ascii="Arial" w:cs="Arial" w:eastAsia="Arial" w:hAnsi="Arial"/>
          <w:sz w:val="12"/>
          <w:szCs w:val="12"/>
          <w:color w:val="auto"/>
        </w:rPr>
        <w:t>” means any Pfizer Patent Right covering or claiming any invention made solely by Pfizer or any of its Affiliates in the course of performing the Research Program and “</w:t>
      </w:r>
      <w:r>
        <w:rPr>
          <w:rFonts w:ascii="Arial" w:cs="Arial" w:eastAsia="Arial" w:hAnsi="Arial"/>
          <w:sz w:val="12"/>
          <w:szCs w:val="12"/>
          <w:b w:val="1"/>
          <w:bCs w:val="1"/>
          <w:color w:val="auto"/>
        </w:rPr>
        <w:t>MacroGenics-Derived Terminated Agreement T-DART</w:t>
      </w:r>
      <w:r>
        <w:rPr>
          <w:rFonts w:ascii="Arial" w:cs="Arial" w:eastAsia="Arial" w:hAnsi="Arial"/>
          <w:sz w:val="12"/>
          <w:szCs w:val="12"/>
          <w:color w:val="auto"/>
        </w:rPr>
        <w:t>” means any Agreement T-DART for which (A) this Agreement is terminated by MacroGenics pursuant to Section 9.3, or by Pfizer pursuant to Section 9.4 and (B) MacroGenics provided Antibodies to Pfizer for the Research Project for such Agreement T-DART.</w:t>
      </w:r>
    </w:p>
    <w:p>
      <w:pPr>
        <w:spacing w:after="0" w:line="191" w:lineRule="exact"/>
        <w:rPr>
          <w:rFonts w:ascii="Arial" w:cs="Arial" w:eastAsia="Arial" w:hAnsi="Arial"/>
          <w:sz w:val="12"/>
          <w:szCs w:val="12"/>
          <w:color w:val="auto"/>
        </w:rPr>
      </w:pPr>
    </w:p>
    <w:p>
      <w:pPr>
        <w:ind w:left="940" w:hanging="208"/>
        <w:spacing w:after="0"/>
        <w:tabs>
          <w:tab w:leader="none" w:pos="940" w:val="left"/>
        </w:tabs>
        <w:numPr>
          <w:ilvl w:val="1"/>
          <w:numId w:val="1139"/>
        </w:numPr>
        <w:rPr>
          <w:rFonts w:ascii="Arial" w:cs="Arial" w:eastAsia="Arial" w:hAnsi="Arial"/>
          <w:sz w:val="12"/>
          <w:szCs w:val="12"/>
          <w:color w:val="auto"/>
        </w:rPr>
      </w:pPr>
      <w:r>
        <w:rPr>
          <w:rFonts w:ascii="Arial" w:cs="Arial" w:eastAsia="Arial" w:hAnsi="Arial"/>
          <w:sz w:val="12"/>
          <w:szCs w:val="12"/>
          <w:u w:val="single" w:color="auto"/>
          <w:color w:val="auto"/>
        </w:rPr>
        <w:t>Inventory</w:t>
      </w:r>
      <w:r>
        <w:rPr>
          <w:rFonts w:ascii="Arial" w:cs="Arial" w:eastAsia="Arial" w:hAnsi="Arial"/>
          <w:sz w:val="12"/>
          <w:szCs w:val="12"/>
          <w:color w:val="auto"/>
        </w:rPr>
        <w:t>. MacroGenics obtaining Pfizer’s inventory of any such MacroGenics-Derived Terminated Agreement T-DART and/or related Agreement Product.</w:t>
      </w:r>
    </w:p>
    <w:p>
      <w:pPr>
        <w:spacing w:after="0" w:line="14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58</w:t>
      </w:r>
    </w:p>
    <w:p>
      <w:pPr>
        <w:spacing w:after="0" w:line="12" w:lineRule="exact"/>
        <w:rPr>
          <w:sz w:val="20"/>
          <w:szCs w:val="20"/>
          <w:color w:val="auto"/>
        </w:rPr>
      </w:pPr>
    </w:p>
    <w:p>
      <w:pPr>
        <w:ind w:left="2620" w:right="2660" w:hanging="1135"/>
        <w:spacing w:after="0" w:line="341" w:lineRule="auto"/>
        <w:tabs>
          <w:tab w:leader="none" w:pos="1724" w:val="left"/>
        </w:tabs>
        <w:numPr>
          <w:ilvl w:val="0"/>
          <w:numId w:val="114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00"/>
          </w:cols>
          <w:pgMar w:left="1440" w:top="247" w:right="259" w:bottom="1440" w:gutter="0" w:footer="0" w:header="0"/>
        </w:sectPr>
      </w:pPr>
    </w:p>
    <w:bookmarkStart w:id="928" w:name="page929"/>
    <w:bookmarkEnd w:id="928"/>
    <w:p>
      <w:pPr>
        <w:ind w:left="1500" w:right="260" w:hanging="8"/>
        <w:spacing w:after="0" w:line="267" w:lineRule="auto"/>
        <w:tabs>
          <w:tab w:leader="none" w:pos="1738" w:val="left"/>
        </w:tabs>
        <w:numPr>
          <w:ilvl w:val="0"/>
          <w:numId w:val="114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Supply</w:t>
      </w:r>
      <w:r>
        <w:rPr>
          <w:rFonts w:ascii="Arial" w:cs="Arial" w:eastAsia="Arial" w:hAnsi="Arial"/>
          <w:sz w:val="14"/>
          <w:szCs w:val="14"/>
          <w:color w:val="auto"/>
        </w:rPr>
        <w:t>. Pfizer supplying MacroGenics with quantities of such MacroGenics-Derived Terminated Agreement T-DART and/or related Agreement Product for a limited period of time.</w:t>
      </w:r>
    </w:p>
    <w:p>
      <w:pPr>
        <w:spacing w:after="0" w:line="38" w:lineRule="exact"/>
        <w:rPr>
          <w:rFonts w:ascii="Arial" w:cs="Arial" w:eastAsia="Arial" w:hAnsi="Arial"/>
          <w:sz w:val="14"/>
          <w:szCs w:val="14"/>
          <w:color w:val="auto"/>
        </w:rPr>
      </w:pPr>
    </w:p>
    <w:p>
      <w:pPr>
        <w:ind w:left="1500" w:right="400" w:hanging="8"/>
        <w:spacing w:after="0" w:line="345" w:lineRule="auto"/>
        <w:tabs>
          <w:tab w:leader="none" w:pos="1730" w:val="left"/>
        </w:tabs>
        <w:numPr>
          <w:ilvl w:val="0"/>
          <w:numId w:val="1141"/>
        </w:numPr>
        <w:rPr>
          <w:rFonts w:ascii="Arial" w:cs="Arial" w:eastAsia="Arial" w:hAnsi="Arial"/>
          <w:sz w:val="12"/>
          <w:szCs w:val="12"/>
          <w:color w:val="auto"/>
        </w:rPr>
      </w:pPr>
      <w:r>
        <w:rPr>
          <w:rFonts w:ascii="Arial" w:cs="Arial" w:eastAsia="Arial" w:hAnsi="Arial"/>
          <w:sz w:val="12"/>
          <w:szCs w:val="12"/>
          <w:u w:val="single" w:color="auto"/>
          <w:color w:val="auto"/>
        </w:rPr>
        <w:t>Trademarks</w:t>
      </w:r>
      <w:r>
        <w:rPr>
          <w:rFonts w:ascii="Arial" w:cs="Arial" w:eastAsia="Arial" w:hAnsi="Arial"/>
          <w:sz w:val="12"/>
          <w:szCs w:val="12"/>
          <w:color w:val="auto"/>
        </w:rPr>
        <w:t>. Pfizer providing with MacroGenics with certain rights in and to the Trademark(s) used in connection with any such MacroGenics-Derived Terminated Agreement T-DART and/or related Agreement Product (but not any Pfizer house marks or any trademark containing the word “Pfizer”).</w:t>
      </w:r>
    </w:p>
    <w:p>
      <w:pPr>
        <w:ind w:left="1500" w:hanging="8"/>
        <w:spacing w:after="0" w:line="267" w:lineRule="auto"/>
        <w:tabs>
          <w:tab w:leader="none" w:pos="1692" w:val="left"/>
        </w:tabs>
        <w:numPr>
          <w:ilvl w:val="0"/>
          <w:numId w:val="1141"/>
        </w:numPr>
        <w:rPr>
          <w:rFonts w:ascii="Arial" w:cs="Arial" w:eastAsia="Arial" w:hAnsi="Arial"/>
          <w:sz w:val="14"/>
          <w:szCs w:val="14"/>
          <w:color w:val="auto"/>
        </w:rPr>
      </w:pPr>
      <w:r>
        <w:rPr>
          <w:rFonts w:ascii="Arial" w:cs="Arial" w:eastAsia="Arial" w:hAnsi="Arial"/>
          <w:sz w:val="14"/>
          <w:szCs w:val="14"/>
          <w:u w:val="single" w:color="auto"/>
          <w:color w:val="auto"/>
        </w:rPr>
        <w:t>Regulatory Filings and Approvals</w:t>
      </w:r>
      <w:r>
        <w:rPr>
          <w:rFonts w:ascii="Arial" w:cs="Arial" w:eastAsia="Arial" w:hAnsi="Arial"/>
          <w:sz w:val="14"/>
          <w:szCs w:val="14"/>
          <w:color w:val="auto"/>
        </w:rPr>
        <w:t>. Pfizer providing MacroGenics with certain rights in and regulatory filings and approvals with respect to and such MacroGenics-Derived Terminated Agreement T-DART and/or related Agreement Product.</w:t>
      </w:r>
    </w:p>
    <w:p>
      <w:pPr>
        <w:spacing w:after="0" w:line="38" w:lineRule="exact"/>
        <w:rPr>
          <w:rFonts w:ascii="Arial" w:cs="Arial" w:eastAsia="Arial" w:hAnsi="Arial"/>
          <w:sz w:val="14"/>
          <w:szCs w:val="14"/>
          <w:color w:val="auto"/>
        </w:rPr>
      </w:pPr>
    </w:p>
    <w:p>
      <w:pPr>
        <w:ind w:left="1500" w:right="420" w:hanging="8"/>
        <w:spacing w:after="0" w:line="267" w:lineRule="auto"/>
        <w:tabs>
          <w:tab w:leader="none" w:pos="1730" w:val="left"/>
        </w:tabs>
        <w:numPr>
          <w:ilvl w:val="0"/>
          <w:numId w:val="1141"/>
        </w:numPr>
        <w:rPr>
          <w:rFonts w:ascii="Arial" w:cs="Arial" w:eastAsia="Arial" w:hAnsi="Arial"/>
          <w:sz w:val="14"/>
          <w:szCs w:val="14"/>
          <w:color w:val="auto"/>
        </w:rPr>
      </w:pPr>
      <w:r>
        <w:rPr>
          <w:rFonts w:ascii="Arial" w:cs="Arial" w:eastAsia="Arial" w:hAnsi="Arial"/>
          <w:sz w:val="14"/>
          <w:szCs w:val="14"/>
          <w:u w:val="single" w:color="auto"/>
          <w:color w:val="auto"/>
        </w:rPr>
        <w:t>No Obligation</w:t>
      </w:r>
      <w:r>
        <w:rPr>
          <w:rFonts w:ascii="Arial" w:cs="Arial" w:eastAsia="Arial" w:hAnsi="Arial"/>
          <w:sz w:val="14"/>
          <w:szCs w:val="14"/>
          <w:color w:val="auto"/>
        </w:rPr>
        <w:t>. For the avoidance of doubt, the description here of these possible arrangements shall not imply any obligation on either Party to enter into any such arrangement.</w:t>
      </w:r>
    </w:p>
    <w:p>
      <w:pPr>
        <w:spacing w:after="0" w:line="37" w:lineRule="exact"/>
        <w:rPr>
          <w:sz w:val="20"/>
          <w:szCs w:val="20"/>
          <w:color w:val="auto"/>
        </w:rPr>
      </w:pPr>
    </w:p>
    <w:p>
      <w:pPr>
        <w:ind w:left="460" w:right="20"/>
        <w:spacing w:after="0" w:line="270" w:lineRule="auto"/>
        <w:rPr>
          <w:sz w:val="20"/>
          <w:szCs w:val="20"/>
          <w:color w:val="auto"/>
        </w:rPr>
      </w:pPr>
      <w:r>
        <w:rPr>
          <w:rFonts w:ascii="Arial" w:cs="Arial" w:eastAsia="Arial" w:hAnsi="Arial"/>
          <w:sz w:val="14"/>
          <w:szCs w:val="14"/>
          <w:color w:val="auto"/>
        </w:rPr>
        <w:t xml:space="preserve">9.5.3. </w:t>
      </w:r>
      <w:r>
        <w:rPr>
          <w:rFonts w:ascii="Arial" w:cs="Arial" w:eastAsia="Arial" w:hAnsi="Arial"/>
          <w:sz w:val="14"/>
          <w:szCs w:val="14"/>
          <w:b w:val="1"/>
          <w:bCs w:val="1"/>
          <w:color w:val="auto"/>
        </w:rPr>
        <w:t>Satisfaction of Obligations During Notice Period</w:t>
      </w:r>
      <w:r>
        <w:rPr>
          <w:rFonts w:ascii="Arial" w:cs="Arial" w:eastAsia="Arial" w:hAnsi="Arial"/>
          <w:sz w:val="14"/>
          <w:szCs w:val="14"/>
          <w:color w:val="auto"/>
        </w:rPr>
        <w:t>. During the period from providing a notice of termination pursuant to Section 9.4 through the termination of the Agreement, the Parties shall continue to perform their obligations under this Agreement.</w:t>
      </w:r>
    </w:p>
    <w:p>
      <w:pPr>
        <w:spacing w:after="0" w:line="35" w:lineRule="exact"/>
        <w:rPr>
          <w:sz w:val="20"/>
          <w:szCs w:val="20"/>
          <w:color w:val="auto"/>
        </w:rPr>
      </w:pPr>
    </w:p>
    <w:p>
      <w:pPr>
        <w:ind w:left="460" w:right="320"/>
        <w:spacing w:after="0" w:line="312" w:lineRule="auto"/>
        <w:rPr>
          <w:sz w:val="20"/>
          <w:szCs w:val="20"/>
          <w:color w:val="auto"/>
        </w:rPr>
      </w:pPr>
      <w:r>
        <w:rPr>
          <w:rFonts w:ascii="Arial" w:cs="Arial" w:eastAsia="Arial" w:hAnsi="Arial"/>
          <w:sz w:val="12"/>
          <w:szCs w:val="12"/>
          <w:color w:val="auto"/>
        </w:rPr>
        <w:t xml:space="preserve">9.5.4. </w:t>
      </w:r>
      <w:r>
        <w:rPr>
          <w:rFonts w:ascii="Arial" w:cs="Arial" w:eastAsia="Arial" w:hAnsi="Arial"/>
          <w:sz w:val="12"/>
          <w:szCs w:val="12"/>
          <w:b w:val="1"/>
          <w:bCs w:val="1"/>
          <w:color w:val="auto"/>
        </w:rPr>
        <w:t>Pending Dispute Resolution</w:t>
      </w:r>
      <w:r>
        <w:rPr>
          <w:rFonts w:ascii="Arial" w:cs="Arial" w:eastAsia="Arial" w:hAnsi="Arial"/>
          <w:sz w:val="12"/>
          <w:szCs w:val="12"/>
          <w:color w:val="auto"/>
        </w:rPr>
        <w:t>. If a Party gives notice of termination under Section 9.3 and the other Party disputes whether such notice was proper, then the issue of whether this Agreement has been terminated shall be resolved in accordance with Section 11.9 and each Party shall continue to perform its obligations hereunder pending the conclusion of such dispute resolution proceeding. If as a result of such dispute resolution process it is determined that the notice of termination was proper, then such termination shall be effective immediately. If as a result of such dispute resolution process it is determined that the notice of termination was improper, then no termination shall have occurred and this Agreement shall remain in effect.</w:t>
      </w:r>
    </w:p>
    <w:p>
      <w:pPr>
        <w:spacing w:after="0" w:line="14" w:lineRule="exact"/>
        <w:rPr>
          <w:sz w:val="20"/>
          <w:szCs w:val="20"/>
          <w:color w:val="auto"/>
        </w:rPr>
      </w:pPr>
    </w:p>
    <w:p>
      <w:pPr>
        <w:spacing w:after="0" w:line="322"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b w:val="1"/>
          <w:bCs w:val="1"/>
          <w:color w:val="auto"/>
        </w:rPr>
        <w:t>Disposition of Inventories of Products</w:t>
      </w:r>
      <w:r>
        <w:rPr>
          <w:rFonts w:ascii="Arial" w:cs="Arial" w:eastAsia="Arial" w:hAnsi="Arial"/>
          <w:sz w:val="12"/>
          <w:szCs w:val="12"/>
          <w:color w:val="auto"/>
        </w:rPr>
        <w:t xml:space="preserve">. Following termination of this Agreement with respect to one or more Agreement T-DARTs, Pfizer, its Affiliates and its Sublicensees shall have the right to continue to sell their existing inventories of Agreement Product(s) incorporating such Agreement T-DART(s) that have received Regulatory Marketing Approval prior to such termination for a period not to exceed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effective date of such termination or expiration and Pfizer shall pay any royalties payable in connection with such sales in accordance with Sections 5.4.4 and 5.5.</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b w:val="1"/>
          <w:bCs w:val="1"/>
          <w:color w:val="auto"/>
        </w:rPr>
        <w:t>Survival of Certain Obligations</w:t>
      </w:r>
      <w:r>
        <w:rPr>
          <w:rFonts w:ascii="Arial" w:cs="Arial" w:eastAsia="Arial" w:hAnsi="Arial"/>
          <w:sz w:val="14"/>
          <w:szCs w:val="14"/>
          <w:color w:val="auto"/>
        </w:rPr>
        <w:t>. Expiration or termination of this Agreement shall not relieve the Parties of any obligation that accrued before such expiration or</w:t>
      </w:r>
    </w:p>
    <w:p>
      <w:pPr>
        <w:spacing w:after="0" w:line="123"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59</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14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7" w:right="219" w:bottom="1440" w:gutter="0" w:footer="0" w:header="0"/>
        </w:sectPr>
      </w:pPr>
    </w:p>
    <w:bookmarkStart w:id="929" w:name="page930"/>
    <w:bookmarkEnd w:id="929"/>
    <w:p>
      <w:pPr>
        <w:ind w:left="456" w:right="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termination. The following provisions shall survive expiration or termination of this Agreement: Sections 1, 2.11, 2.12, 2.13.3, 2.13.4, 2.13.5, 4.3, 5.2.5, 5.6, 5.7, 6.1.1, 6.2.1(e), 7, 8.6, 9.5, 9.6, 9.7, 9.8, 10 and 11.</w:t>
      </w:r>
    </w:p>
    <w:p>
      <w:pPr>
        <w:spacing w:after="0" w:line="37" w:lineRule="exact"/>
        <w:rPr>
          <w:sz w:val="20"/>
          <w:szCs w:val="20"/>
          <w:color w:val="auto"/>
        </w:rPr>
      </w:pPr>
    </w:p>
    <w:p>
      <w:pPr>
        <w:ind w:left="456" w:right="60"/>
        <w:spacing w:after="0" w:line="299"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b w:val="1"/>
          <w:bCs w:val="1"/>
          <w:color w:val="auto"/>
        </w:rPr>
        <w:t>Right to Termination of Research Project(s) or Research Program by Pfizer upon Change of Control of MacroGenics</w:t>
      </w:r>
      <w:r>
        <w:rPr>
          <w:rFonts w:ascii="Arial" w:cs="Arial" w:eastAsia="Arial" w:hAnsi="Arial"/>
          <w:sz w:val="12"/>
          <w:szCs w:val="12"/>
          <w:color w:val="auto"/>
        </w:rPr>
        <w:t>. If a Change of Control of MacroGenics is consummated during the Research Term, Pfizer shall have the right to terminate any Research Project or the Research Program in its entirety, at any time, upon written notice to MacroGenics within 30 days after consummation of such Change of Control of MacroGenics. Such termination of any Research Project or the Research Program (a) shall not constitute termination of this Agreement, (b) shall not affect the Parties’ rights and obligations under this Agreement other than those relating to such Research Project or the Research Program and (c) shall not relieve either Party of any obligation that arose prior to such termination. Following any such termination of any Research Project or the Research Program, as applicable, Pfizer shall have no further funding obligation under Section 2 with respect to such Research Project or the Research Program, as applicable, other than that which may have accrued prior to such termination. For the avoidance of doubt, in the event that Pfizer terminates a Research Project or the Research Program in accordance with this Section 9.8, such termination will not be deemed to be a termination for cause under Section 9.3 or a termination without cause under Section 9.4, and the only effects of such termination are as set forth in this Section 9.8.</w:t>
      </w:r>
    </w:p>
    <w:p>
      <w:pPr>
        <w:spacing w:after="0" w:line="181" w:lineRule="exact"/>
        <w:rPr>
          <w:sz w:val="20"/>
          <w:szCs w:val="20"/>
          <w:color w:val="auto"/>
        </w:rPr>
      </w:pPr>
    </w:p>
    <w:p>
      <w:pPr>
        <w:ind w:left="456" w:hanging="456"/>
        <w:spacing w:after="0"/>
        <w:tabs>
          <w:tab w:leader="none" w:pos="456" w:val="left"/>
        </w:tabs>
        <w:numPr>
          <w:ilvl w:val="0"/>
          <w:numId w:val="1143"/>
        </w:numPr>
        <w:rPr>
          <w:rFonts w:ascii="Arial" w:cs="Arial" w:eastAsia="Arial" w:hAnsi="Arial"/>
          <w:sz w:val="14"/>
          <w:szCs w:val="14"/>
          <w:b w:val="1"/>
          <w:bCs w:val="1"/>
          <w:color w:val="auto"/>
        </w:rPr>
      </w:pPr>
      <w:r>
        <w:rPr>
          <w:rFonts w:ascii="Arial" w:cs="Arial" w:eastAsia="Arial" w:hAnsi="Arial"/>
          <w:sz w:val="14"/>
          <w:szCs w:val="14"/>
          <w:b w:val="1"/>
          <w:bCs w:val="1"/>
          <w:color w:val="auto"/>
        </w:rPr>
        <w:t>LIMITATION ON LIABILITY, INDEMNIFICATION AND INSURANCE.</w:t>
      </w:r>
    </w:p>
    <w:p>
      <w:pPr>
        <w:spacing w:after="0" w:line="68" w:lineRule="exact"/>
        <w:rPr>
          <w:rFonts w:ascii="Arial" w:cs="Arial" w:eastAsia="Arial" w:hAnsi="Arial"/>
          <w:sz w:val="14"/>
          <w:szCs w:val="14"/>
          <w:b w:val="1"/>
          <w:bCs w:val="1"/>
          <w:color w:val="auto"/>
        </w:rPr>
      </w:pPr>
    </w:p>
    <w:p>
      <w:pPr>
        <w:ind w:left="456"/>
        <w:spacing w:after="0" w:line="303" w:lineRule="auto"/>
        <w:rPr>
          <w:rFonts w:ascii="Arial" w:cs="Arial" w:eastAsia="Arial" w:hAnsi="Arial"/>
          <w:sz w:val="14"/>
          <w:szCs w:val="14"/>
          <w:b w:val="1"/>
          <w:bCs w:val="1"/>
          <w:color w:val="auto"/>
        </w:rPr>
      </w:pPr>
      <w:r>
        <w:rPr>
          <w:rFonts w:ascii="Arial" w:cs="Arial" w:eastAsia="Arial" w:hAnsi="Arial"/>
          <w:sz w:val="12"/>
          <w:szCs w:val="12"/>
          <w:color w:val="auto"/>
        </w:rPr>
        <w:t xml:space="preserve">10.1. </w:t>
      </w:r>
      <w:r>
        <w:rPr>
          <w:rFonts w:ascii="Arial" w:cs="Arial" w:eastAsia="Arial" w:hAnsi="Arial"/>
          <w:sz w:val="12"/>
          <w:szCs w:val="12"/>
          <w:b w:val="1"/>
          <w:bCs w:val="1"/>
          <w:color w:val="auto"/>
        </w:rPr>
        <w:t>No Consequential Damages</w:t>
      </w:r>
      <w:r>
        <w:rPr>
          <w:rFonts w:ascii="Arial" w:cs="Arial" w:eastAsia="Arial" w:hAnsi="Arial"/>
          <w:sz w:val="12"/>
          <w:szCs w:val="12"/>
          <w:color w:val="auto"/>
        </w:rPr>
        <w:t>. Except with respect to liability arising from a breach of Section 7, or to the extent such Party may be required to indemnify the other Party under this Section 10, in no event will either Party, its Affiliates, its Sublicensees or any of its, its Affiliates’ or its Sublicensees’ respective Representatives be liable under this Agreement for any special, indirect, incidental, consequential or punitive damages, whether in contract, warranty, tort, negligence, strict liability or otherwise, including loss of profits or revenue suffered by either Party or any of its respective Affiliates, agents or representatives. Without limiting the generality of the foregoing, “consequential damages” will be deemed to include, and neither Party will be liable to the other Party or any of such other Party’s Affiliates, Representatives or stockholders for any damages based on or measured by loss of projected or speculative future sales of the Agreement Products, any Milestone Payment due upon any unachieved event under Section 5.2, any unearned royalties under Section 5.4 or any other unearned, speculative or otherwise contingent payments provided for in this Agreement.</w:t>
      </w:r>
    </w:p>
    <w:p>
      <w:pPr>
        <w:spacing w:after="0" w:line="7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60</w:t>
      </w:r>
    </w:p>
    <w:p>
      <w:pPr>
        <w:spacing w:after="0" w:line="12" w:lineRule="exact"/>
        <w:rPr>
          <w:sz w:val="20"/>
          <w:szCs w:val="20"/>
          <w:color w:val="auto"/>
        </w:rPr>
      </w:pPr>
    </w:p>
    <w:p>
      <w:pPr>
        <w:ind w:left="3836" w:right="2680" w:hanging="1135"/>
        <w:spacing w:after="0" w:line="341" w:lineRule="auto"/>
        <w:tabs>
          <w:tab w:leader="none" w:pos="2940" w:val="left"/>
        </w:tabs>
        <w:numPr>
          <w:ilvl w:val="0"/>
          <w:numId w:val="114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36"/>
          </w:cols>
          <w:pgMar w:left="224" w:top="247" w:right="239" w:bottom="1440" w:gutter="0" w:footer="0" w:header="0"/>
        </w:sectPr>
      </w:pPr>
    </w:p>
    <w:bookmarkStart w:id="930" w:name="page931"/>
    <w:bookmarkEnd w:id="930"/>
    <w:p>
      <w:pPr>
        <w:ind w:right="20"/>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 xml:space="preserve">10.2. </w:t>
      </w:r>
      <w:r>
        <w:rPr>
          <w:rFonts w:ascii="Arial" w:cs="Arial" w:eastAsia="Arial" w:hAnsi="Arial"/>
          <w:sz w:val="14"/>
          <w:szCs w:val="14"/>
          <w:b w:val="1"/>
          <w:bCs w:val="1"/>
          <w:color w:val="auto"/>
        </w:rPr>
        <w:t>Indemnification by Pfizer</w:t>
      </w:r>
      <w:r>
        <w:rPr>
          <w:rFonts w:ascii="Arial" w:cs="Arial" w:eastAsia="Arial" w:hAnsi="Arial"/>
          <w:sz w:val="14"/>
          <w:szCs w:val="14"/>
          <w:color w:val="auto"/>
        </w:rPr>
        <w:t>. Pfizer will indemnify, defend and hold harmless MacroGenics, each of its Affiliates, and each of its and its Affiliates’ employees, officers, directors and agents (each, a “</w:t>
      </w:r>
      <w:r>
        <w:rPr>
          <w:rFonts w:ascii="Arial" w:cs="Arial" w:eastAsia="Arial" w:hAnsi="Arial"/>
          <w:sz w:val="14"/>
          <w:szCs w:val="14"/>
          <w:b w:val="1"/>
          <w:bCs w:val="1"/>
          <w:color w:val="auto"/>
        </w:rPr>
        <w:t>MacroGenics Indemnified Party</w:t>
      </w:r>
      <w:r>
        <w:rPr>
          <w:rFonts w:ascii="Arial" w:cs="Arial" w:eastAsia="Arial" w:hAnsi="Arial"/>
          <w:sz w:val="14"/>
          <w:szCs w:val="14"/>
          <w:color w:val="auto"/>
        </w:rPr>
        <w:t>”) from and against any and all liability, loss, damage, expense (including reasonable attorneys’ fees and expenses) and cost (collectively, a “</w:t>
      </w:r>
      <w:r>
        <w:rPr>
          <w:rFonts w:ascii="Arial" w:cs="Arial" w:eastAsia="Arial" w:hAnsi="Arial"/>
          <w:sz w:val="14"/>
          <w:szCs w:val="14"/>
          <w:b w:val="1"/>
          <w:bCs w:val="1"/>
          <w:color w:val="auto"/>
        </w:rPr>
        <w:t>Liability</w:t>
      </w:r>
      <w:r>
        <w:rPr>
          <w:rFonts w:ascii="Arial" w:cs="Arial" w:eastAsia="Arial" w:hAnsi="Arial"/>
          <w:sz w:val="14"/>
          <w:szCs w:val="14"/>
          <w:color w:val="auto"/>
        </w:rPr>
        <w:t>”) that the MacroGenics Indemnified Party may be required to pay to one or more Third Parties resulting from or arising out of:</w:t>
      </w:r>
    </w:p>
    <w:p>
      <w:pPr>
        <w:spacing w:after="0" w:line="45" w:lineRule="exact"/>
        <w:rPr>
          <w:sz w:val="20"/>
          <w:szCs w:val="20"/>
          <w:color w:val="auto"/>
        </w:rPr>
      </w:pPr>
    </w:p>
    <w:p>
      <w:pPr>
        <w:ind w:left="460" w:right="480"/>
        <w:spacing w:after="0" w:line="267" w:lineRule="auto"/>
        <w:rPr>
          <w:sz w:val="20"/>
          <w:szCs w:val="20"/>
          <w:color w:val="auto"/>
        </w:rPr>
      </w:pPr>
      <w:r>
        <w:rPr>
          <w:rFonts w:ascii="Arial" w:cs="Arial" w:eastAsia="Arial" w:hAnsi="Arial"/>
          <w:sz w:val="14"/>
          <w:szCs w:val="14"/>
          <w:color w:val="auto"/>
        </w:rPr>
        <w:t>10.2.1. the Development, Manufacture, Commercialization or use of any Agreement T-DART or Agreement Product by, on behalf of, or under the authority of, Pfizer (other than by any MacroGenics Indemnified Party), other than claims for which MacroGenics is required to indemnify Pfizer pursuant to Section 10.3; or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10.2.2. the material breach by Pfizer of any of its representations, warranties or covenants set forth in Section 2.13.1, 8.1 or 8.3;</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except, in each case, to the extent caused by the negligence, recklessness or intentional acts of MacroGenics or any MacroGenics Indemnified Party.</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10.3. Indemnification by MacroGenics. MacroGenics will indemnify, defend and hold harmless Pfizer, its Affiliates, Sublicensees, contractors, distributors and each of its and their respective employees, officers, directors and agents (each, a “</w:t>
      </w:r>
      <w:r>
        <w:rPr>
          <w:rFonts w:ascii="Arial" w:cs="Arial" w:eastAsia="Arial" w:hAnsi="Arial"/>
          <w:sz w:val="14"/>
          <w:szCs w:val="14"/>
          <w:b w:val="1"/>
          <w:bCs w:val="1"/>
          <w:color w:val="auto"/>
        </w:rPr>
        <w:t>Pfizer Indemnified Party</w:t>
      </w:r>
      <w:r>
        <w:rPr>
          <w:rFonts w:ascii="Arial" w:cs="Arial" w:eastAsia="Arial" w:hAnsi="Arial"/>
          <w:sz w:val="14"/>
          <w:szCs w:val="14"/>
          <w:color w:val="auto"/>
        </w:rPr>
        <w:t>”) from and against any and all Liabilities that the Pfizer Indemnified Party may be required to pay to one or more Third Parties resulting from or arising out of the material breach by MacroGenics of any of its representations, warranties or covenants set forth in Section 8.1 or 8.2, except to the extent caused by the negligence, recklessness or intentional acts of Pfizer or any Pfizer Indemnified Party.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Procedure</w:t>
      </w:r>
      <w:r>
        <w:rPr>
          <w:rFonts w:ascii="Arial" w:cs="Arial" w:eastAsia="Arial" w:hAnsi="Arial"/>
          <w:sz w:val="14"/>
          <w:szCs w:val="14"/>
          <w:color w:val="auto"/>
        </w:rPr>
        <w:t>.</w:t>
      </w:r>
    </w:p>
    <w:p>
      <w:pPr>
        <w:spacing w:after="0" w:line="69" w:lineRule="exact"/>
        <w:rPr>
          <w:sz w:val="20"/>
          <w:szCs w:val="20"/>
          <w:color w:val="auto"/>
        </w:rPr>
      </w:pPr>
    </w:p>
    <w:p>
      <w:pPr>
        <w:ind w:left="460"/>
        <w:spacing w:after="0" w:line="254" w:lineRule="auto"/>
        <w:rPr>
          <w:sz w:val="20"/>
          <w:szCs w:val="20"/>
          <w:color w:val="auto"/>
        </w:rPr>
      </w:pPr>
      <w:r>
        <w:rPr>
          <w:rFonts w:ascii="Arial" w:cs="Arial" w:eastAsia="Arial" w:hAnsi="Arial"/>
          <w:sz w:val="14"/>
          <w:szCs w:val="14"/>
          <w:color w:val="auto"/>
        </w:rPr>
        <w:t xml:space="preserve">10.4.1. </w:t>
      </w:r>
      <w:r>
        <w:rPr>
          <w:rFonts w:ascii="Arial" w:cs="Arial" w:eastAsia="Arial" w:hAnsi="Arial"/>
          <w:sz w:val="14"/>
          <w:szCs w:val="14"/>
          <w:b w:val="1"/>
          <w:bCs w:val="1"/>
          <w:color w:val="auto"/>
        </w:rPr>
        <w:t>Notice</w:t>
      </w:r>
      <w:r>
        <w:rPr>
          <w:rFonts w:ascii="Arial" w:cs="Arial" w:eastAsia="Arial" w:hAnsi="Arial"/>
          <w:sz w:val="14"/>
          <w:szCs w:val="14"/>
          <w:color w:val="auto"/>
        </w:rPr>
        <w:t>. Each Party will notify the other Party in writing in the event it becomes aware of a claim for which indemnification may be sought hereunder. In the event that any Third Party asserts a claim or other proceeding (including any governmental investigation) with respect to any matter for which a Party (the “</w:t>
      </w:r>
      <w:r>
        <w:rPr>
          <w:rFonts w:ascii="Arial" w:cs="Arial" w:eastAsia="Arial" w:hAnsi="Arial"/>
          <w:sz w:val="14"/>
          <w:szCs w:val="14"/>
          <w:b w:val="1"/>
          <w:bCs w:val="1"/>
          <w:color w:val="auto"/>
        </w:rPr>
        <w:t>Indemnified Party</w:t>
      </w:r>
      <w:r>
        <w:rPr>
          <w:rFonts w:ascii="Arial" w:cs="Arial" w:eastAsia="Arial" w:hAnsi="Arial"/>
          <w:sz w:val="14"/>
          <w:szCs w:val="14"/>
          <w:color w:val="auto"/>
        </w:rPr>
        <w:t>”) is entitled to indemnification hereunder (a “</w:t>
      </w:r>
      <w:r>
        <w:rPr>
          <w:rFonts w:ascii="Arial" w:cs="Arial" w:eastAsia="Arial" w:hAnsi="Arial"/>
          <w:sz w:val="14"/>
          <w:szCs w:val="14"/>
          <w:b w:val="1"/>
          <w:bCs w:val="1"/>
          <w:color w:val="auto"/>
        </w:rPr>
        <w:t>Third Party Claim</w:t>
      </w:r>
      <w:r>
        <w:rPr>
          <w:rFonts w:ascii="Arial" w:cs="Arial" w:eastAsia="Arial" w:hAnsi="Arial"/>
          <w:sz w:val="14"/>
          <w:szCs w:val="14"/>
          <w:color w:val="auto"/>
        </w:rPr>
        <w:t>”), then the Indemnified Party shall promptly notify the Party obligated to indemnify the Indemnified Party (the “</w:t>
      </w:r>
      <w:r>
        <w:rPr>
          <w:rFonts w:ascii="Arial" w:cs="Arial" w:eastAsia="Arial" w:hAnsi="Arial"/>
          <w:sz w:val="14"/>
          <w:szCs w:val="14"/>
          <w:b w:val="1"/>
          <w:bCs w:val="1"/>
          <w:color w:val="auto"/>
        </w:rPr>
        <w:t>Indemnifying Party</w:t>
      </w:r>
      <w:r>
        <w:rPr>
          <w:rFonts w:ascii="Arial" w:cs="Arial" w:eastAsia="Arial" w:hAnsi="Arial"/>
          <w:sz w:val="14"/>
          <w:szCs w:val="14"/>
          <w:color w:val="auto"/>
        </w:rPr>
        <w:t>”) thereof; provided, however, that no delay on the part of the Indemnified Party in notifying the Indemnifying Party shall relieve the Indemnifying Party from any obligation hereunder unless (and then only to the extent that) the Indemnifying Party is prejudiced thereby.</w:t>
      </w:r>
    </w:p>
    <w:p>
      <w:pPr>
        <w:spacing w:after="0" w:line="47" w:lineRule="exact"/>
        <w:rPr>
          <w:sz w:val="20"/>
          <w:szCs w:val="20"/>
          <w:color w:val="auto"/>
        </w:rPr>
      </w:pPr>
    </w:p>
    <w:p>
      <w:pPr>
        <w:ind w:left="460" w:right="40"/>
        <w:spacing w:after="0" w:line="306" w:lineRule="auto"/>
        <w:rPr>
          <w:sz w:val="20"/>
          <w:szCs w:val="20"/>
          <w:color w:val="auto"/>
        </w:rPr>
      </w:pPr>
      <w:r>
        <w:rPr>
          <w:rFonts w:ascii="Arial" w:cs="Arial" w:eastAsia="Arial" w:hAnsi="Arial"/>
          <w:sz w:val="12"/>
          <w:szCs w:val="12"/>
          <w:color w:val="auto"/>
        </w:rPr>
        <w:t xml:space="preserve">10.4.2. </w:t>
      </w:r>
      <w:r>
        <w:rPr>
          <w:rFonts w:ascii="Arial" w:cs="Arial" w:eastAsia="Arial" w:hAnsi="Arial"/>
          <w:sz w:val="12"/>
          <w:szCs w:val="12"/>
          <w:b w:val="1"/>
          <w:bCs w:val="1"/>
          <w:color w:val="auto"/>
        </w:rPr>
        <w:t>Control</w:t>
      </w:r>
      <w:r>
        <w:rPr>
          <w:rFonts w:ascii="Arial" w:cs="Arial" w:eastAsia="Arial" w:hAnsi="Arial"/>
          <w:sz w:val="12"/>
          <w:szCs w:val="12"/>
          <w:color w:val="auto"/>
        </w:rPr>
        <w:t xml:space="preserve">. Subject to Pfizer’s right to control any actions described in Sections 6.2 (even where MacroGenics is the Indemnifying Party), the Indemnifying Party shall have the right, exercisable by notice to the Indemnified Party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provided that (a) the Indemnifying Party has sufficient financial resources, in the reasonable judgment of the Indemnified Party, to satisfy the amount of any adverse monetary judgment that is sought, and</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61</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14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5" w:right="239" w:bottom="1440" w:gutter="0" w:footer="0" w:header="0"/>
        </w:sectPr>
      </w:pPr>
    </w:p>
    <w:bookmarkStart w:id="931" w:name="page932"/>
    <w:bookmarkEnd w:id="931"/>
    <w:p>
      <w:pPr>
        <w:spacing w:after="0" w:line="295" w:lineRule="auto"/>
        <w:tabs>
          <w:tab w:leader="none" w:pos="192" w:val="left"/>
        </w:tabs>
        <w:numPr>
          <w:ilvl w:val="0"/>
          <w:numId w:val="114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the Indemnifying Party expressly agrees in writing that as between the Indemnifying Party and the Indemnified Party, the Indemnifying Party shall be solely obligated to satisfy and discharge the Third Party Claim in full (the conditions set forth in clauses (a) and (b) above are collectively referred to as the “</w:t>
      </w:r>
      <w:r>
        <w:rPr>
          <w:rFonts w:ascii="Arial" w:cs="Arial" w:eastAsia="Arial" w:hAnsi="Arial"/>
          <w:sz w:val="12"/>
          <w:szCs w:val="12"/>
          <w:b w:val="1"/>
          <w:bCs w:val="1"/>
          <w:color w:val="auto"/>
        </w:rPr>
        <w:t>Litigation Conditions</w:t>
      </w:r>
      <w:r>
        <w:rPr>
          <w:rFonts w:ascii="Arial" w:cs="Arial" w:eastAsia="Arial" w:hAnsi="Arial"/>
          <w:sz w:val="12"/>
          <w:szCs w:val="12"/>
          <w:color w:val="auto"/>
        </w:rPr>
        <w:t xml:space="preserve">”). Within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the Indemnifying Party has given notice to the Indemnified Party of its exercise of its right to defend a Third Party Claim, the Indemnified Party shall give notice to the Indemnifying Party of any objection thereto based upon the Litigation Conditions. If the Indemnified Party reasonably so objects, the Indemnified Party shall continue to defend the Third Party Claim, at the expense of the Indemnifying Party, until such time as such objection is withdrawn. If no such notice is given, or if any such objection is withdrawn, the Indemnifying Party shall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shall cooperate, and shall cause its Affiliates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ten </w:t>
      </w:r>
      <w:r>
        <w:rPr>
          <w:rFonts w:ascii="Arial" w:cs="Arial" w:eastAsia="Arial" w:hAnsi="Arial"/>
          <w:sz w:val="12"/>
          <w:szCs w:val="12"/>
          <w:b w:val="1"/>
          <w:bCs w:val="1"/>
          <w:color w:val="auto"/>
        </w:rPr>
        <w:t>***</w:t>
      </w:r>
      <w:r>
        <w:rPr>
          <w:rFonts w:ascii="Arial" w:cs="Arial" w:eastAsia="Arial" w:hAnsi="Arial"/>
          <w:sz w:val="12"/>
          <w:szCs w:val="12"/>
          <w:color w:val="auto"/>
        </w:rPr>
        <w:t xml:space="preserve"> after notice thereof, the 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29" w:lineRule="exact"/>
        <w:rPr>
          <w:sz w:val="20"/>
          <w:szCs w:val="20"/>
          <w:color w:val="auto"/>
        </w:rPr>
      </w:pPr>
    </w:p>
    <w:p>
      <w:pPr>
        <w:ind w:right="80"/>
        <w:spacing w:after="0" w:line="303" w:lineRule="auto"/>
        <w:rPr>
          <w:sz w:val="20"/>
          <w:szCs w:val="20"/>
          <w:color w:val="auto"/>
        </w:rPr>
      </w:pPr>
      <w:r>
        <w:rPr>
          <w:rFonts w:ascii="Arial" w:cs="Arial" w:eastAsia="Arial" w:hAnsi="Arial"/>
          <w:sz w:val="12"/>
          <w:szCs w:val="12"/>
          <w:color w:val="auto"/>
        </w:rPr>
        <w:t xml:space="preserve">10.4.3. </w:t>
      </w:r>
      <w:r>
        <w:rPr>
          <w:rFonts w:ascii="Arial" w:cs="Arial" w:eastAsia="Arial" w:hAnsi="Arial"/>
          <w:sz w:val="12"/>
          <w:szCs w:val="12"/>
          <w:b w:val="1"/>
          <w:bCs w:val="1"/>
          <w:color w:val="auto"/>
        </w:rPr>
        <w:t>Settlement</w:t>
      </w:r>
      <w:r>
        <w:rPr>
          <w:rFonts w:ascii="Arial" w:cs="Arial" w:eastAsia="Arial" w:hAnsi="Arial"/>
          <w:sz w:val="12"/>
          <w:szCs w:val="12"/>
          <w:color w:val="auto"/>
        </w:rPr>
        <w:t>. The Indemnifying Party shall not, without the prior written consent of the Indemnified Party, enter into any compromise or settlement that commits the Indemnified Party to take, or to forbear to take, any action or declare that any Patent Right or Know-How is invalid or not properly owned or licensed by the Indemnified Party. The Indemnified Party shall have the sole and exclusive right to settle any Third Party Claim, on such terms and conditions as it deems reasonably appropriate, to the extent such Third Party Claim involves equitable or other non-monetary relief, but shall not have the right to settle such Third Party Claim to the extent such Third Party Claim involves monetary damages without the prior written consent of the Indemnifying Party.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75"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62</w:t>
      </w:r>
    </w:p>
    <w:p>
      <w:pPr>
        <w:spacing w:after="0" w:line="12" w:lineRule="exact"/>
        <w:rPr>
          <w:sz w:val="20"/>
          <w:szCs w:val="20"/>
          <w:color w:val="auto"/>
        </w:rPr>
      </w:pPr>
    </w:p>
    <w:p>
      <w:pPr>
        <w:ind w:left="2920" w:right="2700" w:hanging="1135"/>
        <w:spacing w:after="0" w:line="341" w:lineRule="auto"/>
        <w:tabs>
          <w:tab w:leader="none" w:pos="2024" w:val="left"/>
        </w:tabs>
        <w:numPr>
          <w:ilvl w:val="0"/>
          <w:numId w:val="114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540"/>
          </w:cols>
          <w:pgMar w:left="1140" w:top="247" w:right="219" w:bottom="1440" w:gutter="0" w:footer="0" w:header="0"/>
        </w:sectPr>
      </w:pPr>
    </w:p>
    <w:bookmarkStart w:id="932" w:name="page933"/>
    <w:bookmarkEnd w:id="932"/>
    <w:p>
      <w:pPr>
        <w:ind w:left="456" w:right="40"/>
        <w:spacing w:after="0" w:line="32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10.5. </w:t>
      </w:r>
      <w:r>
        <w:rPr>
          <w:rFonts w:ascii="Arial" w:cs="Arial" w:eastAsia="Arial" w:hAnsi="Arial"/>
          <w:sz w:val="12"/>
          <w:szCs w:val="12"/>
          <w:b w:val="1"/>
          <w:bCs w:val="1"/>
          <w:color w:val="auto"/>
        </w:rPr>
        <w:t>Insurance</w:t>
      </w:r>
      <w:r>
        <w:rPr>
          <w:rFonts w:ascii="Arial" w:cs="Arial" w:eastAsia="Arial" w:hAnsi="Arial"/>
          <w:sz w:val="12"/>
          <w:szCs w:val="12"/>
          <w:color w:val="auto"/>
        </w:rPr>
        <w:t xml:space="preserve">. Each Party shall obtain and maintain, during the Term, commercial general liability insurance, including products liability insurance, with reputable and financially secure insurance carriers (or pursuant to a program of self-insurance reasonably satisfactory to the other Party) to cover its indemnification obligations under Section 10.2 or Section 10.3, as applicable, in each case with limits of not less than </w:t>
      </w:r>
      <w:r>
        <w:rPr>
          <w:rFonts w:ascii="Arial" w:cs="Arial" w:eastAsia="Arial" w:hAnsi="Arial"/>
          <w:sz w:val="12"/>
          <w:szCs w:val="12"/>
          <w:b w:val="1"/>
          <w:bCs w:val="1"/>
          <w:color w:val="auto"/>
        </w:rPr>
        <w:t>***</w:t>
      </w:r>
      <w:r>
        <w:rPr>
          <w:rFonts w:ascii="Arial" w:cs="Arial" w:eastAsia="Arial" w:hAnsi="Arial"/>
          <w:sz w:val="12"/>
          <w:szCs w:val="12"/>
          <w:color w:val="auto"/>
        </w:rPr>
        <w:t xml:space="preserve"> and in the aggregate. Insurance shall be procured with carriers having an A.M. Best Rating of A-VII or better. The provisions of this Section 10.5 will survive for </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65" w:lineRule="exact"/>
        <w:rPr>
          <w:sz w:val="20"/>
          <w:szCs w:val="20"/>
          <w:color w:val="auto"/>
        </w:rPr>
      </w:pPr>
    </w:p>
    <w:p>
      <w:pPr>
        <w:ind w:left="456" w:hanging="456"/>
        <w:spacing w:after="0"/>
        <w:tabs>
          <w:tab w:leader="none" w:pos="456" w:val="left"/>
        </w:tabs>
        <w:numPr>
          <w:ilvl w:val="0"/>
          <w:numId w:val="1148"/>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68" w:lineRule="exact"/>
        <w:rPr>
          <w:rFonts w:ascii="Arial" w:cs="Arial" w:eastAsia="Arial" w:hAnsi="Arial"/>
          <w:sz w:val="14"/>
          <w:szCs w:val="14"/>
          <w:b w:val="1"/>
          <w:bCs w:val="1"/>
          <w:color w:val="auto"/>
        </w:rPr>
      </w:pPr>
    </w:p>
    <w:p>
      <w:pPr>
        <w:ind w:left="456"/>
        <w:spacing w:after="0" w:line="299" w:lineRule="auto"/>
        <w:rPr>
          <w:rFonts w:ascii="Arial" w:cs="Arial" w:eastAsia="Arial" w:hAnsi="Arial"/>
          <w:sz w:val="14"/>
          <w:szCs w:val="14"/>
          <w:b w:val="1"/>
          <w:bCs w:val="1"/>
          <w:color w:val="auto"/>
        </w:rPr>
      </w:pPr>
      <w:r>
        <w:rPr>
          <w:rFonts w:ascii="Arial" w:cs="Arial" w:eastAsia="Arial" w:hAnsi="Arial"/>
          <w:sz w:val="12"/>
          <w:szCs w:val="12"/>
          <w:color w:val="auto"/>
        </w:rPr>
        <w:t xml:space="preserve">11.1. </w:t>
      </w:r>
      <w:r>
        <w:rPr>
          <w:rFonts w:ascii="Arial" w:cs="Arial" w:eastAsia="Arial" w:hAnsi="Arial"/>
          <w:sz w:val="12"/>
          <w:szCs w:val="12"/>
          <w:b w:val="1"/>
          <w:bCs w:val="1"/>
          <w:color w:val="auto"/>
        </w:rPr>
        <w:t>Assignment</w:t>
      </w:r>
      <w:r>
        <w:rPr>
          <w:rFonts w:ascii="Arial" w:cs="Arial" w:eastAsia="Arial" w:hAnsi="Arial"/>
          <w:sz w:val="12"/>
          <w:szCs w:val="12"/>
          <w:color w:val="auto"/>
        </w:rPr>
        <w:t>. MacroGenics may not assign this Agreement or any interest hereunder without the prior written consent of Pfizer, which consent will not be unreasonably withheld or delayed. Pfizer may not assign this Agreement or any interest hereunder without the prior written consent of MacroGenics, which consent will not be unreasonably withheld or delayed. Notwithstanding the foregoing, this Agreement may be assigned as follows: (a) either Party may assign its rights and obligations under this Agreement by way of sale of itself or the sale of the portion of its business to which this Agreement relates, through merger, sale of assets or sale of stock or ownership interest, provided that the assignee shall expressly agree to be bound by such Party’s obligations under this Agreement and that such sale is not primarily for the benefit of its creditors and (b) either Party may assign its rights and obligations under this Agreement to any of its Affiliates, provided that the assignee shall expressly agree to be bound by such Party’s obligations under this Agreement and that such Party shall remain liable for all of its rights and obligations under this Agreement.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11.1 shall be void.</w:t>
      </w:r>
    </w:p>
    <w:p>
      <w:pPr>
        <w:spacing w:after="0" w:line="24" w:lineRule="exact"/>
        <w:rPr>
          <w:rFonts w:ascii="Arial" w:cs="Arial" w:eastAsia="Arial" w:hAnsi="Arial"/>
          <w:sz w:val="14"/>
          <w:szCs w:val="14"/>
          <w:b w:val="1"/>
          <w:bCs w:val="1"/>
          <w:color w:val="auto"/>
        </w:rPr>
      </w:pPr>
    </w:p>
    <w:p>
      <w:pPr>
        <w:ind w:left="456" w:right="460"/>
        <w:spacing w:after="0" w:line="270" w:lineRule="auto"/>
        <w:rPr>
          <w:rFonts w:ascii="Arial" w:cs="Arial" w:eastAsia="Arial" w:hAnsi="Arial"/>
          <w:sz w:val="14"/>
          <w:szCs w:val="14"/>
          <w:b w:val="1"/>
          <w:bCs w:val="1"/>
          <w:color w:val="auto"/>
        </w:rPr>
      </w:pPr>
      <w:r>
        <w:rPr>
          <w:rFonts w:ascii="Arial" w:cs="Arial" w:eastAsia="Arial" w:hAnsi="Arial"/>
          <w:sz w:val="14"/>
          <w:szCs w:val="14"/>
          <w:color w:val="auto"/>
        </w:rPr>
        <w:t xml:space="preserve">11.2. </w:t>
      </w:r>
      <w:r>
        <w:rPr>
          <w:rFonts w:ascii="Arial" w:cs="Arial" w:eastAsia="Arial" w:hAnsi="Arial"/>
          <w:sz w:val="14"/>
          <w:szCs w:val="14"/>
          <w:b w:val="1"/>
          <w:bCs w:val="1"/>
          <w:color w:val="auto"/>
        </w:rPr>
        <w:t>Further Actions</w:t>
      </w:r>
      <w:r>
        <w:rPr>
          <w:rFonts w:ascii="Arial" w:cs="Arial" w:eastAsia="Arial" w:hAnsi="Arial"/>
          <w:sz w:val="14"/>
          <w:szCs w:val="14"/>
          <w:color w:val="auto"/>
        </w:rPr>
        <w:t>. Each Party agrees to execute, acknowledge and deliver such further instruments, and to do all such other acts, as may be necessary or appropriate in order to carry out the purposes and intent of the Agreement.</w:t>
      </w:r>
    </w:p>
    <w:p>
      <w:pPr>
        <w:spacing w:after="0" w:line="34" w:lineRule="exact"/>
        <w:rPr>
          <w:rFonts w:ascii="Arial" w:cs="Arial" w:eastAsia="Arial" w:hAnsi="Arial"/>
          <w:sz w:val="14"/>
          <w:szCs w:val="14"/>
          <w:b w:val="1"/>
          <w:bCs w:val="1"/>
          <w:color w:val="auto"/>
        </w:rPr>
      </w:pPr>
    </w:p>
    <w:p>
      <w:pPr>
        <w:ind w:left="456" w:right="140"/>
        <w:spacing w:after="0" w:line="306" w:lineRule="auto"/>
        <w:rPr>
          <w:rFonts w:ascii="Arial" w:cs="Arial" w:eastAsia="Arial" w:hAnsi="Arial"/>
          <w:sz w:val="14"/>
          <w:szCs w:val="14"/>
          <w:b w:val="1"/>
          <w:bCs w:val="1"/>
          <w:color w:val="auto"/>
        </w:rPr>
      </w:pPr>
      <w:r>
        <w:rPr>
          <w:rFonts w:ascii="Arial" w:cs="Arial" w:eastAsia="Arial" w:hAnsi="Arial"/>
          <w:sz w:val="12"/>
          <w:szCs w:val="12"/>
          <w:color w:val="auto"/>
        </w:rPr>
        <w:t xml:space="preserve">11.3. </w:t>
      </w:r>
      <w:r>
        <w:rPr>
          <w:rFonts w:ascii="Arial" w:cs="Arial" w:eastAsia="Arial" w:hAnsi="Arial"/>
          <w:sz w:val="12"/>
          <w:szCs w:val="12"/>
          <w:b w:val="1"/>
          <w:bCs w:val="1"/>
          <w:color w:val="auto"/>
        </w:rPr>
        <w:t>Force Majeure</w:t>
      </w:r>
      <w:r>
        <w:rPr>
          <w:rFonts w:ascii="Arial" w:cs="Arial" w:eastAsia="Arial" w:hAnsi="Arial"/>
          <w:sz w:val="12"/>
          <w:szCs w:val="12"/>
          <w:color w:val="auto"/>
        </w:rPr>
        <w:t>. Each Party shall be excused from the performance of its obligations under this Agreement to the extent that such performance is prevented by force majeure (defined below) and the nonperforming Party promptly provides notice of the prevention to the other Party. Such excuse shall be continued so long as the condition constituting force majeure continues and the nonperforming Party takes Commercially Reasonable Efforts to remove the condition. For purposes of this Agreement, “force majeure” shall include conditions beyond the control of the Parties, including an act of God, voluntary or involuntary compliance with any regulation, Law or order of any government, war, act of terror, civil commotion, labor strike or lock-out, epidemic, failure or default of public utilities or common carriers, destruction of production facilities or materials by fire, earthquake, storm or like catastrophe.</w:t>
      </w:r>
    </w:p>
    <w:p>
      <w:pPr>
        <w:spacing w:after="0" w:line="73"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63</w:t>
      </w:r>
    </w:p>
    <w:p>
      <w:pPr>
        <w:spacing w:after="0" w:line="12" w:lineRule="exact"/>
        <w:rPr>
          <w:sz w:val="20"/>
          <w:szCs w:val="20"/>
          <w:color w:val="auto"/>
        </w:rPr>
      </w:pPr>
    </w:p>
    <w:p>
      <w:pPr>
        <w:ind w:left="3836" w:right="2680" w:hanging="1135"/>
        <w:spacing w:after="0" w:line="341" w:lineRule="auto"/>
        <w:tabs>
          <w:tab w:leader="none" w:pos="2940" w:val="left"/>
        </w:tabs>
        <w:numPr>
          <w:ilvl w:val="0"/>
          <w:numId w:val="114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36"/>
          </w:cols>
          <w:pgMar w:left="224" w:top="245" w:right="239" w:bottom="1440" w:gutter="0" w:footer="0" w:header="0"/>
        </w:sectPr>
      </w:pPr>
    </w:p>
    <w:bookmarkStart w:id="933" w:name="page934"/>
    <w:bookmarkEnd w:id="933"/>
    <w:p>
      <w:pPr>
        <w:spacing w:after="0" w:line="30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11.4. </w:t>
      </w:r>
      <w:r>
        <w:rPr>
          <w:rFonts w:ascii="Arial" w:cs="Arial" w:eastAsia="Arial" w:hAnsi="Arial"/>
          <w:sz w:val="12"/>
          <w:szCs w:val="12"/>
          <w:b w:val="1"/>
          <w:bCs w:val="1"/>
          <w:color w:val="auto"/>
        </w:rPr>
        <w:t>Notices</w:t>
      </w:r>
      <w:r>
        <w:rPr>
          <w:rFonts w:ascii="Arial" w:cs="Arial" w:eastAsia="Arial" w:hAnsi="Arial"/>
          <w:sz w:val="12"/>
          <w:szCs w:val="12"/>
          <w:color w:val="auto"/>
        </w:rPr>
        <w:t>. Any notice or notification required or permitted to be provided pursuant to the terms and conditions of this Agreement (including any notice of force majeure, breach, termination, change of address, etc.) shall be in writing and shall be deemed given upon receipt if delivered personally or by facsimile transmission (receipt verified), five (5) days after deposited in the mail if mailed by registered or certified mail (return receipt requested) postage prepaid, or on the next Business Day if sent by overnight delivery using a nationally recognized express courier service and specifying next Business Day delivery (receipt verified), to the Parties at the following addresses or facsimile numbers (or at such other address or facsimile number for a Party as shall be specified by like notice, provided, however, that notices of a change of address shall be effective only upon receipt thereof):</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All correspondence to Pfizer shall be addressed as follows:</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Pfizer Worldwide Research &amp; Development</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235 East 42</w:t>
      </w:r>
      <w:r>
        <w:rPr>
          <w:rFonts w:ascii="Arial" w:cs="Arial" w:eastAsia="Arial" w:hAnsi="Arial"/>
          <w:sz w:val="8"/>
          <w:szCs w:val="8"/>
          <w:color w:val="auto"/>
        </w:rPr>
        <w:t>nd</w:t>
      </w:r>
      <w:r>
        <w:rPr>
          <w:rFonts w:ascii="Arial" w:cs="Arial" w:eastAsia="Arial" w:hAnsi="Arial"/>
          <w:sz w:val="14"/>
          <w:szCs w:val="14"/>
          <w:color w:val="auto"/>
        </w:rPr>
        <w:t xml:space="preserve"> Street</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New York, NY 10017</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Pfizer Inc.</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445 Eastern Point Road, MS 8200-30</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Groton, CT</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All correspondence to MacroGenics shall be addressed as follows:</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MacroGenics, Inc.</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1500 East Gude Drive Rockville, MD 20850</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Facsimile: ***</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6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Wilmer Cutler Pickering Hale and Dorr LLP</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399 Park Avenue</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New York, NY 10022</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Attention: </w:t>
      </w:r>
      <w:r>
        <w:rPr>
          <w:rFonts w:ascii="Arial" w:cs="Arial" w:eastAsia="Arial" w:hAnsi="Arial"/>
          <w:sz w:val="14"/>
          <w:szCs w:val="14"/>
          <w:b w:val="1"/>
          <w:bCs w:val="1"/>
          <w:color w:val="auto"/>
        </w:rPr>
        <w:t>***</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Facsimile: ***</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64</w:t>
      </w:r>
    </w:p>
    <w:p>
      <w:pPr>
        <w:spacing w:after="0" w:line="12" w:lineRule="exact"/>
        <w:rPr>
          <w:sz w:val="20"/>
          <w:szCs w:val="20"/>
          <w:color w:val="auto"/>
        </w:rPr>
      </w:pPr>
    </w:p>
    <w:p>
      <w:pPr>
        <w:ind w:left="3380" w:right="2620" w:hanging="1135"/>
        <w:spacing w:after="0" w:line="341" w:lineRule="auto"/>
        <w:tabs>
          <w:tab w:leader="none" w:pos="2484" w:val="left"/>
        </w:tabs>
        <w:numPr>
          <w:ilvl w:val="0"/>
          <w:numId w:val="115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20"/>
          </w:cols>
          <w:pgMar w:left="680" w:top="245" w:right="299" w:bottom="1440" w:gutter="0" w:footer="0" w:header="0"/>
        </w:sectPr>
      </w:pPr>
    </w:p>
    <w:bookmarkStart w:id="934" w:name="page935"/>
    <w:bookmarkEnd w:id="934"/>
    <w:p>
      <w:pPr>
        <w:ind w:right="32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11.5. </w:t>
      </w:r>
      <w:r>
        <w:rPr>
          <w:rFonts w:ascii="Arial" w:cs="Arial" w:eastAsia="Arial" w:hAnsi="Arial"/>
          <w:sz w:val="14"/>
          <w:szCs w:val="14"/>
          <w:b w:val="1"/>
          <w:bCs w:val="1"/>
          <w:color w:val="auto"/>
        </w:rPr>
        <w:t>Amendment</w:t>
      </w:r>
      <w:r>
        <w:rPr>
          <w:rFonts w:ascii="Arial" w:cs="Arial" w:eastAsia="Arial" w:hAnsi="Arial"/>
          <w:sz w:val="14"/>
          <w:szCs w:val="14"/>
          <w:color w:val="auto"/>
        </w:rPr>
        <w:t>. No amendment, modification or supplement of any provision of this Agreement shall be valid or effective unless made in writing and signed by a duly authorized officer of each Party.</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11.6. </w:t>
      </w:r>
      <w:r>
        <w:rPr>
          <w:rFonts w:ascii="Arial" w:cs="Arial" w:eastAsia="Arial" w:hAnsi="Arial"/>
          <w:sz w:val="14"/>
          <w:szCs w:val="14"/>
          <w:b w:val="1"/>
          <w:bCs w:val="1"/>
          <w:color w:val="auto"/>
        </w:rPr>
        <w:t>Waiver</w:t>
      </w:r>
      <w:r>
        <w:rPr>
          <w:rFonts w:ascii="Arial" w:cs="Arial" w:eastAsia="Arial" w:hAnsi="Arial"/>
          <w:sz w:val="14"/>
          <w:szCs w:val="14"/>
          <w:color w:val="auto"/>
        </w:rPr>
        <w:t>. No provision of this Agreement shall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spacing w:after="0" w:line="4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 xml:space="preserve">11.7. </w:t>
      </w:r>
      <w:r>
        <w:rPr>
          <w:rFonts w:ascii="Arial" w:cs="Arial" w:eastAsia="Arial" w:hAnsi="Arial"/>
          <w:sz w:val="14"/>
          <w:szCs w:val="14"/>
          <w:b w:val="1"/>
          <w:bCs w:val="1"/>
          <w:color w:val="auto"/>
        </w:rPr>
        <w:t>Severability</w:t>
      </w:r>
      <w:r>
        <w:rPr>
          <w:rFonts w:ascii="Arial" w:cs="Arial" w:eastAsia="Arial" w:hAnsi="Arial"/>
          <w:sz w:val="14"/>
          <w:szCs w:val="14"/>
          <w:color w:val="auto"/>
        </w:rPr>
        <w:t>. 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11.8. </w:t>
      </w:r>
      <w:r>
        <w:rPr>
          <w:rFonts w:ascii="Arial" w:cs="Arial" w:eastAsia="Arial" w:hAnsi="Arial"/>
          <w:sz w:val="12"/>
          <w:szCs w:val="12"/>
          <w:b w:val="1"/>
          <w:bCs w:val="1"/>
          <w:color w:val="auto"/>
        </w:rPr>
        <w:t>Descriptive Headings</w:t>
      </w:r>
      <w:r>
        <w:rPr>
          <w:rFonts w:ascii="Arial" w:cs="Arial" w:eastAsia="Arial" w:hAnsi="Arial"/>
          <w:sz w:val="12"/>
          <w:szCs w:val="12"/>
          <w:color w:val="auto"/>
        </w:rPr>
        <w:t>. The descriptive headings of this Agreement are for convenience only and shall be of no force or effect in construing or interpreting any of the provisions of this Agreement.</w:t>
      </w:r>
    </w:p>
    <w:p>
      <w:pPr>
        <w:spacing w:after="0" w:line="92"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 xml:space="preserve">11.9. </w:t>
      </w:r>
      <w:r>
        <w:rPr>
          <w:rFonts w:ascii="Arial" w:cs="Arial" w:eastAsia="Arial" w:hAnsi="Arial"/>
          <w:sz w:val="14"/>
          <w:szCs w:val="14"/>
          <w:b w:val="1"/>
          <w:bCs w:val="1"/>
          <w:color w:val="auto"/>
        </w:rPr>
        <w:t>Dispute Resolution</w:t>
      </w:r>
      <w:r>
        <w:rPr>
          <w:rFonts w:ascii="Arial" w:cs="Arial" w:eastAsia="Arial" w:hAnsi="Arial"/>
          <w:sz w:val="14"/>
          <w:szCs w:val="14"/>
          <w:color w:val="auto"/>
        </w:rPr>
        <w:t>. If any dispute or disagreement arises between Pfizer and MacroGenics in respect of this Agreement, they shall follow the following procedures in an attempt to resolve the dispute or disagreement: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11.9.1. The Party claiming that such a dispute exists shall give notice in writing (“</w:t>
      </w:r>
      <w:r>
        <w:rPr>
          <w:rFonts w:ascii="Arial" w:cs="Arial" w:eastAsia="Arial" w:hAnsi="Arial"/>
          <w:sz w:val="14"/>
          <w:szCs w:val="14"/>
          <w:b w:val="1"/>
          <w:bCs w:val="1"/>
          <w:color w:val="auto"/>
        </w:rPr>
        <w:t>Notice of Dispute</w:t>
      </w:r>
      <w:r>
        <w:rPr>
          <w:rFonts w:ascii="Arial" w:cs="Arial" w:eastAsia="Arial" w:hAnsi="Arial"/>
          <w:sz w:val="14"/>
          <w:szCs w:val="14"/>
          <w:color w:val="auto"/>
        </w:rPr>
        <w:t>”) to the other Party of the nature of the dispute.</w:t>
      </w:r>
    </w:p>
    <w:p>
      <w:pPr>
        <w:spacing w:after="0" w:line="69" w:lineRule="exact"/>
        <w:rPr>
          <w:sz w:val="20"/>
          <w:szCs w:val="20"/>
          <w:color w:val="auto"/>
        </w:rPr>
      </w:pPr>
    </w:p>
    <w:p>
      <w:pPr>
        <w:ind w:left="460" w:right="140"/>
        <w:spacing w:after="0" w:line="346" w:lineRule="auto"/>
        <w:rPr>
          <w:sz w:val="20"/>
          <w:szCs w:val="20"/>
          <w:color w:val="auto"/>
        </w:rPr>
      </w:pPr>
      <w:r>
        <w:rPr>
          <w:rFonts w:ascii="Arial" w:cs="Arial" w:eastAsia="Arial" w:hAnsi="Arial"/>
          <w:sz w:val="12"/>
          <w:szCs w:val="12"/>
          <w:color w:val="auto"/>
        </w:rPr>
        <w:t>11.9.2.</w:t>
      </w:r>
      <w:r>
        <w:rPr>
          <w:rFonts w:ascii="Arial" w:cs="Arial" w:eastAsia="Arial" w:hAnsi="Arial"/>
          <w:sz w:val="12"/>
          <w:szCs w:val="12"/>
          <w:b w:val="1"/>
          <w:bCs w:val="1"/>
          <w:color w:val="auto"/>
        </w:rPr>
        <w:t>***</w:t>
      </w:r>
      <w:r>
        <w:rPr>
          <w:rFonts w:ascii="Arial" w:cs="Arial" w:eastAsia="Arial" w:hAnsi="Arial"/>
          <w:sz w:val="12"/>
          <w:szCs w:val="12"/>
          <w:color w:val="auto"/>
        </w:rPr>
        <w:t xml:space="preserve"> after receipt of a Notice of Dispute, the Pfizer Alliance Manager and the MacroGenics Alliance Manager shall meet in person or by teleconference and exchange written summaries reflecting, in reasonable detail, the nature and extent of the dispute, and at this meeting they shall use their reasonable endeavors to resolve the dispute.</w:t>
      </w:r>
    </w:p>
    <w:p>
      <w:pPr>
        <w:spacing w:after="0" w:line="1" w:lineRule="exact"/>
        <w:rPr>
          <w:sz w:val="20"/>
          <w:szCs w:val="20"/>
          <w:color w:val="auto"/>
        </w:rPr>
      </w:pPr>
    </w:p>
    <w:p>
      <w:pPr>
        <w:jc w:val="both"/>
        <w:ind w:left="460" w:right="40"/>
        <w:spacing w:after="0" w:line="258" w:lineRule="auto"/>
        <w:rPr>
          <w:sz w:val="20"/>
          <w:szCs w:val="20"/>
          <w:color w:val="auto"/>
        </w:rPr>
      </w:pPr>
      <w:r>
        <w:rPr>
          <w:rFonts w:ascii="Arial" w:cs="Arial" w:eastAsia="Arial" w:hAnsi="Arial"/>
          <w:sz w:val="14"/>
          <w:szCs w:val="14"/>
          <w:color w:val="auto"/>
        </w:rPr>
        <w:t xml:space="preserve">11.9.3. If the Alliance Managers are unable to resolve the dispute during the meeting described in Section 11.9.2 or if for any reason such meeting does not take place within the period specified in Section 11.9.2, then the dispute will be referred to the JSC which shall meet no later than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initial receipt of the Notice of Dispute and use reasonable endeavors to resolve the dispute.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11.9.4. If the JSC is unable to resolve the dispute during the meeting described in Section 11.9.3 or if for any reason such meeting does not take place within the period specified in Section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11.9.3, then the Senior Executives shall meet at a mutually agreed-upon time and location for the purpose of resolving such dispute.</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65</w:t>
      </w:r>
    </w:p>
    <w:p>
      <w:pPr>
        <w:spacing w:after="0" w:line="12" w:lineRule="exact"/>
        <w:rPr>
          <w:sz w:val="20"/>
          <w:szCs w:val="20"/>
          <w:color w:val="auto"/>
        </w:rPr>
      </w:pPr>
    </w:p>
    <w:p>
      <w:pPr>
        <w:ind w:left="3380" w:right="2700" w:hanging="1135"/>
        <w:spacing w:after="0" w:line="341" w:lineRule="auto"/>
        <w:tabs>
          <w:tab w:leader="none" w:pos="2484" w:val="left"/>
        </w:tabs>
        <w:numPr>
          <w:ilvl w:val="0"/>
          <w:numId w:val="115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000"/>
          </w:cols>
          <w:pgMar w:left="680" w:top="245" w:right="219" w:bottom="1440" w:gutter="0" w:footer="0" w:header="0"/>
        </w:sectPr>
      </w:pPr>
    </w:p>
    <w:bookmarkStart w:id="935" w:name="page936"/>
    <w:bookmarkEnd w:id="935"/>
    <w:p>
      <w:pPr>
        <w:ind w:left="460" w:right="46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316470" cy="33020"/>
                    </a:xfrm>
                    <a:prstGeom prst="rect">
                      <a:avLst/>
                    </a:prstGeom>
                    <a:noFill/>
                  </pic:spPr>
                </pic:pic>
              </a:graphicData>
            </a:graphic>
          </wp:anchor>
        </w:drawing>
        <w:t xml:space="preserve">11.9.5. If,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initial receipt of the Notice of Dispute, the dispute has not been resolved, or if, for any reason, the meeting described in Section 11.9.4 has not been held within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initial receipt of the Notice of Dispute, then the Parties agree that either Party may initiate litigation to resolve the dispute.</w:t>
      </w:r>
    </w:p>
    <w:p>
      <w:pPr>
        <w:spacing w:after="0" w:line="37" w:lineRule="exact"/>
        <w:rPr>
          <w:sz w:val="20"/>
          <w:szCs w:val="20"/>
          <w:color w:val="auto"/>
        </w:rPr>
      </w:pPr>
    </w:p>
    <w:p>
      <w:pPr>
        <w:ind w:left="460"/>
        <w:spacing w:after="0" w:line="258" w:lineRule="auto"/>
        <w:rPr>
          <w:sz w:val="20"/>
          <w:szCs w:val="20"/>
          <w:color w:val="auto"/>
        </w:rPr>
      </w:pPr>
      <w:r>
        <w:rPr>
          <w:rFonts w:ascii="Arial" w:cs="Arial" w:eastAsia="Arial" w:hAnsi="Arial"/>
          <w:sz w:val="14"/>
          <w:szCs w:val="14"/>
          <w:color w:val="auto"/>
        </w:rPr>
        <w:t xml:space="preserve">11.9.6. 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 The provisions of this Section 11.9 will survive for </w:t>
      </w:r>
      <w:r>
        <w:rPr>
          <w:rFonts w:ascii="Arial" w:cs="Arial" w:eastAsia="Arial" w:hAnsi="Arial"/>
          <w:sz w:val="14"/>
          <w:szCs w:val="14"/>
          <w:b w:val="1"/>
          <w:bCs w:val="1"/>
          <w:color w:val="auto"/>
        </w:rPr>
        <w:t>***</w:t>
      </w:r>
      <w:r>
        <w:rPr>
          <w:rFonts w:ascii="Arial" w:cs="Arial" w:eastAsia="Arial" w:hAnsi="Arial"/>
          <w:sz w:val="14"/>
          <w:szCs w:val="14"/>
          <w:color w:val="auto"/>
        </w:rPr>
        <w:t xml:space="preserve"> from the date of termination or expiration of this Agreement.</w:t>
      </w:r>
    </w:p>
    <w:p>
      <w:pPr>
        <w:spacing w:after="0" w:line="43"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 xml:space="preserve">11.10. </w:t>
      </w:r>
      <w:r>
        <w:rPr>
          <w:rFonts w:ascii="Arial" w:cs="Arial" w:eastAsia="Arial" w:hAnsi="Arial"/>
          <w:sz w:val="14"/>
          <w:szCs w:val="14"/>
          <w:b w:val="1"/>
          <w:bCs w:val="1"/>
          <w:color w:val="auto"/>
        </w:rPr>
        <w:t>Governing Law</w:t>
      </w:r>
      <w:r>
        <w:rPr>
          <w:rFonts w:ascii="Arial" w:cs="Arial" w:eastAsia="Arial" w:hAnsi="Arial"/>
          <w:sz w:val="14"/>
          <w:szCs w:val="14"/>
          <w:color w:val="auto"/>
        </w:rPr>
        <w:t xml:space="preserve">. This Agreement, and all claims arising under or in connection therewith, shall be governed by and interpreted in accordance with the substantive laws of </w:t>
      </w:r>
      <w:r>
        <w:rPr>
          <w:rFonts w:ascii="Arial" w:cs="Arial" w:eastAsia="Arial" w:hAnsi="Arial"/>
          <w:sz w:val="14"/>
          <w:szCs w:val="14"/>
          <w:b w:val="1"/>
          <w:bCs w:val="1"/>
          <w:color w:val="auto"/>
        </w:rPr>
        <w:t>***</w:t>
      </w:r>
      <w:r>
        <w:rPr>
          <w:rFonts w:ascii="Arial" w:cs="Arial" w:eastAsia="Arial" w:hAnsi="Arial"/>
          <w:sz w:val="14"/>
          <w:szCs w:val="14"/>
          <w:color w:val="auto"/>
        </w:rPr>
        <w:t>, without regard to conflict of law principles thereof.</w:t>
      </w:r>
    </w:p>
    <w:p>
      <w:pPr>
        <w:spacing w:after="0" w:line="35" w:lineRule="exact"/>
        <w:rPr>
          <w:sz w:val="20"/>
          <w:szCs w:val="20"/>
          <w:color w:val="auto"/>
        </w:rPr>
      </w:pPr>
    </w:p>
    <w:p>
      <w:pPr>
        <w:ind w:right="60"/>
        <w:spacing w:after="0" w:line="299" w:lineRule="auto"/>
        <w:rPr>
          <w:sz w:val="20"/>
          <w:szCs w:val="20"/>
          <w:color w:val="auto"/>
        </w:rPr>
      </w:pPr>
      <w:r>
        <w:rPr>
          <w:rFonts w:ascii="Arial" w:cs="Arial" w:eastAsia="Arial" w:hAnsi="Arial"/>
          <w:sz w:val="12"/>
          <w:szCs w:val="12"/>
          <w:color w:val="auto"/>
        </w:rPr>
        <w:t xml:space="preserve">11.11. </w:t>
      </w:r>
      <w:r>
        <w:rPr>
          <w:rFonts w:ascii="Arial" w:cs="Arial" w:eastAsia="Arial" w:hAnsi="Arial"/>
          <w:sz w:val="12"/>
          <w:szCs w:val="12"/>
          <w:b w:val="1"/>
          <w:bCs w:val="1"/>
          <w:color w:val="auto"/>
        </w:rPr>
        <w:t>Consent to Jurisdiction</w:t>
      </w:r>
      <w:r>
        <w:rPr>
          <w:rFonts w:ascii="Arial" w:cs="Arial" w:eastAsia="Arial" w:hAnsi="Arial"/>
          <w:sz w:val="12"/>
          <w:szCs w:val="12"/>
          <w:color w:val="auto"/>
        </w:rPr>
        <w:t xml:space="preserve">. Each Party to this Agreement, by its execution hereof, (a) hereby irrevocably submits to the exclusive jurisdiction of the state courts of the State </w:t>
      </w:r>
      <w:r>
        <w:rPr>
          <w:rFonts w:ascii="Arial" w:cs="Arial" w:eastAsia="Arial" w:hAnsi="Arial"/>
          <w:sz w:val="12"/>
          <w:szCs w:val="12"/>
          <w:b w:val="1"/>
          <w:bCs w:val="1"/>
          <w:color w:val="auto"/>
        </w:rPr>
        <w:t>***</w:t>
      </w:r>
      <w:r>
        <w:rPr>
          <w:rFonts w:ascii="Arial" w:cs="Arial" w:eastAsia="Arial" w:hAnsi="Arial"/>
          <w:sz w:val="12"/>
          <w:szCs w:val="12"/>
          <w:color w:val="auto"/>
        </w:rPr>
        <w:t xml:space="preserve"> of any and all actions, suits or proceedings arising in whole or in part out of, related to, based upon or in connection with this Agreement or the subject matter hereof, (b) hereby waives to the extent not prohibited by Applicable Law,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forum non conveniens, should be transferred to any court other than one of the above-named courts, or should be stayed by reason of the pendency of some other proceeding in any other court other than one of the above-named courts, or that this Agreement or the subject matter hereof may not be enforced in or by such court, and (c) hereby agrees not to commence any such action other than before one of the above-named courts nor to make any motion or take any other action seeking or intending to cause the transfer or removal of any such action to any court other than one of the above-named courts whether on the grounds of inconvenient forum or otherwise.</w:t>
      </w:r>
    </w:p>
    <w:p>
      <w:pPr>
        <w:spacing w:after="0" w:line="25"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 xml:space="preserve">11.12. </w:t>
      </w: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constitutes and contains the complete, final and exclusive understanding and agreement of the Parties and cancels and supersedes any and all prior negotiations, correspondence, understandings and agreements, whether oral or written, between the Parties respecting the subject matter hereof and thereof, including the Confidentiality Agreement which is hereby terminated effective as of the Effective Date.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11.13. </w:t>
      </w:r>
      <w:r>
        <w:rPr>
          <w:rFonts w:ascii="Arial" w:cs="Arial" w:eastAsia="Arial" w:hAnsi="Arial"/>
          <w:sz w:val="14"/>
          <w:szCs w:val="14"/>
          <w:b w:val="1"/>
          <w:bCs w:val="1"/>
          <w:color w:val="auto"/>
        </w:rPr>
        <w:t>Independent Contractors</w:t>
      </w:r>
      <w:r>
        <w:rPr>
          <w:rFonts w:ascii="Arial" w:cs="Arial" w:eastAsia="Arial" w:hAnsi="Arial"/>
          <w:sz w:val="14"/>
          <w:szCs w:val="14"/>
          <w:color w:val="auto"/>
        </w:rPr>
        <w:t>. Both Parties are independent contractors under this Agreement. Nothing herein contained shall be deemed to create an employment, agency,</w:t>
      </w:r>
    </w:p>
    <w:p>
      <w:pPr>
        <w:spacing w:after="0" w:line="123"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66</w:t>
      </w:r>
    </w:p>
    <w:p>
      <w:pPr>
        <w:spacing w:after="0" w:line="12" w:lineRule="exact"/>
        <w:rPr>
          <w:sz w:val="20"/>
          <w:szCs w:val="20"/>
          <w:color w:val="auto"/>
        </w:rPr>
      </w:pPr>
    </w:p>
    <w:p>
      <w:pPr>
        <w:ind w:left="3380" w:right="2680" w:hanging="1135"/>
        <w:spacing w:after="0" w:line="341" w:lineRule="auto"/>
        <w:tabs>
          <w:tab w:leader="none" w:pos="2484" w:val="left"/>
        </w:tabs>
        <w:numPr>
          <w:ilvl w:val="0"/>
          <w:numId w:val="115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80"/>
          </w:cols>
          <w:pgMar w:left="680" w:top="245" w:right="239" w:bottom="1440" w:gutter="0" w:footer="0" w:header="0"/>
        </w:sectPr>
      </w:pPr>
    </w:p>
    <w:bookmarkStart w:id="936" w:name="page937"/>
    <w:bookmarkEnd w:id="936"/>
    <w:p>
      <w:pPr>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w:t>
      </w:r>
    </w:p>
    <w:p>
      <w:pPr>
        <w:spacing w:after="0" w:line="43" w:lineRule="exact"/>
        <w:rPr>
          <w:sz w:val="20"/>
          <w:szCs w:val="20"/>
          <w:color w:val="auto"/>
        </w:rPr>
      </w:pPr>
    </w:p>
    <w:p>
      <w:pPr>
        <w:ind w:right="260"/>
        <w:spacing w:after="0" w:line="270" w:lineRule="auto"/>
        <w:rPr>
          <w:sz w:val="20"/>
          <w:szCs w:val="20"/>
          <w:color w:val="auto"/>
        </w:rPr>
      </w:pPr>
      <w:r>
        <w:rPr>
          <w:rFonts w:ascii="Arial" w:cs="Arial" w:eastAsia="Arial" w:hAnsi="Arial"/>
          <w:sz w:val="14"/>
          <w:szCs w:val="14"/>
          <w:color w:val="auto"/>
        </w:rPr>
        <w:t xml:space="preserve">11.14. </w:t>
      </w:r>
      <w:r>
        <w:rPr>
          <w:rFonts w:ascii="Arial" w:cs="Arial" w:eastAsia="Arial" w:hAnsi="Arial"/>
          <w:sz w:val="14"/>
          <w:szCs w:val="14"/>
          <w:b w:val="1"/>
          <w:bCs w:val="1"/>
          <w:color w:val="auto"/>
        </w:rPr>
        <w:t>Counterparts</w:t>
      </w:r>
      <w:r>
        <w:rPr>
          <w:rFonts w:ascii="Arial" w:cs="Arial" w:eastAsia="Arial" w:hAnsi="Arial"/>
          <w:sz w:val="14"/>
          <w:szCs w:val="14"/>
          <w:color w:val="auto"/>
        </w:rPr>
        <w:t>. This Agreement may be executed in two counterparts, each of which shall be an original and both of which shall constitute together the same document. Counterparts may be signed and delivered by facsimile or PDF file, each of which shall be binding when received by the applicable Party.</w:t>
      </w:r>
    </w:p>
    <w:p>
      <w:pPr>
        <w:spacing w:after="0" w:line="35" w:lineRule="exact"/>
        <w:rPr>
          <w:sz w:val="20"/>
          <w:szCs w:val="20"/>
          <w:color w:val="auto"/>
        </w:rPr>
      </w:pPr>
    </w:p>
    <w:p>
      <w:pPr>
        <w:jc w:val="both"/>
        <w:ind w:right="60"/>
        <w:spacing w:after="0" w:line="259" w:lineRule="auto"/>
        <w:rPr>
          <w:sz w:val="20"/>
          <w:szCs w:val="20"/>
          <w:color w:val="auto"/>
        </w:rPr>
      </w:pPr>
      <w:r>
        <w:rPr>
          <w:rFonts w:ascii="Arial" w:cs="Arial" w:eastAsia="Arial" w:hAnsi="Arial"/>
          <w:sz w:val="14"/>
          <w:szCs w:val="14"/>
          <w:color w:val="auto"/>
        </w:rPr>
        <w:t xml:space="preserve">11.15. </w:t>
      </w:r>
      <w:r>
        <w:rPr>
          <w:rFonts w:ascii="Arial" w:cs="Arial" w:eastAsia="Arial" w:hAnsi="Arial"/>
          <w:sz w:val="14"/>
          <w:szCs w:val="14"/>
          <w:b w:val="1"/>
          <w:bCs w:val="1"/>
          <w:color w:val="auto"/>
        </w:rPr>
        <w:t>No Third Party Rights or Obligations</w:t>
      </w:r>
      <w:r>
        <w:rPr>
          <w:rFonts w:ascii="Arial" w:cs="Arial" w:eastAsia="Arial" w:hAnsi="Arial"/>
          <w:sz w:val="14"/>
          <w:szCs w:val="14"/>
          <w:color w:val="auto"/>
        </w:rPr>
        <w:t>. No provision of this Agreement shall be deemed or construed in any way to result in the creation of any rights or obligation in any Person not a Party to this Agreement. However, either Party may decide, in its sole discretion, to use one or more of its Affiliates to perform its obligations and duties hereunder, provided that such Party shall remain liable hereunder for the performance by any such Affiliates of any such obligations.</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(The remainder of this page has been intentionally left blank. The signature page follows.)</w:t>
      </w:r>
    </w:p>
    <w:p>
      <w:pPr>
        <w:spacing w:after="0" w:line="12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67</w:t>
      </w:r>
    </w:p>
    <w:p>
      <w:pPr>
        <w:spacing w:after="0" w:line="12" w:lineRule="exact"/>
        <w:rPr>
          <w:sz w:val="20"/>
          <w:szCs w:val="20"/>
          <w:color w:val="auto"/>
        </w:rPr>
      </w:pPr>
    </w:p>
    <w:p>
      <w:pPr>
        <w:ind w:left="3380" w:right="2620" w:hanging="1135"/>
        <w:spacing w:after="0" w:line="341" w:lineRule="auto"/>
        <w:tabs>
          <w:tab w:leader="none" w:pos="2484" w:val="left"/>
        </w:tabs>
        <w:numPr>
          <w:ilvl w:val="0"/>
          <w:numId w:val="115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920"/>
          </w:cols>
          <w:pgMar w:left="680" w:top="248" w:right="299" w:bottom="1440" w:gutter="0" w:footer="0" w:header="0"/>
        </w:sectPr>
      </w:pPr>
    </w:p>
    <w:bookmarkStart w:id="937" w:name="page938"/>
    <w:bookmarkEnd w:id="93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316470" cy="33020"/>
                    </a:xfrm>
                    <a:prstGeom prst="rect">
                      <a:avLst/>
                    </a:prstGeom>
                    <a:noFill/>
                  </pic:spPr>
                </pic:pic>
              </a:graphicData>
            </a:graphic>
          </wp:anchor>
        </w:drawing>
        <w:t>IN WITNESS WHEREOF, duly authorized representatives of the Parties have duly executed this Agreement to be effective as of the Effective Date.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gridSpan w:val="2"/>
          </w:tcPr>
          <w:p>
            <w:pPr>
              <w:spacing w:after="0"/>
              <w:rPr>
                <w:sz w:val="20"/>
                <w:szCs w:val="20"/>
                <w:color w:val="auto"/>
              </w:rPr>
            </w:pPr>
            <w:r>
              <w:rPr>
                <w:rFonts w:ascii="Arial" w:cs="Arial" w:eastAsia="Arial" w:hAnsi="Arial"/>
                <w:sz w:val="14"/>
                <w:szCs w:val="14"/>
                <w:color w:val="auto"/>
              </w:rPr>
              <w:t>PFIZER INC.</w:t>
            </w:r>
          </w:p>
        </w:tc>
        <w:tc>
          <w:tcPr>
            <w:tcW w:w="6180" w:type="dxa"/>
            <w:vAlign w:val="bottom"/>
            <w:gridSpan w:val="2"/>
          </w:tcPr>
          <w:p>
            <w:pPr>
              <w:ind w:left="800"/>
              <w:spacing w:after="0"/>
              <w:rPr>
                <w:sz w:val="20"/>
                <w:szCs w:val="20"/>
                <w:color w:val="auto"/>
              </w:rPr>
            </w:pPr>
            <w:r>
              <w:rPr>
                <w:rFonts w:ascii="Arial" w:cs="Arial" w:eastAsia="Arial" w:hAnsi="Arial"/>
                <w:sz w:val="14"/>
                <w:szCs w:val="14"/>
                <w:color w:val="auto"/>
              </w:rPr>
              <w:t>MACROGENICS, INC.</w:t>
            </w: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Dr. Mikael Dolsten</w:t>
            </w:r>
          </w:p>
        </w:tc>
        <w:tc>
          <w:tcPr>
            <w:tcW w:w="1380" w:type="dxa"/>
            <w:vAlign w:val="bottom"/>
          </w:tcPr>
          <w:p>
            <w:pPr>
              <w:ind w:left="800"/>
              <w:spacing w:after="0"/>
              <w:rPr>
                <w:sz w:val="20"/>
                <w:szCs w:val="20"/>
                <w:color w:val="auto"/>
              </w:rPr>
            </w:pPr>
            <w:r>
              <w:rPr>
                <w:rFonts w:ascii="Arial" w:cs="Arial" w:eastAsia="Arial" w:hAnsi="Arial"/>
                <w:sz w:val="14"/>
                <w:szCs w:val="14"/>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Scott Koenig</w:t>
            </w:r>
          </w:p>
        </w:tc>
      </w:tr>
      <w:tr>
        <w:trPr>
          <w:trHeight w:val="160"/>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4700" w:type="dxa"/>
            <w:vAlign w:val="bottom"/>
          </w:tcPr>
          <w:p>
            <w:pPr>
              <w:spacing w:after="0"/>
              <w:rPr>
                <w:sz w:val="20"/>
                <w:szCs w:val="20"/>
                <w:color w:val="auto"/>
              </w:rPr>
            </w:pPr>
            <w:r>
              <w:rPr>
                <w:rFonts w:ascii="Arial" w:cs="Arial" w:eastAsia="Arial" w:hAnsi="Arial"/>
                <w:sz w:val="14"/>
                <w:szCs w:val="14"/>
                <w:color w:val="auto"/>
              </w:rPr>
              <w:t>Mikael Dolsten</w:t>
            </w:r>
          </w:p>
        </w:tc>
        <w:tc>
          <w:tcPr>
            <w:tcW w:w="1380" w:type="dxa"/>
            <w:vAlign w:val="bottom"/>
          </w:tcPr>
          <w:p>
            <w:pPr>
              <w:ind w:left="800"/>
              <w:spacing w:after="0"/>
              <w:rPr>
                <w:sz w:val="20"/>
                <w:szCs w:val="20"/>
                <w:color w:val="auto"/>
              </w:rPr>
            </w:pPr>
            <w:r>
              <w:rPr>
                <w:rFonts w:ascii="Arial" w:cs="Arial" w:eastAsia="Arial" w:hAnsi="Arial"/>
                <w:sz w:val="14"/>
                <w:szCs w:val="14"/>
                <w:color w:val="auto"/>
              </w:rPr>
              <w:t>Name:</w:t>
            </w:r>
          </w:p>
        </w:tc>
        <w:tc>
          <w:tcPr>
            <w:tcW w:w="4800" w:type="dxa"/>
            <w:vAlign w:val="bottom"/>
          </w:tcPr>
          <w:p>
            <w:pPr>
              <w:spacing w:after="0"/>
              <w:rPr>
                <w:sz w:val="20"/>
                <w:szCs w:val="20"/>
                <w:color w:val="auto"/>
              </w:rPr>
            </w:pPr>
            <w:r>
              <w:rPr>
                <w:rFonts w:ascii="Arial" w:cs="Arial" w:eastAsia="Arial" w:hAnsi="Arial"/>
                <w:sz w:val="14"/>
                <w:szCs w:val="14"/>
                <w:color w:val="auto"/>
              </w:rPr>
              <w:t>Scott Koenig</w:t>
            </w:r>
          </w:p>
        </w:tc>
      </w:tr>
      <w:tr>
        <w:trPr>
          <w:trHeight w:val="17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4700" w:type="dxa"/>
            <w:vAlign w:val="bottom"/>
          </w:tcPr>
          <w:p>
            <w:pPr>
              <w:spacing w:after="0"/>
              <w:rPr>
                <w:sz w:val="20"/>
                <w:szCs w:val="20"/>
                <w:color w:val="auto"/>
              </w:rPr>
            </w:pPr>
            <w:r>
              <w:rPr>
                <w:rFonts w:ascii="Arial" w:cs="Arial" w:eastAsia="Arial" w:hAnsi="Arial"/>
                <w:sz w:val="14"/>
                <w:szCs w:val="14"/>
                <w:color w:val="auto"/>
              </w:rPr>
              <w:t>President, Worldwide Research &amp; Development</w:t>
            </w:r>
          </w:p>
        </w:tc>
        <w:tc>
          <w:tcPr>
            <w:tcW w:w="1380" w:type="dxa"/>
            <w:vAlign w:val="bottom"/>
          </w:tcPr>
          <w:p>
            <w:pPr>
              <w:ind w:left="800"/>
              <w:spacing w:after="0"/>
              <w:rPr>
                <w:sz w:val="20"/>
                <w:szCs w:val="20"/>
                <w:color w:val="auto"/>
              </w:rPr>
            </w:pPr>
            <w:r>
              <w:rPr>
                <w:rFonts w:ascii="Arial" w:cs="Arial" w:eastAsia="Arial" w:hAnsi="Arial"/>
                <w:sz w:val="14"/>
                <w:szCs w:val="14"/>
                <w:color w:val="auto"/>
              </w:rPr>
              <w:t>Title:</w:t>
            </w:r>
          </w:p>
        </w:tc>
        <w:tc>
          <w:tcPr>
            <w:tcW w:w="4800" w:type="dxa"/>
            <w:vAlign w:val="bottom"/>
          </w:tcPr>
          <w:p>
            <w:pPr>
              <w:spacing w:after="0"/>
              <w:rPr>
                <w:sz w:val="20"/>
                <w:szCs w:val="20"/>
                <w:color w:val="auto"/>
              </w:rPr>
            </w:pPr>
            <w:r>
              <w:rPr>
                <w:rFonts w:ascii="Arial" w:cs="Arial" w:eastAsia="Arial" w:hAnsi="Arial"/>
                <w:sz w:val="14"/>
                <w:szCs w:val="14"/>
                <w:color w:val="auto"/>
              </w:rPr>
              <w:t>CEO</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Research Collaboration and License Agreement</w:t>
      </w:r>
    </w:p>
    <w:p>
      <w:pPr>
        <w:spacing w:after="0" w:line="121" w:lineRule="exact"/>
        <w:rPr>
          <w:sz w:val="20"/>
          <w:szCs w:val="20"/>
          <w:color w:val="auto"/>
        </w:rPr>
      </w:pPr>
    </w:p>
    <w:p>
      <w:pPr>
        <w:ind w:left="3840" w:right="2700" w:hanging="1135"/>
        <w:spacing w:after="0" w:line="351" w:lineRule="auto"/>
        <w:tabs>
          <w:tab w:leader="none" w:pos="2944" w:val="left"/>
        </w:tabs>
        <w:numPr>
          <w:ilvl w:val="0"/>
          <w:numId w:val="115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938" w:name="page939"/>
    <w:bookmarkEnd w:id="938"/>
    <w:p>
      <w:pPr>
        <w:jc w:val="cente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2.3.1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RESEARCH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10160</wp:posOffset>
            </wp:positionV>
            <wp:extent cx="3463290" cy="537337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463290"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20" w:right="1479" w:hanging="1135"/>
        <w:spacing w:after="0" w:line="351" w:lineRule="auto"/>
        <w:tabs>
          <w:tab w:leader="none" w:pos="1724" w:val="left"/>
        </w:tabs>
        <w:numPr>
          <w:ilvl w:val="0"/>
          <w:numId w:val="115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9019"/>
          </w:cols>
          <w:pgMar w:left="1440" w:top="246" w:right="1440" w:bottom="1440" w:gutter="0" w:footer="0" w:header="0"/>
        </w:sectPr>
      </w:pPr>
    </w:p>
    <w:bookmarkStart w:id="939" w:name="page940"/>
    <w:bookmarkEnd w:id="939"/>
    <w:p>
      <w:pPr>
        <w:ind w:left="53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316470" cy="33020"/>
                    </a:xfrm>
                    <a:prstGeom prst="rect">
                      <a:avLst/>
                    </a:prstGeom>
                    <a:noFill/>
                  </pic:spPr>
                </pic:pic>
              </a:graphicData>
            </a:graphic>
          </wp:anchor>
        </w:drawing>
        <w:t>EXHIBIT 7.3.1</w:t>
      </w:r>
    </w:p>
    <w:p>
      <w:pPr>
        <w:spacing w:after="0" w:line="132"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PRESS RELEASE</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DRAFT</w:t>
      </w:r>
    </w:p>
    <w:p>
      <w:pPr>
        <w:spacing w:after="0" w:line="132"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MacroGenics Enters Global Research Collaboration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License Agreement with Pfizer</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ROCKVILLE, MD , 2010 /PRNewswire/ — MacroGenics, Inc, a leader in next-generation antibody platforms and therapeutics, announced today that it has entered into a global research collaboration and license agreement with Pfizer Inc. to discover, develop and commercialize Dual-Affinity Re-Targeting (DART™) products directed at two undisclosed cancer targets. MacroGenics’ DART technology is a proprietary, bi-specific antibody platform in which a single recombinant molecule is able to target two different antigens. These DART proteins are amenable to several applications and can potentially be used to redirect the body’s cell-destroying, immune effector cells against tumor cells.</w:t>
      </w:r>
    </w:p>
    <w:p>
      <w:pPr>
        <w:spacing w:after="0" w:line="110"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“MacroGenics’ DART candidates represent a promising new approach to potentially expand treatment options for cancer patients, and we look forward to a collaborative partnership with MacroGenics,” stated Dr. Mikael Dolsten, Senior Vice President &amp; President, Worldwide Research and Development, Pfizer. “MacroGenics has established the versatility of its novel DART platform by generating a large array of DART proteins against a variety of different targets.”</w:t>
      </w:r>
    </w:p>
    <w:p>
      <w:pPr>
        <w:spacing w:after="0" w:line="108" w:lineRule="exact"/>
        <w:rPr>
          <w:sz w:val="20"/>
          <w:szCs w:val="20"/>
          <w:color w:val="auto"/>
        </w:rPr>
      </w:pPr>
    </w:p>
    <w:p>
      <w:pPr>
        <w:ind w:right="400"/>
        <w:spacing w:after="0" w:line="351" w:lineRule="auto"/>
        <w:rPr>
          <w:sz w:val="20"/>
          <w:szCs w:val="20"/>
          <w:color w:val="auto"/>
        </w:rPr>
      </w:pPr>
      <w:r>
        <w:rPr>
          <w:rFonts w:ascii="Arial" w:cs="Arial" w:eastAsia="Arial" w:hAnsi="Arial"/>
          <w:sz w:val="12"/>
          <w:szCs w:val="12"/>
          <w:color w:val="auto"/>
        </w:rPr>
        <w:t>“We are delighted to establish this strategic collaboration with Pfizer,” said Dr. Scott Koenig, MacroGenics’ President and Chief Executive Officer. “As we continue to make significant progress in the development of our pipeline of best-in-class product candidates for cancer, autoimmune disease, and infectious disease, this collaboration with Pfizer further validates the promise of our DART platform.”</w:t>
      </w:r>
    </w:p>
    <w:p>
      <w:pPr>
        <w:spacing w:after="0" w:line="56" w:lineRule="exact"/>
        <w:rPr>
          <w:sz w:val="20"/>
          <w:szCs w:val="20"/>
          <w:color w:val="auto"/>
        </w:rPr>
      </w:pPr>
    </w:p>
    <w:p>
      <w:pPr>
        <w:ind w:right="240"/>
        <w:spacing w:after="0" w:line="351" w:lineRule="auto"/>
        <w:rPr>
          <w:sz w:val="20"/>
          <w:szCs w:val="20"/>
          <w:color w:val="auto"/>
        </w:rPr>
      </w:pPr>
      <w:r>
        <w:rPr>
          <w:rFonts w:ascii="Arial" w:cs="Arial" w:eastAsia="Arial" w:hAnsi="Arial"/>
          <w:sz w:val="12"/>
          <w:szCs w:val="12"/>
          <w:color w:val="auto"/>
        </w:rPr>
        <w:t>Under the terms of the agreement, MacroGenics will receive an upfront cash payment and research funding. In addition, MacroGenics will be eligible to receive escalating preclinical, clinical, regulatory and commercial milestone payments as well as tiered royalties on sales of products resulting from the collaboration. Further details of the agreement have not been disclosed.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DART Background</w:t>
      </w:r>
    </w:p>
    <w:p>
      <w:pPr>
        <w:spacing w:after="0" w:line="71" w:lineRule="exact"/>
        <w:rPr>
          <w:sz w:val="20"/>
          <w:szCs w:val="20"/>
          <w:color w:val="auto"/>
        </w:rPr>
      </w:pPr>
    </w:p>
    <w:p>
      <w:pPr>
        <w:ind w:right="80"/>
        <w:spacing w:after="0" w:line="321" w:lineRule="auto"/>
        <w:rPr>
          <w:sz w:val="20"/>
          <w:szCs w:val="20"/>
          <w:color w:val="auto"/>
        </w:rPr>
      </w:pPr>
      <w:r>
        <w:rPr>
          <w:rFonts w:ascii="Arial" w:cs="Arial" w:eastAsia="Arial" w:hAnsi="Arial"/>
          <w:sz w:val="12"/>
          <w:szCs w:val="12"/>
          <w:color w:val="auto"/>
        </w:rPr>
        <w:t>MacroGenics’ DART technology enables the generation of highly stable antibody-based therapeutic molecules that can simultaneously target two different antigens. DART therapeutics can accommodate virtually any variable region sequence in a “plug-and-play” fashion, are potent, and have very favorable manufacturing properties. To date, the company has engineered over 65 different DART proteins and has completed multiple in vitro and in vivo proof-of-concept studies in a variety of disease models. The company has been able to produce DART</w:t>
      </w:r>
    </w:p>
    <w:p>
      <w:pPr>
        <w:spacing w:after="0" w:line="63" w:lineRule="exact"/>
        <w:rPr>
          <w:sz w:val="20"/>
          <w:szCs w:val="20"/>
          <w:color w:val="auto"/>
        </w:rPr>
      </w:pPr>
    </w:p>
    <w:p>
      <w:pPr>
        <w:ind w:left="3840" w:right="2700" w:hanging="1135"/>
        <w:spacing w:after="0" w:line="351" w:lineRule="auto"/>
        <w:tabs>
          <w:tab w:leader="none" w:pos="2944" w:val="left"/>
        </w:tabs>
        <w:numPr>
          <w:ilvl w:val="0"/>
          <w:numId w:val="115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6" w:right="219" w:bottom="1440" w:gutter="0" w:footer="0" w:header="0"/>
        </w:sectPr>
      </w:pPr>
    </w:p>
    <w:bookmarkStart w:id="940" w:name="page941"/>
    <w:bookmarkEnd w:id="940"/>
    <w:p>
      <w:pPr>
        <w:ind w:right="10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316470" cy="33020"/>
                    </a:xfrm>
                    <a:prstGeom prst="rect">
                      <a:avLst/>
                    </a:prstGeom>
                    <a:noFill/>
                  </pic:spPr>
                </pic:pic>
              </a:graphicData>
            </a:graphic>
          </wp:anchor>
        </w:drawing>
        <w:t>proteins in both bacterial and mammalian expression systems. DARTs also have been engineered with an Fc domain, which confers them with additional properties, such as Fc receptor binding and extended half-life. This functionality can be further expanded with the inclusion of MacroGenics’ proprietary Fc domain portfolio. MacroGenics has established and continues to expand a significant patent estate around its DART technology.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MacroGenics</w:t>
      </w:r>
    </w:p>
    <w:p>
      <w:pPr>
        <w:spacing w:after="0" w:line="71" w:lineRule="exact"/>
        <w:rPr>
          <w:sz w:val="20"/>
          <w:szCs w:val="20"/>
          <w:color w:val="auto"/>
        </w:rPr>
      </w:pPr>
    </w:p>
    <w:p>
      <w:pPr>
        <w:ind w:right="100"/>
        <w:spacing w:after="0" w:line="305" w:lineRule="auto"/>
        <w:rPr>
          <w:sz w:val="20"/>
          <w:szCs w:val="20"/>
          <w:color w:val="auto"/>
        </w:rPr>
      </w:pPr>
      <w:r>
        <w:rPr>
          <w:rFonts w:ascii="Arial" w:cs="Arial" w:eastAsia="Arial" w:hAnsi="Arial"/>
          <w:sz w:val="12"/>
          <w:szCs w:val="12"/>
          <w:color w:val="auto"/>
        </w:rPr>
        <w:t>MacroGenics is a private, venture-backed biotechnology company that focuses on the discovery, development and delivery to patients of novel biologics for autoimmune disorders, cancer and infectious diseases. Since its founding in 2000, the company has built a fully-integrated set of capabilities in antibody-based product development. The company has generated a proprietary pipeline of innovative product candidates by leveraging its three core technology platforms. These proprietary platforms include: (1) cancer stem-like cells; (2) DART technology, which allows the company to incorporate multiple specificities within a single molecule; and (3) Fc optimization, which enhances antibody-dependent effector functions. The company’s lead program, teplizumab, is an anti-CD3 antibody. Teplizumab is being investigated in Phase 3 trials for the treatment of autoimmune diseases in collaboration with Eli Lilly and Company. For more information about MacroGenics, please visit www.macrogenics.com.</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4"/>
          <w:szCs w:val="14"/>
          <w:i w:val="1"/>
          <w:iCs w:val="1"/>
          <w:color w:val="auto"/>
        </w:rPr>
        <w:t>Statements made in this news release that are not historical facts are forward-looking statements within the meaning of the Private Securities Litigation Reform Act of 1995. Words such as “expects,” “believes,” “intends,” and similar expressions are intended to identify forward-looking statements. Actual results may differ materially from those projected in any forward-looking statement. Specifically, there are a number of important factors that could cause actual results to differ materially from those anticipated, such as the Company’s ability to raise additional capital, and risks related to the Company’s ability to initiate, and enroll patients in, planned clinical trials. You should not place undue reliance on any forward-looking statements. The Company assumes no obligation to update any forward-looking statements as a result of new information, future events or developments,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Contacts: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2700" w:hanging="1135"/>
        <w:spacing w:after="0" w:line="351" w:lineRule="auto"/>
        <w:tabs>
          <w:tab w:leader="none" w:pos="2944" w:val="left"/>
        </w:tabs>
        <w:numPr>
          <w:ilvl w:val="0"/>
          <w:numId w:val="115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8" w:right="219" w:bottom="1440" w:gutter="0" w:footer="0" w:header="0"/>
        </w:sectPr>
      </w:pPr>
    </w:p>
    <w:bookmarkStart w:id="941" w:name="page942"/>
    <w:bookmarkEnd w:id="941"/>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SCHEDULE 1.19</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5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42" w:name="page943"/>
    <w:bookmarkEnd w:id="942"/>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1.19</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5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4" w:right="1440" w:bottom="1440" w:gutter="0" w:footer="0" w:header="0"/>
        </w:sectPr>
      </w:pPr>
    </w:p>
    <w:bookmarkStart w:id="943" w:name="page944"/>
    <w:bookmarkEnd w:id="943"/>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SCHEDULE 1.34</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44" w:name="page945"/>
    <w:bookmarkEnd w:id="944"/>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1.34</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4" w:right="1440" w:bottom="1440" w:gutter="0" w:footer="0" w:header="0"/>
        </w:sectPr>
      </w:pPr>
    </w:p>
    <w:bookmarkStart w:id="945" w:name="page946"/>
    <w:bookmarkEnd w:id="945"/>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SCHEDULE 1.34</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46" w:name="page947"/>
    <w:bookmarkEnd w:id="946"/>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1.80</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4" w:right="1440" w:bottom="1440" w:gutter="0" w:footer="0" w:header="0"/>
        </w:sectPr>
      </w:pPr>
    </w:p>
    <w:bookmarkStart w:id="947" w:name="page948"/>
    <w:bookmarkEnd w:id="947"/>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316470" cy="33020"/>
                    </a:xfrm>
                    <a:prstGeom prst="rect">
                      <a:avLst/>
                    </a:prstGeom>
                    <a:noFill/>
                  </pic:spPr>
                </pic:pic>
              </a:graphicData>
            </a:graphic>
          </wp:anchor>
        </w:drawing>
        <w:t>SCHEDULE 1.80</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48" w:name="page949"/>
    <w:bookmarkEnd w:id="948"/>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1.80</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49" w:name="page950"/>
    <w:bookmarkEnd w:id="949"/>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1.80</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6"/>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50" w:name="page951"/>
    <w:bookmarkEnd w:id="950"/>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1.80</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7"/>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51" w:name="page952"/>
    <w:bookmarkEnd w:id="951"/>
    <w:p>
      <w:pPr>
        <w:ind w:left="510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1.80</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8"/>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52" w:name="page953"/>
    <w:bookmarkEnd w:id="952"/>
    <w:p>
      <w:pPr>
        <w:ind w:left="50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1.125</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69"/>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53" w:name="page954"/>
    <w:bookmarkEnd w:id="953"/>
    <w:p>
      <w:pPr>
        <w:ind w:left="50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1.125</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7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54" w:name="page955"/>
    <w:bookmarkEnd w:id="954"/>
    <w:p>
      <w:pPr>
        <w:ind w:left="508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1.125</w:t>
      </w:r>
      <w:r>
        <w:rPr>
          <w:rFonts w:ascii="Arial" w:cs="Arial" w:eastAsia="Arial" w:hAnsi="Arial"/>
          <w:sz w:val="14"/>
          <w:szCs w:val="14"/>
          <w:b w:val="1"/>
          <w:bCs w:val="1"/>
          <w:color w:val="auto"/>
        </w:rPr>
        <w:t xml:space="preserve"> ***</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ind w:left="3840" w:right="1479" w:hanging="1135"/>
        <w:spacing w:after="0" w:line="351" w:lineRule="auto"/>
        <w:tabs>
          <w:tab w:leader="none" w:pos="2944" w:val="left"/>
        </w:tabs>
        <w:numPr>
          <w:ilvl w:val="0"/>
          <w:numId w:val="117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6" w:right="1440" w:bottom="1440" w:gutter="0" w:footer="0" w:header="0"/>
        </w:sectPr>
      </w:pPr>
    </w:p>
    <w:bookmarkStart w:id="955" w:name="page956"/>
    <w:bookmarkEnd w:id="955"/>
    <w:p>
      <w:pPr>
        <w:ind w:left="52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2.10</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SUBCONTRACTORS</w:t>
      </w:r>
      <w:r>
        <w:rPr>
          <w:rFonts w:ascii="Arial" w:cs="Arial" w:eastAsia="Arial" w:hAnsi="Arial"/>
          <w:sz w:val="14"/>
          <w:szCs w:val="14"/>
          <w:color w:val="auto"/>
        </w:rPr>
        <w:t>***</w:t>
      </w:r>
    </w:p>
    <w:p>
      <w:pPr>
        <w:spacing w:after="0" w:line="123" w:lineRule="exact"/>
        <w:rPr>
          <w:sz w:val="20"/>
          <w:szCs w:val="20"/>
          <w:color w:val="auto"/>
        </w:rPr>
      </w:pPr>
    </w:p>
    <w:p>
      <w:pPr>
        <w:ind w:left="3840" w:right="1479" w:hanging="1135"/>
        <w:spacing w:after="0" w:line="351" w:lineRule="auto"/>
        <w:tabs>
          <w:tab w:leader="none" w:pos="2944" w:val="left"/>
        </w:tabs>
        <w:numPr>
          <w:ilvl w:val="0"/>
          <w:numId w:val="1172"/>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56" w:name="page957"/>
    <w:bookmarkEnd w:id="956"/>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4"/>
              </w:rPr>
              <w:t>SCHEDULE 8.2.3</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2"/>
        </w:trPr>
        <w:tc>
          <w:tcPr>
            <w:tcW w:w="1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Patent Rights of MacroGenics</w:t>
            </w:r>
          </w:p>
        </w:tc>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8"/>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24"/>
                <w:szCs w:val="2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1900" w:type="dxa"/>
            <w:vAlign w:val="bottom"/>
          </w:tcPr>
          <w:p>
            <w:pPr>
              <w:jc w:val="right"/>
              <w:ind w:right="1632"/>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20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316470" cy="32385"/>
                    </a:xfrm>
                    <a:prstGeom prst="rect">
                      <a:avLst/>
                    </a:prstGeom>
                    <a:noFill/>
                  </pic:spPr>
                </pic:pic>
              </a:graphicData>
            </a:graphic>
          </wp:anchor>
        </w:drawing>
      </w:r>
    </w:p>
    <w:p>
      <w:pPr>
        <w:ind w:left="3840" w:right="1840" w:hanging="1135"/>
        <w:spacing w:after="0" w:line="351" w:lineRule="auto"/>
        <w:tabs>
          <w:tab w:leader="none" w:pos="2944" w:val="left"/>
        </w:tabs>
        <w:numPr>
          <w:ilvl w:val="0"/>
          <w:numId w:val="1173"/>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600"/>
          </w:cols>
          <w:pgMar w:left="220" w:top="231" w:right="1079" w:bottom="1440" w:gutter="0" w:footer="0" w:header="0"/>
        </w:sectPr>
      </w:pPr>
    </w:p>
    <w:bookmarkStart w:id="957" w:name="page958"/>
    <w:bookmarkEnd w:id="957"/>
    <w:p>
      <w:pPr>
        <w:jc w:val="center"/>
        <w:ind w:right="-12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8.2.8</w:t>
      </w:r>
    </w:p>
    <w:p>
      <w:pPr>
        <w:spacing w:after="0" w:line="6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FUNDING AGREEMENTS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3" w:lineRule="exact"/>
        <w:rPr>
          <w:sz w:val="20"/>
          <w:szCs w:val="20"/>
          <w:color w:val="auto"/>
        </w:rPr>
      </w:pPr>
    </w:p>
    <w:p>
      <w:pPr>
        <w:ind w:left="3840" w:right="1479" w:hanging="1135"/>
        <w:spacing w:after="0" w:line="351" w:lineRule="auto"/>
        <w:tabs>
          <w:tab w:leader="none" w:pos="2944" w:val="left"/>
        </w:tabs>
        <w:numPr>
          <w:ilvl w:val="0"/>
          <w:numId w:val="1174"/>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58" w:name="page959"/>
    <w:bookmarkEnd w:id="958"/>
    <w:p>
      <w:pPr>
        <w:jc w:val="center"/>
        <w:ind w:right="-12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316470" cy="32385"/>
                    </a:xfrm>
                    <a:prstGeom prst="rect">
                      <a:avLst/>
                    </a:prstGeom>
                    <a:noFill/>
                  </pic:spPr>
                </pic:pic>
              </a:graphicData>
            </a:graphic>
          </wp:anchor>
        </w:drawing>
        <w:t>SCHEDULE 8.2.13</w:t>
      </w:r>
    </w:p>
    <w:p>
      <w:pPr>
        <w:spacing w:after="0" w:line="6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LITIGATION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3" w:lineRule="exact"/>
        <w:rPr>
          <w:sz w:val="20"/>
          <w:szCs w:val="20"/>
          <w:color w:val="auto"/>
        </w:rPr>
      </w:pPr>
    </w:p>
    <w:p>
      <w:pPr>
        <w:ind w:left="3840" w:right="1479" w:hanging="1135"/>
        <w:spacing w:after="0" w:line="351" w:lineRule="auto"/>
        <w:tabs>
          <w:tab w:leader="none" w:pos="2944" w:val="left"/>
        </w:tabs>
        <w:numPr>
          <w:ilvl w:val="0"/>
          <w:numId w:val="1175"/>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0239"/>
          </w:cols>
          <w:pgMar w:left="220" w:top="245" w:right="1440" w:bottom="1440" w:gutter="0" w:footer="0" w:header="0"/>
        </w:sectPr>
      </w:pPr>
    </w:p>
    <w:bookmarkStart w:id="959" w:name="page960"/>
    <w:bookmarkEnd w:id="959"/>
    <w:p>
      <w:pPr>
        <w:jc w:val="right"/>
        <w:spacing w:after="0"/>
        <w:rPr>
          <w:sz w:val="20"/>
          <w:szCs w:val="20"/>
          <w:color w:val="auto"/>
        </w:rPr>
      </w:pPr>
      <w:r>
        <w:rPr>
          <w:rFonts w:ascii="Arial" w:cs="Arial" w:eastAsia="Arial" w:hAnsi="Arial"/>
          <w:sz w:val="14"/>
          <w:szCs w:val="14"/>
          <w:b w:val="1"/>
          <w:bCs w:val="1"/>
          <w:color w:val="auto"/>
        </w:rPr>
        <w:t>Exhibit 10.23</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i w:val="1"/>
          <w:iCs w:val="1"/>
          <w:color w:val="auto"/>
        </w:rPr>
        <w:t>Confidential Materials omitted and filed separately with the Securities and Exchange Commission.</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Triple asterisks denote omissions.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Amendment No. 1 to Agreement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(“Amendment No. 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Date: August 9, 2012</w:t>
      </w:r>
    </w:p>
    <w:p>
      <w:pPr>
        <w:sectPr>
          <w:pgSz w:w="11900" w:h="16838" w:orient="portrait"/>
          <w:cols w:equalWidth="0" w:num="1">
            <w:col w:w="11460"/>
          </w:cols>
          <w:pgMar w:left="220" w:top="130" w:right="21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Research Collaboration and License Agreement (the “Agreement”)</w:t>
      </w:r>
    </w:p>
    <w:p>
      <w:pPr>
        <w:spacing w:after="0" w:line="194" w:lineRule="exact"/>
        <w:rPr>
          <w:sz w:val="20"/>
          <w:szCs w:val="20"/>
          <w:color w:val="auto"/>
        </w:rPr>
      </w:pPr>
    </w:p>
    <w:p>
      <w:pPr>
        <w:sectPr>
          <w:pgSz w:w="11900" w:h="16838" w:orient="portrait"/>
          <w:cols w:equalWidth="0" w:num="2">
            <w:col w:w="5360" w:space="720"/>
            <w:col w:w="5380"/>
          </w:cols>
          <w:pgMar w:left="220" w:top="130" w:right="2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October 13, 2010 (“Effective Date”)</w:t>
      </w:r>
    </w:p>
    <w:p>
      <w:pPr>
        <w:spacing w:after="0" w:line="194" w:lineRule="exact"/>
        <w:rPr>
          <w:sz w:val="20"/>
          <w:szCs w:val="20"/>
          <w:color w:val="auto"/>
        </w:rPr>
      </w:pPr>
    </w:p>
    <w:p>
      <w:pPr>
        <w:sectPr>
          <w:pgSz w:w="11900" w:h="16838" w:orient="portrait"/>
          <w:cols w:equalWidth="0" w:num="2">
            <w:col w:w="5360" w:space="720"/>
            <w:col w:w="5380"/>
          </w:cols>
          <w:pgMar w:left="220" w:top="130" w:right="2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Pfizer Inc. (“Pfizer”) and MacroGenics, Inc. (“MacroGenics”)</w:t>
      </w:r>
    </w:p>
    <w:p>
      <w:pPr>
        <w:spacing w:after="0" w:line="155" w:lineRule="exact"/>
        <w:rPr>
          <w:sz w:val="20"/>
          <w:szCs w:val="20"/>
          <w:color w:val="auto"/>
        </w:rPr>
      </w:pPr>
    </w:p>
    <w:p>
      <w:pPr>
        <w:sectPr>
          <w:pgSz w:w="11900" w:h="16838" w:orient="portrait"/>
          <w:cols w:equalWidth="0" w:num="2">
            <w:col w:w="5360" w:space="720"/>
            <w:col w:w="5380"/>
          </w:cols>
          <w:pgMar w:left="220" w:top="130" w:right="219" w:bottom="1440" w:gutter="0" w:footer="0" w:header="0"/>
          <w:type w:val="continuous"/>
        </w:sectPr>
      </w:pPr>
    </w:p>
    <w:p>
      <w:pPr>
        <w:spacing w:after="0"/>
        <w:rPr>
          <w:sz w:val="20"/>
          <w:szCs w:val="20"/>
          <w:color w:val="auto"/>
        </w:rPr>
      </w:pPr>
      <w:r>
        <w:rPr>
          <w:rFonts w:ascii="Arial" w:cs="Arial" w:eastAsia="Arial" w:hAnsi="Arial"/>
          <w:sz w:val="14"/>
          <w:szCs w:val="14"/>
          <w:color w:val="auto"/>
        </w:rPr>
        <w:t>Capitalized terms used but not defined herein shall have the meanings ascribed to such terms in the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WHEREAS, the parties hereto desire to amend, among other things, certain terms of the Agreement including increasing, by 1 month, the time allowed for Target Substitution.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NOW, THEREFORE, in order to accommodate the changes, the parties have agreed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 Sections 2.1.3, 2.1.4 2.1.5, and 9.4 of the Agreement are revised to read, in their entirety, as follows: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2.13 Substitution of Targets</w:t>
      </w:r>
      <w:r>
        <w:rPr>
          <w:rFonts w:ascii="Arial" w:cs="Arial" w:eastAsia="Arial" w:hAnsi="Arial"/>
          <w:sz w:val="12"/>
          <w:szCs w:val="12"/>
          <w:color w:val="auto"/>
        </w:rPr>
        <w:t>. Pfizer may request that additional Targets be substituted on a one-for-one basis for the Second Research Project Target or any Reserved Target in accordance with this Section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02.1.3.</w:t>
      </w:r>
    </w:p>
    <w:p>
      <w:pPr>
        <w:spacing w:after="0" w:line="63" w:lineRule="exact"/>
        <w:rPr>
          <w:sz w:val="20"/>
          <w:szCs w:val="20"/>
          <w:color w:val="auto"/>
        </w:rPr>
      </w:pPr>
    </w:p>
    <w:p>
      <w:pPr>
        <w:ind w:left="900" w:right="120" w:hanging="447"/>
        <w:spacing w:after="0" w:line="267" w:lineRule="auto"/>
        <w:tabs>
          <w:tab w:leader="none" w:pos="900" w:val="left"/>
        </w:tabs>
        <w:numPr>
          <w:ilvl w:val="0"/>
          <w:numId w:val="1176"/>
        </w:numPr>
        <w:rPr>
          <w:rFonts w:ascii="Arial" w:cs="Arial" w:eastAsia="Arial" w:hAnsi="Arial"/>
          <w:sz w:val="14"/>
          <w:szCs w:val="14"/>
          <w:color w:val="auto"/>
        </w:rPr>
      </w:pPr>
      <w:r>
        <w:rPr>
          <w:rFonts w:ascii="Arial" w:cs="Arial" w:eastAsia="Arial" w:hAnsi="Arial"/>
          <w:sz w:val="14"/>
          <w:szCs w:val="14"/>
          <w:color w:val="auto"/>
        </w:rPr>
        <w:t>At any time within *** following the Effective Date, Pfizer may substitute, without limitation on the number of substitutions and on a one-for-one basis, for the Second Research Project Target and the Reserved Targets.</w:t>
      </w:r>
    </w:p>
    <w:p>
      <w:pPr>
        <w:spacing w:after="0" w:line="38" w:lineRule="exact"/>
        <w:rPr>
          <w:rFonts w:ascii="Arial" w:cs="Arial" w:eastAsia="Arial" w:hAnsi="Arial"/>
          <w:sz w:val="14"/>
          <w:szCs w:val="14"/>
          <w:color w:val="auto"/>
        </w:rPr>
      </w:pPr>
    </w:p>
    <w:p>
      <w:pPr>
        <w:ind w:left="900" w:right="140" w:hanging="447"/>
        <w:spacing w:after="0" w:line="267" w:lineRule="auto"/>
        <w:tabs>
          <w:tab w:leader="none" w:pos="900" w:val="left"/>
        </w:tabs>
        <w:numPr>
          <w:ilvl w:val="0"/>
          <w:numId w:val="1176"/>
        </w:numPr>
        <w:rPr>
          <w:rFonts w:ascii="Arial" w:cs="Arial" w:eastAsia="Arial" w:hAnsi="Arial"/>
          <w:sz w:val="14"/>
          <w:szCs w:val="14"/>
          <w:color w:val="auto"/>
        </w:rPr>
      </w:pPr>
      <w:r>
        <w:rPr>
          <w:rFonts w:ascii="Arial" w:cs="Arial" w:eastAsia="Arial" w:hAnsi="Arial"/>
          <w:sz w:val="14"/>
          <w:szCs w:val="14"/>
          <w:color w:val="auto"/>
        </w:rPr>
        <w:t>At any time beginning *** after the Effective Date and continuing until the earlier of (i) *** following the Effective Date, and (ii) ***, Pfizer may request that additional Targets be substituted on a one-for-one basis for any existing Reserved Targets.</w:t>
      </w:r>
    </w:p>
    <w:p>
      <w:pPr>
        <w:spacing w:after="0" w:line="36" w:lineRule="exact"/>
        <w:rPr>
          <w:rFonts w:ascii="Arial" w:cs="Arial" w:eastAsia="Arial" w:hAnsi="Arial"/>
          <w:sz w:val="14"/>
          <w:szCs w:val="14"/>
          <w:color w:val="auto"/>
        </w:rPr>
      </w:pPr>
    </w:p>
    <w:p>
      <w:pPr>
        <w:ind w:left="900" w:right="100" w:hanging="447"/>
        <w:spacing w:after="0" w:line="294" w:lineRule="auto"/>
        <w:tabs>
          <w:tab w:leader="none" w:pos="900" w:val="left"/>
        </w:tabs>
        <w:numPr>
          <w:ilvl w:val="0"/>
          <w:numId w:val="1176"/>
        </w:numPr>
        <w:rPr>
          <w:rFonts w:ascii="Arial" w:cs="Arial" w:eastAsia="Arial" w:hAnsi="Arial"/>
          <w:sz w:val="12"/>
          <w:szCs w:val="12"/>
          <w:color w:val="auto"/>
        </w:rPr>
      </w:pPr>
      <w:r>
        <w:rPr>
          <w:rFonts w:ascii="Arial" w:cs="Arial" w:eastAsia="Arial" w:hAnsi="Arial"/>
          <w:sz w:val="12"/>
          <w:szCs w:val="12"/>
          <w:color w:val="auto"/>
        </w:rPr>
        <w:t xml:space="preserve">Subject to (d), MacroGenics will allow such substitutions set forth in (a) and (b), except that it may decline a proposed Target substitution based on (i) </w:t>
      </w:r>
      <w:r>
        <w:rPr>
          <w:rFonts w:ascii="Arial" w:cs="Arial" w:eastAsia="Arial" w:hAnsi="Arial"/>
          <w:sz w:val="12"/>
          <w:szCs w:val="12"/>
          <w:b w:val="1"/>
          <w:bCs w:val="1"/>
          <w:color w:val="auto"/>
        </w:rPr>
        <w:t>*** ***</w:t>
      </w:r>
      <w:r>
        <w:rPr>
          <w:rFonts w:ascii="Arial" w:cs="Arial" w:eastAsia="Arial" w:hAnsi="Arial"/>
          <w:sz w:val="12"/>
          <w:szCs w:val="12"/>
          <w:color w:val="auto"/>
        </w:rPr>
        <w:t xml:space="preserve"> shall not decline a proposed Target substitution based on clause (i) or (ii) unless such agreement or term sheet with such Third Party precludes or limits MacroGenics’ ability to perform research regarding such Target or to grant Pfizer the rights to be granted by MacroGenics to Pfizer under this Agreement. In addition to the foregoing conditions upon which MacroGenics may decline a proposed Target substitution, MacroGenics may, in its sole discretion, veto up to </w:t>
      </w:r>
      <w:r>
        <w:rPr>
          <w:rFonts w:ascii="Arial" w:cs="Arial" w:eastAsia="Arial" w:hAnsi="Arial"/>
          <w:sz w:val="12"/>
          <w:szCs w:val="12"/>
          <w:b w:val="1"/>
          <w:bCs w:val="1"/>
          <w:color w:val="auto"/>
        </w:rPr>
        <w:t>***</w:t>
      </w:r>
      <w:r>
        <w:rPr>
          <w:rFonts w:ascii="Arial" w:cs="Arial" w:eastAsia="Arial" w:hAnsi="Arial"/>
          <w:sz w:val="12"/>
          <w:szCs w:val="12"/>
          <w:color w:val="auto"/>
        </w:rPr>
        <w:t xml:space="preserve"> proposed Target substitutions proposed during the period specified in Section 2.1.3(b) by Pfizer for any reason and</w:t>
      </w:r>
    </w:p>
    <w:p>
      <w:pPr>
        <w:ind w:left="1140" w:hanging="238"/>
        <w:spacing w:after="0"/>
        <w:tabs>
          <w:tab w:leader="none" w:pos="1140" w:val="left"/>
        </w:tabs>
        <w:numPr>
          <w:ilvl w:val="1"/>
          <w:numId w:val="1176"/>
        </w:numPr>
        <w:rPr>
          <w:rFonts w:ascii="Arial" w:cs="Arial" w:eastAsia="Arial" w:hAnsi="Arial"/>
          <w:sz w:val="14"/>
          <w:szCs w:val="14"/>
          <w:b w:val="1"/>
          <w:bCs w:val="1"/>
          <w:color w:val="auto"/>
        </w:rPr>
      </w:pPr>
      <w:r>
        <w:rPr>
          <w:rFonts w:ascii="Arial" w:cs="Arial" w:eastAsia="Arial" w:hAnsi="Arial"/>
          <w:sz w:val="14"/>
          <w:szCs w:val="14"/>
          <w:color w:val="auto"/>
        </w:rPr>
        <w:t>proposed Target substitution proposed</w:t>
      </w:r>
    </w:p>
    <w:p>
      <w:pPr>
        <w:sectPr>
          <w:pgSz w:w="11900" w:h="16838" w:orient="portrait"/>
          <w:cols w:equalWidth="0" w:num="1">
            <w:col w:w="11460"/>
          </w:cols>
          <w:pgMar w:left="220" w:top="130" w:right="219" w:bottom="1440" w:gutter="0" w:footer="0" w:header="0"/>
          <w:type w:val="continuous"/>
        </w:sectPr>
      </w:pPr>
    </w:p>
    <w:bookmarkStart w:id="960" w:name="page961"/>
    <w:bookmarkEnd w:id="960"/>
    <w:p>
      <w:pPr>
        <w:ind w:left="920" w:right="40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316470" cy="32385"/>
                    </a:xfrm>
                    <a:prstGeom prst="rect">
                      <a:avLst/>
                    </a:prstGeom>
                    <a:noFill/>
                  </pic:spPr>
                </pic:pic>
              </a:graphicData>
            </a:graphic>
          </wp:anchor>
        </w:drawing>
        <w:t>during the period specified in Section 2.1.3(a) by Pfizer for any reason. Any Targets substituted for an existing Reserved Target will then be deemed to be included within the definition of Reserved Targets.</w:t>
      </w:r>
    </w:p>
    <w:p>
      <w:pPr>
        <w:spacing w:after="0" w:line="39" w:lineRule="exact"/>
        <w:rPr>
          <w:sz w:val="20"/>
          <w:szCs w:val="20"/>
          <w:color w:val="auto"/>
        </w:rPr>
      </w:pPr>
    </w:p>
    <w:p>
      <w:pPr>
        <w:ind w:left="900" w:right="440" w:hanging="447"/>
        <w:spacing w:after="0" w:line="267" w:lineRule="auto"/>
        <w:tabs>
          <w:tab w:leader="none" w:pos="900" w:val="left"/>
        </w:tabs>
        <w:numPr>
          <w:ilvl w:val="0"/>
          <w:numId w:val="1177"/>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during the *** following the Effective Date, MacroGenics at its sole discretion shall be entitled to decline any substitutions under 2.1.3(b) for any reason in addition to any Target substitutions declined under 2.1.3(c).</w:t>
      </w:r>
    </w:p>
    <w:p>
      <w:pPr>
        <w:spacing w:after="0" w:line="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4"/>
          <w:szCs w:val="14"/>
          <w:b w:val="1"/>
          <w:bCs w:val="1"/>
          <w:color w:val="auto"/>
        </w:rPr>
        <w:t xml:space="preserve">2.14 Elevation of Reserved Targets. </w:t>
      </w:r>
      <w:r>
        <w:rPr>
          <w:rFonts w:ascii="Arial" w:cs="Arial" w:eastAsia="Arial" w:hAnsi="Arial"/>
          <w:sz w:val="14"/>
          <w:szCs w:val="14"/>
          <w:color w:val="auto"/>
        </w:rPr>
        <w:t>At any time in the</w:t>
      </w:r>
      <w:r>
        <w:rPr>
          <w:rFonts w:ascii="Arial" w:cs="Arial" w:eastAsia="Arial" w:hAnsi="Arial"/>
          <w:sz w:val="14"/>
          <w:szCs w:val="14"/>
          <w:b w:val="1"/>
          <w:bCs w:val="1"/>
          <w:color w:val="auto"/>
        </w:rPr>
        <w:t xml:space="preserve"> *** </w:t>
      </w:r>
      <w:r>
        <w:rPr>
          <w:rFonts w:ascii="Arial" w:cs="Arial" w:eastAsia="Arial" w:hAnsi="Arial"/>
          <w:sz w:val="14"/>
          <w:szCs w:val="14"/>
          <w:color w:val="auto"/>
        </w:rPr>
        <w:t>following the Effective Date, Pfizer may submit a written notice to MacroGenics that up to two Reserved Targets will be substituted for any then-designated Research Project Target on a one-for-one basis. Any such Reserved Target substituted for an existing Research Project Target will then be deemed to be included within the definition of Research Project Target.</w:t>
      </w:r>
    </w:p>
    <w:p>
      <w:pPr>
        <w:spacing w:after="0" w:line="106" w:lineRule="exact"/>
        <w:rPr>
          <w:sz w:val="20"/>
          <w:szCs w:val="20"/>
          <w:color w:val="auto"/>
        </w:rPr>
      </w:pPr>
    </w:p>
    <w:p>
      <w:pPr>
        <w:ind w:right="440"/>
        <w:spacing w:after="0" w:line="270" w:lineRule="auto"/>
        <w:rPr>
          <w:sz w:val="20"/>
          <w:szCs w:val="20"/>
          <w:color w:val="auto"/>
        </w:rPr>
      </w:pPr>
      <w:r>
        <w:rPr>
          <w:rFonts w:ascii="Arial" w:cs="Arial" w:eastAsia="Arial" w:hAnsi="Arial"/>
          <w:sz w:val="14"/>
          <w:szCs w:val="14"/>
          <w:b w:val="1"/>
          <w:bCs w:val="1"/>
          <w:color w:val="auto"/>
        </w:rPr>
        <w:t xml:space="preserve">2.15 Former Reserved Targets. </w:t>
      </w:r>
      <w:r>
        <w:rPr>
          <w:rFonts w:ascii="Arial" w:cs="Arial" w:eastAsia="Arial" w:hAnsi="Arial"/>
          <w:sz w:val="14"/>
          <w:szCs w:val="14"/>
          <w:color w:val="auto"/>
        </w:rPr>
        <w:t>Any Reserved Targets shall cease to be a Reserved Target for all purposes under this Agreement (including under Section 4.5) upon the earlier of (a) replacement of such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Reserved Target with a new Target in accordance with Section 2.1.3(b), or (b) </w:t>
      </w:r>
      <w:r>
        <w:rPr>
          <w:rFonts w:ascii="Arial" w:cs="Arial" w:eastAsia="Arial" w:hAnsi="Arial"/>
          <w:sz w:val="14"/>
          <w:szCs w:val="14"/>
          <w:b w:val="1"/>
          <w:bCs w:val="1"/>
          <w:color w:val="auto"/>
        </w:rPr>
        <w:t>***</w:t>
      </w:r>
      <w:r>
        <w:rPr>
          <w:rFonts w:ascii="Arial" w:cs="Arial" w:eastAsia="Arial" w:hAnsi="Arial"/>
          <w:sz w:val="14"/>
          <w:szCs w:val="14"/>
          <w:color w:val="auto"/>
        </w:rPr>
        <w:t xml:space="preserve"> following the Effective Date.</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9.4 Termination by Pfizer without Cause. </w:t>
      </w:r>
      <w:r>
        <w:rPr>
          <w:rFonts w:ascii="Arial" w:cs="Arial" w:eastAsia="Arial" w:hAnsi="Arial"/>
          <w:sz w:val="12"/>
          <w:szCs w:val="12"/>
          <w:color w:val="auto"/>
        </w:rPr>
        <w:t>Pfizer shall have the right to terminate the Agreement at any time for any or no reason, on a Research Project Target-by-Research Project Target basis, by providing</w:t>
      </w:r>
    </w:p>
    <w:p>
      <w:pPr>
        <w:spacing w:after="0" w:line="37" w:lineRule="exact"/>
        <w:rPr>
          <w:sz w:val="20"/>
          <w:szCs w:val="20"/>
          <w:color w:val="auto"/>
        </w:rPr>
      </w:pPr>
    </w:p>
    <w:p>
      <w:pPr>
        <w:ind w:firstLine="4"/>
        <w:spacing w:after="0" w:line="290" w:lineRule="auto"/>
        <w:tabs>
          <w:tab w:leader="none" w:pos="238" w:val="left"/>
        </w:tabs>
        <w:numPr>
          <w:ilvl w:val="0"/>
          <w:numId w:val="1178"/>
        </w:numPr>
        <w:rPr>
          <w:rFonts w:ascii="Arial" w:cs="Arial" w:eastAsia="Arial" w:hAnsi="Arial"/>
          <w:sz w:val="12"/>
          <w:szCs w:val="12"/>
          <w:b w:val="1"/>
          <w:bCs w:val="1"/>
          <w:color w:val="auto"/>
        </w:rPr>
      </w:pPr>
      <w:r>
        <w:rPr>
          <w:rFonts w:ascii="Arial" w:cs="Arial" w:eastAsia="Arial" w:hAnsi="Arial"/>
          <w:sz w:val="12"/>
          <w:szCs w:val="12"/>
          <w:color w:val="auto"/>
        </w:rPr>
        <w:t xml:space="preserve">advance written notice of such termination to MacroGenics; provided that, during the first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Effective Date, Pfizer will retain at least one Research Project Target under the Research Program. Commencing </w:t>
      </w:r>
      <w:r>
        <w:rPr>
          <w:rFonts w:ascii="Arial" w:cs="Arial" w:eastAsia="Arial" w:hAnsi="Arial"/>
          <w:sz w:val="12"/>
          <w:szCs w:val="12"/>
          <w:b w:val="1"/>
          <w:bCs w:val="1"/>
          <w:color w:val="auto"/>
        </w:rPr>
        <w:t>***</w:t>
      </w:r>
      <w:r>
        <w:rPr>
          <w:rFonts w:ascii="Arial" w:cs="Arial" w:eastAsia="Arial" w:hAnsi="Arial"/>
          <w:sz w:val="12"/>
          <w:szCs w:val="12"/>
          <w:color w:val="auto"/>
        </w:rPr>
        <w:t xml:space="preserve"> following the Effective Date, Pfizer shall have the right, exercisable upon </w:t>
      </w:r>
      <w:r>
        <w:rPr>
          <w:rFonts w:ascii="Arial" w:cs="Arial" w:eastAsia="Arial" w:hAnsi="Arial"/>
          <w:sz w:val="12"/>
          <w:szCs w:val="12"/>
          <w:b w:val="1"/>
          <w:bCs w:val="1"/>
          <w:color w:val="auto"/>
        </w:rPr>
        <w:t>***</w:t>
      </w:r>
      <w:r>
        <w:rPr>
          <w:rFonts w:ascii="Arial" w:cs="Arial" w:eastAsia="Arial" w:hAnsi="Arial"/>
          <w:sz w:val="12"/>
          <w:szCs w:val="12"/>
          <w:color w:val="auto"/>
        </w:rPr>
        <w:t xml:space="preserve"> prior written notice to MacroGenics, to terminate this Agreement at any time for any or no reason either</w:t>
      </w:r>
    </w:p>
    <w:p>
      <w:pPr>
        <w:spacing w:after="0"/>
        <w:rPr>
          <w:rFonts w:ascii="Arial" w:cs="Arial" w:eastAsia="Arial" w:hAnsi="Arial"/>
          <w:sz w:val="12"/>
          <w:szCs w:val="12"/>
          <w:b w:val="1"/>
          <w:bCs w:val="1"/>
          <w:color w:val="auto"/>
        </w:rPr>
      </w:pPr>
      <w:r>
        <w:rPr>
          <w:rFonts w:ascii="Arial" w:cs="Arial" w:eastAsia="Arial" w:hAnsi="Arial"/>
          <w:sz w:val="14"/>
          <w:szCs w:val="14"/>
          <w:color w:val="auto"/>
        </w:rPr>
        <w:t>(a) in its entirety or (b) on a Research Project Target-by-Research Project Target basis.</w:t>
      </w:r>
    </w:p>
    <w:p>
      <w:pPr>
        <w:spacing w:after="0" w:line="126" w:lineRule="exact"/>
        <w:rPr>
          <w:sz w:val="20"/>
          <w:szCs w:val="20"/>
          <w:color w:val="auto"/>
        </w:rPr>
      </w:pPr>
    </w:p>
    <w:p>
      <w:pPr>
        <w:ind w:right="260" w:firstLine="4"/>
        <w:spacing w:after="0" w:line="351" w:lineRule="auto"/>
        <w:tabs>
          <w:tab w:leader="none" w:pos="136" w:val="left"/>
        </w:tabs>
        <w:numPr>
          <w:ilvl w:val="0"/>
          <w:numId w:val="1179"/>
        </w:numPr>
        <w:rPr>
          <w:rFonts w:ascii="Arial" w:cs="Arial" w:eastAsia="Arial" w:hAnsi="Arial"/>
          <w:sz w:val="12"/>
          <w:szCs w:val="12"/>
          <w:color w:val="auto"/>
        </w:rPr>
      </w:pPr>
      <w:r>
        <w:rPr>
          <w:rFonts w:ascii="Arial" w:cs="Arial" w:eastAsia="Arial" w:hAnsi="Arial"/>
          <w:sz w:val="12"/>
          <w:szCs w:val="12"/>
          <w:color w:val="auto"/>
        </w:rPr>
        <w:t>Except as expressly amended hereby, the Agreement shall remain unmodified and in full force and effect. The execution, delivery and effectiveness of this Amendment No. 1 shall not, except as expressly provided herein, operate as a waiver of any right, power or remedy of the parties to the Agreement, nor constitute a waiver of any provision of the Agreement.</w:t>
      </w:r>
    </w:p>
    <w:p>
      <w:pPr>
        <w:spacing w:after="0" w:line="56" w:lineRule="exact"/>
        <w:rPr>
          <w:rFonts w:ascii="Arial" w:cs="Arial" w:eastAsia="Arial" w:hAnsi="Arial"/>
          <w:sz w:val="12"/>
          <w:szCs w:val="12"/>
          <w:color w:val="auto"/>
        </w:rPr>
      </w:pPr>
    </w:p>
    <w:p>
      <w:pPr>
        <w:ind w:left="140" w:hanging="136"/>
        <w:spacing w:after="0"/>
        <w:tabs>
          <w:tab w:leader="none" w:pos="140" w:val="left"/>
        </w:tabs>
        <w:numPr>
          <w:ilvl w:val="0"/>
          <w:numId w:val="1179"/>
        </w:numPr>
        <w:rPr>
          <w:rFonts w:ascii="Arial" w:cs="Arial" w:eastAsia="Arial" w:hAnsi="Arial"/>
          <w:sz w:val="12"/>
          <w:szCs w:val="12"/>
          <w:color w:val="auto"/>
        </w:rPr>
      </w:pPr>
      <w:r>
        <w:rPr>
          <w:rFonts w:ascii="Arial" w:cs="Arial" w:eastAsia="Arial" w:hAnsi="Arial"/>
          <w:sz w:val="12"/>
          <w:szCs w:val="12"/>
          <w:color w:val="auto"/>
        </w:rPr>
        <w:t>This Amendment No. 1 may be executed in any number of counterparts, each of which shall be an original instrument and all of which, when taken together, shall constitute one and the same agreement.</w:t>
      </w:r>
    </w:p>
    <w:p>
      <w:pPr>
        <w:spacing w:after="0" w:line="154" w:lineRule="exact"/>
        <w:rPr>
          <w:rFonts w:ascii="Arial" w:cs="Arial" w:eastAsia="Arial" w:hAnsi="Arial"/>
          <w:sz w:val="12"/>
          <w:szCs w:val="12"/>
          <w:color w:val="auto"/>
        </w:rPr>
      </w:pPr>
    </w:p>
    <w:p>
      <w:pPr>
        <w:ind w:left="3920"/>
        <w:spacing w:after="0"/>
        <w:rPr>
          <w:rFonts w:ascii="Arial" w:cs="Arial" w:eastAsia="Arial" w:hAnsi="Arial"/>
          <w:sz w:val="12"/>
          <w:szCs w:val="12"/>
          <w:color w:val="auto"/>
        </w:rPr>
      </w:pPr>
      <w:r>
        <w:rPr>
          <w:rFonts w:ascii="Arial" w:cs="Arial" w:eastAsia="Arial" w:hAnsi="Arial"/>
          <w:sz w:val="14"/>
          <w:szCs w:val="14"/>
          <w:color w:val="auto"/>
        </w:rPr>
        <w:t>SIGNATURES IMMEDIATELY FOLLOWING ON NEXT PAGE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3840" w:right="2700" w:hanging="1135"/>
        <w:spacing w:after="0" w:line="341" w:lineRule="auto"/>
        <w:tabs>
          <w:tab w:leader="none" w:pos="2944" w:val="left"/>
        </w:tabs>
        <w:numPr>
          <w:ilvl w:val="0"/>
          <w:numId w:val="1180"/>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961" w:name="page962"/>
    <w:bookmarkEnd w:id="96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316470" cy="32385"/>
                    </a:xfrm>
                    <a:prstGeom prst="rect">
                      <a:avLst/>
                    </a:prstGeom>
                    <a:noFill/>
                  </pic:spPr>
                </pic:pic>
              </a:graphicData>
            </a:graphic>
          </wp:anchor>
        </w:drawing>
        <w:t>IN WITNESS WHEREOF, the duly authorized representatives of Pfizer and SCRX have executed this Amendment No. 1 as of the date first above written.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20"/>
                <w:szCs w:val="20"/>
                <w:color w:val="auto"/>
              </w:rPr>
            </w:pPr>
            <w:r>
              <w:rPr>
                <w:rFonts w:ascii="Arial" w:cs="Arial" w:eastAsia="Arial" w:hAnsi="Arial"/>
                <w:sz w:val="14"/>
                <w:szCs w:val="14"/>
                <w:color w:val="auto"/>
              </w:rPr>
              <w:t>MacroGenics, Inc.</w:t>
            </w:r>
          </w:p>
        </w:tc>
        <w:tc>
          <w:tcPr>
            <w:tcW w:w="3900" w:type="dxa"/>
            <w:vAlign w:val="bottom"/>
          </w:tcPr>
          <w:p>
            <w:pPr>
              <w:spacing w:after="0"/>
              <w:rPr>
                <w:sz w:val="15"/>
                <w:szCs w:val="15"/>
                <w:color w:val="auto"/>
              </w:rPr>
            </w:pPr>
          </w:p>
        </w:tc>
        <w:tc>
          <w:tcPr>
            <w:tcW w:w="1660" w:type="dxa"/>
            <w:vAlign w:val="bottom"/>
          </w:tcPr>
          <w:p>
            <w:pPr>
              <w:ind w:left="760"/>
              <w:spacing w:after="0"/>
              <w:rPr>
                <w:sz w:val="20"/>
                <w:szCs w:val="20"/>
                <w:color w:val="auto"/>
              </w:rPr>
            </w:pPr>
            <w:r>
              <w:rPr>
                <w:rFonts w:ascii="Arial" w:cs="Arial" w:eastAsia="Arial" w:hAnsi="Arial"/>
                <w:sz w:val="14"/>
                <w:szCs w:val="14"/>
                <w:color w:val="auto"/>
              </w:rPr>
              <w:t>Pfizer Inc.</w:t>
            </w:r>
          </w:p>
        </w:tc>
        <w:tc>
          <w:tcPr>
            <w:tcW w:w="240" w:type="dxa"/>
            <w:vAlign w:val="bottom"/>
          </w:tcPr>
          <w:p>
            <w:pPr>
              <w:spacing w:after="0"/>
              <w:rPr>
                <w:sz w:val="15"/>
                <w:szCs w:val="15"/>
                <w:color w:val="auto"/>
              </w:rPr>
            </w:pPr>
          </w:p>
        </w:tc>
        <w:tc>
          <w:tcPr>
            <w:tcW w:w="4220" w:type="dxa"/>
            <w:vAlign w:val="bottom"/>
          </w:tcPr>
          <w:p>
            <w:pPr>
              <w:spacing w:after="0"/>
              <w:rPr>
                <w:sz w:val="15"/>
                <w:szCs w:val="15"/>
                <w:color w:val="auto"/>
              </w:rPr>
            </w:pPr>
          </w:p>
        </w:tc>
      </w:tr>
      <w:tr>
        <w:trPr>
          <w:trHeight w:val="336"/>
        </w:trPr>
        <w:tc>
          <w:tcPr>
            <w:tcW w:w="1440" w:type="dxa"/>
            <w:vAlign w:val="bottom"/>
          </w:tcPr>
          <w:p>
            <w:pPr>
              <w:spacing w:after="0"/>
              <w:rPr>
                <w:sz w:val="20"/>
                <w:szCs w:val="20"/>
                <w:color w:val="auto"/>
              </w:rPr>
            </w:pPr>
            <w:r>
              <w:rPr>
                <w:rFonts w:ascii="Arial" w:cs="Arial" w:eastAsia="Arial" w:hAnsi="Arial"/>
                <w:sz w:val="14"/>
                <w:szCs w:val="14"/>
                <w:color w:val="auto"/>
              </w:rPr>
              <w:t>By</w:t>
            </w:r>
          </w:p>
        </w:tc>
        <w:tc>
          <w:tcPr>
            <w:tcW w:w="3900" w:type="dxa"/>
            <w:vAlign w:val="bottom"/>
          </w:tcPr>
          <w:p>
            <w:pPr>
              <w:spacing w:after="0"/>
              <w:rPr>
                <w:sz w:val="20"/>
                <w:szCs w:val="20"/>
                <w:color w:val="auto"/>
              </w:rPr>
            </w:pPr>
            <w:r>
              <w:rPr>
                <w:rFonts w:ascii="Arial" w:cs="Arial" w:eastAsia="Arial" w:hAnsi="Arial"/>
                <w:sz w:val="14"/>
                <w:szCs w:val="14"/>
                <w:color w:val="auto"/>
              </w:rPr>
              <w:t>/s/ Scott Koenig</w:t>
            </w:r>
          </w:p>
        </w:tc>
        <w:tc>
          <w:tcPr>
            <w:tcW w:w="1660" w:type="dxa"/>
            <w:vAlign w:val="bottom"/>
          </w:tcPr>
          <w:p>
            <w:pPr>
              <w:ind w:left="760"/>
              <w:spacing w:after="0"/>
              <w:rPr>
                <w:sz w:val="20"/>
                <w:szCs w:val="20"/>
                <w:color w:val="auto"/>
              </w:rPr>
            </w:pPr>
            <w:r>
              <w:rPr>
                <w:rFonts w:ascii="Arial" w:cs="Arial" w:eastAsia="Arial" w:hAnsi="Arial"/>
                <w:sz w:val="14"/>
                <w:szCs w:val="14"/>
                <w:color w:val="auto"/>
              </w:rPr>
              <w:t>By</w:t>
            </w:r>
          </w:p>
        </w:tc>
        <w:tc>
          <w:tcPr>
            <w:tcW w:w="4460" w:type="dxa"/>
            <w:vAlign w:val="bottom"/>
            <w:gridSpan w:val="2"/>
          </w:tcPr>
          <w:p>
            <w:pPr>
              <w:ind w:left="240"/>
              <w:spacing w:after="0"/>
              <w:rPr>
                <w:sz w:val="20"/>
                <w:szCs w:val="20"/>
                <w:color w:val="auto"/>
              </w:rPr>
            </w:pPr>
            <w:r>
              <w:rPr>
                <w:rFonts w:ascii="Arial" w:cs="Arial" w:eastAsia="Arial" w:hAnsi="Arial"/>
                <w:sz w:val="14"/>
                <w:szCs w:val="14"/>
                <w:color w:val="auto"/>
              </w:rPr>
              <w:t>/s/ Steven Adams</w:t>
            </w:r>
          </w:p>
        </w:tc>
      </w:tr>
      <w:tr>
        <w:trPr>
          <w:trHeight w:val="20"/>
        </w:trPr>
        <w:tc>
          <w:tcPr>
            <w:tcW w:w="144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168"/>
        </w:trPr>
        <w:tc>
          <w:tcPr>
            <w:tcW w:w="1440" w:type="dxa"/>
            <w:vAlign w:val="bottom"/>
          </w:tcPr>
          <w:p>
            <w:pPr>
              <w:spacing w:after="0"/>
              <w:rPr>
                <w:sz w:val="20"/>
                <w:szCs w:val="20"/>
                <w:color w:val="auto"/>
              </w:rPr>
            </w:pPr>
            <w:r>
              <w:rPr>
                <w:rFonts w:ascii="Arial" w:cs="Arial" w:eastAsia="Arial" w:hAnsi="Arial"/>
                <w:sz w:val="14"/>
                <w:szCs w:val="14"/>
                <w:color w:val="auto"/>
              </w:rPr>
              <w:t>Print Name:</w:t>
            </w:r>
          </w:p>
        </w:tc>
        <w:tc>
          <w:tcPr>
            <w:tcW w:w="3900" w:type="dxa"/>
            <w:vAlign w:val="bottom"/>
          </w:tcPr>
          <w:p>
            <w:pPr>
              <w:spacing w:after="0"/>
              <w:rPr>
                <w:sz w:val="20"/>
                <w:szCs w:val="20"/>
                <w:color w:val="auto"/>
              </w:rPr>
            </w:pPr>
            <w:r>
              <w:rPr>
                <w:rFonts w:ascii="Arial" w:cs="Arial" w:eastAsia="Arial" w:hAnsi="Arial"/>
                <w:sz w:val="14"/>
                <w:szCs w:val="14"/>
                <w:color w:val="auto"/>
              </w:rPr>
              <w:t>Scott Koenig</w:t>
            </w:r>
          </w:p>
        </w:tc>
        <w:tc>
          <w:tcPr>
            <w:tcW w:w="1660" w:type="dxa"/>
            <w:vAlign w:val="bottom"/>
          </w:tcPr>
          <w:p>
            <w:pPr>
              <w:ind w:left="760"/>
              <w:spacing w:after="0"/>
              <w:rPr>
                <w:sz w:val="20"/>
                <w:szCs w:val="20"/>
                <w:color w:val="auto"/>
              </w:rPr>
            </w:pPr>
            <w:r>
              <w:rPr>
                <w:rFonts w:ascii="Arial" w:cs="Arial" w:eastAsia="Arial" w:hAnsi="Arial"/>
                <w:sz w:val="14"/>
                <w:szCs w:val="14"/>
                <w:color w:val="auto"/>
              </w:rPr>
              <w:t>Print Name:</w:t>
            </w:r>
          </w:p>
        </w:tc>
        <w:tc>
          <w:tcPr>
            <w:tcW w:w="4460" w:type="dxa"/>
            <w:vAlign w:val="bottom"/>
            <w:gridSpan w:val="2"/>
          </w:tcPr>
          <w:p>
            <w:pPr>
              <w:ind w:left="240"/>
              <w:spacing w:after="0"/>
              <w:rPr>
                <w:sz w:val="20"/>
                <w:szCs w:val="20"/>
                <w:color w:val="auto"/>
              </w:rPr>
            </w:pPr>
            <w:r>
              <w:rPr>
                <w:rFonts w:ascii="Arial" w:cs="Arial" w:eastAsia="Arial" w:hAnsi="Arial"/>
                <w:sz w:val="14"/>
                <w:szCs w:val="14"/>
                <w:color w:val="auto"/>
              </w:rPr>
              <w:t>Steven Adams</w:t>
            </w:r>
          </w:p>
        </w:tc>
      </w:tr>
      <w:tr>
        <w:trPr>
          <w:trHeight w:val="20"/>
        </w:trPr>
        <w:tc>
          <w:tcPr>
            <w:tcW w:w="144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168"/>
        </w:trPr>
        <w:tc>
          <w:tcPr>
            <w:tcW w:w="1440" w:type="dxa"/>
            <w:vAlign w:val="bottom"/>
          </w:tcPr>
          <w:p>
            <w:pPr>
              <w:spacing w:after="0"/>
              <w:rPr>
                <w:sz w:val="20"/>
                <w:szCs w:val="20"/>
                <w:color w:val="auto"/>
              </w:rPr>
            </w:pPr>
            <w:r>
              <w:rPr>
                <w:rFonts w:ascii="Arial" w:cs="Arial" w:eastAsia="Arial" w:hAnsi="Arial"/>
                <w:sz w:val="14"/>
                <w:szCs w:val="14"/>
                <w:color w:val="auto"/>
              </w:rPr>
              <w:t>Title:</w:t>
            </w:r>
          </w:p>
        </w:tc>
        <w:tc>
          <w:tcPr>
            <w:tcW w:w="3900" w:type="dxa"/>
            <w:vAlign w:val="bottom"/>
          </w:tcPr>
          <w:p>
            <w:pPr>
              <w:spacing w:after="0"/>
              <w:rPr>
                <w:sz w:val="20"/>
                <w:szCs w:val="20"/>
                <w:color w:val="auto"/>
              </w:rPr>
            </w:pPr>
            <w:r>
              <w:rPr>
                <w:rFonts w:ascii="Arial" w:cs="Arial" w:eastAsia="Arial" w:hAnsi="Arial"/>
                <w:sz w:val="14"/>
                <w:szCs w:val="14"/>
                <w:color w:val="auto"/>
              </w:rPr>
              <w:t>CEO</w:t>
            </w:r>
          </w:p>
        </w:tc>
        <w:tc>
          <w:tcPr>
            <w:tcW w:w="1660" w:type="dxa"/>
            <w:vAlign w:val="bottom"/>
          </w:tcPr>
          <w:p>
            <w:pPr>
              <w:ind w:left="760"/>
              <w:spacing w:after="0"/>
              <w:rPr>
                <w:sz w:val="20"/>
                <w:szCs w:val="20"/>
                <w:color w:val="auto"/>
              </w:rPr>
            </w:pPr>
            <w:r>
              <w:rPr>
                <w:rFonts w:ascii="Arial" w:cs="Arial" w:eastAsia="Arial" w:hAnsi="Arial"/>
                <w:sz w:val="14"/>
                <w:szCs w:val="14"/>
                <w:color w:val="auto"/>
              </w:rPr>
              <w:t>Title:</w:t>
            </w:r>
          </w:p>
        </w:tc>
        <w:tc>
          <w:tcPr>
            <w:tcW w:w="4460" w:type="dxa"/>
            <w:vAlign w:val="bottom"/>
            <w:gridSpan w:val="2"/>
          </w:tcPr>
          <w:p>
            <w:pPr>
              <w:ind w:left="240"/>
              <w:spacing w:after="0"/>
              <w:rPr>
                <w:sz w:val="20"/>
                <w:szCs w:val="20"/>
                <w:color w:val="auto"/>
              </w:rPr>
            </w:pPr>
            <w:r>
              <w:rPr>
                <w:rFonts w:ascii="Arial" w:cs="Arial" w:eastAsia="Arial" w:hAnsi="Arial"/>
                <w:sz w:val="14"/>
                <w:szCs w:val="14"/>
                <w:color w:val="auto"/>
              </w:rPr>
              <w:t>SR Director Operations Oncology Research</w:t>
            </w:r>
          </w:p>
        </w:tc>
      </w:tr>
      <w:tr>
        <w:trPr>
          <w:trHeight w:val="166"/>
        </w:trPr>
        <w:tc>
          <w:tcPr>
            <w:tcW w:w="1440" w:type="dxa"/>
            <w:vAlign w:val="bottom"/>
          </w:tcPr>
          <w:p>
            <w:pPr>
              <w:spacing w:after="0"/>
              <w:rPr>
                <w:sz w:val="14"/>
                <w:szCs w:val="14"/>
                <w:color w:val="auto"/>
              </w:rPr>
            </w:pPr>
          </w:p>
        </w:tc>
        <w:tc>
          <w:tcPr>
            <w:tcW w:w="3900" w:type="dxa"/>
            <w:vAlign w:val="bottom"/>
            <w:tcBorders>
              <w:top w:val="single" w:sz="8" w:color="auto"/>
            </w:tcBorders>
          </w:tcPr>
          <w:p>
            <w:pPr>
              <w:ind w:left="1460"/>
              <w:spacing w:after="0"/>
              <w:rPr>
                <w:sz w:val="20"/>
                <w:szCs w:val="20"/>
                <w:color w:val="auto"/>
              </w:rPr>
            </w:pPr>
            <w:r>
              <w:rPr>
                <w:rFonts w:ascii="Arial" w:cs="Arial" w:eastAsia="Arial" w:hAnsi="Arial"/>
                <w:sz w:val="14"/>
                <w:szCs w:val="14"/>
                <w:color w:val="auto"/>
              </w:rPr>
              <w:t>(Duly authorized)</w:t>
            </w: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20" w:type="dxa"/>
            <w:vAlign w:val="bottom"/>
            <w:tcBorders>
              <w:top w:val="single" w:sz="8" w:color="auto"/>
            </w:tcBorders>
          </w:tcPr>
          <w:p>
            <w:pPr>
              <w:ind w:left="1620"/>
              <w:spacing w:after="0"/>
              <w:rPr>
                <w:sz w:val="20"/>
                <w:szCs w:val="20"/>
                <w:color w:val="auto"/>
              </w:rPr>
            </w:pPr>
            <w:r>
              <w:rPr>
                <w:rFonts w:ascii="Arial" w:cs="Arial" w:eastAsia="Arial" w:hAnsi="Arial"/>
                <w:sz w:val="14"/>
                <w:szCs w:val="14"/>
                <w:color w:val="auto"/>
              </w:rPr>
              <w:t>(Duly authorized)</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3840" w:right="2700" w:hanging="1135"/>
        <w:spacing w:after="0" w:line="341" w:lineRule="auto"/>
        <w:tabs>
          <w:tab w:leader="none" w:pos="2944" w:val="left"/>
        </w:tabs>
        <w:numPr>
          <w:ilvl w:val="0"/>
          <w:numId w:val="1181"/>
        </w:numPr>
        <w:rPr>
          <w:rFonts w:ascii="Arial" w:cs="Arial" w:eastAsia="Arial" w:hAnsi="Arial"/>
          <w:sz w:val="12"/>
          <w:szCs w:val="12"/>
          <w:color w:val="auto"/>
        </w:rPr>
      </w:pPr>
      <w:r>
        <w:rPr>
          <w:rFonts w:ascii="Arial" w:cs="Arial" w:eastAsia="Arial" w:hAnsi="Arial"/>
          <w:sz w:val="12"/>
          <w:szCs w:val="12"/>
          <w:color w:val="auto"/>
        </w:rPr>
        <w:t>= Portions of this exhibit have been omitted pursuant to a request for confidential treatment. An unredacted version of this exhibit has been filed separately with the Commission.</w:t>
      </w:r>
    </w:p>
    <w:p>
      <w:pPr>
        <w:sectPr>
          <w:pgSz w:w="11900" w:h="16838" w:orient="portrait"/>
          <w:cols w:equalWidth="0" w:num="1">
            <w:col w:w="11460"/>
          </w:cols>
          <w:pgMar w:left="220" w:top="247" w:right="219" w:bottom="1440" w:gutter="0" w:footer="0" w:header="0"/>
        </w:sectPr>
      </w:pPr>
    </w:p>
    <w:bookmarkStart w:id="962" w:name="page963"/>
    <w:bookmarkEnd w:id="962"/>
    <w:p>
      <w:pPr>
        <w:jc w:val="right"/>
        <w:spacing w:after="0"/>
        <w:rPr>
          <w:sz w:val="20"/>
          <w:szCs w:val="20"/>
          <w:color w:val="auto"/>
        </w:rPr>
      </w:pPr>
      <w:r>
        <w:rPr>
          <w:rFonts w:ascii="Arial" w:cs="Arial" w:eastAsia="Arial" w:hAnsi="Arial"/>
          <w:sz w:val="14"/>
          <w:szCs w:val="14"/>
          <w:b w:val="1"/>
          <w:bCs w:val="1"/>
          <w:color w:val="auto"/>
        </w:rPr>
        <w:t>Exhibit 21.1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color w:val="auto"/>
              </w:rPr>
              <w:t>Subsidiaries</w:t>
            </w:r>
          </w:p>
        </w:tc>
      </w:tr>
      <w:tr>
        <w:trPr>
          <w:trHeight w:val="20"/>
        </w:trPr>
        <w:tc>
          <w:tcPr>
            <w:tcW w:w="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Entity</w:t>
            </w: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8"/>
              </w:rPr>
              <w:t>Jurisdiction of Organization</w:t>
            </w:r>
          </w:p>
        </w:tc>
      </w:tr>
      <w:tr>
        <w:trPr>
          <w:trHeight w:val="171"/>
        </w:trPr>
        <w:tc>
          <w:tcPr>
            <w:tcW w:w="5400" w:type="dxa"/>
            <w:vAlign w:val="bottom"/>
            <w:gridSpan w:val="2"/>
          </w:tcPr>
          <w:p>
            <w:pPr>
              <w:spacing w:after="0"/>
              <w:rPr>
                <w:sz w:val="20"/>
                <w:szCs w:val="20"/>
                <w:color w:val="auto"/>
              </w:rPr>
            </w:pPr>
            <w:r>
              <w:rPr>
                <w:rFonts w:ascii="Arial" w:cs="Arial" w:eastAsia="Arial" w:hAnsi="Arial"/>
                <w:sz w:val="14"/>
                <w:szCs w:val="14"/>
                <w:color w:val="auto"/>
              </w:rPr>
              <w:t>MacroGenics West, Inc.</w:t>
            </w:r>
          </w:p>
        </w:tc>
        <w:tc>
          <w:tcPr>
            <w:tcW w:w="24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73"/>
        </w:trPr>
        <w:tc>
          <w:tcPr>
            <w:tcW w:w="5400" w:type="dxa"/>
            <w:vAlign w:val="bottom"/>
            <w:gridSpan w:val="2"/>
          </w:tcPr>
          <w:p>
            <w:pPr>
              <w:spacing w:after="0"/>
              <w:rPr>
                <w:sz w:val="20"/>
                <w:szCs w:val="20"/>
                <w:color w:val="auto"/>
              </w:rPr>
            </w:pPr>
            <w:r>
              <w:rPr>
                <w:rFonts w:ascii="Arial" w:cs="Arial" w:eastAsia="Arial" w:hAnsi="Arial"/>
                <w:sz w:val="14"/>
                <w:szCs w:val="14"/>
                <w:color w:val="auto"/>
              </w:rPr>
              <w:t>MacroGenics UK Limited</w:t>
            </w:r>
          </w:p>
        </w:tc>
        <w:tc>
          <w:tcPr>
            <w:tcW w:w="24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1460"/>
          </w:cols>
          <w:pgMar w:left="220" w:top="130" w:right="219" w:bottom="1440" w:gutter="0" w:footer="0" w:header="0"/>
        </w:sectPr>
      </w:pPr>
    </w:p>
    <w:bookmarkStart w:id="963" w:name="page964"/>
    <w:bookmarkEnd w:id="963"/>
    <w:p>
      <w:pPr>
        <w:jc w:val="right"/>
        <w:spacing w:after="0"/>
        <w:rPr>
          <w:sz w:val="20"/>
          <w:szCs w:val="20"/>
          <w:color w:val="auto"/>
        </w:rPr>
      </w:pPr>
      <w:r>
        <w:rPr>
          <w:rFonts w:ascii="Arial" w:cs="Arial" w:eastAsia="Arial" w:hAnsi="Arial"/>
          <w:sz w:val="14"/>
          <w:szCs w:val="14"/>
          <w:b w:val="1"/>
          <w:bCs w:val="1"/>
          <w:color w:val="auto"/>
        </w:rPr>
        <w:t>Exhibit 23.1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34"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We consent to the reference to our firm under the caption “Experts” and to the use of our report dated March 8, 2013, in the Registration Statement (Form S-1) and related Prospectus of MacroGenics, Inc. for the registration of shares of its common stock.</w:t>
      </w:r>
    </w:p>
    <w:p>
      <w:pPr>
        <w:spacing w:after="0" w:line="101" w:lineRule="exact"/>
        <w:rPr>
          <w:sz w:val="20"/>
          <w:szCs w:val="20"/>
          <w:color w:val="auto"/>
        </w:rPr>
      </w:pPr>
    </w:p>
    <w:p>
      <w:pPr>
        <w:ind w:left="10220"/>
        <w:spacing w:after="0"/>
        <w:rPr>
          <w:sz w:val="20"/>
          <w:szCs w:val="20"/>
          <w:color w:val="auto"/>
        </w:rPr>
      </w:pPr>
      <w:r>
        <w:rPr>
          <w:rFonts w:ascii="Arial" w:cs="Arial" w:eastAsia="Arial" w:hAnsi="Arial"/>
          <w:sz w:val="12"/>
          <w:szCs w:val="12"/>
          <w:color w:val="auto"/>
        </w:rPr>
        <w:t>/s/ Ernst &amp; Young LLP</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September 4, 2013</w:t>
      </w:r>
    </w:p>
    <w:p>
      <w:pPr>
        <w:sectPr>
          <w:pgSz w:w="11900" w:h="16838" w:orient="portrait"/>
          <w:cols w:equalWidth="0" w:num="1">
            <w:col w:w="11460"/>
          </w:cols>
          <w:pgMar w:left="220" w:top="130" w:right="219" w:bottom="1440" w:gutter="0" w:footer="0" w:header="0"/>
        </w:sectPr>
      </w:pPr>
    </w:p>
    <w:bookmarkStart w:id="964" w:name="page965"/>
    <w:bookmarkEnd w:id="964"/>
    <w:p>
      <w:pPr>
        <w:ind w:left="780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142240</wp:posOffset>
            </wp:positionH>
            <wp:positionV relativeFrom="page">
              <wp:posOffset>314960</wp:posOffset>
            </wp:positionV>
            <wp:extent cx="4882515" cy="22542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Richard E. Baltz</w:t>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Richard.Baltz@aporter.com</w:t>
      </w:r>
    </w:p>
    <w:p>
      <w:pPr>
        <w:spacing w:after="0" w:line="55"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+1 202.942.5124</w:t>
      </w:r>
    </w:p>
    <w:p>
      <w:pPr>
        <w:spacing w:after="0" w:line="8"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+1 202.942.5999 Fax</w:t>
      </w:r>
    </w:p>
    <w:p>
      <w:pPr>
        <w:spacing w:after="0" w:line="55"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555 Twelfth Street, NW</w:t>
      </w:r>
    </w:p>
    <w:p>
      <w:pPr>
        <w:spacing w:after="0" w:line="8" w:lineRule="exact"/>
        <w:rPr>
          <w:sz w:val="20"/>
          <w:szCs w:val="20"/>
          <w:color w:val="auto"/>
        </w:rPr>
      </w:pPr>
    </w:p>
    <w:p>
      <w:pPr>
        <w:ind w:left="7800"/>
        <w:spacing w:after="0"/>
        <w:rPr>
          <w:sz w:val="20"/>
          <w:szCs w:val="20"/>
          <w:color w:val="auto"/>
        </w:rPr>
      </w:pPr>
      <w:r>
        <w:rPr>
          <w:rFonts w:ascii="Arial" w:cs="Arial" w:eastAsia="Arial" w:hAnsi="Arial"/>
          <w:sz w:val="10"/>
          <w:szCs w:val="10"/>
          <w:color w:val="auto"/>
        </w:rPr>
        <w:t>Washington, DC 20004-1206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September 4, 2013</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VIA EDGAR SUBMISSION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Division of Corporation Finance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20549</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Attention: Jeffrey P. Riedler</w:t>
      </w:r>
    </w:p>
    <w:p>
      <w:pPr>
        <w:spacing w:after="0" w:line="16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4"/>
          <w:szCs w:val="14"/>
          <w:color w:val="auto"/>
        </w:rPr>
        <w:t>MacroGenics, Inc.</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Registration Statement on Form S-1</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Confidentially Submitted August 2, 2013</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File No. 377-00268</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69" w:lineRule="exact"/>
        <w:rPr>
          <w:sz w:val="20"/>
          <w:szCs w:val="20"/>
          <w:color w:val="auto"/>
        </w:rPr>
      </w:pPr>
    </w:p>
    <w:p>
      <w:pPr>
        <w:ind w:right="60" w:firstLine="458"/>
        <w:spacing w:after="0" w:line="258" w:lineRule="auto"/>
        <w:rPr>
          <w:sz w:val="20"/>
          <w:szCs w:val="20"/>
          <w:color w:val="auto"/>
        </w:rPr>
      </w:pPr>
      <w:r>
        <w:rPr>
          <w:rFonts w:ascii="Arial" w:cs="Arial" w:eastAsia="Arial" w:hAnsi="Arial"/>
          <w:sz w:val="14"/>
          <w:szCs w:val="14"/>
          <w:color w:val="auto"/>
        </w:rPr>
        <w:t>On behalf of MacroGenics, Inc. (the “Company”), set forth below is the Company’s response to the comment letter dated August 28, 2013 provided by the staff of the Division of Corporation Finance (the “Staff”) of the Securities and Exchange Commission (the “Commission”) to the Company regarding the Company’s Confidential Draft Registration Statement on Form S-1 (File No. 377-00268) (the “Draft Registration Statement”) and the prospectus included therein (the “Prospectus”).</w:t>
      </w:r>
    </w:p>
    <w:p>
      <w:pPr>
        <w:spacing w:after="0" w:line="108" w:lineRule="exact"/>
        <w:rPr>
          <w:sz w:val="20"/>
          <w:szCs w:val="20"/>
          <w:color w:val="auto"/>
        </w:rPr>
      </w:pPr>
    </w:p>
    <w:p>
      <w:pPr>
        <w:ind w:firstLine="458"/>
        <w:spacing w:after="0" w:line="321" w:lineRule="auto"/>
        <w:rPr>
          <w:sz w:val="20"/>
          <w:szCs w:val="20"/>
          <w:color w:val="auto"/>
        </w:rPr>
      </w:pPr>
      <w:r>
        <w:rPr>
          <w:rFonts w:ascii="Arial" w:cs="Arial" w:eastAsia="Arial" w:hAnsi="Arial"/>
          <w:sz w:val="12"/>
          <w:szCs w:val="12"/>
          <w:color w:val="auto"/>
        </w:rPr>
        <w:t>We also describe below the changes that we have made in response to the Staff’s comments in the Registration Statement on Form S-1 (the “Registration Statement”) that the Company filed on September 4, 2013. For your convenience, the Staff’s comments are numbered and presented in italicized text below, and each comment is followed by the Company’s proposed response. The Company will also provide the Staff courtesy copies of the Registration Statement as-filed and marked to reflect the changes from the Draft Registration Statement.</w:t>
      </w:r>
    </w:p>
    <w:p>
      <w:pPr>
        <w:spacing w:after="0" w:line="73" w:lineRule="exact"/>
        <w:rPr>
          <w:sz w:val="20"/>
          <w:szCs w:val="20"/>
          <w:color w:val="auto"/>
        </w:rPr>
      </w:pPr>
    </w:p>
    <w:p>
      <w:pPr>
        <w:ind w:firstLine="458"/>
        <w:spacing w:after="0" w:line="258" w:lineRule="auto"/>
        <w:rPr>
          <w:sz w:val="20"/>
          <w:szCs w:val="20"/>
          <w:color w:val="auto"/>
        </w:rPr>
      </w:pPr>
      <w:r>
        <w:rPr>
          <w:rFonts w:ascii="Arial" w:cs="Arial" w:eastAsia="Arial" w:hAnsi="Arial"/>
          <w:sz w:val="14"/>
          <w:szCs w:val="14"/>
          <w:color w:val="auto"/>
        </w:rPr>
        <w:t>As noted below, the Company will, in connection with this letter, submit to the Staff under separate cover certain supplemental materials. The Company respectfully requests that, upon the completion of the Staff’s review of the supplemental materials, the Staff return the supplemental materials pursuant to Rule 418 promulgated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to Richard E. Baltz, Arnold &amp; Porter LLP, 555 12</w:t>
      </w:r>
      <w:r>
        <w:rPr>
          <w:rFonts w:ascii="Arial" w:cs="Arial" w:eastAsia="Arial" w:hAnsi="Arial"/>
          <w:sz w:val="8"/>
          <w:szCs w:val="8"/>
          <w:color w:val="auto"/>
        </w:rPr>
        <w:t>th</w:t>
      </w:r>
      <w:r>
        <w:rPr>
          <w:rFonts w:ascii="Arial" w:cs="Arial" w:eastAsia="Arial" w:hAnsi="Arial"/>
          <w:sz w:val="14"/>
          <w:szCs w:val="14"/>
          <w:color w:val="auto"/>
        </w:rPr>
        <w:t xml:space="preserve"> Street NW, Washington, DC 20004.</w:t>
      </w:r>
    </w:p>
    <w:p>
      <w:pPr>
        <w:sectPr>
          <w:pgSz w:w="11900" w:h="16838" w:orient="portrait"/>
          <w:cols w:equalWidth="0" w:num="1">
            <w:col w:w="11460"/>
          </w:cols>
          <w:pgMar w:left="220" w:top="839" w:right="219" w:bottom="1440" w:gutter="0" w:footer="0" w:header="0"/>
        </w:sectPr>
      </w:pPr>
    </w:p>
    <w:bookmarkStart w:id="965" w:name="page966"/>
    <w:bookmarkEnd w:id="96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On behalf of the Company, we advise you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w:t>
      </w:r>
    </w:p>
    <w:p>
      <w:pPr>
        <w:spacing w:after="0" w:line="132" w:lineRule="exact"/>
        <w:rPr>
          <w:sz w:val="20"/>
          <w:szCs w:val="20"/>
          <w:color w:val="auto"/>
        </w:rPr>
      </w:pPr>
    </w:p>
    <w:p>
      <w:pPr>
        <w:ind w:left="140" w:hanging="136"/>
        <w:spacing w:after="0"/>
        <w:tabs>
          <w:tab w:leader="none" w:pos="140" w:val="left"/>
        </w:tabs>
        <w:numPr>
          <w:ilvl w:val="0"/>
          <w:numId w:val="1182"/>
        </w:numPr>
        <w:rPr>
          <w:rFonts w:ascii="Arial" w:cs="Arial" w:eastAsia="Arial" w:hAnsi="Arial"/>
          <w:sz w:val="14"/>
          <w:szCs w:val="14"/>
          <w:color w:val="auto"/>
        </w:rPr>
      </w:pPr>
      <w:r>
        <w:rPr>
          <w:rFonts w:ascii="Arial" w:cs="Arial" w:eastAsia="Arial" w:hAnsi="Arial"/>
          <w:sz w:val="14"/>
          <w:szCs w:val="14"/>
          <w:i w:val="1"/>
          <w:iCs w:val="1"/>
          <w:color w:val="auto"/>
        </w:rPr>
        <w:t>Please update your financial statements pursuant to Item 3-12 of Regulation S-X.</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Company acknowledges the Staff’s comment and has updated the financial statements in the registration statement to a date within the age requirements of Item 3-12 of Regulation S-X.</w:t>
      </w:r>
    </w:p>
    <w:p>
      <w:pPr>
        <w:spacing w:after="0" w:line="157" w:lineRule="exact"/>
        <w:rPr>
          <w:sz w:val="20"/>
          <w:szCs w:val="20"/>
          <w:color w:val="auto"/>
        </w:rPr>
      </w:pPr>
    </w:p>
    <w:p>
      <w:pPr>
        <w:ind w:left="460" w:right="4800" w:hanging="456"/>
        <w:spacing w:after="0" w:line="508" w:lineRule="auto"/>
        <w:tabs>
          <w:tab w:leader="none" w:pos="137" w:val="left"/>
        </w:tabs>
        <w:numPr>
          <w:ilvl w:val="0"/>
          <w:numId w:val="1183"/>
        </w:numPr>
        <w:rPr>
          <w:rFonts w:ascii="Arial" w:cs="Arial" w:eastAsia="Arial" w:hAnsi="Arial"/>
          <w:sz w:val="12"/>
          <w:szCs w:val="12"/>
          <w:color w:val="auto"/>
        </w:rPr>
      </w:pPr>
      <w:r>
        <w:rPr>
          <w:rFonts w:ascii="Arial" w:cs="Arial" w:eastAsia="Arial" w:hAnsi="Arial"/>
          <w:sz w:val="12"/>
          <w:szCs w:val="12"/>
          <w:i w:val="1"/>
          <w:iCs w:val="1"/>
          <w:color w:val="auto"/>
        </w:rPr>
        <w:t xml:space="preserve">Please submit all exhibits as soon as practicable. We may have further comments upon examination of these exhibits. </w:t>
      </w: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Company acknowledges the Staff’s comment and will provide all exhibits as soon as practicable.</w:t>
      </w:r>
    </w:p>
    <w:p>
      <w:pPr>
        <w:ind w:right="120" w:firstLine="4"/>
        <w:spacing w:after="0" w:line="267" w:lineRule="auto"/>
        <w:tabs>
          <w:tab w:leader="none" w:pos="136" w:val="left"/>
        </w:tabs>
        <w:numPr>
          <w:ilvl w:val="0"/>
          <w:numId w:val="1183"/>
        </w:numPr>
        <w:rPr>
          <w:rFonts w:ascii="Arial" w:cs="Arial" w:eastAsia="Arial" w:hAnsi="Arial"/>
          <w:sz w:val="14"/>
          <w:szCs w:val="14"/>
          <w:color w:val="auto"/>
        </w:rPr>
      </w:pPr>
      <w:r>
        <w:rPr>
          <w:rFonts w:ascii="Arial" w:cs="Arial" w:eastAsia="Arial" w:hAnsi="Arial"/>
          <w:sz w:val="14"/>
          <w:szCs w:val="14"/>
          <w:i w:val="1"/>
          <w:iCs w:val="1"/>
          <w:color w:val="auto"/>
        </w:rPr>
        <w:t>Please provide us proofs of all graphic, visual or photographic information you will provide in the printed prospectus prior to its use, for example in a preliminary prospectus. Please note that we may have comments regarding this material.</w:t>
      </w:r>
    </w:p>
    <w:p>
      <w:pPr>
        <w:spacing w:after="0" w:line="99"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does not currently intend to include any additional graphics at this time other than those graphics included in the Registration Statement. If the Company determines to include</w:t>
      </w:r>
      <w:r>
        <w:rPr>
          <w:rFonts w:ascii="Arial" w:cs="Arial" w:eastAsia="Arial" w:hAnsi="Arial"/>
          <w:sz w:val="14"/>
          <w:szCs w:val="14"/>
          <w:b w:val="1"/>
          <w:bCs w:val="1"/>
          <w:color w:val="auto"/>
        </w:rPr>
        <w:t xml:space="preserve"> </w:t>
      </w:r>
      <w:r>
        <w:rPr>
          <w:rFonts w:ascii="Arial" w:cs="Arial" w:eastAsia="Arial" w:hAnsi="Arial"/>
          <w:sz w:val="14"/>
          <w:szCs w:val="14"/>
          <w:color w:val="auto"/>
        </w:rPr>
        <w:t>any other graphic in the prospectus, prior to its use the Company will promptly provide such material to the Staff on a supplemental basis. The Company acknowledges that the Staff may have additional comments regarding this material.</w:t>
      </w:r>
    </w:p>
    <w:p>
      <w:pPr>
        <w:spacing w:after="0" w:line="108" w:lineRule="exact"/>
        <w:rPr>
          <w:sz w:val="20"/>
          <w:szCs w:val="20"/>
          <w:color w:val="auto"/>
        </w:rPr>
      </w:pPr>
    </w:p>
    <w:p>
      <w:pPr>
        <w:ind w:right="180" w:firstLine="4"/>
        <w:spacing w:after="0" w:line="255" w:lineRule="auto"/>
        <w:tabs>
          <w:tab w:leader="none" w:pos="136" w:val="left"/>
        </w:tabs>
        <w:numPr>
          <w:ilvl w:val="0"/>
          <w:numId w:val="1184"/>
        </w:numPr>
        <w:rPr>
          <w:rFonts w:ascii="Arial" w:cs="Arial" w:eastAsia="Arial" w:hAnsi="Arial"/>
          <w:sz w:val="14"/>
          <w:szCs w:val="14"/>
          <w:color w:val="auto"/>
        </w:rPr>
      </w:pPr>
      <w:r>
        <w:rPr>
          <w:rFonts w:ascii="Arial" w:cs="Arial" w:eastAsia="Arial" w:hAnsi="Arial"/>
          <w:sz w:val="14"/>
          <w:szCs w:val="14"/>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ectPr>
          <w:pgSz w:w="11900" w:h="16838" w:orient="portrait"/>
          <w:cols w:equalWidth="0" w:num="1">
            <w:col w:w="11400"/>
          </w:cols>
          <w:pgMar w:left="220" w:top="728" w:right="279" w:bottom="1440" w:gutter="0" w:footer="0" w:header="0"/>
        </w:sectPr>
      </w:pPr>
    </w:p>
    <w:bookmarkStart w:id="966" w:name="page967"/>
    <w:bookmarkEnd w:id="96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3</w:t>
      </w:r>
    </w:p>
    <w:p>
      <w:pPr>
        <w:spacing w:after="0" w:line="113" w:lineRule="exact"/>
        <w:rPr>
          <w:sz w:val="20"/>
          <w:szCs w:val="20"/>
          <w:color w:val="auto"/>
        </w:rPr>
      </w:pPr>
    </w:p>
    <w:p>
      <w:pPr>
        <w:ind w:firstLine="458"/>
        <w:spacing w:after="0" w:line="256"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request, the Company has provided to the Staff on a supplemental basis all of the written materials that were presented to potential investors in reliance on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5(d) of the Securities Act. Such materials were only made available for viewing by such investors during the Company’s presentation. To the Company’s knowledge, no research reports about the Company were published or distributed in reliance upon Section 2(a)(3) of the Securities Act added by Section 105(a) of the Jumpstart Our Business Startups Act by any broker or dealer that is participating or, to the Company’s knowledge, will participate in the offering.</w:t>
      </w:r>
    </w:p>
    <w:p>
      <w:pPr>
        <w:spacing w:after="0" w:line="109" w:lineRule="exact"/>
        <w:rPr>
          <w:sz w:val="20"/>
          <w:szCs w:val="20"/>
          <w:color w:val="auto"/>
        </w:rPr>
      </w:pPr>
    </w:p>
    <w:p>
      <w:pPr>
        <w:ind w:left="460" w:right="6540" w:hanging="456"/>
        <w:spacing w:after="0" w:line="563" w:lineRule="auto"/>
        <w:tabs>
          <w:tab w:leader="none" w:pos="137" w:val="left"/>
        </w:tabs>
        <w:numPr>
          <w:ilvl w:val="0"/>
          <w:numId w:val="1185"/>
        </w:numPr>
        <w:rPr>
          <w:rFonts w:ascii="Arial" w:cs="Arial" w:eastAsia="Arial" w:hAnsi="Arial"/>
          <w:sz w:val="12"/>
          <w:szCs w:val="12"/>
          <w:color w:val="auto"/>
        </w:rPr>
      </w:pPr>
      <w:r>
        <w:rPr>
          <w:rFonts w:ascii="Arial" w:cs="Arial" w:eastAsia="Arial" w:hAnsi="Arial"/>
          <w:sz w:val="12"/>
          <w:szCs w:val="12"/>
          <w:i w:val="1"/>
          <w:iCs w:val="1"/>
          <w:color w:val="auto"/>
        </w:rPr>
        <w:t xml:space="preserve">We will deliver comments to your confidential treatment request under separate cover. </w:t>
      </w: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Company acknowledges the Staff’s comment.</w:t>
      </w:r>
    </w:p>
    <w:p>
      <w:pPr>
        <w:spacing w:after="0"/>
        <w:rPr>
          <w:sz w:val="20"/>
          <w:szCs w:val="20"/>
          <w:color w:val="auto"/>
        </w:rPr>
      </w:pPr>
      <w:r>
        <w:rPr>
          <w:rFonts w:ascii="Arial" w:cs="Arial" w:eastAsia="Arial" w:hAnsi="Arial"/>
          <w:sz w:val="14"/>
          <w:szCs w:val="14"/>
          <w:u w:val="single" w:color="auto"/>
          <w:color w:val="auto"/>
        </w:rPr>
        <w:t>Prospectus Summary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Our Product Candidates, page 2</w:t>
      </w:r>
    </w:p>
    <w:p>
      <w:pPr>
        <w:spacing w:after="0" w:line="126" w:lineRule="exact"/>
        <w:rPr>
          <w:sz w:val="20"/>
          <w:szCs w:val="20"/>
          <w:color w:val="auto"/>
        </w:rPr>
      </w:pPr>
    </w:p>
    <w:p>
      <w:pPr>
        <w:ind w:firstLine="4"/>
        <w:spacing w:after="0" w:line="258" w:lineRule="auto"/>
        <w:tabs>
          <w:tab w:leader="none" w:pos="136" w:val="left"/>
        </w:tabs>
        <w:numPr>
          <w:ilvl w:val="0"/>
          <w:numId w:val="1186"/>
        </w:numPr>
        <w:rPr>
          <w:rFonts w:ascii="Arial" w:cs="Arial" w:eastAsia="Arial" w:hAnsi="Arial"/>
          <w:sz w:val="14"/>
          <w:szCs w:val="14"/>
          <w:color w:val="auto"/>
        </w:rPr>
      </w:pPr>
      <w:r>
        <w:rPr>
          <w:rFonts w:ascii="Arial" w:cs="Arial" w:eastAsia="Arial" w:hAnsi="Arial"/>
          <w:sz w:val="14"/>
          <w:szCs w:val="14"/>
          <w:i w:val="1"/>
          <w:iCs w:val="1"/>
          <w:color w:val="auto"/>
        </w:rPr>
        <w:t>In the table on this page and on page 61, you include Teplizumab as a Phase 2 product candidate, although you are currently not actively developing it, the collaboration agreement relating to it has been terminated, and no proceeds from this offering will go to fund its development. In light of these facts, please remove Teplizumab from the table describing your pipeline products, or alternately, please advise us as to your basis for including it.</w:t>
      </w:r>
    </w:p>
    <w:p>
      <w:pPr>
        <w:spacing w:after="0" w:line="106" w:lineRule="exact"/>
        <w:rPr>
          <w:sz w:val="20"/>
          <w:szCs w:val="20"/>
          <w:color w:val="auto"/>
        </w:rPr>
      </w:pPr>
    </w:p>
    <w:p>
      <w:pPr>
        <w:ind w:right="100" w:firstLine="458"/>
        <w:spacing w:after="0" w:line="306"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Since the Company’s original submission, additional clinical data collected in an investigator sponsored trial and published in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Diabetes</w:t>
      </w:r>
      <w:r>
        <w:rPr>
          <w:rFonts w:ascii="Arial" w:cs="Arial" w:eastAsia="Arial" w:hAnsi="Arial"/>
          <w:sz w:val="12"/>
          <w:szCs w:val="12"/>
          <w:b w:val="1"/>
          <w:bCs w:val="1"/>
          <w:color w:val="auto"/>
        </w:rPr>
        <w:t xml:space="preserve"> </w:t>
      </w:r>
      <w:r>
        <w:rPr>
          <w:rFonts w:ascii="Arial" w:cs="Arial" w:eastAsia="Arial" w:hAnsi="Arial"/>
          <w:sz w:val="12"/>
          <w:szCs w:val="12"/>
          <w:color w:val="auto"/>
        </w:rPr>
        <w:t>indicated a clinical response in pediatric patients</w:t>
      </w:r>
      <w:r>
        <w:rPr>
          <w:rFonts w:ascii="Arial" w:cs="Arial" w:eastAsia="Arial" w:hAnsi="Arial"/>
          <w:sz w:val="12"/>
          <w:szCs w:val="12"/>
          <w:b w:val="1"/>
          <w:bCs w:val="1"/>
          <w:color w:val="auto"/>
        </w:rPr>
        <w:t xml:space="preserve"> </w:t>
      </w:r>
      <w:r>
        <w:rPr>
          <w:rFonts w:ascii="Arial" w:cs="Arial" w:eastAsia="Arial" w:hAnsi="Arial"/>
          <w:sz w:val="12"/>
          <w:szCs w:val="12"/>
          <w:color w:val="auto"/>
        </w:rPr>
        <w:t>treated with teplizumab, and particularly within a subpopulation of these patients who had the most marked favorable response to treatment. As a result, the Company now is investigating the possibility of conducting another Phase 3 trial in this defined population with a partner, and plans to discuss the design with the FDA and potential new partners. Furthermore, the Phase 2 clinical trial, called “At Risk” and discussed in the Registration Statement, continues to recruit new patients who are at risk for developing diabetes. The Company along with TrialNet (an international network of researchers exploring ways to address Type 1 diabetes funded by the National Institute of Health, Juvenile Diabetes Research Foundation and the</w:t>
      </w:r>
    </w:p>
    <w:p>
      <w:pPr>
        <w:sectPr>
          <w:pgSz w:w="11900" w:h="16838" w:orient="portrait"/>
          <w:cols w:equalWidth="0" w:num="1">
            <w:col w:w="11360"/>
          </w:cols>
          <w:pgMar w:left="220" w:top="728" w:right="319" w:bottom="1440" w:gutter="0" w:footer="0" w:header="0"/>
        </w:sectPr>
      </w:pPr>
    </w:p>
    <w:bookmarkStart w:id="967" w:name="page968"/>
    <w:bookmarkEnd w:id="96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4</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American Diabetes Association) will be engaging regulatory agencies in Canada and Europe to expand participation in this trial outside of the United States. Based on the outcome of these discussions and analysis, the Company may elect in the future to use some of the proceeds of this offering, which are currently allocated to general corporate use, to further research and development of teplizumab. Although the Company cannot estimate how much, if any, of the proceeds will be so allocated, it has removed disclosure indicating that no proceeds of the offering will be used for further development of teplizumab. In light of these developments, the Company believes that teplizumab remains an active product candidate in the Company’s product pipeline, and illustrates it as such in the product pipeline chart in the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Our Collaboration, pages 3-4</w:t>
      </w:r>
    </w:p>
    <w:p>
      <w:pPr>
        <w:spacing w:after="0" w:line="132" w:lineRule="exact"/>
        <w:rPr>
          <w:sz w:val="20"/>
          <w:szCs w:val="20"/>
          <w:color w:val="auto"/>
        </w:rPr>
      </w:pPr>
    </w:p>
    <w:p>
      <w:pPr>
        <w:ind w:right="240" w:firstLine="4"/>
        <w:spacing w:after="0" w:line="321" w:lineRule="auto"/>
        <w:tabs>
          <w:tab w:leader="none" w:pos="136" w:val="left"/>
        </w:tabs>
        <w:numPr>
          <w:ilvl w:val="0"/>
          <w:numId w:val="1187"/>
        </w:numPr>
        <w:rPr>
          <w:rFonts w:ascii="Arial" w:cs="Arial" w:eastAsia="Arial" w:hAnsi="Arial"/>
          <w:sz w:val="12"/>
          <w:szCs w:val="12"/>
          <w:color w:val="auto"/>
        </w:rPr>
      </w:pPr>
      <w:r>
        <w:rPr>
          <w:rFonts w:ascii="Arial" w:cs="Arial" w:eastAsia="Arial" w:hAnsi="Arial"/>
          <w:sz w:val="12"/>
          <w:szCs w:val="12"/>
          <w:i w:val="1"/>
          <w:iCs w:val="1"/>
          <w:color w:val="auto"/>
        </w:rPr>
        <w:t>We note your disclosure in this section relating to collaboration agreements with Gilead, Boehringer, and Pfizer relating to unspecified DART products. Given that no product candidates have yet been identified under these agreements and given that future payments depend mostly on remote contingencies, please remove references to royalties and total potential grant fees and milestone payments from the descriptions in the prospectus summary. The more detailed descriptions of these agreements are better suited to the body of the prospectus, as they currently appear on pages 62-63.</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5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 Factors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“We are an ‘emerging growth company’ and as a result…,” page 32</w:t>
      </w:r>
    </w:p>
    <w:p>
      <w:pPr>
        <w:spacing w:after="0" w:line="126" w:lineRule="exact"/>
        <w:rPr>
          <w:sz w:val="20"/>
          <w:szCs w:val="20"/>
          <w:color w:val="auto"/>
        </w:rPr>
      </w:pPr>
    </w:p>
    <w:p>
      <w:pPr>
        <w:ind w:left="140" w:hanging="136"/>
        <w:spacing w:after="0"/>
        <w:tabs>
          <w:tab w:leader="none" w:pos="140" w:val="left"/>
        </w:tabs>
        <w:numPr>
          <w:ilvl w:val="0"/>
          <w:numId w:val="1188"/>
        </w:numPr>
        <w:rPr>
          <w:rFonts w:ascii="Arial" w:cs="Arial" w:eastAsia="Arial" w:hAnsi="Arial"/>
          <w:sz w:val="14"/>
          <w:szCs w:val="14"/>
          <w:color w:val="auto"/>
        </w:rPr>
      </w:pPr>
      <w:r>
        <w:rPr>
          <w:rFonts w:ascii="Arial" w:cs="Arial" w:eastAsia="Arial" w:hAnsi="Arial"/>
          <w:sz w:val="14"/>
          <w:szCs w:val="14"/>
          <w:i w:val="1"/>
          <w:iCs w:val="1"/>
          <w:color w:val="auto"/>
        </w:rPr>
        <w:t>Since you appear to qualify as an “emerging growth company,” as defined in the Jumpstart Our Business Startups Act, please state your election under Section 107(b) of the Act:</w:t>
      </w:r>
    </w:p>
    <w:p>
      <w:pPr>
        <w:spacing w:after="0" w:line="69" w:lineRule="exact"/>
        <w:rPr>
          <w:sz w:val="20"/>
          <w:szCs w:val="20"/>
          <w:color w:val="auto"/>
        </w:rPr>
      </w:pPr>
    </w:p>
    <w:p>
      <w:pPr>
        <w:ind w:left="920" w:right="420"/>
        <w:spacing w:after="0" w:line="267" w:lineRule="auto"/>
        <w:rPr>
          <w:sz w:val="20"/>
          <w:szCs w:val="20"/>
          <w:color w:val="auto"/>
        </w:rPr>
      </w:pPr>
      <w:r>
        <w:rPr>
          <w:rFonts w:ascii="Arial" w:cs="Arial" w:eastAsia="Arial" w:hAnsi="Arial"/>
          <w:sz w:val="14"/>
          <w:szCs w:val="14"/>
          <w:i w:val="1"/>
          <w:iCs w:val="1"/>
          <w:color w:val="auto"/>
        </w:rPr>
        <w:t>If you have elected to opt out of the extended transition period for complying with new or revised accounting standards pursuant to Section 107(b), include a statement that the election is irrevocable; or</w:t>
      </w:r>
    </w:p>
    <w:p>
      <w:pPr>
        <w:spacing w:after="0" w:line="39" w:lineRule="exact"/>
        <w:rPr>
          <w:sz w:val="20"/>
          <w:szCs w:val="20"/>
          <w:color w:val="auto"/>
        </w:rPr>
      </w:pPr>
    </w:p>
    <w:p>
      <w:pPr>
        <w:ind w:left="920" w:right="20"/>
        <w:spacing w:after="0" w:line="255" w:lineRule="auto"/>
        <w:rPr>
          <w:sz w:val="20"/>
          <w:szCs w:val="20"/>
          <w:color w:val="auto"/>
        </w:rPr>
      </w:pPr>
      <w:r>
        <w:rPr>
          <w:rFonts w:ascii="Arial" w:cs="Arial" w:eastAsia="Arial" w:hAnsi="Arial"/>
          <w:sz w:val="14"/>
          <w:szCs w:val="14"/>
          <w:i w:val="1"/>
          <w:iCs w:val="1"/>
          <w:color w:val="auto"/>
        </w:rPr>
        <w:t>If you have elected to use the extended transition period for complying with new or revised accounting standards under Section 102(b)(1), provide a risk factor explaining that this election allows you to delay the adoption of new or revised accounting standards that have different effective dates for public and private companies until those standards apply to private companies. Please state in your risk factor that, as a result of this election, your financial statements may not be comparable to companies that comply with public company effective dates. Include a similar statement in your critical accounting policy disclosures.</w:t>
      </w:r>
    </w:p>
    <w:p>
      <w:pPr>
        <w:sectPr>
          <w:pgSz w:w="11900" w:h="16838" w:orient="portrait"/>
          <w:cols w:equalWidth="0" w:num="1">
            <w:col w:w="11460"/>
          </w:cols>
          <w:pgMar w:left="220" w:top="728" w:right="219" w:bottom="1440" w:gutter="0" w:footer="0" w:header="0"/>
        </w:sectPr>
      </w:pPr>
    </w:p>
    <w:bookmarkStart w:id="968" w:name="page969"/>
    <w:bookmarkEnd w:id="96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5</w:t>
      </w:r>
    </w:p>
    <w:p>
      <w:pPr>
        <w:spacing w:after="0" w:line="113"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has elected to opt out of the extended transition period for complying with new or revised accounting standards pursuant to Section 107(b) of the Act and understands that this</w:t>
      </w:r>
      <w:r>
        <w:rPr>
          <w:rFonts w:ascii="Arial" w:cs="Arial" w:eastAsia="Arial" w:hAnsi="Arial"/>
          <w:sz w:val="14"/>
          <w:szCs w:val="14"/>
          <w:b w:val="1"/>
          <w:bCs w:val="1"/>
          <w:color w:val="auto"/>
        </w:rPr>
        <w:t xml:space="preserve"> </w:t>
      </w:r>
      <w:r>
        <w:rPr>
          <w:rFonts w:ascii="Arial" w:cs="Arial" w:eastAsia="Arial" w:hAnsi="Arial"/>
          <w:sz w:val="14"/>
          <w:szCs w:val="14"/>
          <w:color w:val="auto"/>
        </w:rPr>
        <w:t>election is irrevocable. The Company has added disclosure on pages 40, 69 and 70 of the Registration Statement to reflect this election.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Use of Proceeds, page 36</w:t>
      </w:r>
    </w:p>
    <w:p>
      <w:pPr>
        <w:spacing w:after="0" w:line="132" w:lineRule="exact"/>
        <w:rPr>
          <w:sz w:val="20"/>
          <w:szCs w:val="20"/>
          <w:color w:val="auto"/>
        </w:rPr>
      </w:pPr>
    </w:p>
    <w:p>
      <w:pPr>
        <w:jc w:val="both"/>
        <w:ind w:firstLine="4"/>
        <w:spacing w:after="0" w:line="258" w:lineRule="auto"/>
        <w:tabs>
          <w:tab w:leader="none" w:pos="136" w:val="left"/>
        </w:tabs>
        <w:numPr>
          <w:ilvl w:val="0"/>
          <w:numId w:val="1189"/>
        </w:numPr>
        <w:rPr>
          <w:rFonts w:ascii="Arial" w:cs="Arial" w:eastAsia="Arial" w:hAnsi="Arial"/>
          <w:sz w:val="14"/>
          <w:szCs w:val="14"/>
          <w:color w:val="auto"/>
        </w:rPr>
      </w:pPr>
      <w:r>
        <w:rPr>
          <w:rFonts w:ascii="Arial" w:cs="Arial" w:eastAsia="Arial" w:hAnsi="Arial"/>
          <w:sz w:val="14"/>
          <w:szCs w:val="14"/>
          <w:i w:val="1"/>
          <w:iCs w:val="1"/>
          <w:color w:val="auto"/>
        </w:rPr>
        <w:t>Please provide disclosure as to the amount of proceeds that you expect to devote to each of any of the six clinical trials that are currently ongoing or will begin by 2015. Additionally, to the extent that you may finance any of these trials with the proceeds, please disclose whether you expect the application of such proceeds to enable you to complete the trial. If not, please disclose what the application of these proceeds will allow you to accomplish as to each such partially funded trial.</w:t>
      </w:r>
    </w:p>
    <w:p>
      <w:pPr>
        <w:spacing w:after="0" w:line="106" w:lineRule="exact"/>
        <w:rPr>
          <w:sz w:val="20"/>
          <w:szCs w:val="20"/>
          <w:color w:val="auto"/>
        </w:rPr>
      </w:pPr>
    </w:p>
    <w:p>
      <w:pPr>
        <w:ind w:right="160" w:firstLine="458"/>
        <w:spacing w:after="0" w:line="253"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believes that the current disclosure is the most accurate representation of its current plans for the use of proceeds. Margetuximab and MGA271 are the Company’s two lead</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and the current disclosure reflects that the proceeds of this offering will be prioritized to fund clinical development of those two product candidates. Management and the board of directors have yet to decide how the Company will allocate proceeds from this offering and the Company’s other financial resources among the remaining product candidates, MGD006, MGD007 and MGD010. Moreover, the Company is not substantially dependent on this offering to continue development of its product candidates. The Company estimates that its current cash and cash equivalents, together with the development milestones and opt-in payments that it expects to receive from its collaborators through 2015, could fund nearly all of the estimated costs of all of its potential clinical trials through 2016 without the proceeds of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 page 50</w:t>
      </w:r>
    </w:p>
    <w:p>
      <w:pPr>
        <w:sectPr>
          <w:pgSz w:w="11900" w:h="16838" w:orient="portrait"/>
          <w:cols w:equalWidth="0" w:num="1">
            <w:col w:w="11460"/>
          </w:cols>
          <w:pgMar w:left="220" w:top="728" w:right="219" w:bottom="1440" w:gutter="0" w:footer="0" w:header="0"/>
        </w:sectPr>
      </w:pPr>
    </w:p>
    <w:bookmarkStart w:id="969" w:name="page970"/>
    <w:bookmarkEnd w:id="96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6</w:t>
      </w:r>
    </w:p>
    <w:p>
      <w:pPr>
        <w:spacing w:after="0" w:line="115" w:lineRule="exact"/>
        <w:rPr>
          <w:sz w:val="20"/>
          <w:szCs w:val="20"/>
          <w:color w:val="auto"/>
        </w:rPr>
      </w:pPr>
    </w:p>
    <w:p>
      <w:pPr>
        <w:ind w:left="200" w:hanging="196"/>
        <w:spacing w:after="0"/>
        <w:tabs>
          <w:tab w:leader="none" w:pos="200" w:val="left"/>
        </w:tabs>
        <w:numPr>
          <w:ilvl w:val="0"/>
          <w:numId w:val="1190"/>
        </w:numPr>
        <w:rPr>
          <w:rFonts w:ascii="Arial" w:cs="Arial" w:eastAsia="Arial" w:hAnsi="Arial"/>
          <w:sz w:val="14"/>
          <w:szCs w:val="14"/>
          <w:color w:val="auto"/>
        </w:rPr>
      </w:pPr>
      <w:r>
        <w:rPr>
          <w:rFonts w:ascii="Arial" w:cs="Arial" w:eastAsia="Arial" w:hAnsi="Arial"/>
          <w:sz w:val="14"/>
          <w:szCs w:val="14"/>
          <w:i w:val="1"/>
          <w:iCs w:val="1"/>
          <w:color w:val="auto"/>
        </w:rPr>
        <w:t>We have reviewed your stock-based compensation disclosures and have the following comments: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Please tell us and disclose how you determined the cost of capital used for the issuances in January 2011. Tell us the source used to determine this rate.</w:t>
      </w:r>
    </w:p>
    <w:p>
      <w:pPr>
        <w:spacing w:after="0" w:line="130" w:lineRule="exact"/>
        <w:rPr>
          <w:sz w:val="20"/>
          <w:szCs w:val="20"/>
          <w:color w:val="auto"/>
        </w:rPr>
      </w:pPr>
    </w:p>
    <w:p>
      <w:pPr>
        <w:ind w:firstLine="458"/>
        <w:spacing w:after="0" w:line="256"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performed a valuation of various classes of its equity in accordance with the AICPA Practice Aid Valuation of Privately Held Company Securities Issued as Compensation (the</w:t>
      </w:r>
      <w:r>
        <w:rPr>
          <w:rFonts w:ascii="Arial" w:cs="Arial" w:eastAsia="Arial" w:hAnsi="Arial"/>
          <w:sz w:val="14"/>
          <w:szCs w:val="14"/>
          <w:b w:val="1"/>
          <w:bCs w:val="1"/>
          <w:color w:val="auto"/>
        </w:rPr>
        <w:t xml:space="preserve"> </w:t>
      </w:r>
      <w:r>
        <w:rPr>
          <w:rFonts w:ascii="Arial" w:cs="Arial" w:eastAsia="Arial" w:hAnsi="Arial"/>
          <w:sz w:val="14"/>
          <w:szCs w:val="14"/>
          <w:color w:val="auto"/>
        </w:rPr>
        <w:t>Practice Aid). The cost of capital utilized was 14.71%. The Company’s capital structure did not contain any debt; therefore the weighted average cost of capital did not contain a cost of debt. We noted that the capital structure of 100% equity and 0% debt was comparable to the median capital structure of the guideline public companies of 99.6% equity and 0.4% debt. The Company determined the cost of capital utilizing the following inputs:</w:t>
      </w:r>
    </w:p>
    <w:p>
      <w:pPr>
        <w:spacing w:after="0" w:line="46" w:lineRule="exact"/>
        <w:rPr>
          <w:sz w:val="20"/>
          <w:szCs w:val="20"/>
          <w:color w:val="auto"/>
        </w:rPr>
      </w:pPr>
    </w:p>
    <w:p>
      <w:pPr>
        <w:ind w:left="1460" w:hanging="433"/>
        <w:spacing w:after="0"/>
        <w:tabs>
          <w:tab w:leader="none" w:pos="1460" w:val="left"/>
        </w:tabs>
        <w:numPr>
          <w:ilvl w:val="0"/>
          <w:numId w:val="1191"/>
        </w:numPr>
        <w:rPr>
          <w:rFonts w:ascii="Arial" w:cs="Arial" w:eastAsia="Arial" w:hAnsi="Arial"/>
          <w:sz w:val="14"/>
          <w:szCs w:val="14"/>
          <w:color w:val="auto"/>
        </w:rPr>
      </w:pPr>
      <w:r>
        <w:rPr>
          <w:rFonts w:ascii="Arial" w:cs="Arial" w:eastAsia="Arial" w:hAnsi="Arial"/>
          <w:sz w:val="14"/>
          <w:szCs w:val="14"/>
          <w:color w:val="auto"/>
        </w:rPr>
        <w:t>The yield on a 20-year Treasury Bond of 4.13% that was derived from the U.S. Federal Reserve website;</w:t>
      </w:r>
    </w:p>
    <w:p>
      <w:pPr>
        <w:spacing w:after="0" w:line="68" w:lineRule="exact"/>
        <w:rPr>
          <w:rFonts w:ascii="Arial" w:cs="Arial" w:eastAsia="Arial" w:hAnsi="Arial"/>
          <w:sz w:val="14"/>
          <w:szCs w:val="14"/>
          <w:color w:val="auto"/>
        </w:rPr>
      </w:pPr>
    </w:p>
    <w:p>
      <w:pPr>
        <w:ind w:left="1460" w:hanging="433"/>
        <w:spacing w:after="0"/>
        <w:tabs>
          <w:tab w:leader="none" w:pos="1460" w:val="left"/>
        </w:tabs>
        <w:numPr>
          <w:ilvl w:val="0"/>
          <w:numId w:val="1191"/>
        </w:numPr>
        <w:rPr>
          <w:rFonts w:ascii="Arial" w:cs="Arial" w:eastAsia="Arial" w:hAnsi="Arial"/>
          <w:sz w:val="14"/>
          <w:szCs w:val="14"/>
          <w:color w:val="auto"/>
        </w:rPr>
      </w:pPr>
      <w:r>
        <w:rPr>
          <w:rFonts w:ascii="Arial" w:cs="Arial" w:eastAsia="Arial" w:hAnsi="Arial"/>
          <w:sz w:val="14"/>
          <w:szCs w:val="14"/>
          <w:color w:val="auto"/>
        </w:rPr>
        <w:t>A market risk premium of 5.18% based upon Morningstar’s publication “Stocks, Bonds, Bills, and Inflation: Valuation Edition 2010 Yearbook”;</w:t>
      </w:r>
    </w:p>
    <w:p>
      <w:pPr>
        <w:spacing w:after="0" w:line="68" w:lineRule="exact"/>
        <w:rPr>
          <w:rFonts w:ascii="Arial" w:cs="Arial" w:eastAsia="Arial" w:hAnsi="Arial"/>
          <w:sz w:val="14"/>
          <w:szCs w:val="14"/>
          <w:color w:val="auto"/>
        </w:rPr>
      </w:pPr>
    </w:p>
    <w:p>
      <w:pPr>
        <w:ind w:left="1460" w:hanging="433"/>
        <w:spacing w:after="0"/>
        <w:tabs>
          <w:tab w:leader="none" w:pos="1460" w:val="left"/>
        </w:tabs>
        <w:numPr>
          <w:ilvl w:val="0"/>
          <w:numId w:val="1191"/>
        </w:numPr>
        <w:rPr>
          <w:rFonts w:ascii="Arial" w:cs="Arial" w:eastAsia="Arial" w:hAnsi="Arial"/>
          <w:sz w:val="14"/>
          <w:szCs w:val="14"/>
          <w:color w:val="auto"/>
        </w:rPr>
      </w:pPr>
      <w:r>
        <w:rPr>
          <w:rFonts w:ascii="Arial" w:cs="Arial" w:eastAsia="Arial" w:hAnsi="Arial"/>
          <w:sz w:val="14"/>
          <w:szCs w:val="14"/>
          <w:color w:val="auto"/>
        </w:rPr>
        <w:t>An unlevered beta of 1.00 based upon an analysis of betas of publicly-traded guideline companies, debt-to-equity ratios and tax rates; and</w:t>
      </w:r>
    </w:p>
    <w:p>
      <w:pPr>
        <w:spacing w:after="0" w:line="68" w:lineRule="exact"/>
        <w:rPr>
          <w:rFonts w:ascii="Arial" w:cs="Arial" w:eastAsia="Arial" w:hAnsi="Arial"/>
          <w:sz w:val="14"/>
          <w:szCs w:val="14"/>
          <w:color w:val="auto"/>
        </w:rPr>
      </w:pPr>
    </w:p>
    <w:p>
      <w:pPr>
        <w:ind w:left="1460" w:right="40" w:hanging="433"/>
        <w:spacing w:after="0" w:line="267" w:lineRule="auto"/>
        <w:tabs>
          <w:tab w:leader="none" w:pos="1460" w:val="left"/>
        </w:tabs>
        <w:numPr>
          <w:ilvl w:val="0"/>
          <w:numId w:val="1191"/>
        </w:numPr>
        <w:rPr>
          <w:rFonts w:ascii="Arial" w:cs="Arial" w:eastAsia="Arial" w:hAnsi="Arial"/>
          <w:sz w:val="14"/>
          <w:szCs w:val="14"/>
          <w:color w:val="auto"/>
        </w:rPr>
      </w:pPr>
      <w:r>
        <w:rPr>
          <w:rFonts w:ascii="Arial" w:cs="Arial" w:eastAsia="Arial" w:hAnsi="Arial"/>
          <w:sz w:val="14"/>
          <w:szCs w:val="14"/>
          <w:color w:val="auto"/>
        </w:rPr>
        <w:t>A small stock premium of 5.4% based upon stocks in the 10</w:t>
      </w:r>
      <w:r>
        <w:rPr>
          <w:rFonts w:ascii="Arial" w:cs="Arial" w:eastAsia="Arial" w:hAnsi="Arial"/>
          <w:sz w:val="8"/>
          <w:szCs w:val="8"/>
          <w:color w:val="auto"/>
        </w:rPr>
        <w:t>th</w:t>
      </w:r>
      <w:r>
        <w:rPr>
          <w:rFonts w:ascii="Arial" w:cs="Arial" w:eastAsia="Arial" w:hAnsi="Arial"/>
          <w:sz w:val="14"/>
          <w:szCs w:val="14"/>
          <w:color w:val="auto"/>
        </w:rPr>
        <w:t xml:space="preserve"> decile, including companies with market capitalizations ranging from $1.0 million to $214.1 million from Morningstar’s publication “Stocks, Bonds, Bills and Inflation: Valuation Edition 2010 Yearbook.”</w:t>
      </w:r>
    </w:p>
    <w:p>
      <w:pPr>
        <w:spacing w:after="0" w:line="39" w:lineRule="exact"/>
        <w:rPr>
          <w:sz w:val="20"/>
          <w:szCs w:val="20"/>
          <w:color w:val="auto"/>
        </w:rPr>
      </w:pPr>
    </w:p>
    <w:p>
      <w:pPr>
        <w:ind w:left="920" w:right="160"/>
        <w:spacing w:after="0" w:line="267" w:lineRule="auto"/>
        <w:rPr>
          <w:sz w:val="20"/>
          <w:szCs w:val="20"/>
          <w:color w:val="auto"/>
        </w:rPr>
      </w:pPr>
      <w:r>
        <w:rPr>
          <w:rFonts w:ascii="Arial" w:cs="Arial" w:eastAsia="Arial" w:hAnsi="Arial"/>
          <w:sz w:val="14"/>
          <w:szCs w:val="14"/>
          <w:i w:val="1"/>
          <w:iCs w:val="1"/>
          <w:color w:val="auto"/>
        </w:rPr>
        <w:t>You indicate that the fair value of the stock option grants remained the same from January 2012 to November 2012. Please tell us why the agreement with Servier in which you received a $20 million option grant fee and eligibility for up to $1 billion in additional revenues did not have an impact on the fair value of the common stock.</w:t>
      </w:r>
    </w:p>
    <w:p>
      <w:pPr>
        <w:spacing w:after="0" w:line="99" w:lineRule="exact"/>
        <w:rPr>
          <w:sz w:val="20"/>
          <w:szCs w:val="20"/>
          <w:color w:val="auto"/>
        </w:rPr>
      </w:pPr>
    </w:p>
    <w:p>
      <w:pPr>
        <w:ind w:right="80" w:firstLine="458"/>
        <w:spacing w:after="0" w:line="355"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great majority of the Company’s stock options are issued in January of each year. Therefore, it has historically been the Company’s practice to perform a valuation at each calendar year</w:t>
      </w:r>
      <w:r>
        <w:rPr>
          <w:rFonts w:ascii="Arial" w:cs="Arial" w:eastAsia="Arial" w:hAnsi="Arial"/>
          <w:sz w:val="12"/>
          <w:szCs w:val="12"/>
          <w:b w:val="1"/>
          <w:bCs w:val="1"/>
          <w:color w:val="auto"/>
        </w:rPr>
        <w:t xml:space="preserve"> </w:t>
      </w:r>
      <w:r>
        <w:rPr>
          <w:rFonts w:ascii="Arial" w:cs="Arial" w:eastAsia="Arial" w:hAnsi="Arial"/>
          <w:sz w:val="12"/>
          <w:szCs w:val="12"/>
          <w:color w:val="auto"/>
        </w:rPr>
        <w:t>end. However, at each option grant during the calendar year, management and the board of directors considered events and circumstances most likely to affect the fair value of the Company’s common stock.</w:t>
      </w:r>
    </w:p>
    <w:p>
      <w:pPr>
        <w:sectPr>
          <w:pgSz w:w="11900" w:h="16838" w:orient="portrait"/>
          <w:cols w:equalWidth="0" w:num="1">
            <w:col w:w="11420"/>
          </w:cols>
          <w:pgMar w:left="220" w:top="728" w:right="259" w:bottom="1440" w:gutter="0" w:footer="0" w:header="0"/>
        </w:sectPr>
      </w:pPr>
    </w:p>
    <w:bookmarkStart w:id="970" w:name="page971"/>
    <w:bookmarkEnd w:id="97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316470"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7</w:t>
      </w:r>
    </w:p>
    <w:p>
      <w:pPr>
        <w:spacing w:after="0" w:line="115" w:lineRule="exact"/>
        <w:rPr>
          <w:sz w:val="20"/>
          <w:szCs w:val="20"/>
          <w:color w:val="auto"/>
        </w:rPr>
      </w:pPr>
    </w:p>
    <w:p>
      <w:pPr>
        <w:ind w:right="100" w:firstLine="458"/>
        <w:spacing w:after="0" w:line="305" w:lineRule="auto"/>
        <w:rPr>
          <w:sz w:val="20"/>
          <w:szCs w:val="20"/>
          <w:color w:val="auto"/>
        </w:rPr>
      </w:pPr>
      <w:r>
        <w:rPr>
          <w:rFonts w:ascii="Arial" w:cs="Arial" w:eastAsia="Arial" w:hAnsi="Arial"/>
          <w:sz w:val="12"/>
          <w:szCs w:val="12"/>
          <w:color w:val="auto"/>
        </w:rPr>
        <w:t>While the Servier DART agreement was signed in September 2012, the Company determined that the agreement would not have a significant impact on its future cash flows due to the uncertainty of Servier’s license opt-in along with the future risk of development success for each of the underlying programs. The upfront payment of $20 million did not materially affect the Company’s business enterprise value (and ultimately the fair value of the common stock) as cash balances throughout 2012 had been reduced as a result of on-going operations throughout the year. Additionally, as of December 31, 2012, although the Company was eligible under the agreement for up to $1 billion in additional revenues under this agreement, there was a high uncertainty as to whether Servier would opt-in to any of the programs under the agreement and if exercised, the timing of such payments would be stretched many years out, such that when discounted, did not alter the fair value of the common stock.</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2"/>
          <w:szCs w:val="12"/>
          <w:i w:val="1"/>
          <w:iCs w:val="1"/>
          <w:color w:val="auto"/>
        </w:rPr>
        <w:t>Similarly, you signed an agreement with Gilead in January 2013. Please tell us why this did not have an impact on the fair value of the stock option grants from January 2013 to March 2013.</w:t>
      </w:r>
    </w:p>
    <w:p>
      <w:pPr>
        <w:spacing w:after="0" w:line="153" w:lineRule="exact"/>
        <w:rPr>
          <w:sz w:val="20"/>
          <w:szCs w:val="20"/>
          <w:color w:val="auto"/>
        </w:rPr>
      </w:pPr>
    </w:p>
    <w:p>
      <w:pPr>
        <w:ind w:right="20" w:firstLine="458"/>
        <w:spacing w:after="0" w:line="312"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agreement with Gilead was executed on January 3, 2013, with most of the agreement contemplated before December 31, 2012. Because of the close proximity of execution of the Gilead</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to December 31, 2012, the Company included the probabilities of clinical achievement and various payments (milestones and royalties) under the Gilead agreement within its December 31, 2012 valuation. The probability of clinical development success and the payments to be received in the future were discounted to the valuation date, which did not result in a significant change in the fair value of the Company’s common stock. The Company received $7.5 million in upfront consideration that did not materially affect the Company’s cash balances as of the March 31, 2013 valuation date.</w:t>
      </w:r>
    </w:p>
    <w:p>
      <w:pPr>
        <w:spacing w:after="0" w:line="16" w:lineRule="exact"/>
        <w:rPr>
          <w:sz w:val="20"/>
          <w:szCs w:val="20"/>
          <w:color w:val="auto"/>
        </w:rPr>
      </w:pPr>
    </w:p>
    <w:p>
      <w:pPr>
        <w:ind w:left="920"/>
        <w:spacing w:after="0" w:line="351" w:lineRule="auto"/>
        <w:rPr>
          <w:sz w:val="20"/>
          <w:szCs w:val="20"/>
          <w:color w:val="auto"/>
        </w:rPr>
      </w:pPr>
      <w:r>
        <w:rPr>
          <w:rFonts w:ascii="Arial" w:cs="Arial" w:eastAsia="Arial" w:hAnsi="Arial"/>
          <w:sz w:val="12"/>
          <w:szCs w:val="12"/>
          <w:i w:val="1"/>
          <w:iCs w:val="1"/>
          <w:color w:val="auto"/>
        </w:rPr>
        <w:t>For the December 31, 2012 and March 31, 2013 valuations you state that you used the PWERM method to determine the valuation of your common stock. The PWERM method is normally used to allocate the value of the company between common stock, preferred stock, etc. Please clarify what method you used to determine the value of the company as a whole.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pages 66 and 67 of the Registration Statement.</w:t>
      </w:r>
    </w:p>
    <w:p>
      <w:pPr>
        <w:sectPr>
          <w:pgSz w:w="11900" w:h="16838" w:orient="portrait"/>
          <w:cols w:equalWidth="0" w:num="1">
            <w:col w:w="11420"/>
          </w:cols>
          <w:pgMar w:left="220" w:top="728" w:right="259" w:bottom="1440" w:gutter="0" w:footer="0" w:header="0"/>
        </w:sectPr>
      </w:pPr>
    </w:p>
    <w:bookmarkStart w:id="971" w:name="page972"/>
    <w:bookmarkEnd w:id="97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316470"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8</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Please further clarify why the fair value of the common stock increased from $0.08 at March 8th , 2013 to $0.14 at March 31, 2013.</w:t>
      </w:r>
    </w:p>
    <w:p>
      <w:pPr>
        <w:spacing w:after="0" w:line="130" w:lineRule="exact"/>
        <w:rPr>
          <w:sz w:val="20"/>
          <w:szCs w:val="20"/>
          <w:color w:val="auto"/>
        </w:rPr>
      </w:pPr>
    </w:p>
    <w:p>
      <w:pPr>
        <w:ind w:firstLine="458"/>
        <w:spacing w:after="0" w:line="299"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options issued on March 8, 2013 were issued at an exercise price of $0.08 and the estimated fair value of the Company’s common stock was also determined to be $0.08, representing the</w:t>
      </w:r>
      <w:r>
        <w:rPr>
          <w:rFonts w:ascii="Arial" w:cs="Arial" w:eastAsia="Arial" w:hAnsi="Arial"/>
          <w:sz w:val="12"/>
          <w:szCs w:val="12"/>
          <w:b w:val="1"/>
          <w:bCs w:val="1"/>
          <w:color w:val="auto"/>
        </w:rPr>
        <w:t xml:space="preserve"> </w:t>
      </w:r>
      <w:r>
        <w:rPr>
          <w:rFonts w:ascii="Arial" w:cs="Arial" w:eastAsia="Arial" w:hAnsi="Arial"/>
          <w:sz w:val="12"/>
          <w:szCs w:val="12"/>
          <w:color w:val="auto"/>
        </w:rPr>
        <w:t>value of common stock calculated when performing its valuation as of December 31, 2012. At the time of the board of directors meeting held on March 8, 2013, only a few biotechnology companies had successfully completed initial public offerings (“IPOs”) in 2013 (notably, Stemline Therapeutics and KaloBios Pharmaceuticals) and the view of our board of directors was that the Company would not yet commence an IPO. However, two additional companies in the biotechnology industry completed their IPOs between March 8 and March 31 (Tetraphase Pharmaceuticals and Enanta Pharmaceuticals, which priced in its filing range and traded at a premium to its offering price as of March 31, 2013). Although the Company’s board of directors had still not formally approved an initial public offering, as of March 31, 2013, the Company believed that there was a slightly higher likelihood (35% at December 31, 2012 vs. 40% at March 31, 2013) of pursuing an IPO by the first quarter of 2014, and therefore increased the probabilities of those scenarios. Combined with a higher likelihood of pursuing an IPO, the higher market values of the companies that completed these IPOs caused the fair value of the Company’s common stock to increase from $0.08 to $0.14. As a result, the likelihood of remaining private decreased.</w:t>
      </w:r>
    </w:p>
    <w:p>
      <w:pPr>
        <w:spacing w:after="0" w:line="27" w:lineRule="exact"/>
        <w:rPr>
          <w:sz w:val="20"/>
          <w:szCs w:val="20"/>
          <w:color w:val="auto"/>
        </w:rPr>
      </w:pPr>
    </w:p>
    <w:p>
      <w:pPr>
        <w:ind w:left="920" w:right="220"/>
        <w:spacing w:after="0" w:line="267" w:lineRule="auto"/>
        <w:rPr>
          <w:sz w:val="20"/>
          <w:szCs w:val="20"/>
          <w:color w:val="auto"/>
        </w:rPr>
      </w:pPr>
      <w:r>
        <w:rPr>
          <w:rFonts w:ascii="Arial" w:cs="Arial" w:eastAsia="Arial" w:hAnsi="Arial"/>
          <w:sz w:val="14"/>
          <w:szCs w:val="14"/>
          <w:i w:val="1"/>
          <w:iCs w:val="1"/>
          <w:color w:val="auto"/>
        </w:rPr>
        <w:t>Please update the stock option table on page 52 through the date of effectiveness of your registration statement. Also, please disclose in the filing any new equity issuances such as preferred stock, warrants, etc. through the date of effectiveness.</w:t>
      </w:r>
    </w:p>
    <w:p>
      <w:pPr>
        <w:spacing w:after="0" w:line="99"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respectfully acknowledges the Staff’s comment and has updated the table on page 65 through the date of the Registration Statement. The Company will continually update this</w:t>
      </w:r>
      <w:r>
        <w:rPr>
          <w:rFonts w:ascii="Arial" w:cs="Arial" w:eastAsia="Arial" w:hAnsi="Arial"/>
          <w:sz w:val="14"/>
          <w:szCs w:val="14"/>
          <w:b w:val="1"/>
          <w:bCs w:val="1"/>
          <w:color w:val="auto"/>
        </w:rPr>
        <w:t xml:space="preserve"> </w:t>
      </w:r>
      <w:r>
        <w:rPr>
          <w:rFonts w:ascii="Arial" w:cs="Arial" w:eastAsia="Arial" w:hAnsi="Arial"/>
          <w:sz w:val="14"/>
          <w:szCs w:val="14"/>
          <w:color w:val="auto"/>
        </w:rPr>
        <w:t>table until the effective date of the registration statement.</w:t>
      </w:r>
    </w:p>
    <w:p>
      <w:pPr>
        <w:spacing w:after="0" w:line="37" w:lineRule="exact"/>
        <w:rPr>
          <w:sz w:val="20"/>
          <w:szCs w:val="20"/>
          <w:color w:val="auto"/>
        </w:rPr>
      </w:pPr>
    </w:p>
    <w:p>
      <w:pPr>
        <w:ind w:left="920" w:right="620"/>
        <w:spacing w:after="0" w:line="351" w:lineRule="auto"/>
        <w:rPr>
          <w:sz w:val="20"/>
          <w:szCs w:val="20"/>
          <w:color w:val="auto"/>
        </w:rPr>
      </w:pPr>
      <w:r>
        <w:rPr>
          <w:rFonts w:ascii="Arial" w:cs="Arial" w:eastAsia="Arial" w:hAnsi="Arial"/>
          <w:sz w:val="12"/>
          <w:szCs w:val="12"/>
          <w:i w:val="1"/>
          <w:iCs w:val="1"/>
          <w:color w:val="auto"/>
        </w:rPr>
        <w:t>Please note we may have additional comments on your accounting for stock compensation and related disclosure once you have disclosed an estimated offering price. Please provide quantitative and qualitative disclosures explaining the difference between the estimated offering price and the fair value of the most recent issuance.</w:t>
      </w:r>
    </w:p>
    <w:p>
      <w:pPr>
        <w:sectPr>
          <w:pgSz w:w="11900" w:h="16838" w:orient="portrait"/>
          <w:cols w:equalWidth="0" w:num="1">
            <w:col w:w="11420"/>
          </w:cols>
          <w:pgMar w:left="220" w:top="728" w:right="259" w:bottom="1440" w:gutter="0" w:footer="0" w:header="0"/>
        </w:sectPr>
      </w:pPr>
    </w:p>
    <w:bookmarkStart w:id="972" w:name="page973"/>
    <w:bookmarkEnd w:id="97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161290</wp:posOffset>
            </wp:positionV>
            <wp:extent cx="4882515" cy="22542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acknowledges the Staff’s comment and in response the Company has revised the disclosure on page 69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Flows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Activities, page 57</w:t>
      </w:r>
    </w:p>
    <w:p>
      <w:pPr>
        <w:spacing w:after="0" w:line="126" w:lineRule="exact"/>
        <w:rPr>
          <w:sz w:val="20"/>
          <w:szCs w:val="20"/>
          <w:color w:val="auto"/>
        </w:rPr>
      </w:pPr>
    </w:p>
    <w:p>
      <w:pPr>
        <w:ind w:left="200" w:hanging="196"/>
        <w:spacing w:after="0"/>
        <w:tabs>
          <w:tab w:leader="none" w:pos="200" w:val="left"/>
        </w:tabs>
        <w:numPr>
          <w:ilvl w:val="0"/>
          <w:numId w:val="1192"/>
        </w:numPr>
        <w:rPr>
          <w:rFonts w:ascii="Arial" w:cs="Arial" w:eastAsia="Arial" w:hAnsi="Arial"/>
          <w:sz w:val="14"/>
          <w:szCs w:val="14"/>
          <w:color w:val="auto"/>
        </w:rPr>
      </w:pPr>
      <w:r>
        <w:rPr>
          <w:rFonts w:ascii="Arial" w:cs="Arial" w:eastAsia="Arial" w:hAnsi="Arial"/>
          <w:sz w:val="14"/>
          <w:szCs w:val="14"/>
          <w:i w:val="1"/>
          <w:iCs w:val="1"/>
          <w:color w:val="auto"/>
        </w:rPr>
        <w:t>Please revise your disclosure to discuss the reasons for the material change in your accounts payable.</w:t>
      </w:r>
    </w:p>
    <w:p>
      <w:pPr>
        <w:spacing w:after="0" w:line="130"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73 of the Registration Statement. The change in accounts payable is due to decreased spending on clinical</w:t>
      </w:r>
      <w:r>
        <w:rPr>
          <w:rFonts w:ascii="Arial" w:cs="Arial" w:eastAsia="Arial" w:hAnsi="Arial"/>
          <w:sz w:val="14"/>
          <w:szCs w:val="14"/>
          <w:b w:val="1"/>
          <w:bCs w:val="1"/>
          <w:color w:val="auto"/>
        </w:rPr>
        <w:t xml:space="preserve"> </w:t>
      </w:r>
      <w:r>
        <w:rPr>
          <w:rFonts w:ascii="Arial" w:cs="Arial" w:eastAsia="Arial" w:hAnsi="Arial"/>
          <w:sz w:val="14"/>
          <w:szCs w:val="14"/>
          <w:color w:val="auto"/>
        </w:rPr>
        <w:t>trials. Specifically, the Company ceased enrollment of the teplizumab Phase 3 trial in late 2011. While the Company did continue to incur costs under this trial, it was no longer enrolling new patients and the costs significantly decreased from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Liquidity and Capital Resources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Contractual Obligations and Contingent Liabilities, page 58</w:t>
      </w:r>
    </w:p>
    <w:p>
      <w:pPr>
        <w:spacing w:after="0" w:line="63" w:lineRule="exact"/>
        <w:rPr>
          <w:sz w:val="20"/>
          <w:szCs w:val="20"/>
          <w:color w:val="auto"/>
        </w:rPr>
      </w:pPr>
    </w:p>
    <w:p>
      <w:pPr>
        <w:ind w:right="240" w:firstLine="4"/>
        <w:spacing w:after="0" w:line="267" w:lineRule="auto"/>
        <w:tabs>
          <w:tab w:leader="none" w:pos="204" w:val="left"/>
        </w:tabs>
        <w:numPr>
          <w:ilvl w:val="0"/>
          <w:numId w:val="1193"/>
        </w:numPr>
        <w:rPr>
          <w:rFonts w:ascii="Arial" w:cs="Arial" w:eastAsia="Arial" w:hAnsi="Arial"/>
          <w:sz w:val="14"/>
          <w:szCs w:val="14"/>
          <w:color w:val="auto"/>
        </w:rPr>
      </w:pPr>
      <w:r>
        <w:rPr>
          <w:rFonts w:ascii="Arial" w:cs="Arial" w:eastAsia="Arial" w:hAnsi="Arial"/>
          <w:sz w:val="14"/>
          <w:szCs w:val="14"/>
          <w:i w:val="1"/>
          <w:iCs w:val="1"/>
          <w:color w:val="auto"/>
        </w:rPr>
        <w:t>Please provide a discussion here of the potential payment and consideration associated with the Asset Purchase Agreement with Tolerance Therapeutics, Inc. Also disclose the contingent payments in the Raven acquisition. Refer to pages F-26 and F-31.</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74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Business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Overview, pages 62-63</w:t>
      </w:r>
    </w:p>
    <w:p>
      <w:pPr>
        <w:spacing w:after="0" w:line="126" w:lineRule="exact"/>
        <w:rPr>
          <w:sz w:val="20"/>
          <w:szCs w:val="20"/>
          <w:color w:val="auto"/>
        </w:rPr>
      </w:pPr>
    </w:p>
    <w:p>
      <w:pPr>
        <w:ind w:right="80" w:firstLine="4"/>
        <w:spacing w:after="0" w:line="267" w:lineRule="auto"/>
        <w:tabs>
          <w:tab w:leader="none" w:pos="204" w:val="left"/>
        </w:tabs>
        <w:numPr>
          <w:ilvl w:val="0"/>
          <w:numId w:val="1194"/>
        </w:numPr>
        <w:rPr>
          <w:rFonts w:ascii="Arial" w:cs="Arial" w:eastAsia="Arial" w:hAnsi="Arial"/>
          <w:sz w:val="14"/>
          <w:szCs w:val="14"/>
          <w:color w:val="auto"/>
        </w:rPr>
      </w:pPr>
      <w:r>
        <w:rPr>
          <w:rFonts w:ascii="Arial" w:cs="Arial" w:eastAsia="Arial" w:hAnsi="Arial"/>
          <w:sz w:val="14"/>
          <w:szCs w:val="14"/>
          <w:i w:val="1"/>
          <w:iCs w:val="1"/>
          <w:color w:val="auto"/>
        </w:rPr>
        <w:t>In your discussion of collaboration agreements, we note your various references to “low double digit royalties.” We also note disclosure in this regard on pages 43-44 and 83-85. Please refer to a narrower range of royalties in these instances, such as low teens or low twenties, for example.</w:t>
      </w:r>
    </w:p>
    <w:p>
      <w:pPr>
        <w:sectPr>
          <w:pgSz w:w="11900" w:h="16838" w:orient="portrait"/>
          <w:cols w:equalWidth="0" w:num="1">
            <w:col w:w="11440"/>
          </w:cols>
          <w:pgMar w:left="220" w:top="727" w:right="239" w:bottom="1440" w:gutter="0" w:footer="0" w:header="0"/>
        </w:sectPr>
      </w:pPr>
    </w:p>
    <w:bookmarkStart w:id="973" w:name="page974"/>
    <w:bookmarkEnd w:id="97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316470"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10</w:t>
      </w:r>
    </w:p>
    <w:p>
      <w:pPr>
        <w:spacing w:after="0" w:line="113" w:lineRule="exact"/>
        <w:rPr>
          <w:sz w:val="20"/>
          <w:szCs w:val="20"/>
          <w:color w:val="auto"/>
        </w:rPr>
      </w:pPr>
    </w:p>
    <w:p>
      <w:pPr>
        <w:ind w:right="420" w:firstLine="458"/>
        <w:spacing w:after="0" w:line="259"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pages 56, 79, 105, 106, 107, 108, F-32, F-33 and F-34 of the Registration Statement to further clarify a</w:t>
      </w:r>
      <w:r>
        <w:rPr>
          <w:rFonts w:ascii="Arial" w:cs="Arial" w:eastAsia="Arial" w:hAnsi="Arial"/>
          <w:sz w:val="14"/>
          <w:szCs w:val="14"/>
          <w:b w:val="1"/>
          <w:bCs w:val="1"/>
          <w:color w:val="auto"/>
        </w:rPr>
        <w:t xml:space="preserve"> </w:t>
      </w:r>
      <w:r>
        <w:rPr>
          <w:rFonts w:ascii="Arial" w:cs="Arial" w:eastAsia="Arial" w:hAnsi="Arial"/>
          <w:sz w:val="14"/>
          <w:szCs w:val="14"/>
          <w:color w:val="auto"/>
        </w:rPr>
        <w:t>narrower royalty range. We note that, in the case where the high end of the disclosed range is “mid teens”, we have maintained the use of “low double digit royalties” as the low end of the range, as we respectfully believe that the context makes a narrow range clear.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Growth of the Biologics Market, page 68</w:t>
      </w:r>
    </w:p>
    <w:p>
      <w:pPr>
        <w:spacing w:after="0" w:line="132" w:lineRule="exact"/>
        <w:rPr>
          <w:sz w:val="20"/>
          <w:szCs w:val="20"/>
          <w:color w:val="auto"/>
        </w:rPr>
      </w:pPr>
    </w:p>
    <w:p>
      <w:pPr>
        <w:ind w:left="200" w:hanging="196"/>
        <w:spacing w:after="0"/>
        <w:tabs>
          <w:tab w:leader="none" w:pos="200" w:val="left"/>
        </w:tabs>
        <w:numPr>
          <w:ilvl w:val="0"/>
          <w:numId w:val="1195"/>
        </w:numPr>
        <w:rPr>
          <w:rFonts w:ascii="Arial" w:cs="Arial" w:eastAsia="Arial" w:hAnsi="Arial"/>
          <w:sz w:val="14"/>
          <w:szCs w:val="14"/>
          <w:color w:val="auto"/>
        </w:rPr>
      </w:pPr>
      <w:r>
        <w:rPr>
          <w:rFonts w:ascii="Arial" w:cs="Arial" w:eastAsia="Arial" w:hAnsi="Arial"/>
          <w:sz w:val="14"/>
          <w:szCs w:val="14"/>
          <w:i w:val="1"/>
          <w:iCs w:val="1"/>
          <w:color w:val="auto"/>
        </w:rPr>
        <w:t>Please clarify why it is more challenging to create and develop biosimilars to antibodies as opposed to other biologic products.</w:t>
      </w:r>
    </w:p>
    <w:p>
      <w:pPr>
        <w:spacing w:after="0" w:line="13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85 of the Registration Statement to delete the reference to it being more challenging to create and develop</w:t>
      </w:r>
      <w:r>
        <w:rPr>
          <w:rFonts w:ascii="Arial" w:cs="Arial" w:eastAsia="Arial" w:hAnsi="Arial"/>
          <w:sz w:val="14"/>
          <w:szCs w:val="14"/>
          <w:b w:val="1"/>
          <w:bCs w:val="1"/>
          <w:color w:val="auto"/>
        </w:rPr>
        <w:t xml:space="preserve"> </w:t>
      </w:r>
      <w:r>
        <w:rPr>
          <w:rFonts w:ascii="Arial" w:cs="Arial" w:eastAsia="Arial" w:hAnsi="Arial"/>
          <w:sz w:val="14"/>
          <w:szCs w:val="14"/>
          <w:color w:val="auto"/>
        </w:rPr>
        <w:t>biosimilars to antibodies as opposed to other biologic products.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 Candidate Pipeline, page 72</w:t>
      </w:r>
    </w:p>
    <w:p>
      <w:pPr>
        <w:spacing w:after="0" w:line="132" w:lineRule="exact"/>
        <w:rPr>
          <w:sz w:val="20"/>
          <w:szCs w:val="20"/>
          <w:color w:val="auto"/>
        </w:rPr>
      </w:pPr>
    </w:p>
    <w:p>
      <w:pPr>
        <w:ind w:left="920" w:right="3400" w:hanging="916"/>
        <w:spacing w:after="0" w:line="342" w:lineRule="auto"/>
        <w:tabs>
          <w:tab w:leader="none" w:pos="207" w:val="left"/>
        </w:tabs>
        <w:numPr>
          <w:ilvl w:val="0"/>
          <w:numId w:val="1196"/>
        </w:numPr>
        <w:rPr>
          <w:rFonts w:ascii="Arial" w:cs="Arial" w:eastAsia="Arial" w:hAnsi="Arial"/>
          <w:sz w:val="14"/>
          <w:szCs w:val="14"/>
          <w:color w:val="auto"/>
        </w:rPr>
      </w:pPr>
      <w:r>
        <w:rPr>
          <w:rFonts w:ascii="Arial" w:cs="Arial" w:eastAsia="Arial" w:hAnsi="Arial"/>
          <w:sz w:val="14"/>
          <w:szCs w:val="14"/>
          <w:i w:val="1"/>
          <w:iCs w:val="1"/>
          <w:color w:val="auto"/>
        </w:rPr>
        <w:t>Please expand your disclosure to indicate whether investigational new drug (IND) applications were filed for the following product candidates: Margetuximab for the treatment of breast cancer;</w:t>
      </w:r>
    </w:p>
    <w:p>
      <w:pPr>
        <w:ind w:left="920" w:right="7640"/>
        <w:spacing w:after="0" w:line="399" w:lineRule="auto"/>
        <w:rPr>
          <w:rFonts w:ascii="Arial" w:cs="Arial" w:eastAsia="Arial" w:hAnsi="Arial"/>
          <w:sz w:val="14"/>
          <w:szCs w:val="14"/>
          <w:color w:val="auto"/>
        </w:rPr>
      </w:pPr>
      <w:r>
        <w:rPr>
          <w:rFonts w:ascii="Arial" w:cs="Arial" w:eastAsia="Arial" w:hAnsi="Arial"/>
          <w:sz w:val="12"/>
          <w:szCs w:val="12"/>
          <w:i w:val="1"/>
          <w:iCs w:val="1"/>
          <w:color w:val="auto"/>
        </w:rPr>
        <w:t>Margetuximab for the treatment of solid tumors; and MGA271 for the treatment of solid tumors.</w:t>
      </w:r>
    </w:p>
    <w:p>
      <w:pPr>
        <w:spacing w:after="0" w:line="1" w:lineRule="exact"/>
        <w:rPr>
          <w:sz w:val="20"/>
          <w:szCs w:val="20"/>
          <w:color w:val="auto"/>
        </w:rPr>
      </w:pPr>
    </w:p>
    <w:p>
      <w:pPr>
        <w:ind w:left="460" w:right="180" w:firstLine="440"/>
        <w:spacing w:after="0" w:line="267" w:lineRule="auto"/>
        <w:rPr>
          <w:sz w:val="20"/>
          <w:szCs w:val="20"/>
          <w:color w:val="auto"/>
        </w:rPr>
      </w:pPr>
      <w:r>
        <w:rPr>
          <w:rFonts w:ascii="Arial" w:cs="Arial" w:eastAsia="Arial" w:hAnsi="Arial"/>
          <w:sz w:val="14"/>
          <w:szCs w:val="14"/>
          <w:i w:val="1"/>
          <w:iCs w:val="1"/>
          <w:color w:val="auto"/>
        </w:rPr>
        <w:t>If INDs for these product candidates and corresponding indications have been filed, please additionally disclose the identity of the filers and the dates the applications were filed. Alternately, where no IND has been filed, please explain why.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pages 92, 93 and 97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Clinical Development of MGA271, page 79</w:t>
      </w:r>
    </w:p>
    <w:p>
      <w:pPr>
        <w:spacing w:after="0" w:line="69" w:lineRule="exact"/>
        <w:rPr>
          <w:sz w:val="20"/>
          <w:szCs w:val="20"/>
          <w:color w:val="auto"/>
        </w:rPr>
      </w:pPr>
    </w:p>
    <w:p>
      <w:pPr>
        <w:ind w:right="140" w:firstLine="4"/>
        <w:spacing w:after="0" w:line="267" w:lineRule="auto"/>
        <w:tabs>
          <w:tab w:leader="none" w:pos="204" w:val="left"/>
        </w:tabs>
        <w:numPr>
          <w:ilvl w:val="0"/>
          <w:numId w:val="1197"/>
        </w:numPr>
        <w:rPr>
          <w:rFonts w:ascii="Arial" w:cs="Arial" w:eastAsia="Arial" w:hAnsi="Arial"/>
          <w:sz w:val="14"/>
          <w:szCs w:val="14"/>
          <w:color w:val="auto"/>
        </w:rPr>
      </w:pPr>
      <w:r>
        <w:rPr>
          <w:rFonts w:ascii="Arial" w:cs="Arial" w:eastAsia="Arial" w:hAnsi="Arial"/>
          <w:sz w:val="14"/>
          <w:szCs w:val="14"/>
          <w:i w:val="1"/>
          <w:iCs w:val="1"/>
          <w:color w:val="auto"/>
        </w:rPr>
        <w:t>We note your reference to companion diagnostics that you plan to develop for Phase 2/3 trials of MGA271. Please expand on the exact role that companion diagnostics will play for the product candidate. Please clarify what patient population the diagnostic will identify and whether such a diagnostic will be necessary for successful completion of</w:t>
      </w:r>
    </w:p>
    <w:p>
      <w:pPr>
        <w:sectPr>
          <w:pgSz w:w="11900" w:h="16838" w:orient="portrait"/>
          <w:cols w:equalWidth="0" w:num="1">
            <w:col w:w="11420"/>
          </w:cols>
          <w:pgMar w:left="220" w:top="728" w:right="259" w:bottom="1440" w:gutter="0" w:footer="0" w:header="0"/>
        </w:sectPr>
      </w:pPr>
    </w:p>
    <w:bookmarkStart w:id="974" w:name="page975"/>
    <w:bookmarkEnd w:id="97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161290</wp:posOffset>
            </wp:positionV>
            <wp:extent cx="4882515" cy="22542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11</w:t>
      </w:r>
    </w:p>
    <w:p>
      <w:pPr>
        <w:spacing w:after="0" w:line="115"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i w:val="1"/>
          <w:iCs w:val="1"/>
          <w:color w:val="auto"/>
        </w:rPr>
        <w:t>clinical trials. In addition, please disclose the identity of the collaborator, the terms of any related agreement, and file any such agreement as an exhibit to your registration statement. Alternately, if you are not substantially dependent on any such agreement, please advise us as to the basis of your conclusions.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98 of the Registration Statement.</w:t>
      </w:r>
    </w:p>
    <w:p>
      <w:pPr>
        <w:spacing w:after="0" w:line="134" w:lineRule="exact"/>
        <w:rPr>
          <w:sz w:val="20"/>
          <w:szCs w:val="20"/>
          <w:color w:val="auto"/>
        </w:rPr>
      </w:pPr>
    </w:p>
    <w:p>
      <w:pPr>
        <w:ind w:right="160" w:firstLine="4"/>
        <w:spacing w:after="0" w:line="321" w:lineRule="auto"/>
        <w:tabs>
          <w:tab w:leader="none" w:pos="204" w:val="left"/>
        </w:tabs>
        <w:numPr>
          <w:ilvl w:val="0"/>
          <w:numId w:val="1198"/>
        </w:numPr>
        <w:rPr>
          <w:rFonts w:ascii="Arial" w:cs="Arial" w:eastAsia="Arial" w:hAnsi="Arial"/>
          <w:sz w:val="12"/>
          <w:szCs w:val="12"/>
          <w:color w:val="auto"/>
        </w:rPr>
      </w:pPr>
      <w:r>
        <w:rPr>
          <w:rFonts w:ascii="Arial" w:cs="Arial" w:eastAsia="Arial" w:hAnsi="Arial"/>
          <w:sz w:val="12"/>
          <w:szCs w:val="12"/>
          <w:i w:val="1"/>
          <w:iCs w:val="1"/>
          <w:color w:val="auto"/>
        </w:rPr>
        <w:t>Please identify any other product candidates for which the company intends to pursue development of a companion diagnostic. For each such companion diagnostic, please clarify what patient population the diagnostic will identify, whether the diagnostic will be necessary for successful completion of clinical trials, the identity of any collaborator, and the terms of any related agreement. Please file the agreements as exhibits to your registration statement or, if you are not substantially dependent on any such agreement, please advise us as to the basis of your conclusions.</w:t>
      </w:r>
    </w:p>
    <w:p>
      <w:pPr>
        <w:spacing w:after="0" w:line="73" w:lineRule="exact"/>
        <w:rPr>
          <w:sz w:val="20"/>
          <w:szCs w:val="20"/>
          <w:color w:val="auto"/>
        </w:rPr>
      </w:pPr>
    </w:p>
    <w:p>
      <w:pPr>
        <w:ind w:right="100" w:firstLine="458"/>
        <w:spacing w:after="0" w:line="311" w:lineRule="auto"/>
        <w:rPr>
          <w:sz w:val="20"/>
          <w:szCs w:val="20"/>
          <w:color w:val="auto"/>
        </w:rPr>
      </w:pPr>
      <w:r>
        <w:rPr>
          <w:rFonts w:ascii="Arial" w:cs="Arial" w:eastAsia="Arial" w:hAnsi="Arial"/>
          <w:sz w:val="12"/>
          <w:szCs w:val="12"/>
          <w:color w:val="auto"/>
        </w:rPr>
        <w:t>Response: At this time, the Company does not have plans to pursue development of companion diagnostics, other than for MGA271, as it is not currently clear whether other immunohistochemistry-based companion diagnostics will be required for other products in the Company’s pipeline. For example, with respect to margetuximab, the FDA has indicated that a companion diagnostic may not be required for patients who have progressed following another anti-HER2 treatment (for which HER2 testing is required) and is to be treated with margetuximab and no substantive discussions have been undertaken with the manufacturer of the single FDA-approved companion diagnostic for HER2 testing of gastroesophageal cancer specimens.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Teplizumab: Fc-Modified Antibody for Type 1 Diabetes, page 82</w:t>
      </w:r>
    </w:p>
    <w:p>
      <w:pPr>
        <w:spacing w:after="0" w:line="69" w:lineRule="exact"/>
        <w:rPr>
          <w:sz w:val="20"/>
          <w:szCs w:val="20"/>
          <w:color w:val="auto"/>
        </w:rPr>
      </w:pPr>
    </w:p>
    <w:p>
      <w:pPr>
        <w:ind w:firstLine="4"/>
        <w:spacing w:after="0" w:line="267" w:lineRule="auto"/>
        <w:tabs>
          <w:tab w:leader="none" w:pos="204" w:val="left"/>
        </w:tabs>
        <w:numPr>
          <w:ilvl w:val="0"/>
          <w:numId w:val="1199"/>
        </w:numPr>
        <w:rPr>
          <w:rFonts w:ascii="Arial" w:cs="Arial" w:eastAsia="Arial" w:hAnsi="Arial"/>
          <w:sz w:val="14"/>
          <w:szCs w:val="14"/>
          <w:color w:val="auto"/>
        </w:rPr>
      </w:pPr>
      <w:r>
        <w:rPr>
          <w:rFonts w:ascii="Arial" w:cs="Arial" w:eastAsia="Arial" w:hAnsi="Arial"/>
          <w:sz w:val="14"/>
          <w:szCs w:val="14"/>
          <w:i w:val="1"/>
          <w:iCs w:val="1"/>
          <w:color w:val="auto"/>
        </w:rPr>
        <w:t>Please expand the discussion of Teplizumab and the related Phase 3 clinical trials. Specifically, please define the endpoint of “a composite of HbA1c and insulin usage,” and explain in greater detail how the drug failed to meet that endpoint.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102 of the Registration Statement.</w:t>
      </w:r>
    </w:p>
    <w:p>
      <w:pPr>
        <w:spacing w:after="0" w:line="134" w:lineRule="exact"/>
        <w:rPr>
          <w:sz w:val="20"/>
          <w:szCs w:val="20"/>
          <w:color w:val="auto"/>
        </w:rPr>
      </w:pPr>
    </w:p>
    <w:p>
      <w:pPr>
        <w:ind w:right="740" w:firstLine="4"/>
        <w:spacing w:after="0" w:line="351" w:lineRule="auto"/>
        <w:tabs>
          <w:tab w:leader="none" w:pos="204" w:val="left"/>
        </w:tabs>
        <w:numPr>
          <w:ilvl w:val="0"/>
          <w:numId w:val="1200"/>
        </w:numPr>
        <w:rPr>
          <w:rFonts w:ascii="Arial" w:cs="Arial" w:eastAsia="Arial" w:hAnsi="Arial"/>
          <w:sz w:val="12"/>
          <w:szCs w:val="12"/>
          <w:color w:val="auto"/>
        </w:rPr>
      </w:pPr>
      <w:r>
        <w:rPr>
          <w:rFonts w:ascii="Arial" w:cs="Arial" w:eastAsia="Arial" w:hAnsi="Arial"/>
          <w:sz w:val="12"/>
          <w:szCs w:val="12"/>
          <w:i w:val="1"/>
          <w:iCs w:val="1"/>
          <w:color w:val="auto"/>
        </w:rPr>
        <w:t>You disclose that you retain worldwide rights to Teplizumab. Please disclose how you were able to reacquire these rights from Eli Lilly and disclose any applicable provision(s) in the terminated collaboration agreement governing such reacquisition. Additionally, please disclose, if applicable, any retained interest in the product that Eli Lilly may potentially hold.</w:t>
      </w:r>
    </w:p>
    <w:p>
      <w:pPr>
        <w:sectPr>
          <w:pgSz w:w="11900" w:h="16838" w:orient="portrait"/>
          <w:cols w:equalWidth="0" w:num="1">
            <w:col w:w="11460"/>
          </w:cols>
          <w:pgMar w:left="220" w:top="727" w:right="219" w:bottom="1440" w:gutter="0" w:footer="0" w:header="0"/>
        </w:sectPr>
      </w:pPr>
    </w:p>
    <w:bookmarkStart w:id="975" w:name="page976"/>
    <w:bookmarkEnd w:id="97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316470"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12</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102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Servier MGA271 Agreement, pages 83-84</w:t>
      </w:r>
    </w:p>
    <w:p>
      <w:pPr>
        <w:spacing w:after="0" w:line="132" w:lineRule="exact"/>
        <w:rPr>
          <w:sz w:val="20"/>
          <w:szCs w:val="20"/>
          <w:color w:val="auto"/>
        </w:rPr>
      </w:pPr>
    </w:p>
    <w:p>
      <w:pPr>
        <w:ind w:left="200" w:hanging="196"/>
        <w:spacing w:after="0"/>
        <w:tabs>
          <w:tab w:leader="none" w:pos="200" w:val="left"/>
        </w:tabs>
        <w:numPr>
          <w:ilvl w:val="0"/>
          <w:numId w:val="1201"/>
        </w:numPr>
        <w:rPr>
          <w:rFonts w:ascii="Arial" w:cs="Arial" w:eastAsia="Arial" w:hAnsi="Arial"/>
          <w:sz w:val="12"/>
          <w:szCs w:val="12"/>
          <w:color w:val="auto"/>
        </w:rPr>
      </w:pPr>
      <w:r>
        <w:rPr>
          <w:rFonts w:ascii="Arial" w:cs="Arial" w:eastAsia="Arial" w:hAnsi="Arial"/>
          <w:sz w:val="12"/>
          <w:szCs w:val="12"/>
          <w:i w:val="1"/>
          <w:iCs w:val="1"/>
          <w:color w:val="auto"/>
        </w:rPr>
        <w:t>Please clarify, if true, that the data package triggering the option will include data from the drug’s Phase 1 trials and so will be presented to Servier after Phase 1 trials have concluded.</w:t>
      </w:r>
    </w:p>
    <w:p>
      <w:pPr>
        <w:spacing w:after="0" w:line="153"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103 of the Registration Statement to reflect that the data package triggering the option will include results</w:t>
      </w:r>
      <w:r>
        <w:rPr>
          <w:rFonts w:ascii="Arial" w:cs="Arial" w:eastAsia="Arial" w:hAnsi="Arial"/>
          <w:sz w:val="14"/>
          <w:szCs w:val="14"/>
          <w:b w:val="1"/>
          <w:bCs w:val="1"/>
          <w:color w:val="auto"/>
        </w:rPr>
        <w:t xml:space="preserve"> </w:t>
      </w:r>
      <w:r>
        <w:rPr>
          <w:rFonts w:ascii="Arial" w:cs="Arial" w:eastAsia="Arial" w:hAnsi="Arial"/>
          <w:sz w:val="14"/>
          <w:szCs w:val="14"/>
          <w:color w:val="auto"/>
        </w:rPr>
        <w:t>from completed expansion cohorts from the Phase 1 clinical trial.</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Green Cross, page 88</w:t>
      </w:r>
    </w:p>
    <w:p>
      <w:pPr>
        <w:spacing w:after="0" w:line="132" w:lineRule="exact"/>
        <w:rPr>
          <w:sz w:val="20"/>
          <w:szCs w:val="20"/>
          <w:color w:val="auto"/>
        </w:rPr>
      </w:pPr>
    </w:p>
    <w:p>
      <w:pPr>
        <w:ind w:left="200" w:hanging="196"/>
        <w:spacing w:after="0"/>
        <w:tabs>
          <w:tab w:leader="none" w:pos="200" w:val="left"/>
        </w:tabs>
        <w:numPr>
          <w:ilvl w:val="0"/>
          <w:numId w:val="1202"/>
        </w:numPr>
        <w:rPr>
          <w:rFonts w:ascii="Arial" w:cs="Arial" w:eastAsia="Arial" w:hAnsi="Arial"/>
          <w:sz w:val="14"/>
          <w:szCs w:val="14"/>
          <w:color w:val="auto"/>
        </w:rPr>
      </w:pPr>
      <w:r>
        <w:rPr>
          <w:rFonts w:ascii="Arial" w:cs="Arial" w:eastAsia="Arial" w:hAnsi="Arial"/>
          <w:sz w:val="14"/>
          <w:szCs w:val="14"/>
          <w:i w:val="1"/>
          <w:iCs w:val="1"/>
          <w:color w:val="auto"/>
        </w:rPr>
        <w:t>Please disclose the amount of royalties you may receive expressed as a percentage or range within 10%.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pages 56 and 108 of the Registration Statement to disclose a royalty range.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Collaborations, pages 83-89</w:t>
      </w:r>
    </w:p>
    <w:p>
      <w:pPr>
        <w:spacing w:after="0" w:line="132" w:lineRule="exact"/>
        <w:rPr>
          <w:sz w:val="20"/>
          <w:szCs w:val="20"/>
          <w:color w:val="auto"/>
        </w:rPr>
      </w:pPr>
    </w:p>
    <w:p>
      <w:pPr>
        <w:ind w:right="40" w:firstLine="4"/>
        <w:spacing w:after="0" w:line="267" w:lineRule="auto"/>
        <w:tabs>
          <w:tab w:leader="none" w:pos="204" w:val="left"/>
        </w:tabs>
        <w:numPr>
          <w:ilvl w:val="0"/>
          <w:numId w:val="1203"/>
        </w:numPr>
        <w:rPr>
          <w:rFonts w:ascii="Arial" w:cs="Arial" w:eastAsia="Arial" w:hAnsi="Arial"/>
          <w:sz w:val="14"/>
          <w:szCs w:val="14"/>
          <w:color w:val="auto"/>
        </w:rPr>
      </w:pPr>
      <w:r>
        <w:rPr>
          <w:rFonts w:ascii="Arial" w:cs="Arial" w:eastAsia="Arial" w:hAnsi="Arial"/>
          <w:sz w:val="14"/>
          <w:szCs w:val="14"/>
          <w:i w:val="1"/>
          <w:iCs w:val="1"/>
          <w:color w:val="auto"/>
        </w:rPr>
        <w:t>Please expand the discussions of the term and termination provisions for the listed collaboration agreements to include all material information relating to applicable royalty terms. We view the royalty-term provisions of these agreements as material information to investors to the extent that they impact duration in the commercial phase.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In response to the Staff’s comment, the Company has revised the disclosure on pages 103, 105, 106, 107 and 108 of the Registration Statement to disclose a the royalty term provisions.</w:t>
      </w:r>
    </w:p>
    <w:p>
      <w:pPr>
        <w:spacing w:after="0" w:line="157" w:lineRule="exact"/>
        <w:rPr>
          <w:sz w:val="20"/>
          <w:szCs w:val="20"/>
          <w:color w:val="auto"/>
        </w:rPr>
      </w:pPr>
    </w:p>
    <w:p>
      <w:pPr>
        <w:ind w:firstLine="4"/>
        <w:spacing w:after="0" w:line="258" w:lineRule="auto"/>
        <w:tabs>
          <w:tab w:leader="none" w:pos="204" w:val="left"/>
        </w:tabs>
        <w:numPr>
          <w:ilvl w:val="0"/>
          <w:numId w:val="1204"/>
        </w:numPr>
        <w:rPr>
          <w:rFonts w:ascii="Arial" w:cs="Arial" w:eastAsia="Arial" w:hAnsi="Arial"/>
          <w:sz w:val="14"/>
          <w:szCs w:val="14"/>
          <w:color w:val="auto"/>
        </w:rPr>
      </w:pPr>
      <w:r>
        <w:rPr>
          <w:rFonts w:ascii="Arial" w:cs="Arial" w:eastAsia="Arial" w:hAnsi="Arial"/>
          <w:sz w:val="14"/>
          <w:szCs w:val="14"/>
          <w:i w:val="1"/>
          <w:iCs w:val="1"/>
          <w:color w:val="auto"/>
        </w:rPr>
        <w:t>We note your disclosure in Note 10 relating to an Asset Purchase Agreement with Tolerance Therapeutics which may require you to make certain milestone and other payments. Please identify this agreement and describe all material terms in the prospectus and file the agreement as an exhibit to your registration statement. Alternately, if this agreement is no longer material, please advise us as to the basis of your conclusion.</w:t>
      </w:r>
    </w:p>
    <w:p>
      <w:pPr>
        <w:sectPr>
          <w:pgSz w:w="11900" w:h="16838" w:orient="portrait"/>
          <w:cols w:equalWidth="0" w:num="1">
            <w:col w:w="11460"/>
          </w:cols>
          <w:pgMar w:left="220" w:top="728" w:right="219" w:bottom="1440" w:gutter="0" w:footer="0" w:header="0"/>
        </w:sectPr>
      </w:pPr>
    </w:p>
    <w:bookmarkStart w:id="976" w:name="page977"/>
    <w:bookmarkEnd w:id="97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161290</wp:posOffset>
            </wp:positionV>
            <wp:extent cx="4882515" cy="22542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13</w:t>
      </w:r>
    </w:p>
    <w:p>
      <w:pPr>
        <w:spacing w:after="0" w:line="113" w:lineRule="exact"/>
        <w:rPr>
          <w:sz w:val="20"/>
          <w:szCs w:val="20"/>
          <w:color w:val="auto"/>
        </w:rPr>
      </w:pPr>
    </w:p>
    <w:p>
      <w:pPr>
        <w:ind w:firstLine="458"/>
        <w:spacing w:after="0" w:line="303"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Company believes that the Tolerance Therapeutics agreement is no longer material. Under the agreement, if the Company were to commercialize three products that incorporate the</w:t>
      </w:r>
      <w:r>
        <w:rPr>
          <w:rFonts w:ascii="Arial" w:cs="Arial" w:eastAsia="Arial" w:hAnsi="Arial"/>
          <w:sz w:val="12"/>
          <w:szCs w:val="12"/>
          <w:b w:val="1"/>
          <w:bCs w:val="1"/>
          <w:color w:val="auto"/>
        </w:rPr>
        <w:t xml:space="preserve"> </w:t>
      </w:r>
      <w:r>
        <w:rPr>
          <w:rFonts w:ascii="Arial" w:cs="Arial" w:eastAsia="Arial" w:hAnsi="Arial"/>
          <w:sz w:val="12"/>
          <w:szCs w:val="12"/>
          <w:color w:val="auto"/>
        </w:rPr>
        <w:t>intellectual property purchased from Tolerance Therapeutics, the Company would be obligated to pay a maximum of $10.9 million in milestone payments, a maximum of 678,398 common shares attributed to the filing of a biologics license application and first commercial sale of each of product. The Company is also obligated to pay royalties ranging from 1.75% to 4.0% on net sales of the commercialized products. At present, the intellectual property acquired is only incorporated into teplizumab and therefore, the Company could only potentially be obligated to pay one-third of the aggregate milestone payments due under the agreement. Thus, the Company believes that it is unlikely that it will have to pay any milestone payments in the foreseeable future, that any potential milestone payments due in the event the Company commercializes teplizumab would not be material to the Company’s financial position and, therefore, that the Tolerance Therapeutics agreement is not material to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Intellectual Property, pages 89-90</w:t>
      </w:r>
    </w:p>
    <w:p>
      <w:pPr>
        <w:spacing w:after="0" w:line="132" w:lineRule="exact"/>
        <w:rPr>
          <w:sz w:val="20"/>
          <w:szCs w:val="20"/>
          <w:color w:val="auto"/>
        </w:rPr>
      </w:pPr>
    </w:p>
    <w:p>
      <w:pPr>
        <w:ind w:left="920" w:right="2880" w:hanging="916"/>
        <w:spacing w:after="0" w:line="342" w:lineRule="auto"/>
        <w:tabs>
          <w:tab w:leader="none" w:pos="207" w:val="left"/>
        </w:tabs>
        <w:numPr>
          <w:ilvl w:val="0"/>
          <w:numId w:val="1205"/>
        </w:numPr>
        <w:rPr>
          <w:rFonts w:ascii="Arial" w:cs="Arial" w:eastAsia="Arial" w:hAnsi="Arial"/>
          <w:sz w:val="14"/>
          <w:szCs w:val="14"/>
          <w:color w:val="auto"/>
        </w:rPr>
      </w:pPr>
      <w:r>
        <w:rPr>
          <w:rFonts w:ascii="Arial" w:cs="Arial" w:eastAsia="Arial" w:hAnsi="Arial"/>
          <w:sz w:val="14"/>
          <w:szCs w:val="14"/>
          <w:i w:val="1"/>
          <w:iCs w:val="1"/>
          <w:color w:val="auto"/>
        </w:rPr>
        <w:t>For the intellectual property covering Margetuximab, MGA271, MGD006, MGD010, and the DART Platform, please disclose the following information: the exact number of issued U.S. patents and pending U.S. patent claims;</w:t>
      </w:r>
    </w:p>
    <w:p>
      <w:pPr>
        <w:ind w:left="920"/>
        <w:spacing w:after="0"/>
        <w:rPr>
          <w:rFonts w:ascii="Arial" w:cs="Arial" w:eastAsia="Arial" w:hAnsi="Arial"/>
          <w:sz w:val="14"/>
          <w:szCs w:val="14"/>
          <w:color w:val="auto"/>
        </w:rPr>
      </w:pPr>
      <w:r>
        <w:rPr>
          <w:rFonts w:ascii="Arial" w:cs="Arial" w:eastAsia="Arial" w:hAnsi="Arial"/>
          <w:sz w:val="14"/>
          <w:szCs w:val="14"/>
          <w:i w:val="1"/>
          <w:iCs w:val="1"/>
          <w:color w:val="auto"/>
        </w:rPr>
        <w:t>the specific type of patent protection relating to each issued or pending patent;</w:t>
      </w:r>
    </w:p>
    <w:p>
      <w:pPr>
        <w:spacing w:after="0" w:line="68" w:lineRule="exact"/>
        <w:rPr>
          <w:rFonts w:ascii="Arial" w:cs="Arial" w:eastAsia="Arial" w:hAnsi="Arial"/>
          <w:sz w:val="14"/>
          <w:szCs w:val="14"/>
          <w:color w:val="auto"/>
        </w:rPr>
      </w:pPr>
    </w:p>
    <w:p>
      <w:pPr>
        <w:ind w:left="920" w:right="2260"/>
        <w:spacing w:after="0" w:line="360" w:lineRule="auto"/>
        <w:rPr>
          <w:rFonts w:ascii="Arial" w:cs="Arial" w:eastAsia="Arial" w:hAnsi="Arial"/>
          <w:sz w:val="14"/>
          <w:szCs w:val="14"/>
          <w:color w:val="auto"/>
        </w:rPr>
      </w:pPr>
      <w:r>
        <w:rPr>
          <w:rFonts w:ascii="Arial" w:cs="Arial" w:eastAsia="Arial" w:hAnsi="Arial"/>
          <w:sz w:val="14"/>
          <w:szCs w:val="14"/>
          <w:i w:val="1"/>
          <w:iCs w:val="1"/>
          <w:color w:val="auto"/>
        </w:rPr>
        <w:t>the expiration date of each of the identified material patents and the expected expiration date of each of the identified material patent applications; and whether each issued or pending patent is owned by or licensed to the company.</w:t>
      </w:r>
    </w:p>
    <w:p>
      <w:pPr>
        <w:spacing w:after="0" w:line="39"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i w:val="1"/>
          <w:iCs w:val="1"/>
          <w:color w:val="auto"/>
        </w:rPr>
        <w:t>As to any licensed material intellectual property related to your product candidates or proprietary technology, indicate from whom such property was licensed and describe the material terms of the license agreement and the duration of the license including any conditions that must be satisfied in order to maintain the license. Please file all such license agreements as exhibits to your registration statement. Alternatively, provide us with your analysis as to why you are not substantially dependent upon any such licenses.</w:t>
      </w:r>
    </w:p>
    <w:p>
      <w:pPr>
        <w:sectPr>
          <w:pgSz w:w="11900" w:h="16838" w:orient="portrait"/>
          <w:cols w:equalWidth="0" w:num="1">
            <w:col w:w="11420"/>
          </w:cols>
          <w:pgMar w:left="220" w:top="727" w:right="259" w:bottom="1440" w:gutter="0" w:footer="0" w:header="0"/>
        </w:sectPr>
      </w:pPr>
    </w:p>
    <w:bookmarkStart w:id="977" w:name="page978"/>
    <w:bookmarkEnd w:id="97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316470"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14</w:t>
      </w:r>
    </w:p>
    <w:p>
      <w:pPr>
        <w:spacing w:after="0" w:line="113" w:lineRule="exact"/>
        <w:rPr>
          <w:sz w:val="20"/>
          <w:szCs w:val="20"/>
          <w:color w:val="auto"/>
        </w:rPr>
      </w:pPr>
    </w:p>
    <w:p>
      <w:pPr>
        <w:ind w:firstLine="458"/>
        <w:spacing w:after="0" w:line="253"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pages 110 and 111. Further, the Company advises that it licenses certain intellectual property from Lonza</w:t>
      </w:r>
      <w:r>
        <w:rPr>
          <w:rFonts w:ascii="Arial" w:cs="Arial" w:eastAsia="Arial" w:hAnsi="Arial"/>
          <w:sz w:val="14"/>
          <w:szCs w:val="14"/>
          <w:b w:val="1"/>
          <w:bCs w:val="1"/>
          <w:color w:val="auto"/>
        </w:rPr>
        <w:t xml:space="preserve"> </w:t>
      </w:r>
      <w:r>
        <w:rPr>
          <w:rFonts w:ascii="Arial" w:cs="Arial" w:eastAsia="Arial" w:hAnsi="Arial"/>
          <w:sz w:val="14"/>
          <w:szCs w:val="14"/>
          <w:color w:val="auto"/>
        </w:rPr>
        <w:t>Group Ltd. (“Lonza”) for manufacturing technology used in the manufacture of margetuximab and MGA271. The Company does not believe that this license is material. Lonza is a leading supplier of chemical and biological active pharmaceutical ingredients to the pharmaceutical, healthcare, and life science industries. Lonza licenses its technologies on a non-exclusive basis to numerous customers worldwide. Accordingly, the Company believes that the risk of losing this license is remote. Moreover, the Company has not yet commercialized either of these two product candidates and the Lonza manufacturing technology could be replaced, if necessary. The Company also notes that Lonza’s patent that relates to the technology used by the Company will expire prior to the time the Company would expect to commercialize either of margetuximab or MGA271.</w:t>
      </w:r>
    </w:p>
    <w:p>
      <w:pPr>
        <w:spacing w:after="0" w:line="112" w:lineRule="exact"/>
        <w:rPr>
          <w:sz w:val="20"/>
          <w:szCs w:val="20"/>
          <w:color w:val="auto"/>
        </w:rPr>
      </w:pPr>
    </w:p>
    <w:p>
      <w:pPr>
        <w:ind w:left="460" w:right="3840" w:hanging="456"/>
        <w:spacing w:after="0" w:line="508" w:lineRule="auto"/>
        <w:tabs>
          <w:tab w:leader="none" w:pos="205" w:val="left"/>
        </w:tabs>
        <w:numPr>
          <w:ilvl w:val="0"/>
          <w:numId w:val="1206"/>
        </w:numPr>
        <w:rPr>
          <w:rFonts w:ascii="Arial" w:cs="Arial" w:eastAsia="Arial" w:hAnsi="Arial"/>
          <w:sz w:val="12"/>
          <w:szCs w:val="12"/>
          <w:color w:val="auto"/>
        </w:rPr>
      </w:pPr>
      <w:r>
        <w:rPr>
          <w:rFonts w:ascii="Arial" w:cs="Arial" w:eastAsia="Arial" w:hAnsi="Arial"/>
          <w:sz w:val="12"/>
          <w:szCs w:val="12"/>
          <w:i w:val="1"/>
          <w:iCs w:val="1"/>
          <w:color w:val="auto"/>
        </w:rPr>
        <w:t xml:space="preserve">Please include a discussion of any material patents relating to your proprietary Cancer Stem-like Cell Platform technology. </w:t>
      </w:r>
      <w:r>
        <w:rPr>
          <w:rFonts w:ascii="Arial" w:cs="Arial" w:eastAsia="Arial" w:hAnsi="Arial"/>
          <w:sz w:val="12"/>
          <w:szCs w:val="12"/>
          <w:b w:val="1"/>
          <w:bCs w:val="1"/>
          <w:color w:val="auto"/>
        </w:rPr>
        <w:t xml:space="preserve">Response: </w:t>
      </w:r>
      <w:r>
        <w:rPr>
          <w:rFonts w:ascii="Arial" w:cs="Arial" w:eastAsia="Arial" w:hAnsi="Arial"/>
          <w:sz w:val="12"/>
          <w:szCs w:val="12"/>
          <w:color w:val="auto"/>
        </w:rPr>
        <w:t>In response to the Staff’s comment, the Company has revised the disclosure on page 112 of the Registration Statement.</w:t>
      </w:r>
    </w:p>
    <w:p>
      <w:pPr>
        <w:ind w:right="340" w:firstLine="4"/>
        <w:spacing w:after="0" w:line="267" w:lineRule="auto"/>
        <w:tabs>
          <w:tab w:leader="none" w:pos="204" w:val="left"/>
        </w:tabs>
        <w:numPr>
          <w:ilvl w:val="0"/>
          <w:numId w:val="1206"/>
        </w:numPr>
        <w:rPr>
          <w:rFonts w:ascii="Arial" w:cs="Arial" w:eastAsia="Arial" w:hAnsi="Arial"/>
          <w:sz w:val="14"/>
          <w:szCs w:val="14"/>
          <w:color w:val="auto"/>
        </w:rPr>
      </w:pPr>
      <w:r>
        <w:rPr>
          <w:rFonts w:ascii="Arial" w:cs="Arial" w:eastAsia="Arial" w:hAnsi="Arial"/>
          <w:sz w:val="14"/>
          <w:szCs w:val="14"/>
          <w:i w:val="1"/>
          <w:iCs w:val="1"/>
          <w:color w:val="auto"/>
        </w:rPr>
        <w:t>We note your disclosure here and in the risk factor on page 25 stating that third parties hold patent claims to certain amino acid sequences encoding Margetuximab and MGA271. Please expand your disclosure to discuss what steps you are taking, if any, to protect patents you believe have been infringed by third parties.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109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Manufacturing, page 92</w:t>
      </w:r>
    </w:p>
    <w:p>
      <w:pPr>
        <w:spacing w:after="0" w:line="132" w:lineRule="exact"/>
        <w:rPr>
          <w:sz w:val="20"/>
          <w:szCs w:val="20"/>
          <w:color w:val="auto"/>
        </w:rPr>
      </w:pPr>
    </w:p>
    <w:p>
      <w:pPr>
        <w:ind w:right="60" w:firstLine="4"/>
        <w:spacing w:after="0" w:line="351" w:lineRule="auto"/>
        <w:tabs>
          <w:tab w:leader="none" w:pos="204" w:val="left"/>
        </w:tabs>
        <w:numPr>
          <w:ilvl w:val="0"/>
          <w:numId w:val="1207"/>
        </w:numPr>
        <w:rPr>
          <w:rFonts w:ascii="Arial" w:cs="Arial" w:eastAsia="Arial" w:hAnsi="Arial"/>
          <w:sz w:val="12"/>
          <w:szCs w:val="12"/>
          <w:color w:val="auto"/>
        </w:rPr>
      </w:pPr>
      <w:r>
        <w:rPr>
          <w:rFonts w:ascii="Arial" w:cs="Arial" w:eastAsia="Arial" w:hAnsi="Arial"/>
          <w:sz w:val="12"/>
          <w:szCs w:val="12"/>
          <w:i w:val="1"/>
          <w:iCs w:val="1"/>
          <w:color w:val="auto"/>
        </w:rPr>
        <w:t>We note that you currently manufacture all of your drug substances in-house. Please clarify whether you obtain any raw materials from suppliers in order to complete such manufacturing, and if so, please expand this section to describe your source of supply and clarify whether the raw materials necessary for manufacturing are available from more than one source.</w:t>
      </w:r>
    </w:p>
    <w:p>
      <w:pPr>
        <w:sectPr>
          <w:pgSz w:w="11900" w:h="16838" w:orient="portrait"/>
          <w:cols w:equalWidth="0" w:num="1">
            <w:col w:w="11380"/>
          </w:cols>
          <w:pgMar w:left="220" w:top="728" w:right="299" w:bottom="1440" w:gutter="0" w:footer="0" w:header="0"/>
        </w:sectPr>
      </w:pPr>
    </w:p>
    <w:bookmarkStart w:id="978" w:name="page979"/>
    <w:bookmarkEnd w:id="97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302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316470"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15</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113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FDA Approval Process, pages 94-98</w:t>
      </w:r>
    </w:p>
    <w:p>
      <w:pPr>
        <w:spacing w:after="0" w:line="132" w:lineRule="exact"/>
        <w:rPr>
          <w:sz w:val="20"/>
          <w:szCs w:val="20"/>
          <w:color w:val="auto"/>
        </w:rPr>
      </w:pPr>
    </w:p>
    <w:p>
      <w:pPr>
        <w:ind w:right="100" w:firstLine="4"/>
        <w:spacing w:after="0" w:line="267" w:lineRule="auto"/>
        <w:tabs>
          <w:tab w:leader="none" w:pos="204" w:val="left"/>
        </w:tabs>
        <w:numPr>
          <w:ilvl w:val="0"/>
          <w:numId w:val="1208"/>
        </w:numPr>
        <w:rPr>
          <w:rFonts w:ascii="Arial" w:cs="Arial" w:eastAsia="Arial" w:hAnsi="Arial"/>
          <w:sz w:val="14"/>
          <w:szCs w:val="14"/>
          <w:color w:val="auto"/>
        </w:rPr>
      </w:pPr>
      <w:r>
        <w:rPr>
          <w:rFonts w:ascii="Arial" w:cs="Arial" w:eastAsia="Arial" w:hAnsi="Arial"/>
          <w:sz w:val="14"/>
          <w:szCs w:val="14"/>
          <w:i w:val="1"/>
          <w:iCs w:val="1"/>
          <w:color w:val="auto"/>
        </w:rPr>
        <w:t>As you are currently seeking FDA fast-track designation for Margetuximab, please expand the discussion in this section to describe the fast-track application process and purpose of the designation in this section.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118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Orphan Drug, page 98</w:t>
      </w:r>
    </w:p>
    <w:p>
      <w:pPr>
        <w:spacing w:after="0" w:line="132" w:lineRule="exact"/>
        <w:rPr>
          <w:sz w:val="20"/>
          <w:szCs w:val="20"/>
          <w:color w:val="auto"/>
        </w:rPr>
      </w:pPr>
    </w:p>
    <w:p>
      <w:pPr>
        <w:ind w:right="20" w:firstLine="4"/>
        <w:spacing w:after="0" w:line="267" w:lineRule="auto"/>
        <w:tabs>
          <w:tab w:leader="none" w:pos="204" w:val="left"/>
        </w:tabs>
        <w:numPr>
          <w:ilvl w:val="0"/>
          <w:numId w:val="1209"/>
        </w:numPr>
        <w:rPr>
          <w:rFonts w:ascii="Arial" w:cs="Arial" w:eastAsia="Arial" w:hAnsi="Arial"/>
          <w:sz w:val="14"/>
          <w:szCs w:val="14"/>
          <w:color w:val="auto"/>
        </w:rPr>
      </w:pPr>
      <w:r>
        <w:rPr>
          <w:rFonts w:ascii="Arial" w:cs="Arial" w:eastAsia="Arial" w:hAnsi="Arial"/>
          <w:sz w:val="14"/>
          <w:szCs w:val="14"/>
          <w:i w:val="1"/>
          <w:iCs w:val="1"/>
          <w:color w:val="auto"/>
        </w:rPr>
        <w:t>If you do not anticipate that you will be applying for Orphan Drug designation for any of your product candidates, please clarify your disclosure to indicate that fact. If you intend to apply for Orphan Drug designation, please disclose the specific product candidates for which you will seek the designation in your business section.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 120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Narrative to Summary Compensation Table, pages 106-107</w:t>
      </w:r>
    </w:p>
    <w:p>
      <w:pPr>
        <w:spacing w:after="0" w:line="132" w:lineRule="exact"/>
        <w:rPr>
          <w:sz w:val="20"/>
          <w:szCs w:val="20"/>
          <w:color w:val="auto"/>
        </w:rPr>
      </w:pPr>
    </w:p>
    <w:p>
      <w:pPr>
        <w:ind w:firstLine="4"/>
        <w:spacing w:after="0" w:line="267" w:lineRule="auto"/>
        <w:tabs>
          <w:tab w:leader="none" w:pos="204" w:val="left"/>
        </w:tabs>
        <w:numPr>
          <w:ilvl w:val="0"/>
          <w:numId w:val="1210"/>
        </w:numPr>
        <w:rPr>
          <w:rFonts w:ascii="Arial" w:cs="Arial" w:eastAsia="Arial" w:hAnsi="Arial"/>
          <w:sz w:val="14"/>
          <w:szCs w:val="14"/>
          <w:color w:val="auto"/>
        </w:rPr>
      </w:pPr>
      <w:r>
        <w:rPr>
          <w:rFonts w:ascii="Arial" w:cs="Arial" w:eastAsia="Arial" w:hAnsi="Arial"/>
          <w:sz w:val="14"/>
          <w:szCs w:val="14"/>
          <w:i w:val="1"/>
          <w:iCs w:val="1"/>
          <w:color w:val="auto"/>
        </w:rPr>
        <w:t>We note your disclosure on page 29 stating that you have entered into employment letter agreements with your named executive officers. Please disclose all material terms of these agreements in this section and file these agreements as exhibits to your registration statement.</w:t>
      </w:r>
    </w:p>
    <w:p>
      <w:pPr>
        <w:spacing w:after="0" w:line="99" w:lineRule="exact"/>
        <w:rPr>
          <w:sz w:val="20"/>
          <w:szCs w:val="20"/>
          <w:color w:val="auto"/>
        </w:rPr>
      </w:pPr>
    </w:p>
    <w:p>
      <w:pPr>
        <w:ind w:right="500"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acknowledges the Staff’s comment and advises that it expects to disclose the material terms of, and file as exhibits, the employment letter agreements in a subsequent</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Principal Stockholders, page 113</w:t>
      </w:r>
    </w:p>
    <w:p>
      <w:pPr>
        <w:spacing w:after="0" w:line="132" w:lineRule="exact"/>
        <w:rPr>
          <w:sz w:val="20"/>
          <w:szCs w:val="20"/>
          <w:color w:val="auto"/>
        </w:rPr>
      </w:pPr>
    </w:p>
    <w:p>
      <w:pPr>
        <w:ind w:left="200" w:hanging="196"/>
        <w:spacing w:after="0"/>
        <w:tabs>
          <w:tab w:leader="none" w:pos="200" w:val="left"/>
        </w:tabs>
        <w:numPr>
          <w:ilvl w:val="0"/>
          <w:numId w:val="1211"/>
        </w:numPr>
        <w:rPr>
          <w:rFonts w:ascii="Arial" w:cs="Arial" w:eastAsia="Arial" w:hAnsi="Arial"/>
          <w:sz w:val="14"/>
          <w:szCs w:val="14"/>
          <w:color w:val="auto"/>
        </w:rPr>
      </w:pPr>
      <w:r>
        <w:rPr>
          <w:rFonts w:ascii="Arial" w:cs="Arial" w:eastAsia="Arial" w:hAnsi="Arial"/>
          <w:sz w:val="14"/>
          <w:szCs w:val="14"/>
          <w:i w:val="1"/>
          <w:iCs w:val="1"/>
          <w:color w:val="auto"/>
        </w:rPr>
        <w:t>Please disclose the number and percentage of shares beneficially owned by the principal stockholders prior to the offering in the table on page 113.</w:t>
      </w:r>
    </w:p>
    <w:p>
      <w:pPr>
        <w:sectPr>
          <w:pgSz w:w="11900" w:h="16838" w:orient="portrait"/>
          <w:cols w:equalWidth="0" w:num="1">
            <w:col w:w="11400"/>
          </w:cols>
          <w:pgMar w:left="220" w:top="728" w:right="279" w:bottom="1440" w:gutter="0" w:footer="0" w:header="0"/>
        </w:sectPr>
      </w:pPr>
    </w:p>
    <w:bookmarkStart w:id="979" w:name="page980"/>
    <w:bookmarkEnd w:id="97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161290</wp:posOffset>
            </wp:positionV>
            <wp:extent cx="4882515" cy="22542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16</w:t>
      </w:r>
    </w:p>
    <w:p>
      <w:pPr>
        <w:spacing w:after="0" w:line="113" w:lineRule="exact"/>
        <w:rPr>
          <w:sz w:val="20"/>
          <w:szCs w:val="20"/>
          <w:color w:val="auto"/>
        </w:rPr>
      </w:pPr>
    </w:p>
    <w:p>
      <w:pPr>
        <w:ind w:right="240"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acknowledges the Staff’s comment and advises that it expects to disclose the number and percentage of shares beneficially owned by the principal stockholders prior to the</w:t>
      </w:r>
      <w:r>
        <w:rPr>
          <w:rFonts w:ascii="Arial" w:cs="Arial" w:eastAsia="Arial" w:hAnsi="Arial"/>
          <w:sz w:val="14"/>
          <w:szCs w:val="14"/>
          <w:b w:val="1"/>
          <w:bCs w:val="1"/>
          <w:color w:val="auto"/>
        </w:rPr>
        <w:t xml:space="preserve"> </w:t>
      </w:r>
      <w:r>
        <w:rPr>
          <w:rFonts w:ascii="Arial" w:cs="Arial" w:eastAsia="Arial" w:hAnsi="Arial"/>
          <w:sz w:val="14"/>
          <w:szCs w:val="14"/>
          <w:color w:val="auto"/>
        </w:rPr>
        <w:t>offering in a subsequent amendment.</w:t>
      </w:r>
    </w:p>
    <w:p>
      <w:pPr>
        <w:spacing w:after="0" w:line="99" w:lineRule="exact"/>
        <w:rPr>
          <w:sz w:val="20"/>
          <w:szCs w:val="20"/>
          <w:color w:val="auto"/>
        </w:rPr>
      </w:pPr>
    </w:p>
    <w:p>
      <w:pPr>
        <w:ind w:left="460" w:right="2600" w:hanging="456"/>
        <w:spacing w:after="0" w:line="563" w:lineRule="auto"/>
        <w:tabs>
          <w:tab w:leader="none" w:pos="205" w:val="left"/>
        </w:tabs>
        <w:numPr>
          <w:ilvl w:val="0"/>
          <w:numId w:val="1212"/>
        </w:numPr>
        <w:rPr>
          <w:rFonts w:ascii="Arial" w:cs="Arial" w:eastAsia="Arial" w:hAnsi="Arial"/>
          <w:sz w:val="12"/>
          <w:szCs w:val="12"/>
          <w:color w:val="auto"/>
        </w:rPr>
      </w:pPr>
      <w:r>
        <w:rPr>
          <w:rFonts w:ascii="Arial" w:cs="Arial" w:eastAsia="Arial" w:hAnsi="Arial"/>
          <w:sz w:val="12"/>
          <w:szCs w:val="12"/>
          <w:i w:val="1"/>
          <w:iCs w:val="1"/>
          <w:color w:val="auto"/>
        </w:rPr>
        <w:t xml:space="preserve">In footnote 5 to your Principal Stockholders table, please identify the natural person(s) holding sole or shared beneficial ownership of the shares held by CDP. </w:t>
      </w:r>
      <w:r>
        <w:rPr>
          <w:rFonts w:ascii="Arial" w:cs="Arial" w:eastAsia="Arial" w:hAnsi="Arial"/>
          <w:sz w:val="12"/>
          <w:szCs w:val="12"/>
          <w:b w:val="1"/>
          <w:bCs w:val="1"/>
          <w:color w:val="auto"/>
        </w:rPr>
        <w:t xml:space="preserve">Response: </w:t>
      </w:r>
      <w:r>
        <w:rPr>
          <w:rFonts w:ascii="Arial" w:cs="Arial" w:eastAsia="Arial" w:hAnsi="Arial"/>
          <w:sz w:val="12"/>
          <w:szCs w:val="12"/>
          <w:color w:val="auto"/>
        </w:rPr>
        <w:t>In response to the Staff’s comment, the Company has revised the disclosure on page 139 of the Registration Statement.</w:t>
      </w:r>
    </w:p>
    <w:p>
      <w:pPr>
        <w:spacing w:after="0"/>
        <w:rPr>
          <w:sz w:val="20"/>
          <w:szCs w:val="20"/>
          <w:color w:val="auto"/>
        </w:rPr>
      </w:pPr>
      <w:r>
        <w:rPr>
          <w:rFonts w:ascii="Arial" w:cs="Arial" w:eastAsia="Arial" w:hAnsi="Arial"/>
          <w:sz w:val="14"/>
          <w:szCs w:val="14"/>
          <w:u w:val="single" w:color="auto"/>
          <w:color w:val="auto"/>
        </w:rPr>
        <w:t>Description of Capital Stock, page 117</w:t>
      </w:r>
    </w:p>
    <w:p>
      <w:pPr>
        <w:spacing w:after="0" w:line="132" w:lineRule="exact"/>
        <w:rPr>
          <w:sz w:val="20"/>
          <w:szCs w:val="20"/>
          <w:color w:val="auto"/>
        </w:rPr>
      </w:pPr>
    </w:p>
    <w:p>
      <w:pPr>
        <w:ind w:left="200" w:hanging="196"/>
        <w:spacing w:after="0"/>
        <w:tabs>
          <w:tab w:leader="none" w:pos="200" w:val="left"/>
        </w:tabs>
        <w:numPr>
          <w:ilvl w:val="0"/>
          <w:numId w:val="1213"/>
        </w:numPr>
        <w:rPr>
          <w:rFonts w:ascii="Arial" w:cs="Arial" w:eastAsia="Arial" w:hAnsi="Arial"/>
          <w:sz w:val="14"/>
          <w:szCs w:val="14"/>
          <w:color w:val="auto"/>
        </w:rPr>
      </w:pPr>
      <w:r>
        <w:rPr>
          <w:rFonts w:ascii="Arial" w:cs="Arial" w:eastAsia="Arial" w:hAnsi="Arial"/>
          <w:sz w:val="14"/>
          <w:szCs w:val="14"/>
          <w:i w:val="1"/>
          <w:iCs w:val="1"/>
          <w:color w:val="auto"/>
        </w:rPr>
        <w:t>Please disclose the thresholds for voting on matters other than election of directors for holders of your common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revised the disclosure on pages 142 and 143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Shares Eligible for Future Sale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Lock-up Agreements, page 123</w:t>
      </w:r>
    </w:p>
    <w:p>
      <w:pPr>
        <w:spacing w:after="0" w:line="126" w:lineRule="exact"/>
        <w:rPr>
          <w:sz w:val="20"/>
          <w:szCs w:val="20"/>
          <w:color w:val="auto"/>
        </w:rPr>
      </w:pPr>
    </w:p>
    <w:p>
      <w:pPr>
        <w:ind w:left="200" w:hanging="196"/>
        <w:spacing w:after="0"/>
        <w:tabs>
          <w:tab w:leader="none" w:pos="200" w:val="left"/>
        </w:tabs>
        <w:numPr>
          <w:ilvl w:val="0"/>
          <w:numId w:val="1214"/>
        </w:numPr>
        <w:rPr>
          <w:rFonts w:ascii="Arial" w:cs="Arial" w:eastAsia="Arial" w:hAnsi="Arial"/>
          <w:sz w:val="14"/>
          <w:szCs w:val="14"/>
          <w:color w:val="auto"/>
        </w:rPr>
      </w:pPr>
      <w:r>
        <w:rPr>
          <w:rFonts w:ascii="Arial" w:cs="Arial" w:eastAsia="Arial" w:hAnsi="Arial"/>
          <w:sz w:val="14"/>
          <w:szCs w:val="14"/>
          <w:i w:val="1"/>
          <w:iCs w:val="1"/>
          <w:color w:val="auto"/>
        </w:rPr>
        <w:t>Once available, please file the form of lock-up agreement as an exhibit to your registration statement.</w:t>
      </w:r>
    </w:p>
    <w:p>
      <w:pPr>
        <w:spacing w:after="0" w:line="13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The Company advises the Staff that the form of lock-up agreement signed by the Company’s directors, officers and stockholders will be filed as an exhibit to the underwriting agreement filed</w:t>
      </w:r>
      <w:r>
        <w:rPr>
          <w:rFonts w:ascii="Arial" w:cs="Arial" w:eastAsia="Arial" w:hAnsi="Arial"/>
          <w:sz w:val="14"/>
          <w:szCs w:val="14"/>
          <w:b w:val="1"/>
          <w:bCs w:val="1"/>
          <w:color w:val="auto"/>
        </w:rPr>
        <w:t xml:space="preserve"> </w:t>
      </w:r>
      <w:r>
        <w:rPr>
          <w:rFonts w:ascii="Arial" w:cs="Arial" w:eastAsia="Arial" w:hAnsi="Arial"/>
          <w:sz w:val="14"/>
          <w:szCs w:val="14"/>
          <w:color w:val="auto"/>
        </w:rPr>
        <w:t>as Exhibit 1.1 to the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 to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Revenues, page F-12</w:t>
      </w:r>
    </w:p>
    <w:p>
      <w:pPr>
        <w:spacing w:after="0" w:line="126" w:lineRule="exact"/>
        <w:rPr>
          <w:sz w:val="20"/>
          <w:szCs w:val="20"/>
          <w:color w:val="auto"/>
        </w:rPr>
      </w:pPr>
    </w:p>
    <w:p>
      <w:pPr>
        <w:ind w:right="20" w:firstLine="4"/>
        <w:spacing w:after="0" w:line="267" w:lineRule="auto"/>
        <w:tabs>
          <w:tab w:leader="none" w:pos="204" w:val="left"/>
        </w:tabs>
        <w:numPr>
          <w:ilvl w:val="0"/>
          <w:numId w:val="1215"/>
        </w:numPr>
        <w:rPr>
          <w:rFonts w:ascii="Arial" w:cs="Arial" w:eastAsia="Arial" w:hAnsi="Arial"/>
          <w:sz w:val="14"/>
          <w:szCs w:val="14"/>
          <w:color w:val="auto"/>
        </w:rPr>
      </w:pPr>
      <w:r>
        <w:rPr>
          <w:rFonts w:ascii="Arial" w:cs="Arial" w:eastAsia="Arial" w:hAnsi="Arial"/>
          <w:sz w:val="14"/>
          <w:szCs w:val="14"/>
          <w:i w:val="1"/>
          <w:iCs w:val="1"/>
          <w:color w:val="auto"/>
        </w:rPr>
        <w:t>You state your accounting policy for both the Exclusive Licenses on page F-14 and the Right-to-Develop Agreements on page F-15 prior to the adoption of ASU 2009-13. Please clarify if the statements after your discussion of the ASU relate to your policy before or after the ASU.</w:t>
      </w:r>
    </w:p>
    <w:p>
      <w:pPr>
        <w:sectPr>
          <w:pgSz w:w="11900" w:h="16838" w:orient="portrait"/>
          <w:cols w:equalWidth="0" w:num="1">
            <w:col w:w="11440"/>
          </w:cols>
          <w:pgMar w:left="220" w:top="727" w:right="239" w:bottom="1440" w:gutter="0" w:footer="0" w:header="0"/>
        </w:sectPr>
      </w:pPr>
    </w:p>
    <w:bookmarkStart w:id="980" w:name="page981"/>
    <w:bookmarkEnd w:id="98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included additional disclosures on pages F-15 and F-17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5. Stockholders’ Equity (Deficit), page F-19</w:t>
      </w:r>
    </w:p>
    <w:p>
      <w:pPr>
        <w:spacing w:after="0" w:line="132" w:lineRule="exact"/>
        <w:rPr>
          <w:sz w:val="20"/>
          <w:szCs w:val="20"/>
          <w:color w:val="auto"/>
        </w:rPr>
      </w:pPr>
    </w:p>
    <w:p>
      <w:pPr>
        <w:ind w:right="340" w:firstLine="4"/>
        <w:spacing w:after="0" w:line="267" w:lineRule="auto"/>
        <w:tabs>
          <w:tab w:leader="none" w:pos="204" w:val="left"/>
        </w:tabs>
        <w:numPr>
          <w:ilvl w:val="0"/>
          <w:numId w:val="1216"/>
        </w:numPr>
        <w:rPr>
          <w:rFonts w:ascii="Arial" w:cs="Arial" w:eastAsia="Arial" w:hAnsi="Arial"/>
          <w:sz w:val="14"/>
          <w:szCs w:val="14"/>
          <w:color w:val="auto"/>
        </w:rPr>
      </w:pPr>
      <w:r>
        <w:rPr>
          <w:rFonts w:ascii="Arial" w:cs="Arial" w:eastAsia="Arial" w:hAnsi="Arial"/>
          <w:sz w:val="14"/>
          <w:szCs w:val="14"/>
          <w:i w:val="1"/>
          <w:iCs w:val="1"/>
          <w:color w:val="auto"/>
        </w:rPr>
        <w:t>You indicate that the conversion ratio is subject to change in the event specified dilutive transactions occur. Please clarify for us, and in your disclosure the nature of these dilutive transactions, and the impact on your accounting, if any.</w:t>
      </w:r>
    </w:p>
    <w:p>
      <w:pPr>
        <w:spacing w:after="0" w:line="99" w:lineRule="exact"/>
        <w:rPr>
          <w:sz w:val="20"/>
          <w:szCs w:val="20"/>
          <w:color w:val="auto"/>
        </w:rPr>
      </w:pPr>
    </w:p>
    <w:p>
      <w:pPr>
        <w:ind w:right="120" w:firstLine="458"/>
        <w:spacing w:after="0" w:line="256" w:lineRule="auto"/>
        <w:rPr>
          <w:sz w:val="20"/>
          <w:szCs w:val="20"/>
          <w:color w:val="auto"/>
        </w:rPr>
      </w:pPr>
      <w:r>
        <w:rPr>
          <w:rFonts w:ascii="Arial" w:cs="Arial" w:eastAsia="Arial" w:hAnsi="Arial"/>
          <w:sz w:val="14"/>
          <w:szCs w:val="14"/>
          <w:b w:val="1"/>
          <w:bCs w:val="1"/>
          <w:color w:val="auto"/>
        </w:rPr>
        <w:t xml:space="preserve">Response: </w:t>
      </w:r>
      <w:r>
        <w:rPr>
          <w:rFonts w:ascii="Arial" w:cs="Arial" w:eastAsia="Arial" w:hAnsi="Arial"/>
          <w:sz w:val="14"/>
          <w:szCs w:val="14"/>
          <w:color w:val="auto"/>
        </w:rPr>
        <w:t>In response to the Staff’s comment, The Company has updated the disclosure on page F-23 to disclose the specified dilutive events that would adjust the preferred stock conversion ratio.</w:t>
      </w:r>
      <w:r>
        <w:rPr>
          <w:rFonts w:ascii="Arial" w:cs="Arial" w:eastAsia="Arial" w:hAnsi="Arial"/>
          <w:sz w:val="14"/>
          <w:szCs w:val="14"/>
          <w:b w:val="1"/>
          <w:bCs w:val="1"/>
          <w:color w:val="auto"/>
        </w:rPr>
        <w:t xml:space="preserve"> </w:t>
      </w:r>
      <w:r>
        <w:rPr>
          <w:rFonts w:ascii="Arial" w:cs="Arial" w:eastAsia="Arial" w:hAnsi="Arial"/>
          <w:sz w:val="14"/>
          <w:szCs w:val="14"/>
          <w:color w:val="auto"/>
        </w:rPr>
        <w:t>These dilutive events are considered to be the sale of common stock at a per share price less than the applicable preferred stock conversion price. There are no anti-dilution protections for the Series A-2 preferred stock and no adjustment to the Series A-1 preferred stock conversion price will be made if the common stock issuance is at a price per share greater than the conversion price of the Series C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5. Shared-Based Payments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 Option Exchange, page F-21</w:t>
      </w:r>
    </w:p>
    <w:p>
      <w:pPr>
        <w:spacing w:after="0" w:line="126" w:lineRule="exact"/>
        <w:rPr>
          <w:sz w:val="20"/>
          <w:szCs w:val="20"/>
          <w:color w:val="auto"/>
        </w:rPr>
      </w:pPr>
    </w:p>
    <w:p>
      <w:pPr>
        <w:ind w:right="220" w:firstLine="4"/>
        <w:spacing w:after="0" w:line="267" w:lineRule="auto"/>
        <w:tabs>
          <w:tab w:leader="none" w:pos="204" w:val="left"/>
        </w:tabs>
        <w:numPr>
          <w:ilvl w:val="0"/>
          <w:numId w:val="1217"/>
        </w:numPr>
        <w:rPr>
          <w:rFonts w:ascii="Arial" w:cs="Arial" w:eastAsia="Arial" w:hAnsi="Arial"/>
          <w:sz w:val="14"/>
          <w:szCs w:val="14"/>
          <w:color w:val="auto"/>
        </w:rPr>
      </w:pPr>
      <w:r>
        <w:rPr>
          <w:rFonts w:ascii="Arial" w:cs="Arial" w:eastAsia="Arial" w:hAnsi="Arial"/>
          <w:sz w:val="14"/>
          <w:szCs w:val="14"/>
          <w:i w:val="1"/>
          <w:iCs w:val="1"/>
          <w:color w:val="auto"/>
        </w:rPr>
        <w:t>Please explain to us why expected volatility decreased from 62% in 2011 to 51% in 2012, and increased to 57% for the three months ended. Provide us the public companies used in your determination of expected volatility, and tell us whether, and if so, why the mix of companies has changed over the periods presented.</w:t>
      </w:r>
    </w:p>
    <w:p>
      <w:pPr>
        <w:spacing w:after="0" w:line="99" w:lineRule="exact"/>
        <w:rPr>
          <w:sz w:val="20"/>
          <w:szCs w:val="20"/>
          <w:color w:val="auto"/>
        </w:rPr>
      </w:pPr>
    </w:p>
    <w:p>
      <w:pPr>
        <w:ind w:firstLine="458"/>
        <w:spacing w:after="0" w:line="306"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The fluctuation in the estimated volatility period over period is a result of the fluctuation in the volatility of the peer companies during the respective periods. The Company periodically</w:t>
      </w:r>
      <w:r>
        <w:rPr>
          <w:rFonts w:ascii="Arial" w:cs="Arial" w:eastAsia="Arial" w:hAnsi="Arial"/>
          <w:sz w:val="12"/>
          <w:szCs w:val="12"/>
          <w:b w:val="1"/>
          <w:bCs w:val="1"/>
          <w:color w:val="auto"/>
        </w:rPr>
        <w:t xml:space="preserve"> </w:t>
      </w:r>
      <w:r>
        <w:rPr>
          <w:rFonts w:ascii="Arial" w:cs="Arial" w:eastAsia="Arial" w:hAnsi="Arial"/>
          <w:sz w:val="12"/>
          <w:szCs w:val="12"/>
          <w:color w:val="auto"/>
        </w:rPr>
        <w:t>reviews the companies used in its calculation of volatility in order to make sure that it is using companies that are in the same industry and at a similar stage of development. In 2011, the Company estimated its volatility based on the volatility of publically traded peer companies. The peer companies utilized were as follows: Genmab A/S, Human Genome Sciences, Inc., ImmunoGen, Inc., Infinity Pharmaceuticals, Inc., Morphosys AG, Regeneron Pharmaceuticals, Inc., Seattle Genetics, Inc. and XOMA, Ltd. The Company selected these companies since most of them had minimal or no product revenue and a similar number of products under development. Additionally, the Company considered the stages of the products in development for the comparable companies and noted that the products were in various</w:t>
      </w:r>
    </w:p>
    <w:p>
      <w:pPr>
        <w:sectPr>
          <w:pgSz w:w="11900" w:h="16838" w:orient="portrait"/>
          <w:cols w:equalWidth="0" w:num="1">
            <w:col w:w="11460"/>
          </w:cols>
          <w:pgMar w:left="220" w:top="728" w:right="219" w:bottom="1440" w:gutter="0" w:footer="0" w:header="0"/>
        </w:sectPr>
      </w:pPr>
    </w:p>
    <w:bookmarkStart w:id="981" w:name="page982"/>
    <w:bookmarkEnd w:id="98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161290</wp:posOffset>
            </wp:positionV>
            <wp:extent cx="4882515" cy="22542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18</w:t>
      </w:r>
    </w:p>
    <w:p>
      <w:pPr>
        <w:spacing w:after="0" w:line="115"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stages of development. This was consistent with the status of the Company’s products at the time, which were also in various stages of development. The Company utilized 2011 financial information for the comparable companies below because it was the latest publicly available information at the time of the valuation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1"/>
              </w:rPr>
              <w:t>No. of</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Product</w:t>
            </w:r>
          </w:p>
        </w:tc>
        <w:tc>
          <w:tcPr>
            <w:tcW w:w="8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9"/>
              </w:rPr>
              <w:t>Net</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No. of</w:t>
            </w:r>
          </w:p>
        </w:tc>
        <w:tc>
          <w:tcPr>
            <w:tcW w:w="640" w:type="dxa"/>
            <w:vAlign w:val="bottom"/>
          </w:tcPr>
          <w:p>
            <w:pPr>
              <w:jc w:val="center"/>
              <w:ind w:right="17"/>
              <w:spacing w:after="0"/>
              <w:rPr>
                <w:sz w:val="20"/>
                <w:szCs w:val="20"/>
                <w:color w:val="auto"/>
              </w:rPr>
            </w:pPr>
            <w:r>
              <w:rPr>
                <w:rFonts w:ascii="Arial" w:cs="Arial" w:eastAsia="Arial" w:hAnsi="Arial"/>
                <w:sz w:val="10"/>
                <w:szCs w:val="10"/>
                <w:b w:val="1"/>
                <w:bCs w:val="1"/>
                <w:color w:val="auto"/>
                <w:w w:val="93"/>
              </w:rPr>
              <w:t>products</w:t>
            </w:r>
          </w:p>
        </w:tc>
        <w:tc>
          <w:tcPr>
            <w:tcW w:w="0" w:type="dxa"/>
            <w:vAlign w:val="bottom"/>
          </w:tcPr>
          <w:p>
            <w:pPr>
              <w:spacing w:after="0"/>
              <w:rPr>
                <w:sz w:val="1"/>
                <w:szCs w:val="1"/>
                <w:color w:val="auto"/>
              </w:rPr>
            </w:pPr>
          </w:p>
        </w:tc>
      </w:t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96"/>
              </w:rPr>
              <w:t>Company</w:t>
            </w:r>
          </w:p>
        </w:tc>
        <w:tc>
          <w:tcPr>
            <w:tcW w:w="5280" w:type="dxa"/>
            <w:vAlign w:val="bottom"/>
            <w:vMerge w:val="restart"/>
          </w:tcPr>
          <w:p>
            <w:pPr>
              <w:spacing w:after="0"/>
              <w:rPr>
                <w:sz w:val="9"/>
                <w:szCs w:val="9"/>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Revenue</w:t>
            </w: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6"/>
              </w:rPr>
              <w:t>revenues</w:t>
            </w:r>
          </w:p>
        </w:tc>
        <w:tc>
          <w:tcPr>
            <w:tcW w:w="8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income</w:t>
            </w: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Total</w:t>
            </w: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Market</w:t>
            </w:r>
          </w:p>
        </w:tc>
        <w:tc>
          <w:tcPr>
            <w:tcW w:w="8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4"/>
              </w:rPr>
              <w:t>marketed</w:t>
            </w: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3"/>
              </w:rPr>
              <w:t>under</w:t>
            </w:r>
          </w:p>
        </w:tc>
        <w:tc>
          <w:tcPr>
            <w:tcW w:w="0" w:type="dxa"/>
            <w:vAlign w:val="bottom"/>
          </w:tcPr>
          <w:p>
            <w:pPr>
              <w:spacing w:after="0"/>
              <w:rPr>
                <w:sz w:val="1"/>
                <w:szCs w:val="1"/>
                <w:color w:val="auto"/>
              </w:rPr>
            </w:pPr>
          </w:p>
        </w:tc>
      </w:tr>
      <w:tr>
        <w:trPr>
          <w:trHeight w:val="121"/>
        </w:trPr>
        <w:tc>
          <w:tcPr>
            <w:tcW w:w="460" w:type="dxa"/>
            <w:vAlign w:val="bottom"/>
            <w:tcBorders>
              <w:bottom w:val="single" w:sz="8" w:color="auto"/>
            </w:tcBorders>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400" w:type="dxa"/>
            <w:vAlign w:val="bottom"/>
          </w:tcPr>
          <w:p>
            <w:pPr>
              <w:jc w:val="right"/>
              <w:ind w:right="3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2011</w:t>
            </w:r>
          </w:p>
        </w:tc>
        <w:tc>
          <w:tcPr>
            <w:tcW w:w="380" w:type="dxa"/>
            <w:vAlign w:val="bottom"/>
          </w:tcPr>
          <w:p>
            <w:pPr>
              <w:spacing w:after="0"/>
              <w:rPr>
                <w:sz w:val="10"/>
                <w:szCs w:val="10"/>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(loss)</w:t>
            </w: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assets</w:t>
            </w: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capitalization</w:t>
            </w:r>
          </w:p>
        </w:tc>
        <w:tc>
          <w:tcPr>
            <w:tcW w:w="8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products</w:t>
            </w:r>
          </w:p>
        </w:tc>
        <w:tc>
          <w:tcPr>
            <w:tcW w:w="640" w:type="dxa"/>
            <w:vAlign w:val="bottom"/>
          </w:tcPr>
          <w:p>
            <w:pPr>
              <w:jc w:val="center"/>
              <w:ind w:right="17"/>
              <w:spacing w:after="0"/>
              <w:rPr>
                <w:sz w:val="20"/>
                <w:szCs w:val="20"/>
                <w:color w:val="auto"/>
              </w:rPr>
            </w:pPr>
            <w:r>
              <w:rPr>
                <w:rFonts w:ascii="Arial" w:cs="Arial" w:eastAsia="Arial" w:hAnsi="Arial"/>
                <w:sz w:val="10"/>
                <w:szCs w:val="10"/>
                <w:b w:val="1"/>
                <w:bCs w:val="1"/>
                <w:color w:val="auto"/>
                <w:w w:val="90"/>
              </w:rPr>
              <w:t>development</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Genmab</w:t>
            </w:r>
          </w:p>
        </w:tc>
        <w:tc>
          <w:tcPr>
            <w:tcW w:w="4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74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62.1</w:t>
            </w:r>
          </w:p>
        </w:tc>
        <w:tc>
          <w:tcPr>
            <w:tcW w:w="40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62.1</w:t>
            </w:r>
          </w:p>
        </w:tc>
        <w:tc>
          <w:tcPr>
            <w:tcW w:w="38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(38.2)</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276.6</w:t>
            </w:r>
          </w:p>
        </w:tc>
        <w:tc>
          <w:tcPr>
            <w:tcW w:w="40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382</w:t>
            </w:r>
          </w:p>
        </w:tc>
        <w:tc>
          <w:tcPr>
            <w:tcW w:w="40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w:t>
            </w:r>
          </w:p>
        </w:tc>
        <w:tc>
          <w:tcPr>
            <w:tcW w:w="400" w:type="dxa"/>
            <w:vAlign w:val="bottom"/>
            <w:vMerge w:val="continue"/>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5740" w:type="dxa"/>
            <w:vAlign w:val="bottom"/>
            <w:gridSpan w:val="2"/>
          </w:tcPr>
          <w:p>
            <w:pPr>
              <w:spacing w:after="0"/>
              <w:rPr>
                <w:sz w:val="20"/>
                <w:szCs w:val="20"/>
                <w:color w:val="auto"/>
              </w:rPr>
            </w:pPr>
            <w:r>
              <w:rPr>
                <w:rFonts w:ascii="Arial" w:cs="Arial" w:eastAsia="Arial" w:hAnsi="Arial"/>
                <w:sz w:val="14"/>
                <w:szCs w:val="14"/>
                <w:color w:val="auto"/>
              </w:rPr>
              <w:t>Human Genome</w:t>
            </w:r>
          </w:p>
        </w:tc>
        <w:tc>
          <w:tcPr>
            <w:tcW w:w="400" w:type="dxa"/>
            <w:vAlign w:val="bottom"/>
          </w:tcPr>
          <w:p>
            <w:pPr>
              <w:jc w:val="right"/>
              <w:spacing w:after="0"/>
              <w:rPr>
                <w:sz w:val="20"/>
                <w:szCs w:val="20"/>
                <w:color w:val="auto"/>
              </w:rPr>
            </w:pPr>
            <w:r>
              <w:rPr>
                <w:rFonts w:ascii="Arial" w:cs="Arial" w:eastAsia="Arial" w:hAnsi="Arial"/>
                <w:sz w:val="14"/>
                <w:szCs w:val="14"/>
                <w:color w:val="auto"/>
              </w:rPr>
              <w:t>131.0</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104.9</w:t>
            </w:r>
          </w:p>
        </w:tc>
        <w:tc>
          <w:tcPr>
            <w:tcW w:w="3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(381.1)</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1,408</w:t>
            </w:r>
          </w:p>
        </w:tc>
        <w:tc>
          <w:tcPr>
            <w:tcW w:w="600" w:type="dxa"/>
            <w:vAlign w:val="bottom"/>
          </w:tcPr>
          <w:p>
            <w:pPr>
              <w:jc w:val="right"/>
              <w:spacing w:after="0"/>
              <w:rPr>
                <w:sz w:val="20"/>
                <w:szCs w:val="20"/>
                <w:color w:val="auto"/>
              </w:rPr>
            </w:pPr>
            <w:r>
              <w:rPr>
                <w:rFonts w:ascii="Arial" w:cs="Arial" w:eastAsia="Arial" w:hAnsi="Arial"/>
                <w:sz w:val="14"/>
                <w:szCs w:val="14"/>
                <w:color w:val="auto"/>
              </w:rPr>
              <w:t>4,968</w:t>
            </w: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7"/>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ImmunoGen</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(58.3)</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217.6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5740" w:type="dxa"/>
            <w:vAlign w:val="bottom"/>
            <w:gridSpan w:val="2"/>
          </w:tcPr>
          <w:p>
            <w:pPr>
              <w:spacing w:after="0"/>
              <w:rPr>
                <w:sz w:val="20"/>
                <w:szCs w:val="20"/>
                <w:color w:val="auto"/>
              </w:rPr>
            </w:pPr>
            <w:r>
              <w:rPr>
                <w:rFonts w:ascii="Arial" w:cs="Arial" w:eastAsia="Arial" w:hAnsi="Arial"/>
                <w:sz w:val="14"/>
                <w:szCs w:val="14"/>
                <w:color w:val="auto"/>
              </w:rPr>
              <w:t>Infinity</w:t>
            </w:r>
          </w:p>
        </w:tc>
        <w:tc>
          <w:tcPr>
            <w:tcW w:w="400" w:type="dxa"/>
            <w:vAlign w:val="bottom"/>
          </w:tcPr>
          <w:p>
            <w:pPr>
              <w:jc w:val="right"/>
              <w:spacing w:after="0"/>
              <w:rPr>
                <w:sz w:val="20"/>
                <w:szCs w:val="20"/>
                <w:color w:val="auto"/>
              </w:rPr>
            </w:pPr>
            <w:r>
              <w:rPr>
                <w:rFonts w:ascii="Arial" w:cs="Arial" w:eastAsia="Arial" w:hAnsi="Arial"/>
                <w:sz w:val="14"/>
                <w:szCs w:val="14"/>
                <w:color w:val="auto"/>
              </w:rPr>
              <w:t>92.8</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(40.0)</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124.5</w:t>
            </w:r>
          </w:p>
        </w:tc>
        <w:tc>
          <w:tcPr>
            <w:tcW w:w="600" w:type="dxa"/>
            <w:vAlign w:val="bottom"/>
          </w:tcPr>
          <w:p>
            <w:pPr>
              <w:jc w:val="right"/>
              <w:spacing w:after="0"/>
              <w:rPr>
                <w:sz w:val="20"/>
                <w:szCs w:val="20"/>
                <w:color w:val="auto"/>
              </w:rPr>
            </w:pPr>
            <w:r>
              <w:rPr>
                <w:rFonts w:ascii="Arial" w:cs="Arial" w:eastAsia="Arial" w:hAnsi="Arial"/>
                <w:sz w:val="14"/>
                <w:szCs w:val="14"/>
                <w:color w:val="auto"/>
              </w:rPr>
              <w:t>236</w:t>
            </w: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Morphosys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(75.9)</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228.4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5740" w:type="dxa"/>
            <w:vAlign w:val="bottom"/>
            <w:gridSpan w:val="2"/>
          </w:tcPr>
          <w:p>
            <w:pPr>
              <w:spacing w:after="0"/>
              <w:rPr>
                <w:sz w:val="20"/>
                <w:szCs w:val="20"/>
                <w:color w:val="auto"/>
              </w:rPr>
            </w:pPr>
            <w:r>
              <w:rPr>
                <w:rFonts w:ascii="Arial" w:cs="Arial" w:eastAsia="Arial" w:hAnsi="Arial"/>
                <w:sz w:val="14"/>
                <w:szCs w:val="14"/>
                <w:color w:val="auto"/>
              </w:rPr>
              <w:t>Regeneron</w:t>
            </w:r>
          </w:p>
        </w:tc>
        <w:tc>
          <w:tcPr>
            <w:tcW w:w="400" w:type="dxa"/>
            <w:vAlign w:val="bottom"/>
          </w:tcPr>
          <w:p>
            <w:pPr>
              <w:jc w:val="right"/>
              <w:spacing w:after="0"/>
              <w:rPr>
                <w:sz w:val="20"/>
                <w:szCs w:val="20"/>
                <w:color w:val="auto"/>
              </w:rPr>
            </w:pPr>
            <w:r>
              <w:rPr>
                <w:rFonts w:ascii="Arial" w:cs="Arial" w:eastAsia="Arial" w:hAnsi="Arial"/>
                <w:sz w:val="14"/>
                <w:szCs w:val="14"/>
                <w:color w:val="auto"/>
              </w:rPr>
              <w:t>445.8</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44.7</w:t>
            </w:r>
          </w:p>
        </w:tc>
        <w:tc>
          <w:tcPr>
            <w:tcW w:w="3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(222.9)</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1,324.0</w:t>
            </w:r>
          </w:p>
        </w:tc>
        <w:tc>
          <w:tcPr>
            <w:tcW w:w="600" w:type="dxa"/>
            <w:vAlign w:val="bottom"/>
          </w:tcPr>
          <w:p>
            <w:pPr>
              <w:jc w:val="right"/>
              <w:spacing w:after="0"/>
              <w:rPr>
                <w:sz w:val="20"/>
                <w:szCs w:val="20"/>
                <w:color w:val="auto"/>
              </w:rPr>
            </w:pPr>
            <w:r>
              <w:rPr>
                <w:rFonts w:ascii="Arial" w:cs="Arial" w:eastAsia="Arial" w:hAnsi="Arial"/>
                <w:sz w:val="14"/>
                <w:szCs w:val="14"/>
                <w:color w:val="auto"/>
              </w:rPr>
              <w:t>5,027</w:t>
            </w: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7"/>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Seattle</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4"/>
              </w:rPr>
              <w:t>(152.0)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425.2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5740" w:type="dxa"/>
            <w:vAlign w:val="bottom"/>
            <w:gridSpan w:val="2"/>
          </w:tcPr>
          <w:p>
            <w:pPr>
              <w:spacing w:after="0"/>
              <w:rPr>
                <w:sz w:val="20"/>
                <w:szCs w:val="20"/>
                <w:color w:val="auto"/>
              </w:rPr>
            </w:pPr>
            <w:r>
              <w:rPr>
                <w:rFonts w:ascii="Arial" w:cs="Arial" w:eastAsia="Arial" w:hAnsi="Arial"/>
                <w:sz w:val="14"/>
                <w:szCs w:val="14"/>
                <w:color w:val="auto"/>
              </w:rPr>
              <w:t>XOMA</w:t>
            </w:r>
          </w:p>
        </w:tc>
        <w:tc>
          <w:tcPr>
            <w:tcW w:w="400" w:type="dxa"/>
            <w:vAlign w:val="bottom"/>
          </w:tcPr>
          <w:p>
            <w:pPr>
              <w:jc w:val="right"/>
              <w:spacing w:after="0"/>
              <w:rPr>
                <w:sz w:val="20"/>
                <w:szCs w:val="20"/>
                <w:color w:val="auto"/>
              </w:rPr>
            </w:pPr>
            <w:r>
              <w:rPr>
                <w:rFonts w:ascii="Arial" w:cs="Arial" w:eastAsia="Arial" w:hAnsi="Arial"/>
                <w:sz w:val="14"/>
                <w:szCs w:val="14"/>
                <w:color w:val="auto"/>
              </w:rPr>
              <w:t>58.2</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(32.7)</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78.0</w:t>
            </w:r>
          </w:p>
        </w:tc>
        <w:tc>
          <w:tcPr>
            <w:tcW w:w="600" w:type="dxa"/>
            <w:vAlign w:val="bottom"/>
          </w:tcPr>
          <w:p>
            <w:pPr>
              <w:jc w:val="right"/>
              <w:spacing w:after="0"/>
              <w:rPr>
                <w:sz w:val="20"/>
                <w:szCs w:val="20"/>
                <w:color w:val="auto"/>
              </w:rPr>
            </w:pPr>
            <w:r>
              <w:rPr>
                <w:rFonts w:ascii="Arial" w:cs="Arial" w:eastAsia="Arial" w:hAnsi="Arial"/>
                <w:sz w:val="14"/>
                <w:szCs w:val="14"/>
                <w:color w:val="auto"/>
              </w:rPr>
              <w:t>107</w:t>
            </w: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Ablynx</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(25.9)</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97.2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3"/>
        </w:trPr>
        <w:tc>
          <w:tcPr>
            <w:tcW w:w="5740" w:type="dxa"/>
            <w:vAlign w:val="bottom"/>
            <w:gridSpan w:val="2"/>
          </w:tcPr>
          <w:p>
            <w:pPr>
              <w:spacing w:after="0"/>
              <w:rPr>
                <w:sz w:val="20"/>
                <w:szCs w:val="20"/>
                <w:color w:val="auto"/>
              </w:rPr>
            </w:pPr>
            <w:r>
              <w:rPr>
                <w:rFonts w:ascii="Arial" w:cs="Arial" w:eastAsia="Arial" w:hAnsi="Arial"/>
                <w:sz w:val="14"/>
                <w:szCs w:val="14"/>
                <w:color w:val="auto"/>
              </w:rPr>
              <w:t>Alexion</w:t>
            </w:r>
          </w:p>
        </w:tc>
        <w:tc>
          <w:tcPr>
            <w:tcW w:w="400" w:type="dxa"/>
            <w:vAlign w:val="bottom"/>
          </w:tcPr>
          <w:p>
            <w:pPr>
              <w:jc w:val="right"/>
              <w:spacing w:after="0"/>
              <w:rPr>
                <w:sz w:val="20"/>
                <w:szCs w:val="20"/>
                <w:color w:val="auto"/>
              </w:rPr>
            </w:pPr>
            <w:r>
              <w:rPr>
                <w:rFonts w:ascii="Arial" w:cs="Arial" w:eastAsia="Arial" w:hAnsi="Arial"/>
                <w:sz w:val="14"/>
                <w:szCs w:val="14"/>
                <w:color w:val="auto"/>
              </w:rPr>
              <w:t>783.4</w:t>
            </w:r>
          </w:p>
        </w:tc>
        <w:tc>
          <w:tcPr>
            <w:tcW w:w="4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783.4</w:t>
            </w:r>
          </w:p>
        </w:tc>
        <w:tc>
          <w:tcPr>
            <w:tcW w:w="3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175.3</w:t>
            </w:r>
          </w:p>
        </w:tc>
        <w:tc>
          <w:tcPr>
            <w:tcW w:w="4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1,395.0</w:t>
            </w:r>
          </w:p>
        </w:tc>
        <w:tc>
          <w:tcPr>
            <w:tcW w:w="600" w:type="dxa"/>
            <w:vAlign w:val="bottom"/>
          </w:tcPr>
          <w:p>
            <w:pPr>
              <w:jc w:val="right"/>
              <w:spacing w:after="0"/>
              <w:rPr>
                <w:sz w:val="20"/>
                <w:szCs w:val="20"/>
                <w:color w:val="auto"/>
              </w:rPr>
            </w:pPr>
            <w:r>
              <w:rPr>
                <w:rFonts w:ascii="Arial" w:cs="Arial" w:eastAsia="Arial" w:hAnsi="Arial"/>
                <w:sz w:val="14"/>
                <w:szCs w:val="14"/>
                <w:color w:val="auto"/>
              </w:rPr>
              <w:t>13,272</w:t>
            </w: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340" w:firstLine="458"/>
        <w:spacing w:after="0" w:line="267" w:lineRule="auto"/>
        <w:rPr>
          <w:sz w:val="20"/>
          <w:szCs w:val="20"/>
          <w:color w:val="auto"/>
        </w:rPr>
      </w:pPr>
      <w:r>
        <w:rPr>
          <w:rFonts w:ascii="Arial" w:cs="Arial" w:eastAsia="Arial" w:hAnsi="Arial"/>
          <w:sz w:val="14"/>
          <w:szCs w:val="14"/>
          <w:color w:val="auto"/>
        </w:rPr>
        <w:t>From 2011 to 2012, the Company modified its peer companies to include Ablynx and Alexion Pharmaceuticals, which are involved in the development of biological-based medicines, and removed Human Genome Sciences as they were acquired in mid-2012.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8. Collaboration and License Agreements, page F-26</w:t>
      </w:r>
    </w:p>
    <w:p>
      <w:pPr>
        <w:spacing w:after="0" w:line="132" w:lineRule="exact"/>
        <w:rPr>
          <w:sz w:val="20"/>
          <w:szCs w:val="20"/>
          <w:color w:val="auto"/>
        </w:rPr>
      </w:pPr>
    </w:p>
    <w:p>
      <w:pPr>
        <w:ind w:left="200" w:hanging="196"/>
        <w:spacing w:after="0"/>
        <w:tabs>
          <w:tab w:leader="none" w:pos="200" w:val="left"/>
        </w:tabs>
        <w:numPr>
          <w:ilvl w:val="0"/>
          <w:numId w:val="1218"/>
        </w:numPr>
        <w:rPr>
          <w:rFonts w:ascii="Arial" w:cs="Arial" w:eastAsia="Arial" w:hAnsi="Arial"/>
          <w:sz w:val="12"/>
          <w:szCs w:val="12"/>
          <w:color w:val="auto"/>
        </w:rPr>
      </w:pPr>
      <w:r>
        <w:rPr>
          <w:rFonts w:ascii="Arial" w:cs="Arial" w:eastAsia="Arial" w:hAnsi="Arial"/>
          <w:sz w:val="12"/>
          <w:szCs w:val="12"/>
          <w:i w:val="1"/>
          <w:iCs w:val="1"/>
          <w:color w:val="auto"/>
        </w:rPr>
        <w:t>For each agreement discussed in this footnote, please revise your disclosure to describe each substantive milestone and the related contingent consideration. Refer to ASC 605-28-50-2b.</w:t>
      </w:r>
    </w:p>
    <w:p>
      <w:pPr>
        <w:spacing w:after="0" w:line="153" w:lineRule="exact"/>
        <w:rPr>
          <w:sz w:val="20"/>
          <w:szCs w:val="20"/>
          <w:color w:val="auto"/>
        </w:rPr>
      </w:pPr>
    </w:p>
    <w:p>
      <w:pPr>
        <w:jc w:val="both"/>
        <w:ind w:right="100" w:firstLine="458"/>
        <w:spacing w:after="0" w:line="312" w:lineRule="auto"/>
        <w:rPr>
          <w:sz w:val="20"/>
          <w:szCs w:val="20"/>
          <w:color w:val="auto"/>
        </w:rPr>
      </w:pPr>
      <w:r>
        <w:rPr>
          <w:rFonts w:ascii="Arial" w:cs="Arial" w:eastAsia="Arial" w:hAnsi="Arial"/>
          <w:sz w:val="12"/>
          <w:szCs w:val="12"/>
          <w:b w:val="1"/>
          <w:bCs w:val="1"/>
          <w:color w:val="auto"/>
        </w:rPr>
        <w:t xml:space="preserve">Response: </w:t>
      </w:r>
      <w:r>
        <w:rPr>
          <w:rFonts w:ascii="Arial" w:cs="Arial" w:eastAsia="Arial" w:hAnsi="Arial"/>
          <w:sz w:val="12"/>
          <w:szCs w:val="12"/>
          <w:color w:val="auto"/>
        </w:rPr>
        <w:t>In response to the Staff’s inquiry about our disclosure related to the milestone payments we may earn under our collaboration and license agreements, we believe it will be helpful for you to</w:t>
      </w:r>
      <w:r>
        <w:rPr>
          <w:rFonts w:ascii="Arial" w:cs="Arial" w:eastAsia="Arial" w:hAnsi="Arial"/>
          <w:sz w:val="12"/>
          <w:szCs w:val="12"/>
          <w:b w:val="1"/>
          <w:bCs w:val="1"/>
          <w:color w:val="auto"/>
        </w:rPr>
        <w:t xml:space="preserve"> </w:t>
      </w:r>
      <w:r>
        <w:rPr>
          <w:rFonts w:ascii="Arial" w:cs="Arial" w:eastAsia="Arial" w:hAnsi="Arial"/>
          <w:sz w:val="12"/>
          <w:szCs w:val="12"/>
          <w:color w:val="auto"/>
        </w:rPr>
        <w:t>understand the critical role collaborations play in our business strategy for our proprietary technologies. Part of our business strategy has been to discover and develop unique product candidates to key clinical value inflection points. We have discovered and conducted the early development of several new product candidates, with a view to potentially out-licensing these product candidates to collaborators for further development. As a result of our business strategy, we seek to enter into collaboration agreements which contain milestones generally connected to key</w:t>
      </w:r>
    </w:p>
    <w:p>
      <w:pPr>
        <w:sectPr>
          <w:pgSz w:w="11900" w:h="16838" w:orient="portrait"/>
          <w:cols w:equalWidth="0" w:num="1">
            <w:col w:w="11460"/>
          </w:cols>
          <w:pgMar w:left="220" w:top="727" w:right="219" w:bottom="1440" w:gutter="0" w:footer="0" w:header="0"/>
        </w:sectPr>
      </w:pPr>
    </w:p>
    <w:bookmarkStart w:id="982" w:name="page983"/>
    <w:bookmarkEnd w:id="98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90170</wp:posOffset>
            </wp:positionV>
            <wp:extent cx="7316470" cy="3238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162560</wp:posOffset>
            </wp:positionV>
            <wp:extent cx="4882515" cy="22542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19</w:t>
      </w:r>
    </w:p>
    <w:p>
      <w:pPr>
        <w:spacing w:after="0" w:line="115" w:lineRule="exact"/>
        <w:rPr>
          <w:sz w:val="20"/>
          <w:szCs w:val="20"/>
          <w:color w:val="auto"/>
        </w:rPr>
      </w:pPr>
    </w:p>
    <w:p>
      <w:pPr>
        <w:jc w:val="both"/>
        <w:ind w:right="340"/>
        <w:spacing w:after="0" w:line="321" w:lineRule="auto"/>
        <w:rPr>
          <w:sz w:val="20"/>
          <w:szCs w:val="20"/>
          <w:color w:val="auto"/>
        </w:rPr>
      </w:pPr>
      <w:r>
        <w:rPr>
          <w:rFonts w:ascii="Arial" w:cs="Arial" w:eastAsia="Arial" w:hAnsi="Arial"/>
          <w:sz w:val="12"/>
          <w:szCs w:val="12"/>
          <w:color w:val="auto"/>
        </w:rPr>
        <w:t>development, regulatory, and commercialization events. The related milestone payments would be only one element of the overall economics of our transactions, which are highly negotiated. Disclosure of specific financial terms such as milestone payments would provide potential partners with competitive information about the specific financial terms of our transactions, and the value we place on different components of our technology, thereby making it very difficult, if not impossible, for us to negotiate the best possible financial terms for subsequent transactions.</w:t>
      </w:r>
    </w:p>
    <w:p>
      <w:pPr>
        <w:spacing w:after="0" w:line="73" w:lineRule="exact"/>
        <w:rPr>
          <w:sz w:val="20"/>
          <w:szCs w:val="20"/>
          <w:color w:val="auto"/>
        </w:rPr>
      </w:pPr>
    </w:p>
    <w:p>
      <w:pPr>
        <w:ind w:right="100" w:firstLine="458"/>
        <w:spacing w:after="0" w:line="305" w:lineRule="auto"/>
        <w:rPr>
          <w:sz w:val="20"/>
          <w:szCs w:val="20"/>
          <w:color w:val="auto"/>
        </w:rPr>
      </w:pPr>
      <w:r>
        <w:rPr>
          <w:rFonts w:ascii="Arial" w:cs="Arial" w:eastAsia="Arial" w:hAnsi="Arial"/>
          <w:sz w:val="12"/>
          <w:szCs w:val="12"/>
          <w:color w:val="auto"/>
        </w:rPr>
        <w:t>In addition, in some cases disclosing the specific milestone events and the associated value we and our collaborators place on achieving the event would give our competitors who may be developing similar drugs or technology valuable insight into our development plans and strategy. These competitors can use this information to alter their own development strategies to better compete with us and our collaborators. Further, we do not have access to similar information from biotechnology and pharmaceutical industry companies and thus would be at a significant competitive disadvantage were we to disclose each specific milestone of each individual agreement. In summary, the nature of the information requested is highly confidential and disclosure of the specific negotiated financial terms in our agreements, including potential milestone payments, would cause us substantial competitive harm to the detriment of our shareholders.</w:t>
      </w:r>
    </w:p>
    <w:p>
      <w:pPr>
        <w:spacing w:after="0" w:line="84" w:lineRule="exact"/>
        <w:rPr>
          <w:sz w:val="20"/>
          <w:szCs w:val="20"/>
          <w:color w:val="auto"/>
        </w:rPr>
      </w:pPr>
    </w:p>
    <w:p>
      <w:pPr>
        <w:ind w:firstLine="458"/>
        <w:spacing w:after="0" w:line="302" w:lineRule="auto"/>
        <w:rPr>
          <w:sz w:val="20"/>
          <w:szCs w:val="20"/>
          <w:color w:val="auto"/>
        </w:rPr>
      </w:pPr>
      <w:r>
        <w:rPr>
          <w:rFonts w:ascii="Arial" w:cs="Arial" w:eastAsia="Arial" w:hAnsi="Arial"/>
          <w:sz w:val="12"/>
          <w:szCs w:val="12"/>
          <w:color w:val="auto"/>
        </w:rPr>
        <w:t>The Company respectfully notes that it has provided substantially greater detail regarding each clinical development- and regulatory-based milestone under the Les Laboratoires Servier, Gilead Sciences, Boehringer Ingelheim and Pfizer agreements on pages F-31, F-32, F-33 and F-34 of the Registration Statement. Further, with respect to sales-based milestones, the Company believes that the aggregated milestone disclosure complies in all material respects with the requirements of ASC 605-28-50-2b, given the uncertainty regarding the achievement of each individual sales-based milestone and the size and nature of each individual sales-based milestone in the context of the Company’s anticipated operations at the time. The Company also believes that this level of aggregation properly reflects the fact that while the Company is typically involved with respect to development and regulatory activities, the Company may not necessarily be involved with respect to commercialization and sales activities and therefore makes the Company’s ability to determine the probability of receipt of such commercial milestone payments more difficult, and further differentiates pre-sales activities from sales activities.</w:t>
      </w:r>
    </w:p>
    <w:p>
      <w:pPr>
        <w:sectPr>
          <w:pgSz w:w="11900" w:h="16838" w:orient="portrait"/>
          <w:cols w:equalWidth="0" w:num="1">
            <w:col w:w="11460"/>
          </w:cols>
          <w:pgMar w:left="220" w:top="728" w:right="219" w:bottom="1440" w:gutter="0" w:footer="0" w:header="0"/>
        </w:sectPr>
      </w:pPr>
    </w:p>
    <w:bookmarkStart w:id="983" w:name="page984"/>
    <w:bookmarkEnd w:id="98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6470" cy="3238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316470" cy="323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161290</wp:posOffset>
            </wp:positionV>
            <wp:extent cx="4882515" cy="22542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clrChange>
                        <a:clrFrom>
                          <a:srgbClr val="FFFFFF"/>
                        </a:clrFrom>
                        <a:clrTo>
                          <a:srgbClr val="FFFFFF">
                            <a:alpha val="0"/>
                          </a:srgbClr>
                        </a:clrTo>
                      </a:clrChange>
                      <a:extLst>
                        <a:ext uri="{28A0092B-C50C-407E-A947-70E740481C1C}"/>
                      </a:extLst>
                    </a:blip>
                    <a:srcRect/>
                    <a:stretch>
                      <a:fillRect/>
                    </a:stretch>
                  </pic:blipFill>
                  <pic:spPr bwMode="auto">
                    <a:xfrm>
                      <a:off x="0" y="0"/>
                      <a:ext cx="4882515" cy="225425"/>
                    </a:xfrm>
                    <a:prstGeom prst="rect">
                      <a:avLst/>
                    </a:prstGeom>
                    <a:noFill/>
                  </pic:spPr>
                </pic:pic>
              </a:graphicData>
            </a:graphic>
          </wp:anchor>
        </w:drawing>
        <w:t>September 4, 2013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Page 20</w:t>
      </w:r>
    </w:p>
    <w:p>
      <w:pPr>
        <w:spacing w:after="0" w:line="115" w:lineRule="exact"/>
        <w:rPr>
          <w:sz w:val="20"/>
          <w:szCs w:val="20"/>
          <w:color w:val="auto"/>
        </w:rPr>
      </w:pPr>
    </w:p>
    <w:p>
      <w:pPr>
        <w:ind w:firstLine="458"/>
        <w:spacing w:after="0" w:line="300" w:lineRule="auto"/>
        <w:rPr>
          <w:sz w:val="20"/>
          <w:szCs w:val="20"/>
          <w:color w:val="auto"/>
        </w:rPr>
      </w:pPr>
      <w:r>
        <w:rPr>
          <w:rFonts w:ascii="Arial" w:cs="Arial" w:eastAsia="Arial" w:hAnsi="Arial"/>
          <w:sz w:val="12"/>
          <w:szCs w:val="12"/>
          <w:color w:val="auto"/>
        </w:rPr>
        <w:t>The Company believes that providing a detailed description of each and every sales-based milestone it may potentially earn under the existing agreements would not provide its investors meaningful or material information, and could be confusing and potentially misleading to investors as the Company’s sales-based milestones are highly speculative and contingent. As the Supreme Court noted in its TSC v. Northway decision establishing the standard for materiality in securities disclosures, a standard that requires too much disclosure would cause a company “simply to bury the shareholders in an avalanche of trivial information—a result that is hardly conducive to informed decision making.” 426 U.S. at 448-49 (1976). A long list of such milestones, especially those that may never be achieved, risks creating “information overload.” Further, doing so without a discussion of the related risk factors associated with each of them individually may be misleading to investors, leading them to mistakenly place an unrealistic value on the revenue stream from future milestone payments, as the likelihood of achieving each milestone may vary greatly, and the addition of such additional risk factors creates the potential for additional “information overload.” The Company therefore submits the disclosure in the Registration Statement on sales-based milestones is the appropriate level of disclosure.</w:t>
      </w:r>
    </w:p>
    <w:p>
      <w:pPr>
        <w:spacing w:after="0" w:line="75" w:lineRule="exact"/>
        <w:rPr>
          <w:sz w:val="20"/>
          <w:szCs w:val="20"/>
          <w:color w:val="auto"/>
        </w:rPr>
      </w:pPr>
    </w:p>
    <w:p>
      <w:pPr>
        <w:jc w:val="center"/>
        <w:ind w:right="-39"/>
        <w:spacing w:after="0"/>
        <w:tabs>
          <w:tab w:leader="none" w:pos="320" w:val="left"/>
          <w:tab w:leader="none" w:pos="3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acknowledges that:</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it is responsible for the adequacy and accuracy of the disclosures in its filings;</w:t>
      </w:r>
    </w:p>
    <w:p>
      <w:pPr>
        <w:spacing w:after="0" w:line="69" w:lineRule="exact"/>
        <w:rPr>
          <w:sz w:val="20"/>
          <w:szCs w:val="20"/>
          <w:color w:val="auto"/>
        </w:rPr>
      </w:pPr>
    </w:p>
    <w:p>
      <w:pPr>
        <w:ind w:left="920" w:right="540"/>
        <w:spacing w:after="0" w:line="454" w:lineRule="auto"/>
        <w:rPr>
          <w:sz w:val="20"/>
          <w:szCs w:val="20"/>
          <w:color w:val="auto"/>
        </w:rPr>
      </w:pPr>
      <w:r>
        <w:rPr>
          <w:rFonts w:ascii="Arial" w:cs="Arial" w:eastAsia="Arial" w:hAnsi="Arial"/>
          <w:sz w:val="12"/>
          <w:szCs w:val="12"/>
          <w:color w:val="auto"/>
        </w:rPr>
        <w:t>Staff comments or changes to disclosure in response to Staff comments in its filings do not foreclose the Commission from taking any action with respect to the Company’s filings; and It may not assert Staff comments as a defense in any proceeding initiated by the Commission or any person under the federal securities laws of the United States.</w:t>
      </w:r>
    </w:p>
    <w:p>
      <w:pPr>
        <w:ind w:left="460"/>
        <w:spacing w:after="0"/>
        <w:rPr>
          <w:sz w:val="20"/>
          <w:szCs w:val="20"/>
          <w:color w:val="auto"/>
        </w:rPr>
      </w:pPr>
      <w:r>
        <w:rPr>
          <w:rFonts w:ascii="Arial" w:cs="Arial" w:eastAsia="Arial" w:hAnsi="Arial"/>
          <w:sz w:val="12"/>
          <w:szCs w:val="12"/>
          <w:color w:val="auto"/>
        </w:rPr>
        <w:t>If you have any further questions or comments, or if you require any additional information, please contact the undersigned by telephone at (202) 942-5124 or by email at richard.baltz@aporter.com.</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Thank you for your assistance.</w:t>
      </w:r>
    </w:p>
    <w:p>
      <w:pPr>
        <w:spacing w:after="0" w:line="188"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Sincerely,</w:t>
      </w:r>
    </w:p>
    <w:p>
      <w:pPr>
        <w:spacing w:after="0" w:line="132"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 Richard E. Baltz</w:t>
      </w:r>
    </w:p>
    <w:p>
      <w:pPr>
        <w:spacing w:after="0" w:line="257"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Richard E. Baltz</w:t>
      </w:r>
    </w:p>
    <w:sectPr>
      <w:pgSz w:w="11900" w:h="16838" w:orient="portrait"/>
      <w:cols w:equalWidth="0" w:num="1">
        <w:col w:w="11440"/>
      </w:cols>
      <w:pgMar w:left="220" w:top="7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A1341"/>
    <w:multiLevelType w:val="hybridMultilevel"/>
    <w:lvl w:ilvl="0">
      <w:lvlJc w:val="left"/>
      <w:lvlText w:val="(%1)"/>
      <w:numFmt w:val="decimal"/>
      <w:start w:val="1"/>
    </w:lvl>
  </w:abstractNum>
  <w:abstractNum w:abstractNumId="1">
    <w:nsid w:val="58D717E"/>
    <w:multiLevelType w:val="hybridMultilevel"/>
    <w:lvl w:ilvl="0">
      <w:lvlJc w:val="left"/>
      <w:lvlText w:val="(%1)"/>
      <w:numFmt w:val="decimal"/>
      <w:start w:val="1"/>
    </w:lvl>
  </w:abstractNum>
  <w:abstractNum w:abstractNumId="2">
    <w:nsid w:val="64C2DDD5"/>
    <w:multiLevelType w:val="hybridMultilevel"/>
    <w:lvl w:ilvl="0">
      <w:lvlJc w:val="left"/>
      <w:lvlText w:val="(%1)"/>
      <w:numFmt w:val="decimal"/>
      <w:start w:val="3"/>
    </w:lvl>
  </w:abstractNum>
  <w:abstractNum w:abstractNumId="3">
    <w:nsid w:val="4244B8DE"/>
    <w:multiLevelType w:val="hybridMultilevel"/>
    <w:lvl w:ilvl="0">
      <w:lvlJc w:val="left"/>
      <w:lvlText w:val="•"/>
      <w:numFmt w:val="bullet"/>
      <w:start w:val="1"/>
    </w:lvl>
  </w:abstractNum>
  <w:abstractNum w:abstractNumId="4">
    <w:nsid w:val="76490B01"/>
    <w:multiLevelType w:val="hybridMultilevel"/>
    <w:lvl w:ilvl="0">
      <w:lvlJc w:val="left"/>
      <w:lvlText w:val="•"/>
      <w:numFmt w:val="bullet"/>
      <w:start w:val="1"/>
    </w:lvl>
  </w:abstractNum>
  <w:abstractNum w:abstractNumId="5">
    <w:nsid w:val="36B19CBF"/>
    <w:multiLevelType w:val="hybridMultilevel"/>
    <w:lvl w:ilvl="0">
      <w:lvlJc w:val="left"/>
      <w:lvlText w:val="•"/>
      <w:numFmt w:val="bullet"/>
      <w:start w:val="1"/>
    </w:lvl>
  </w:abstractNum>
  <w:abstractNum w:abstractNumId="6">
    <w:nsid w:val="645EC5AB"/>
    <w:multiLevelType w:val="hybridMultilevel"/>
    <w:lvl w:ilvl="0">
      <w:lvlJc w:val="left"/>
      <w:lvlText w:val="•"/>
      <w:numFmt w:val="bullet"/>
      <w:start w:val="1"/>
    </w:lvl>
  </w:abstractNum>
  <w:abstractNum w:abstractNumId="7">
    <w:nsid w:val="11C5ABEF"/>
    <w:multiLevelType w:val="hybridMultilevel"/>
    <w:lvl w:ilvl="0">
      <w:lvlJc w:val="left"/>
      <w:lvlText w:val="•"/>
      <w:numFmt w:val="bullet"/>
      <w:start w:val="1"/>
    </w:lvl>
  </w:abstractNum>
  <w:abstractNum w:abstractNumId="8">
    <w:nsid w:val="5A4744BE"/>
    <w:multiLevelType w:val="hybridMultilevel"/>
    <w:lvl w:ilvl="0">
      <w:lvlJc w:val="left"/>
      <w:lvlText w:val="•"/>
      <w:numFmt w:val="bullet"/>
      <w:start w:val="1"/>
    </w:lvl>
  </w:abstractNum>
  <w:abstractNum w:abstractNumId="9">
    <w:nsid w:val="1DC4B111"/>
    <w:multiLevelType w:val="hybridMultilevel"/>
    <w:lvl w:ilvl="0">
      <w:lvlJc w:val="left"/>
      <w:lvlText w:val="•"/>
      <w:numFmt w:val="bullet"/>
      <w:start w:val="1"/>
    </w:lvl>
  </w:abstractNum>
  <w:abstractNum w:abstractNumId="10">
    <w:nsid w:val="4C6E372B"/>
    <w:multiLevelType w:val="hybridMultilevel"/>
    <w:lvl w:ilvl="0">
      <w:lvlJc w:val="left"/>
      <w:lvlText w:val="•"/>
      <w:numFmt w:val="bullet"/>
      <w:start w:val="1"/>
    </w:lvl>
  </w:abstractNum>
  <w:abstractNum w:abstractNumId="11">
    <w:nsid w:val="10236EF"/>
    <w:multiLevelType w:val="hybridMultilevel"/>
    <w:lvl w:ilvl="0">
      <w:lvlJc w:val="left"/>
      <w:lvlText w:val="•"/>
      <w:numFmt w:val="bullet"/>
      <w:start w:val="1"/>
    </w:lvl>
  </w:abstractNum>
  <w:abstractNum w:abstractNumId="12">
    <w:nsid w:val="68D8526B"/>
    <w:multiLevelType w:val="hybridMultilevel"/>
    <w:lvl w:ilvl="0">
      <w:lvlJc w:val="left"/>
      <w:lvlText w:val="•"/>
      <w:numFmt w:val="bullet"/>
      <w:start w:val="1"/>
    </w:lvl>
  </w:abstractNum>
  <w:abstractNum w:abstractNumId="13">
    <w:nsid w:val="3C8CC138"/>
    <w:multiLevelType w:val="hybridMultilevel"/>
    <w:lvl w:ilvl="0">
      <w:lvlJc w:val="left"/>
      <w:lvlText w:val="•"/>
      <w:numFmt w:val="bullet"/>
      <w:start w:val="1"/>
    </w:lvl>
  </w:abstractNum>
  <w:abstractNum w:abstractNumId="14">
    <w:nsid w:val="42E8C7BE"/>
    <w:multiLevelType w:val="hybridMultilevel"/>
    <w:lvl w:ilvl="0">
      <w:lvlJc w:val="left"/>
      <w:lvlText w:val="(%1)"/>
      <w:numFmt w:val="decimal"/>
      <w:start w:val="1"/>
    </w:lvl>
  </w:abstractNum>
  <w:abstractNum w:abstractNumId="15">
    <w:nsid w:val="653CDC22"/>
    <w:multiLevelType w:val="hybridMultilevel"/>
    <w:lvl w:ilvl="0">
      <w:lvlJc w:val="left"/>
      <w:lvlText w:val="•"/>
      <w:numFmt w:val="bullet"/>
      <w:start w:val="1"/>
    </w:lvl>
  </w:abstractNum>
  <w:abstractNum w:abstractNumId="16">
    <w:nsid w:val="103B2716"/>
    <w:multiLevelType w:val="hybridMultilevel"/>
    <w:lvl w:ilvl="0">
      <w:lvlJc w:val="left"/>
      <w:lvlText w:val="•"/>
      <w:numFmt w:val="bullet"/>
      <w:start w:val="1"/>
    </w:lvl>
  </w:abstractNum>
  <w:abstractNum w:abstractNumId="17">
    <w:nsid w:val="156827FB"/>
    <w:multiLevelType w:val="hybridMultilevel"/>
    <w:lvl w:ilvl="0">
      <w:lvlJc w:val="left"/>
      <w:lvlText w:val="•"/>
      <w:numFmt w:val="bullet"/>
      <w:start w:val="1"/>
    </w:lvl>
  </w:abstractNum>
  <w:abstractNum w:abstractNumId="18">
    <w:nsid w:val="6350AC35"/>
    <w:multiLevelType w:val="hybridMultilevel"/>
    <w:lvl w:ilvl="0">
      <w:lvlJc w:val="left"/>
      <w:lvlText w:val="•"/>
      <w:numFmt w:val="bullet"/>
      <w:start w:val="1"/>
    </w:lvl>
  </w:abstractNum>
  <w:abstractNum w:abstractNumId="19">
    <w:nsid w:val="767725AB"/>
    <w:multiLevelType w:val="hybridMultilevel"/>
    <w:lvl w:ilvl="0">
      <w:lvlJc w:val="left"/>
      <w:lvlText w:val="•"/>
      <w:numFmt w:val="bullet"/>
      <w:start w:val="1"/>
    </w:lvl>
  </w:abstractNum>
  <w:abstractNum w:abstractNumId="20">
    <w:nsid w:val="4748C06A"/>
    <w:multiLevelType w:val="hybridMultilevel"/>
    <w:lvl w:ilvl="0">
      <w:lvlJc w:val="left"/>
      <w:lvlText w:val="•"/>
      <w:numFmt w:val="bullet"/>
      <w:start w:val="1"/>
    </w:lvl>
  </w:abstractNum>
  <w:abstractNum w:abstractNumId="21">
    <w:nsid w:val="254D9EA9"/>
    <w:multiLevelType w:val="hybridMultilevel"/>
    <w:lvl w:ilvl="0">
      <w:lvlJc w:val="left"/>
      <w:lvlText w:val="•"/>
      <w:numFmt w:val="bullet"/>
      <w:start w:val="1"/>
    </w:lvl>
  </w:abstractNum>
  <w:abstractNum w:abstractNumId="22">
    <w:nsid w:val="1FBD3AA3"/>
    <w:multiLevelType w:val="hybridMultilevel"/>
    <w:lvl w:ilvl="0">
      <w:lvlJc w:val="left"/>
      <w:lvlText w:val="•"/>
      <w:numFmt w:val="bullet"/>
      <w:start w:val="1"/>
    </w:lvl>
  </w:abstractNum>
  <w:abstractNum w:abstractNumId="23">
    <w:nsid w:val="18C6B4F2"/>
    <w:multiLevelType w:val="hybridMultilevel"/>
    <w:lvl w:ilvl="0">
      <w:lvlJc w:val="left"/>
      <w:lvlText w:val="•"/>
      <w:numFmt w:val="bullet"/>
      <w:start w:val="1"/>
    </w:lvl>
  </w:abstractNum>
  <w:abstractNum w:abstractNumId="24">
    <w:nsid w:val="40BAD55"/>
    <w:multiLevelType w:val="hybridMultilevel"/>
    <w:lvl w:ilvl="0">
      <w:lvlJc w:val="left"/>
      <w:lvlText w:val="•"/>
      <w:numFmt w:val="bullet"/>
      <w:start w:val="1"/>
    </w:lvl>
  </w:abstractNum>
  <w:abstractNum w:abstractNumId="25">
    <w:nsid w:val="E5B2573"/>
    <w:multiLevelType w:val="hybridMultilevel"/>
    <w:lvl w:ilvl="0">
      <w:lvlJc w:val="left"/>
      <w:lvlText w:val="•"/>
      <w:numFmt w:val="bullet"/>
      <w:start w:val="1"/>
    </w:lvl>
  </w:abstractNum>
  <w:abstractNum w:abstractNumId="26">
    <w:nsid w:val="5D175EF2"/>
    <w:multiLevelType w:val="hybridMultilevel"/>
    <w:lvl w:ilvl="0">
      <w:lvlJc w:val="left"/>
      <w:lvlText w:val="•"/>
      <w:numFmt w:val="bullet"/>
      <w:start w:val="1"/>
    </w:lvl>
  </w:abstractNum>
  <w:abstractNum w:abstractNumId="27">
    <w:nsid w:val="4ED5A137"/>
    <w:multiLevelType w:val="hybridMultilevel"/>
    <w:lvl w:ilvl="0">
      <w:lvlJc w:val="left"/>
      <w:lvlText w:val="•"/>
      <w:numFmt w:val="bullet"/>
      <w:start w:val="1"/>
    </w:lvl>
  </w:abstractNum>
  <w:abstractNum w:abstractNumId="28">
    <w:nsid w:val="1B1BCCF5"/>
    <w:multiLevelType w:val="hybridMultilevel"/>
    <w:lvl w:ilvl="0">
      <w:lvlJc w:val="left"/>
      <w:lvlText w:val="•"/>
      <w:numFmt w:val="bullet"/>
      <w:start w:val="1"/>
    </w:lvl>
  </w:abstractNum>
  <w:abstractNum w:abstractNumId="29">
    <w:nsid w:val="56CDFABB"/>
    <w:multiLevelType w:val="hybridMultilevel"/>
    <w:lvl w:ilvl="0">
      <w:lvlJc w:val="left"/>
      <w:lvlText w:val="•"/>
      <w:numFmt w:val="bullet"/>
      <w:start w:val="1"/>
    </w:lvl>
  </w:abstractNum>
  <w:abstractNum w:abstractNumId="30">
    <w:nsid w:val="78466DAF"/>
    <w:multiLevelType w:val="hybridMultilevel"/>
    <w:lvl w:ilvl="0">
      <w:lvlJc w:val="left"/>
      <w:lvlText w:val="•"/>
      <w:numFmt w:val="bullet"/>
      <w:start w:val="1"/>
    </w:lvl>
  </w:abstractNum>
  <w:abstractNum w:abstractNumId="31">
    <w:nsid w:val="64E5E036"/>
    <w:multiLevelType w:val="hybridMultilevel"/>
    <w:lvl w:ilvl="0">
      <w:lvlJc w:val="left"/>
      <w:lvlText w:val="•"/>
      <w:numFmt w:val="bullet"/>
      <w:start w:val="1"/>
    </w:lvl>
  </w:abstractNum>
  <w:abstractNum w:abstractNumId="32">
    <w:nsid w:val="5C5B6C3A"/>
    <w:multiLevelType w:val="hybridMultilevel"/>
    <w:lvl w:ilvl="0">
      <w:lvlJc w:val="left"/>
      <w:lvlText w:val="•"/>
      <w:numFmt w:val="bullet"/>
      <w:start w:val="1"/>
    </w:lvl>
  </w:abstractNum>
  <w:abstractNum w:abstractNumId="33">
    <w:nsid w:val="5D094B84"/>
    <w:multiLevelType w:val="hybridMultilevel"/>
    <w:lvl w:ilvl="0">
      <w:lvlJc w:val="left"/>
      <w:lvlText w:val="•"/>
      <w:numFmt w:val="bullet"/>
      <w:start w:val="1"/>
    </w:lvl>
  </w:abstractNum>
  <w:abstractNum w:abstractNumId="34">
    <w:nsid w:val="272A9914"/>
    <w:multiLevelType w:val="hybridMultilevel"/>
    <w:lvl w:ilvl="0">
      <w:lvlJc w:val="left"/>
      <w:lvlText w:val="•"/>
      <w:numFmt w:val="bullet"/>
      <w:start w:val="1"/>
    </w:lvl>
  </w:abstractNum>
  <w:abstractNum w:abstractNumId="35">
    <w:nsid w:val="52A4773B"/>
    <w:multiLevelType w:val="hybridMultilevel"/>
    <w:lvl w:ilvl="0">
      <w:lvlJc w:val="left"/>
      <w:lvlText w:val="•"/>
      <w:numFmt w:val="bullet"/>
      <w:start w:val="1"/>
    </w:lvl>
  </w:abstractNum>
  <w:abstractNum w:abstractNumId="36">
    <w:nsid w:val="13BAE843"/>
    <w:multiLevelType w:val="hybridMultilevel"/>
    <w:lvl w:ilvl="0">
      <w:lvlJc w:val="left"/>
      <w:lvlText w:val="•"/>
      <w:numFmt w:val="bullet"/>
      <w:start w:val="1"/>
    </w:lvl>
  </w:abstractNum>
  <w:abstractNum w:abstractNumId="37">
    <w:nsid w:val="B895EBF"/>
    <w:multiLevelType w:val="hybridMultilevel"/>
    <w:lvl w:ilvl="0">
      <w:lvlJc w:val="left"/>
      <w:lvlText w:val="•"/>
      <w:numFmt w:val="bullet"/>
      <w:start w:val="1"/>
    </w:lvl>
  </w:abstractNum>
  <w:abstractNum w:abstractNumId="38">
    <w:nsid w:val="646A232A"/>
    <w:multiLevelType w:val="hybridMultilevel"/>
    <w:lvl w:ilvl="0">
      <w:lvlJc w:val="left"/>
      <w:lvlText w:val="•"/>
      <w:numFmt w:val="bullet"/>
      <w:start w:val="1"/>
    </w:lvl>
  </w:abstractNum>
  <w:abstractNum w:abstractNumId="39">
    <w:nsid w:val="6E022D01"/>
    <w:multiLevelType w:val="hybridMultilevel"/>
    <w:lvl w:ilvl="0">
      <w:lvlJc w:val="left"/>
      <w:lvlText w:val="•"/>
      <w:numFmt w:val="bullet"/>
      <w:start w:val="1"/>
    </w:lvl>
  </w:abstractNum>
  <w:abstractNum w:abstractNumId="40">
    <w:nsid w:val="294E0FD0"/>
    <w:multiLevelType w:val="hybridMultilevel"/>
    <w:lvl w:ilvl="0">
      <w:lvlJc w:val="left"/>
      <w:lvlText w:val="•"/>
      <w:numFmt w:val="bullet"/>
      <w:start w:val="1"/>
    </w:lvl>
  </w:abstractNum>
  <w:abstractNum w:abstractNumId="41">
    <w:nsid w:val="30D85A55"/>
    <w:multiLevelType w:val="hybridMultilevel"/>
    <w:lvl w:ilvl="0">
      <w:lvlJc w:val="left"/>
      <w:lvlText w:val="•"/>
      <w:numFmt w:val="bullet"/>
      <w:start w:val="1"/>
    </w:lvl>
  </w:abstractNum>
  <w:abstractNum w:abstractNumId="42">
    <w:nsid w:val="6F0463F1"/>
    <w:multiLevelType w:val="hybridMultilevel"/>
    <w:lvl w:ilvl="0">
      <w:lvlJc w:val="left"/>
      <w:lvlText w:val="•"/>
      <w:numFmt w:val="bullet"/>
      <w:start w:val="1"/>
    </w:lvl>
  </w:abstractNum>
  <w:abstractNum w:abstractNumId="43">
    <w:nsid w:val="1226623C"/>
    <w:multiLevelType w:val="hybridMultilevel"/>
    <w:lvl w:ilvl="0">
      <w:lvlJc w:val="left"/>
      <w:lvlText w:val="•"/>
      <w:numFmt w:val="bullet"/>
      <w:start w:val="1"/>
    </w:lvl>
  </w:abstractNum>
  <w:abstractNum w:abstractNumId="44">
    <w:nsid w:val="6D651B8D"/>
    <w:multiLevelType w:val="hybridMultilevel"/>
    <w:lvl w:ilvl="0">
      <w:lvlJc w:val="left"/>
      <w:lvlText w:val="•"/>
      <w:numFmt w:val="bullet"/>
      <w:start w:val="1"/>
    </w:lvl>
  </w:abstractNum>
  <w:abstractNum w:abstractNumId="45">
    <w:nsid w:val="31ED2BAF"/>
    <w:multiLevelType w:val="hybridMultilevel"/>
    <w:lvl w:ilvl="0">
      <w:lvlJc w:val="left"/>
      <w:lvlText w:val="•"/>
      <w:numFmt w:val="bullet"/>
      <w:start w:val="1"/>
    </w:lvl>
  </w:abstractNum>
  <w:abstractNum w:abstractNumId="46">
    <w:nsid w:val="77633E5E"/>
    <w:multiLevelType w:val="hybridMultilevel"/>
    <w:lvl w:ilvl="0">
      <w:lvlJc w:val="left"/>
      <w:lvlText w:val="•"/>
      <w:numFmt w:val="bullet"/>
      <w:start w:val="1"/>
    </w:lvl>
  </w:abstractNum>
  <w:abstractNum w:abstractNumId="47">
    <w:nsid w:val="7DA042A3"/>
    <w:multiLevelType w:val="hybridMultilevel"/>
    <w:lvl w:ilvl="0">
      <w:lvlJc w:val="left"/>
      <w:lvlText w:val="•"/>
      <w:numFmt w:val="bullet"/>
      <w:start w:val="1"/>
    </w:lvl>
  </w:abstractNum>
  <w:abstractNum w:abstractNumId="48">
    <w:nsid w:val="475553AB"/>
    <w:multiLevelType w:val="hybridMultilevel"/>
    <w:lvl w:ilvl="0">
      <w:lvlJc w:val="left"/>
      <w:lvlText w:val="•"/>
      <w:numFmt w:val="bullet"/>
      <w:start w:val="1"/>
    </w:lvl>
  </w:abstractNum>
  <w:abstractNum w:abstractNumId="49">
    <w:nsid w:val="5AB3EA93"/>
    <w:multiLevelType w:val="hybridMultilevel"/>
    <w:lvl w:ilvl="0">
      <w:lvlJc w:val="left"/>
      <w:lvlText w:val="•"/>
      <w:numFmt w:val="bullet"/>
      <w:start w:val="1"/>
    </w:lvl>
  </w:abstractNum>
  <w:abstractNum w:abstractNumId="50">
    <w:nsid w:val="7417684F"/>
    <w:multiLevelType w:val="hybridMultilevel"/>
    <w:lvl w:ilvl="0">
      <w:lvlJc w:val="left"/>
      <w:lvlText w:val="•"/>
      <w:numFmt w:val="bullet"/>
      <w:start w:val="1"/>
    </w:lvl>
  </w:abstractNum>
  <w:abstractNum w:abstractNumId="51">
    <w:nsid w:val="E9E1415"/>
    <w:multiLevelType w:val="hybridMultilevel"/>
    <w:lvl w:ilvl="0">
      <w:lvlJc w:val="left"/>
      <w:lvlText w:val="•"/>
      <w:numFmt w:val="bullet"/>
      <w:start w:val="1"/>
    </w:lvl>
  </w:abstractNum>
  <w:abstractNum w:abstractNumId="52">
    <w:nsid w:val="1893D"/>
    <w:multiLevelType w:val="hybridMultilevel"/>
    <w:lvl w:ilvl="0">
      <w:lvlJc w:val="left"/>
      <w:lvlText w:val="(%1)"/>
      <w:numFmt w:val="lowerRoman"/>
      <w:start w:val="3"/>
    </w:lvl>
  </w:abstractNum>
  <w:abstractNum w:abstractNumId="53">
    <w:nsid w:val="13D4A2F2"/>
    <w:multiLevelType w:val="hybridMultilevel"/>
    <w:lvl w:ilvl="0">
      <w:lvlJc w:val="left"/>
      <w:lvlText w:val="•"/>
      <w:numFmt w:val="bullet"/>
      <w:start w:val="1"/>
    </w:lvl>
  </w:abstractNum>
  <w:abstractNum w:abstractNumId="54">
    <w:nsid w:val="2764C907"/>
    <w:multiLevelType w:val="hybridMultilevel"/>
    <w:lvl w:ilvl="0">
      <w:lvlJc w:val="left"/>
      <w:lvlText w:val="•"/>
      <w:numFmt w:val="bullet"/>
      <w:start w:val="1"/>
    </w:lvl>
  </w:abstractNum>
  <w:abstractNum w:abstractNumId="55">
    <w:nsid w:val="40D3692"/>
    <w:multiLevelType w:val="hybridMultilevel"/>
    <w:lvl w:ilvl="0">
      <w:lvlJc w:val="left"/>
      <w:lvlText w:val="•"/>
      <w:numFmt w:val="bullet"/>
      <w:start w:val="1"/>
    </w:lvl>
  </w:abstractNum>
  <w:abstractNum w:abstractNumId="56">
    <w:nsid w:val="222FC865"/>
    <w:multiLevelType w:val="hybridMultilevel"/>
    <w:lvl w:ilvl="0">
      <w:lvlJc w:val="left"/>
      <w:lvlText w:val="(%1)"/>
      <w:numFmt w:val="decimal"/>
      <w:start w:val="1"/>
    </w:lvl>
  </w:abstractNum>
  <w:abstractNum w:abstractNumId="57">
    <w:nsid w:val="47C27FA"/>
    <w:multiLevelType w:val="hybridMultilevel"/>
    <w:lvl w:ilvl="0">
      <w:lvlJc w:val="left"/>
      <w:lvlText w:val="•"/>
      <w:numFmt w:val="bullet"/>
      <w:start w:val="1"/>
    </w:lvl>
  </w:abstractNum>
  <w:abstractNum w:abstractNumId="58">
    <w:nsid w:val="52E2D7C9"/>
    <w:multiLevelType w:val="hybridMultilevel"/>
    <w:lvl w:ilvl="0">
      <w:lvlJc w:val="left"/>
      <w:lvlText w:val="•"/>
      <w:numFmt w:val="bullet"/>
      <w:start w:val="1"/>
    </w:lvl>
  </w:abstractNum>
  <w:abstractNum w:abstractNumId="59">
    <w:nsid w:val="3D4B955A"/>
    <w:multiLevelType w:val="hybridMultilevel"/>
    <w:lvl w:ilvl="0">
      <w:lvlJc w:val="left"/>
      <w:lvlText w:val="•"/>
      <w:numFmt w:val="bullet"/>
      <w:start w:val="1"/>
    </w:lvl>
  </w:abstractNum>
  <w:abstractNum w:abstractNumId="60">
    <w:nsid w:val="5B4A22B5"/>
    <w:multiLevelType w:val="hybridMultilevel"/>
    <w:lvl w:ilvl="0">
      <w:lvlJc w:val="left"/>
      <w:lvlText w:val="•"/>
      <w:numFmt w:val="bullet"/>
      <w:start w:val="1"/>
    </w:lvl>
  </w:abstractNum>
  <w:abstractNum w:abstractNumId="61">
    <w:nsid w:val="4B294578"/>
    <w:multiLevelType w:val="hybridMultilevel"/>
    <w:lvl w:ilvl="0">
      <w:lvlJc w:val="left"/>
      <w:lvlText w:val="(%1)"/>
      <w:numFmt w:val="lowerRoman"/>
      <w:start w:val="1"/>
    </w:lvl>
  </w:abstractNum>
  <w:abstractNum w:abstractNumId="62">
    <w:nsid w:val="22317590"/>
    <w:multiLevelType w:val="hybridMultilevel"/>
    <w:lvl w:ilvl="0">
      <w:lvlJc w:val="left"/>
      <w:lvlText w:val="•"/>
      <w:numFmt w:val="bullet"/>
      <w:start w:val="1"/>
    </w:lvl>
  </w:abstractNum>
  <w:abstractNum w:abstractNumId="63">
    <w:nsid w:val="37A58EEF"/>
    <w:multiLevelType w:val="hybridMultilevel"/>
    <w:lvl w:ilvl="0">
      <w:lvlJc w:val="left"/>
      <w:lvlText w:val="•"/>
      <w:numFmt w:val="bullet"/>
      <w:start w:val="1"/>
    </w:lvl>
  </w:abstractNum>
  <w:abstractNum w:abstractNumId="64">
    <w:nsid w:val="283290FD"/>
    <w:multiLevelType w:val="hybridMultilevel"/>
    <w:lvl w:ilvl="0">
      <w:lvlJc w:val="left"/>
      <w:lvlText w:val="•"/>
      <w:numFmt w:val="bullet"/>
      <w:start w:val="1"/>
    </w:lvl>
  </w:abstractNum>
  <w:abstractNum w:abstractNumId="65">
    <w:nsid w:val="495C0EA5"/>
    <w:multiLevelType w:val="hybridMultilevel"/>
    <w:lvl w:ilvl="0">
      <w:lvlJc w:val="left"/>
      <w:lvlText w:val="•"/>
      <w:numFmt w:val="bullet"/>
      <w:start w:val="1"/>
    </w:lvl>
  </w:abstractNum>
  <w:abstractNum w:abstractNumId="66">
    <w:nsid w:val="A4A062B"/>
    <w:multiLevelType w:val="hybridMultilevel"/>
    <w:lvl w:ilvl="0">
      <w:lvlJc w:val="left"/>
      <w:lvlText w:val="•"/>
      <w:numFmt w:val="bullet"/>
      <w:start w:val="1"/>
    </w:lvl>
  </w:abstractNum>
  <w:abstractNum w:abstractNumId="67">
    <w:nsid w:val="3BED7940"/>
    <w:multiLevelType w:val="hybridMultilevel"/>
    <w:lvl w:ilvl="0">
      <w:lvlJc w:val="left"/>
      <w:lvlText w:val="•"/>
      <w:numFmt w:val="bullet"/>
      <w:start w:val="1"/>
    </w:lvl>
  </w:abstractNum>
  <w:abstractNum w:abstractNumId="68">
    <w:nsid w:val="54E56D64"/>
    <w:multiLevelType w:val="hybridMultilevel"/>
    <w:lvl w:ilvl="0">
      <w:lvlJc w:val="left"/>
      <w:lvlText w:val="•"/>
      <w:numFmt w:val="bullet"/>
      <w:start w:val="1"/>
    </w:lvl>
  </w:abstractNum>
  <w:abstractNum w:abstractNumId="69">
    <w:nsid w:val="6EB42955"/>
    <w:multiLevelType w:val="hybridMultilevel"/>
    <w:lvl w:ilvl="0">
      <w:lvlJc w:val="left"/>
      <w:lvlText w:val="•"/>
      <w:numFmt w:val="bullet"/>
      <w:start w:val="1"/>
    </w:lvl>
  </w:abstractNum>
  <w:abstractNum w:abstractNumId="70">
    <w:nsid w:val="29EFA642"/>
    <w:multiLevelType w:val="hybridMultilevel"/>
    <w:lvl w:ilvl="0">
      <w:lvlJc w:val="left"/>
      <w:lvlText w:val="(%1)"/>
      <w:numFmt w:val="decimal"/>
      <w:start w:val="5"/>
    </w:lvl>
  </w:abstractNum>
  <w:abstractNum w:abstractNumId="71">
    <w:nsid w:val="7E337D35"/>
    <w:multiLevelType w:val="hybridMultilevel"/>
    <w:lvl w:ilvl="0">
      <w:lvlJc w:val="left"/>
      <w:lvlText w:val="•"/>
      <w:numFmt w:val="bullet"/>
      <w:start w:val="1"/>
    </w:lvl>
  </w:abstractNum>
  <w:abstractNum w:abstractNumId="72">
    <w:nsid w:val="1F8C83AB"/>
    <w:multiLevelType w:val="hybridMultilevel"/>
    <w:lvl w:ilvl="0">
      <w:lvlJc w:val="left"/>
      <w:lvlText w:val="•"/>
      <w:numFmt w:val="bullet"/>
      <w:start w:val="1"/>
    </w:lvl>
  </w:abstractNum>
  <w:abstractNum w:abstractNumId="73">
    <w:nsid w:val="18F40A33"/>
    <w:multiLevelType w:val="hybridMultilevel"/>
    <w:lvl w:ilvl="0">
      <w:lvlJc w:val="left"/>
      <w:lvlText w:val="•"/>
      <w:numFmt w:val="bullet"/>
      <w:start w:val="1"/>
    </w:lvl>
  </w:abstractNum>
  <w:abstractNum w:abstractNumId="74">
    <w:nsid w:val="1059DF71"/>
    <w:multiLevelType w:val="hybridMultilevel"/>
    <w:lvl w:ilvl="0">
      <w:lvlJc w:val="left"/>
      <w:lvlText w:val="•"/>
      <w:numFmt w:val="bullet"/>
      <w:start w:val="1"/>
    </w:lvl>
  </w:abstractNum>
  <w:abstractNum w:abstractNumId="75">
    <w:nsid w:val="CF19F38"/>
    <w:multiLevelType w:val="hybridMultilevel"/>
    <w:lvl w:ilvl="0">
      <w:lvlJc w:val="left"/>
      <w:lvlText w:val="•"/>
      <w:numFmt w:val="bullet"/>
      <w:start w:val="1"/>
    </w:lvl>
  </w:abstractNum>
  <w:abstractNum w:abstractNumId="76">
    <w:nsid w:val="4AE135E2"/>
    <w:multiLevelType w:val="hybridMultilevel"/>
    <w:lvl w:ilvl="0">
      <w:lvlJc w:val="left"/>
      <w:lvlText w:val="•"/>
      <w:numFmt w:val="bullet"/>
      <w:start w:val="1"/>
    </w:lvl>
  </w:abstractNum>
  <w:abstractNum w:abstractNumId="77">
    <w:nsid w:val="7BD1DCF"/>
    <w:multiLevelType w:val="hybridMultilevel"/>
    <w:lvl w:ilvl="0">
      <w:lvlJc w:val="left"/>
      <w:lvlText w:val="•"/>
      <w:numFmt w:val="bullet"/>
      <w:start w:val="1"/>
    </w:lvl>
  </w:abstractNum>
  <w:abstractNum w:abstractNumId="78">
    <w:nsid w:val="A91E1DC"/>
    <w:multiLevelType w:val="hybridMultilevel"/>
    <w:lvl w:ilvl="0">
      <w:lvlJc w:val="left"/>
      <w:lvlText w:val="."/>
      <w:numFmt w:val="bullet"/>
      <w:start w:val="1"/>
    </w:lvl>
  </w:abstractNum>
  <w:abstractNum w:abstractNumId="79">
    <w:nsid w:val="1236898D"/>
    <w:multiLevelType w:val="hybridMultilevel"/>
    <w:lvl w:ilvl="0">
      <w:lvlJc w:val="left"/>
      <w:lvlText w:val="•"/>
      <w:numFmt w:val="bullet"/>
      <w:start w:val="1"/>
    </w:lvl>
  </w:abstractNum>
  <w:abstractNum w:abstractNumId="80">
    <w:nsid w:val="62710862"/>
    <w:multiLevelType w:val="hybridMultilevel"/>
    <w:lvl w:ilvl="0">
      <w:lvlJc w:val="left"/>
      <w:lvlText w:val="•"/>
      <w:numFmt w:val="bullet"/>
      <w:start w:val="1"/>
    </w:lvl>
  </w:abstractNum>
  <w:abstractNum w:abstractNumId="81">
    <w:nsid w:val="7EA94A2B"/>
    <w:multiLevelType w:val="hybridMultilevel"/>
    <w:lvl w:ilvl="0">
      <w:lvlJc w:val="left"/>
      <w:lvlText w:val="•"/>
      <w:numFmt w:val="bullet"/>
      <w:start w:val="1"/>
    </w:lvl>
  </w:abstractNum>
  <w:abstractNum w:abstractNumId="82">
    <w:nsid w:val="20D49DA3"/>
    <w:multiLevelType w:val="hybridMultilevel"/>
    <w:lvl w:ilvl="0">
      <w:lvlJc w:val="left"/>
      <w:lvlText w:val="•"/>
      <w:numFmt w:val="bullet"/>
      <w:start w:val="1"/>
    </w:lvl>
  </w:abstractNum>
  <w:abstractNum w:abstractNumId="83">
    <w:nsid w:val="6272919F"/>
    <w:multiLevelType w:val="hybridMultilevel"/>
    <w:lvl w:ilvl="0">
      <w:lvlJc w:val="left"/>
      <w:lvlText w:val="•"/>
      <w:numFmt w:val="bullet"/>
      <w:start w:val="1"/>
    </w:lvl>
  </w:abstractNum>
  <w:abstractNum w:abstractNumId="84">
    <w:nsid w:val="127DED1D"/>
    <w:multiLevelType w:val="hybridMultilevel"/>
    <w:lvl w:ilvl="0">
      <w:lvlJc w:val="left"/>
      <w:lvlText w:val="(%1)"/>
      <w:numFmt w:val="decimal"/>
      <w:start w:val="1"/>
    </w:lvl>
  </w:abstractNum>
  <w:abstractNum w:abstractNumId="85">
    <w:nsid w:val="483966AA"/>
    <w:multiLevelType w:val="hybridMultilevel"/>
    <w:lvl w:ilvl="0">
      <w:lvlJc w:val="left"/>
      <w:lvlText w:val="(%1)"/>
      <w:numFmt w:val="decimal"/>
      <w:start w:val="2"/>
    </w:lvl>
  </w:abstractNum>
  <w:abstractNum w:abstractNumId="86">
    <w:nsid w:val="667FC831"/>
    <w:multiLevelType w:val="hybridMultilevel"/>
    <w:lvl w:ilvl="0">
      <w:lvlJc w:val="left"/>
      <w:lvlText w:val="•"/>
      <w:numFmt w:val="bullet"/>
      <w:start w:val="1"/>
    </w:lvl>
  </w:abstractNum>
  <w:abstractNum w:abstractNumId="87">
    <w:nsid w:val="34ADB582"/>
    <w:multiLevelType w:val="hybridMultilevel"/>
    <w:lvl w:ilvl="0">
      <w:lvlJc w:val="left"/>
      <w:lvlText w:val="•"/>
      <w:numFmt w:val="bullet"/>
      <w:start w:val="1"/>
    </w:lvl>
  </w:abstractNum>
  <w:abstractNum w:abstractNumId="88">
    <w:nsid w:val="4CB58EA4"/>
    <w:multiLevelType w:val="hybridMultilevel"/>
    <w:lvl w:ilvl="0">
      <w:lvlJc w:val="left"/>
      <w:lvlText w:val="(%1)"/>
      <w:numFmt w:val="decimal"/>
      <w:start w:val="1"/>
    </w:lvl>
  </w:abstractNum>
  <w:abstractNum w:abstractNumId="89">
    <w:nsid w:val="39629FFA"/>
    <w:multiLevelType w:val="hybridMultilevel"/>
    <w:lvl w:ilvl="0">
      <w:lvlJc w:val="left"/>
      <w:lvlText w:val="(%1)"/>
      <w:numFmt w:val="lowerLetter"/>
      <w:start w:val="3"/>
    </w:lvl>
  </w:abstractNum>
  <w:abstractNum w:abstractNumId="90">
    <w:nsid w:val="71F94ADC"/>
    <w:multiLevelType w:val="hybridMultilevel"/>
    <w:lvl w:ilvl="0">
      <w:lvlJc w:val="left"/>
      <w:lvlText w:val="(%1)"/>
      <w:numFmt w:val="lowerLetter"/>
      <w:start w:val="1"/>
    </w:lvl>
  </w:abstractNum>
  <w:abstractNum w:abstractNumId="91">
    <w:nsid w:val="27FFB15A"/>
    <w:multiLevelType w:val="hybridMultilevel"/>
    <w:lvl w:ilvl="0">
      <w:lvlJc w:val="left"/>
      <w:lvlText w:val="•"/>
      <w:numFmt w:val="bullet"/>
      <w:start w:val="1"/>
    </w:lvl>
  </w:abstractNum>
  <w:abstractNum w:abstractNumId="92">
    <w:nsid w:val="48BE573"/>
    <w:multiLevelType w:val="hybridMultilevel"/>
    <w:lvl w:ilvl="0">
      <w:lvlJc w:val="left"/>
      <w:lvlText w:val="*"/>
      <w:numFmt w:val="bullet"/>
      <w:start w:val="1"/>
    </w:lvl>
  </w:abstractNum>
  <w:abstractNum w:abstractNumId="93">
    <w:nsid w:val="142AC06C"/>
    <w:multiLevelType w:val="hybridMultilevel"/>
    <w:lvl w:ilvl="0">
      <w:lvlJc w:val="left"/>
      <w:lvlText w:val="(%1)"/>
      <w:numFmt w:val="decimal"/>
      <w:start w:val="1"/>
    </w:lvl>
  </w:abstractNum>
  <w:abstractNum w:abstractNumId="94">
    <w:nsid w:val="5FA54049"/>
    <w:multiLevelType w:val="hybridMultilevel"/>
    <w:lvl w:ilvl="0">
      <w:lvlJc w:val="left"/>
      <w:lvlText w:val="(%1)"/>
      <w:numFmt w:val="decimal"/>
      <w:start w:val="2"/>
    </w:lvl>
  </w:abstractNum>
  <w:abstractNum w:abstractNumId="95">
    <w:nsid w:val="2CBE7670"/>
    <w:multiLevelType w:val="hybridMultilevel"/>
    <w:lvl w:ilvl="0">
      <w:lvlJc w:val="left"/>
      <w:lvlText w:val="(%1)"/>
      <w:numFmt w:val="decimal"/>
      <w:start w:val="3"/>
    </w:lvl>
  </w:abstractNum>
  <w:abstractNum w:abstractNumId="96">
    <w:nsid w:val="5D86CF11"/>
    <w:multiLevelType w:val="hybridMultilevel"/>
    <w:lvl w:ilvl="0">
      <w:lvlJc w:val="left"/>
      <w:lvlText w:val="(%1)"/>
      <w:numFmt w:val="lowerRoman"/>
      <w:start w:val="5"/>
    </w:lvl>
  </w:abstractNum>
  <w:abstractNum w:abstractNumId="97">
    <w:nsid w:val="69EF4674"/>
    <w:multiLevelType w:val="hybridMultilevel"/>
    <w:lvl w:ilvl="0">
      <w:lvlJc w:val="left"/>
      <w:lvlText w:val="(%1)"/>
      <w:numFmt w:val="decimal"/>
      <w:start w:val="4"/>
    </w:lvl>
  </w:abstractNum>
  <w:abstractNum w:abstractNumId="98">
    <w:nsid w:val="68ABEFB0"/>
    <w:multiLevelType w:val="hybridMultilevel"/>
    <w:lvl w:ilvl="0">
      <w:lvlJc w:val="left"/>
      <w:lvlText w:val="(%1)"/>
      <w:numFmt w:val="decimal"/>
      <w:start w:val="7"/>
    </w:lvl>
  </w:abstractNum>
  <w:abstractNum w:abstractNumId="99">
    <w:nsid w:val="326C3C76"/>
    <w:multiLevelType w:val="hybridMultilevel"/>
    <w:lvl w:ilvl="0">
      <w:lvlJc w:val="left"/>
      <w:lvlText w:val="(%1)"/>
      <w:numFmt w:val="decimal"/>
      <w:start w:val="10"/>
    </w:lvl>
  </w:abstractNum>
  <w:abstractNum w:abstractNumId="100">
    <w:nsid w:val="58A36FCA"/>
    <w:multiLevelType w:val="hybridMultilevel"/>
    <w:lvl w:ilvl="0">
      <w:lvlJc w:val="left"/>
      <w:lvlText w:val="(%1)"/>
      <w:numFmt w:val="lowerRoman"/>
      <w:start w:val="5"/>
    </w:lvl>
  </w:abstractNum>
  <w:abstractNum w:abstractNumId="101">
    <w:nsid w:val="129B95F2"/>
    <w:multiLevelType w:val="hybridMultilevel"/>
    <w:lvl w:ilvl="0">
      <w:lvlJc w:val="left"/>
      <w:lvlText w:val="•"/>
      <w:numFmt w:val="bullet"/>
      <w:start w:val="1"/>
    </w:lvl>
  </w:abstractNum>
  <w:abstractNum w:abstractNumId="102">
    <w:nsid w:val="309FB9AB"/>
    <w:multiLevelType w:val="hybridMultilevel"/>
    <w:lvl w:ilvl="0">
      <w:lvlJc w:val="left"/>
      <w:lvlText w:val="•"/>
      <w:numFmt w:val="bullet"/>
      <w:start w:val="1"/>
    </w:lvl>
  </w:abstractNum>
  <w:abstractNum w:abstractNumId="103">
    <w:nsid w:val="782FF375"/>
    <w:multiLevelType w:val="hybridMultilevel"/>
    <w:lvl w:ilvl="0">
      <w:lvlJc w:val="left"/>
      <w:lvlText w:val="•"/>
      <w:numFmt w:val="bullet"/>
      <w:start w:val="1"/>
    </w:lvl>
  </w:abstractNum>
  <w:abstractNum w:abstractNumId="104">
    <w:nsid w:val="2B8FA025"/>
    <w:multiLevelType w:val="hybridMultilevel"/>
    <w:lvl w:ilvl="0">
      <w:lvlJc w:val="left"/>
      <w:lvlText w:val="•"/>
      <w:numFmt w:val="bullet"/>
      <w:start w:val="1"/>
    </w:lvl>
  </w:abstractNum>
  <w:abstractNum w:abstractNumId="105">
    <w:nsid w:val="40F9991C"/>
    <w:multiLevelType w:val="hybridMultilevel"/>
    <w:lvl w:ilvl="0">
      <w:lvlJc w:val="left"/>
      <w:lvlText w:val="•"/>
      <w:numFmt w:val="bullet"/>
      <w:start w:val="1"/>
    </w:lvl>
  </w:abstractNum>
  <w:abstractNum w:abstractNumId="106">
    <w:nsid w:val="52192AD"/>
    <w:multiLevelType w:val="hybridMultilevel"/>
    <w:lvl w:ilvl="0">
      <w:lvlJc w:val="left"/>
      <w:lvlText w:val="•"/>
      <w:numFmt w:val="bullet"/>
      <w:start w:val="1"/>
    </w:lvl>
  </w:abstractNum>
  <w:abstractNum w:abstractNumId="107">
    <w:nsid w:val="7670D608"/>
    <w:multiLevelType w:val="hybridMultilevel"/>
    <w:lvl w:ilvl="0">
      <w:lvlJc w:val="left"/>
      <w:lvlText w:val="•"/>
      <w:numFmt w:val="bullet"/>
      <w:start w:val="1"/>
    </w:lvl>
  </w:abstractNum>
  <w:abstractNum w:abstractNumId="108">
    <w:nsid w:val="48B6B6EB"/>
    <w:multiLevelType w:val="hybridMultilevel"/>
    <w:lvl w:ilvl="0">
      <w:lvlJc w:val="left"/>
      <w:lvlText w:val="•"/>
      <w:numFmt w:val="bullet"/>
      <w:start w:val="1"/>
    </w:lvl>
  </w:abstractNum>
  <w:abstractNum w:abstractNumId="109">
    <w:nsid w:val="FB37489"/>
    <w:multiLevelType w:val="hybridMultilevel"/>
    <w:lvl w:ilvl="0">
      <w:lvlJc w:val="left"/>
      <w:lvlText w:val="•"/>
      <w:numFmt w:val="bullet"/>
      <w:start w:val="1"/>
    </w:lvl>
  </w:abstractNum>
  <w:abstractNum w:abstractNumId="110">
    <w:nsid w:val="8A75F95"/>
    <w:multiLevelType w:val="hybridMultilevel"/>
    <w:lvl w:ilvl="0">
      <w:lvlJc w:val="left"/>
      <w:lvlText w:val="•"/>
      <w:numFmt w:val="bullet"/>
      <w:start w:val="1"/>
    </w:lvl>
  </w:abstractNum>
  <w:abstractNum w:abstractNumId="111">
    <w:nsid w:val="2B27BF4D"/>
    <w:multiLevelType w:val="hybridMultilevel"/>
    <w:lvl w:ilvl="0">
      <w:lvlJc w:val="left"/>
      <w:lvlText w:val="%1."/>
      <w:numFmt w:val="upperLetter"/>
      <w:start w:val="1"/>
    </w:lvl>
  </w:abstractNum>
  <w:abstractNum w:abstractNumId="112">
    <w:nsid w:val="E5CBEB4"/>
    <w:multiLevelType w:val="hybridMultilevel"/>
    <w:lvl w:ilvl="0">
      <w:lvlJc w:val="left"/>
      <w:lvlText w:val="(%1)"/>
      <w:numFmt w:val="lowerLetter"/>
      <w:start w:val="1"/>
    </w:lvl>
  </w:abstractNum>
  <w:abstractNum w:abstractNumId="113">
    <w:nsid w:val="297BFD38"/>
    <w:multiLevelType w:val="hybridMultilevel"/>
    <w:lvl w:ilvl="0">
      <w:lvlJc w:val="left"/>
      <w:lvlText w:val="(%1)"/>
      <w:numFmt w:val="lowerLetter"/>
      <w:start w:val="1"/>
    </w:lvl>
  </w:abstractNum>
  <w:abstractNum w:abstractNumId="114">
    <w:nsid w:val="D9A50ED"/>
    <w:multiLevelType w:val="hybridMultilevel"/>
    <w:lvl w:ilvl="0">
      <w:lvlJc w:val="left"/>
      <w:lvlText w:val="•"/>
      <w:numFmt w:val="bullet"/>
      <w:start w:val="1"/>
    </w:lvl>
  </w:abstractNum>
  <w:abstractNum w:abstractNumId="115">
    <w:nsid w:val="20DAABD1"/>
    <w:multiLevelType w:val="hybridMultilevel"/>
    <w:lvl w:ilvl="0">
      <w:lvlJc w:val="left"/>
      <w:lvlText w:val="(%1)"/>
      <w:numFmt w:val="lowerRoman"/>
      <w:start w:val="4"/>
    </w:lvl>
  </w:abstractNum>
  <w:abstractNum w:abstractNumId="116">
    <w:nsid w:val="71B563E3"/>
    <w:multiLevelType w:val="hybridMultilevel"/>
    <w:lvl w:ilvl="0">
      <w:lvlJc w:val="left"/>
      <w:lvlText w:val="(%1)"/>
      <w:numFmt w:val="lowerRoman"/>
      <w:start w:val="3"/>
    </w:lvl>
  </w:abstractNum>
  <w:abstractNum w:abstractNumId="117">
    <w:nsid w:val="741A191E"/>
    <w:multiLevelType w:val="hybridMultilevel"/>
    <w:lvl w:ilvl="0">
      <w:lvlJc w:val="left"/>
      <w:lvlText w:val="(%1)"/>
      <w:numFmt w:val="decimal"/>
      <w:start w:val="1"/>
    </w:lvl>
  </w:abstractNum>
  <w:abstractNum w:abstractNumId="118">
    <w:nsid w:val="55886153"/>
    <w:multiLevelType w:val="hybridMultilevel"/>
    <w:lvl w:ilvl="0">
      <w:lvlJc w:val="left"/>
      <w:lvlText w:val="*"/>
      <w:numFmt w:val="bullet"/>
      <w:start w:val="1"/>
    </w:lvl>
  </w:abstractNum>
  <w:abstractNum w:abstractNumId="119">
    <w:nsid w:val="3E6AF287"/>
    <w:multiLevelType w:val="hybridMultilevel"/>
    <w:lvl w:ilvl="0">
      <w:lvlJc w:val="left"/>
      <w:lvlText w:val="†"/>
      <w:numFmt w:val="bullet"/>
      <w:start w:val="1"/>
    </w:lvl>
  </w:abstractNum>
  <w:abstractNum w:abstractNumId="120">
    <w:nsid w:val="2D7CB919"/>
    <w:multiLevelType w:val="hybridMultilevel"/>
    <w:lvl w:ilvl="0">
      <w:lvlJc w:val="left"/>
      <w:lvlText w:val="+"/>
      <w:numFmt w:val="bullet"/>
      <w:start w:val="1"/>
    </w:lvl>
  </w:abstractNum>
  <w:abstractNum w:abstractNumId="121">
    <w:nsid w:val="4781AC2F"/>
    <w:multiLevelType w:val="hybridMultilevel"/>
    <w:lvl w:ilvl="0">
      <w:lvlJc w:val="left"/>
      <w:lvlText w:val="%1."/>
      <w:numFmt w:val="decimal"/>
      <w:start w:val="1"/>
    </w:lvl>
  </w:abstractNum>
  <w:abstractNum w:abstractNumId="122">
    <w:nsid w:val="666AA3E1"/>
    <w:multiLevelType w:val="hybridMultilevel"/>
    <w:lvl w:ilvl="0">
      <w:lvlJc w:val="left"/>
      <w:lvlText w:val="%1."/>
      <w:numFmt w:val="upperLetter"/>
      <w:start w:val="1"/>
    </w:lvl>
    <w:lvl w:ilvl="1">
      <w:lvlJc w:val="left"/>
      <w:lvlText w:val="%2."/>
      <w:numFmt w:val="decimal"/>
      <w:start w:val="1"/>
    </w:lvl>
  </w:abstractNum>
  <w:abstractNum w:abstractNumId="123">
    <w:nsid w:val="32089E8C"/>
    <w:multiLevelType w:val="hybridMultilevel"/>
    <w:lvl w:ilvl="0">
      <w:lvlJc w:val="left"/>
      <w:lvlText w:val="%1."/>
      <w:numFmt w:val="decimal"/>
      <w:start w:val="2"/>
    </w:lvl>
  </w:abstractNum>
  <w:abstractNum w:abstractNumId="124">
    <w:nsid w:val="5BAC6C9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5">
    <w:nsid w:val="460FE42B"/>
    <w:multiLevelType w:val="hybridMultilevel"/>
    <w:lvl w:ilvl="0">
      <w:lvlJc w:val="left"/>
      <w:lvlText w:val="(%1)"/>
      <w:numFmt w:val="decimal"/>
      <w:start w:val="2"/>
    </w:lvl>
    <w:lvl w:ilvl="1">
      <w:lvlJc w:val="left"/>
      <w:lvlText w:val="(%2)"/>
      <w:numFmt w:val="lowerLetter"/>
      <w:start w:val="2"/>
    </w:lvl>
    <w:lvl w:ilvl="2">
      <w:lvlJc w:val="left"/>
      <w:lvlText w:val="-"/>
      <w:numFmt w:val="bullet"/>
      <w:start w:val="1"/>
    </w:lvl>
  </w:abstractNum>
  <w:abstractNum w:abstractNumId="126">
    <w:nsid w:val="5EC714FC"/>
    <w:multiLevelType w:val="hybridMultilevel"/>
    <w:lvl w:ilvl="0">
      <w:lvlJc w:val="left"/>
      <w:lvlText w:val="(%1)"/>
      <w:numFmt w:val="decimal"/>
      <w:start w:val="2"/>
    </w:lvl>
    <w:lvl w:ilvl="1">
      <w:lvlJc w:val="left"/>
      <w:lvlText w:val="(%2)"/>
      <w:numFmt w:val="lowerLetter"/>
      <w:start w:val="3"/>
    </w:lvl>
    <w:lvl w:ilvl="2">
      <w:lvlJc w:val="left"/>
      <w:lvlText w:val="-"/>
      <w:numFmt w:val="bullet"/>
      <w:start w:val="1"/>
    </w:lvl>
  </w:abstractNum>
  <w:abstractNum w:abstractNumId="127">
    <w:nsid w:val="39333BAD"/>
    <w:multiLevelType w:val="hybridMultilevel"/>
    <w:lvl w:ilvl="0">
      <w:lvlJc w:val="left"/>
      <w:lvlText w:val="(%1)"/>
      <w:numFmt w:val="decimal"/>
      <w:start w:val="2"/>
    </w:lvl>
    <w:lvl w:ilvl="1">
      <w:lvlJc w:val="left"/>
      <w:lvlText w:val="(%2)"/>
      <w:numFmt w:val="lowerLetter"/>
      <w:start w:val="4"/>
    </w:lvl>
    <w:lvl w:ilvl="2">
      <w:lvlJc w:val="left"/>
      <w:lvlText w:val="-"/>
      <w:numFmt w:val="bullet"/>
      <w:start w:val="1"/>
    </w:lvl>
  </w:abstractNum>
  <w:abstractNum w:abstractNumId="128">
    <w:nsid w:val="2FFF2A9F"/>
    <w:multiLevelType w:val="hybridMultilevel"/>
    <w:lvl w:ilvl="0">
      <w:lvlJc w:val="left"/>
      <w:lvlText w:val="%1"/>
      <w:numFmt w:val="decimal"/>
      <w:start w:val="1"/>
    </w:lvl>
    <w:lvl w:ilvl="1">
      <w:lvlJc w:val="left"/>
      <w:lvlText w:val="(%2)"/>
      <w:numFmt w:val="lowerLetter"/>
      <w:start w:val="6"/>
    </w:lvl>
  </w:abstractNum>
  <w:abstractNum w:abstractNumId="129">
    <w:nsid w:val="477304AC"/>
    <w:multiLevelType w:val="hybridMultilevel"/>
    <w:lvl w:ilvl="0">
      <w:lvlJc w:val="left"/>
      <w:lvlText w:val="%1."/>
      <w:numFmt w:val="decimal"/>
      <w:start w:val="3"/>
    </w:lvl>
    <w:lvl w:ilvl="1">
      <w:lvlJc w:val="left"/>
      <w:lvlText w:val="%2"/>
      <w:numFmt w:val="lowerLetter"/>
      <w:start w:val="1"/>
    </w:lvl>
  </w:abstractNum>
  <w:abstractNum w:abstractNumId="130">
    <w:nsid w:val="6B9F7823"/>
    <w:multiLevelType w:val="hybridMultilevel"/>
    <w:lvl w:ilvl="0">
      <w:lvlJc w:val="left"/>
      <w:lvlText w:val="%1."/>
      <w:numFmt w:val="decimal"/>
      <w:start w:val="4"/>
    </w:lvl>
  </w:abstractNum>
  <w:abstractNum w:abstractNumId="131">
    <w:nsid w:val="8A29A69"/>
    <w:multiLevelType w:val="hybridMultilevel"/>
    <w:lvl w:ilvl="0">
      <w:lvlJc w:val="left"/>
      <w:lvlText w:val="(%1)"/>
      <w:numFmt w:val="lowerLetter"/>
      <w:start w:val="1"/>
    </w:lvl>
    <w:lvl w:ilvl="1">
      <w:lvlJc w:val="left"/>
      <w:lvlText w:val="-"/>
      <w:numFmt w:val="bullet"/>
      <w:start w:val="1"/>
    </w:lvl>
  </w:abstractNum>
  <w:abstractNum w:abstractNumId="132">
    <w:nsid w:val="5A0E9A9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33">
    <w:nsid w:val="1C3F31CE"/>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34">
    <w:nsid w:val="D28DD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35">
    <w:nsid w:val="59E3AC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lvl w:ilvl="3">
      <w:lvlJc w:val="left"/>
      <w:lvlText w:val="-"/>
      <w:numFmt w:val="bullet"/>
      <w:start w:val="1"/>
    </w:lvl>
  </w:abstractNum>
  <w:abstractNum w:abstractNumId="136">
    <w:nsid w:val="5D38CAEA"/>
    <w:multiLevelType w:val="hybridMultilevel"/>
    <w:lvl w:ilvl="0">
      <w:lvlJc w:val="left"/>
      <w:lvlText w:val="(%1)"/>
      <w:numFmt w:val="lowerLetter"/>
      <w:start w:val="4"/>
    </w:lvl>
    <w:lvl w:ilvl="1">
      <w:lvlJc w:val="left"/>
      <w:lvlText w:val="-"/>
      <w:numFmt w:val="bullet"/>
      <w:start w:val="1"/>
    </w:lvl>
  </w:abstractNum>
  <w:abstractNum w:abstractNumId="137">
    <w:nsid w:val="5F4208C"/>
    <w:multiLevelType w:val="hybridMultilevel"/>
    <w:lvl w:ilvl="0">
      <w:lvlJc w:val="left"/>
      <w:lvlText w:val="(%1)"/>
      <w:numFmt w:val="lowerLetter"/>
      <w:start w:val="1"/>
    </w:lvl>
    <w:lvl w:ilvl="1">
      <w:lvlJc w:val="left"/>
      <w:lvlText w:val="-"/>
      <w:numFmt w:val="bullet"/>
      <w:start w:val="1"/>
    </w:lvl>
  </w:abstractNum>
  <w:abstractNum w:abstractNumId="138">
    <w:nsid w:val="7C0F10CC"/>
    <w:multiLevelType w:val="hybridMultilevel"/>
    <w:lvl w:ilvl="0">
      <w:lvlJc w:val="left"/>
      <w:lvlText w:val="(%1)"/>
      <w:numFmt w:val="lowerLetter"/>
      <w:start w:val="9"/>
    </w:lvl>
    <w:lvl w:ilvl="1">
      <w:lvlJc w:val="left"/>
      <w:lvlText w:val="(%2)"/>
      <w:numFmt w:val="lowerLetter"/>
      <w:start w:val="4"/>
    </w:lvl>
  </w:abstractNum>
  <w:abstractNum w:abstractNumId="139">
    <w:nsid w:val="25EF81D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40">
    <w:nsid w:val="15A79515"/>
    <w:multiLevelType w:val="hybridMultilevel"/>
    <w:lvl w:ilvl="0">
      <w:lvlJc w:val="left"/>
      <w:lvlText w:val="(%1)"/>
      <w:numFmt w:val="lowerLetter"/>
      <w:start w:val="2"/>
    </w:lvl>
    <w:lvl w:ilvl="1">
      <w:lvlJc w:val="left"/>
      <w:lvlText w:val="-"/>
      <w:numFmt w:val="bullet"/>
      <w:start w:val="1"/>
    </w:lvl>
  </w:abstractNum>
  <w:abstractNum w:abstractNumId="141">
    <w:nsid w:val="4B67062"/>
    <w:multiLevelType w:val="hybridMultilevel"/>
    <w:lvl w:ilvl="0">
      <w:lvlJc w:val="left"/>
      <w:lvlText w:val="%1"/>
      <w:numFmt w:val="lowerLetter"/>
      <w:start w:val="1"/>
    </w:lvl>
    <w:lvl w:ilvl="1">
      <w:lvlJc w:val="left"/>
      <w:lvlText w:val="(%2)"/>
      <w:numFmt w:val="lowerLetter"/>
      <w:start w:val="1"/>
    </w:lvl>
  </w:abstractNum>
  <w:abstractNum w:abstractNumId="142">
    <w:nsid w:val="51174123"/>
    <w:multiLevelType w:val="hybridMultilevel"/>
    <w:lvl w:ilvl="0">
      <w:lvlJc w:val="left"/>
      <w:lvlText w:val="(%1)"/>
      <w:numFmt w:val="lowerLetter"/>
      <w:start w:val="35"/>
    </w:lvl>
    <w:lvl w:ilvl="1">
      <w:lvlJc w:val="left"/>
      <w:lvlText w:val="(%2)"/>
      <w:numFmt w:val="lowerLetter"/>
      <w:start w:val="3"/>
    </w:lvl>
  </w:abstractNum>
  <w:abstractNum w:abstractNumId="143">
    <w:nsid w:val="240453CA"/>
    <w:multiLevelType w:val="hybridMultilevel"/>
    <w:lvl w:ilvl="0">
      <w:lvlJc w:val="left"/>
      <w:lvlText w:val="(%1)"/>
      <w:numFmt w:val="upperLetter"/>
      <w:start w:val="3"/>
    </w:lvl>
  </w:abstractNum>
  <w:abstractNum w:abstractNumId="144">
    <w:nsid w:val="2E326D9A"/>
    <w:multiLevelType w:val="hybridMultilevel"/>
    <w:lvl w:ilvl="0">
      <w:lvlJc w:val="left"/>
      <w:lvlText w:val="(%1)"/>
      <w:numFmt w:val="lowerLetter"/>
      <w:start w:val="1"/>
    </w:lvl>
    <w:lvl w:ilvl="1">
      <w:lvlJc w:val="left"/>
      <w:lvlText w:val="-"/>
      <w:numFmt w:val="bullet"/>
      <w:start w:val="1"/>
    </w:lvl>
  </w:abstractNum>
  <w:abstractNum w:abstractNumId="145">
    <w:nsid w:val="5EB19210"/>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146">
    <w:nsid w:val="44DEFF9B"/>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147">
    <w:nsid w:val="1FE7D17D"/>
    <w:multiLevelType w:val="hybridMultilevel"/>
    <w:lvl w:ilvl="0">
      <w:lvlJc w:val="left"/>
      <w:lvlText w:val="(%1)"/>
      <w:numFmt w:val="lowerLetter"/>
      <w:start w:val="4"/>
    </w:lvl>
  </w:abstractNum>
  <w:abstractNum w:abstractNumId="148">
    <w:nsid w:val="52CBAB2E"/>
    <w:multiLevelType w:val="hybridMultilevel"/>
    <w:lvl w:ilvl="0">
      <w:lvlJc w:val="left"/>
      <w:lvlText w:val="(%1)"/>
      <w:numFmt w:val="lowerLetter"/>
      <w:start w:val="2"/>
    </w:lvl>
  </w:abstractNum>
  <w:abstractNum w:abstractNumId="149">
    <w:nsid w:val="1A6760EF"/>
    <w:multiLevelType w:val="hybridMultilevel"/>
    <w:lvl w:ilvl="0">
      <w:lvlJc w:val="left"/>
      <w:lvlText w:val="(%1)"/>
      <w:numFmt w:val="lowerLetter"/>
      <w:start w:val="1"/>
    </w:lvl>
  </w:abstractNum>
  <w:abstractNum w:abstractNumId="150">
    <w:nsid w:val="5E52C405"/>
    <w:multiLevelType w:val="hybridMultilevel"/>
    <w:lvl w:ilvl="0">
      <w:lvlJc w:val="left"/>
      <w:lvlText w:val="%1."/>
      <w:numFmt w:val="decimal"/>
      <w:start w:val="7"/>
    </w:lvl>
  </w:abstractNum>
  <w:abstractNum w:abstractNumId="151">
    <w:nsid w:val="486447"/>
    <w:multiLevelType w:val="hybridMultilevel"/>
    <w:lvl w:ilvl="0">
      <w:lvlJc w:val="left"/>
      <w:lvlText w:val="(%1)"/>
      <w:numFmt w:val="lowerLetter"/>
      <w:start w:val="1"/>
    </w:lvl>
  </w:abstractNum>
  <w:abstractNum w:abstractNumId="152">
    <w:nsid w:val="61E90D1E"/>
    <w:multiLevelType w:val="hybridMultilevel"/>
    <w:lvl w:ilvl="0">
      <w:lvlJc w:val="left"/>
      <w:lvlText w:val="%1."/>
      <w:numFmt w:val="decimal"/>
      <w:start w:val="2"/>
    </w:lvl>
  </w:abstractNum>
  <w:abstractNum w:abstractNumId="153">
    <w:nsid w:val="44BD67E6"/>
    <w:multiLevelType w:val="hybridMultilevel"/>
    <w:lvl w:ilvl="0">
      <w:lvlJc w:val="left"/>
      <w:lvlText w:val="%1."/>
      <w:numFmt w:val="decimal"/>
      <w:start w:val="3"/>
    </w:lvl>
    <w:lvl w:ilvl="1">
      <w:lvlJc w:val="left"/>
      <w:lvlText w:val="-"/>
      <w:numFmt w:val="bullet"/>
      <w:start w:val="1"/>
    </w:lvl>
  </w:abstractNum>
  <w:abstractNum w:abstractNumId="154">
    <w:nsid w:val="325102D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55">
    <w:nsid w:val="3D9579B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56">
    <w:nsid w:val="ACD4C11"/>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57">
    <w:nsid w:val="111817CF"/>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58">
    <w:nsid w:val="76C8B56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59">
    <w:nsid w:val="3ACC76B1"/>
    <w:multiLevelType w:val="hybridMultilevel"/>
    <w:lvl w:ilvl="0">
      <w:lvlJc w:val="left"/>
      <w:lvlText w:val="%1."/>
      <w:numFmt w:val="decimal"/>
      <w:start w:val="6"/>
    </w:lvl>
    <w:lvl w:ilvl="1">
      <w:lvlJc w:val="left"/>
      <w:lvlText w:val="-"/>
      <w:numFmt w:val="bullet"/>
      <w:start w:val="1"/>
    </w:lvl>
  </w:abstractNum>
  <w:abstractNum w:abstractNumId="160">
    <w:nsid w:val="588B1C7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61">
    <w:nsid w:val="62682D8B"/>
    <w:multiLevelType w:val="hybridMultilevel"/>
    <w:lvl w:ilvl="0">
      <w:lvlJc w:val="left"/>
      <w:lvlText w:val="(%1)"/>
      <w:numFmt w:val="lowerLetter"/>
      <w:start w:val="5"/>
    </w:lvl>
  </w:abstractNum>
  <w:abstractNum w:abstractNumId="162">
    <w:nsid w:val="436F111A"/>
    <w:multiLevelType w:val="hybridMultilevel"/>
    <w:lvl w:ilvl="0">
      <w:lvlJc w:val="left"/>
      <w:lvlText w:val="(%1)"/>
      <w:numFmt w:val="lowerLetter"/>
      <w:start w:val="8"/>
    </w:lvl>
    <w:lvl w:ilvl="1">
      <w:lvlJc w:val="left"/>
      <w:lvlText w:val="-"/>
      <w:numFmt w:val="bullet"/>
      <w:start w:val="1"/>
    </w:lvl>
  </w:abstractNum>
  <w:abstractNum w:abstractNumId="163">
    <w:nsid w:val="3299B71B"/>
    <w:multiLevelType w:val="hybridMultilevel"/>
    <w:lvl w:ilvl="0">
      <w:lvlJc w:val="left"/>
      <w:lvlText w:val="%1."/>
      <w:numFmt w:val="decimal"/>
      <w:start w:val="8"/>
    </w:lvl>
  </w:abstractNum>
  <w:abstractNum w:abstractNumId="164">
    <w:nsid w:val="7EA75F5A"/>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65">
    <w:nsid w:val="44419EF9"/>
    <w:multiLevelType w:val="hybridMultilevel"/>
    <w:lvl w:ilvl="0">
      <w:lvlJc w:val="left"/>
      <w:lvlText w:val="(%1)"/>
      <w:numFmt w:val="lowerLetter"/>
      <w:start w:val="2"/>
    </w:lvl>
    <w:lvl w:ilvl="1">
      <w:lvlJc w:val="left"/>
      <w:lvlText w:val="-"/>
      <w:numFmt w:val="bullet"/>
      <w:start w:val="1"/>
    </w:lvl>
  </w:abstractNum>
  <w:abstractNum w:abstractNumId="166">
    <w:nsid w:val="3837F1DF"/>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67">
    <w:nsid w:val="5BE02A44"/>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68">
    <w:nsid w:val="4A35BF8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69">
    <w:nsid w:val="344702AC"/>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70">
    <w:nsid w:val="1CFAC1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1">
    <w:nsid w:val="5FDD54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2">
    <w:nsid w:val="38FD730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73">
    <w:nsid w:val="52E6ED3D"/>
    <w:multiLevelType w:val="hybridMultilevel"/>
    <w:lvl w:ilvl="0">
      <w:lvlJc w:val="left"/>
      <w:lvlText w:val="(%1)"/>
      <w:numFmt w:val="lowerLetter"/>
      <w:start w:val="3"/>
    </w:lvl>
    <w:lvl w:ilvl="1">
      <w:lvlJc w:val="left"/>
      <w:lvlText w:val="-"/>
      <w:numFmt w:val="bullet"/>
      <w:start w:val="1"/>
    </w:lvl>
  </w:abstractNum>
  <w:abstractNum w:abstractNumId="174">
    <w:nsid w:val="3E1A864"/>
    <w:multiLevelType w:val="hybridMultilevel"/>
    <w:lvl w:ilvl="0">
      <w:lvlJc w:val="left"/>
      <w:lvlText w:val="(%1)"/>
      <w:numFmt w:val="lowerLetter"/>
      <w:start w:val="11"/>
    </w:lvl>
  </w:abstractNum>
  <w:abstractNum w:abstractNumId="175">
    <w:nsid w:val="672FE0A8"/>
    <w:multiLevelType w:val="hybridMultilevel"/>
    <w:lvl w:ilvl="0">
      <w:lvlJc w:val="left"/>
      <w:lvlText w:val="%1."/>
      <w:numFmt w:val="decimal"/>
      <w:start w:val="1"/>
    </w:lvl>
  </w:abstractNum>
  <w:abstractNum w:abstractNumId="176">
    <w:nsid w:val="31987F4D"/>
    <w:multiLevelType w:val="hybridMultilevel"/>
    <w:lvl w:ilvl="0">
      <w:lvlJc w:val="left"/>
      <w:lvlText w:val="%1."/>
      <w:numFmt w:val="decimal"/>
      <w:start w:val="2"/>
    </w:lvl>
    <w:lvl w:ilvl="1">
      <w:lvlJc w:val="left"/>
      <w:lvlText w:val="%2."/>
      <w:numFmt w:val="lowerLetter"/>
      <w:start w:val="1"/>
    </w:lvl>
  </w:abstractNum>
  <w:abstractNum w:abstractNumId="177">
    <w:nsid w:val="48C0A800"/>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78">
    <w:nsid w:val="717B22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9">
    <w:nsid w:val="4642A7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0">
    <w:nsid w:val="632808EF"/>
    <w:multiLevelType w:val="hybridMultilevel"/>
    <w:lvl w:ilvl="0">
      <w:lvlJc w:val="left"/>
      <w:lvlText w:val="%1."/>
      <w:numFmt w:val="decimal"/>
      <w:start w:val="6"/>
    </w:lvl>
  </w:abstractNum>
  <w:abstractNum w:abstractNumId="181">
    <w:nsid w:val="656A762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82">
    <w:nsid w:val="4AC8EC3"/>
    <w:multiLevelType w:val="hybridMultilevel"/>
    <w:lvl w:ilvl="0">
      <w:lvlJc w:val="left"/>
      <w:lvlText w:val="%1"/>
      <w:numFmt w:val="lowerRoman"/>
      <w:start w:val="1"/>
    </w:lvl>
    <w:lvl w:ilvl="1">
      <w:lvlJc w:val="left"/>
      <w:lvlText w:val="(%2)"/>
      <w:numFmt w:val="upperLetter"/>
      <w:start w:val="3"/>
    </w:lvl>
    <w:lvl w:ilvl="2">
      <w:lvlJc w:val="left"/>
      <w:lvlText w:val="-"/>
      <w:numFmt w:val="bullet"/>
      <w:start w:val="1"/>
    </w:lvl>
  </w:abstractNum>
  <w:abstractNum w:abstractNumId="183">
    <w:nsid w:val="4511160D"/>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84">
    <w:nsid w:val="2A27DE11"/>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85">
    <w:nsid w:val="36FD9196"/>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86">
    <w:nsid w:val="2A68FC8"/>
    <w:multiLevelType w:val="hybridMultilevel"/>
    <w:lvl w:ilvl="0">
      <w:lvlJc w:val="left"/>
      <w:lvlText w:val="%1."/>
      <w:numFmt w:val="decimal"/>
      <w:start w:val="8"/>
    </w:lvl>
  </w:abstractNum>
  <w:abstractNum w:abstractNumId="187">
    <w:nsid w:val="34F52A23"/>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88">
    <w:nsid w:val="4815A96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9">
    <w:nsid w:val="796F4530"/>
    <w:multiLevelType w:val="hybridMultilevel"/>
    <w:lvl w:ilvl="0">
      <w:lvlJc w:val="left"/>
      <w:lvlText w:val="%1."/>
      <w:numFmt w:val="decimal"/>
      <w:start w:val="1"/>
    </w:lvl>
  </w:abstractNum>
  <w:abstractNum w:abstractNumId="190">
    <w:nsid w:val="6FC1A0D4"/>
    <w:multiLevelType w:val="hybridMultilevel"/>
    <w:lvl w:ilvl="0">
      <w:lvlJc w:val="left"/>
      <w:lvlText w:val="%1."/>
      <w:numFmt w:val="decimal"/>
      <w:start w:val="2"/>
    </w:lvl>
    <w:lvl w:ilvl="1">
      <w:lvlJc w:val="left"/>
      <w:lvlText w:val="(%2)"/>
      <w:numFmt w:val="lowerLetter"/>
      <w:start w:val="1"/>
    </w:lvl>
  </w:abstractNum>
  <w:abstractNum w:abstractNumId="191">
    <w:nsid w:val="20A0C5E2"/>
    <w:multiLevelType w:val="hybridMultilevel"/>
    <w:lvl w:ilvl="0">
      <w:lvlJc w:val="left"/>
      <w:lvlText w:val="(%1)"/>
      <w:numFmt w:val="lowerLetter"/>
      <w:start w:val="8"/>
    </w:lvl>
  </w:abstractNum>
  <w:abstractNum w:abstractNumId="192">
    <w:nsid w:val="5BD772BB"/>
    <w:multiLevelType w:val="hybridMultilevel"/>
    <w:lvl w:ilvl="0">
      <w:lvlJc w:val="left"/>
      <w:lvlText w:val="(%1)"/>
      <w:numFmt w:val="decimal"/>
      <w:start w:val="1"/>
    </w:lvl>
  </w:abstractNum>
  <w:abstractNum w:abstractNumId="193">
    <w:nsid w:val="3330B1EE"/>
    <w:multiLevelType w:val="hybridMultilevel"/>
    <w:lvl w:ilvl="0">
      <w:lvlJc w:val="left"/>
      <w:lvlText w:val="(%1)"/>
      <w:numFmt w:val="lowerLetter"/>
      <w:start w:val="15"/>
    </w:lvl>
  </w:abstractNum>
  <w:abstractNum w:abstractNumId="194">
    <w:nsid w:val="533A7CFD"/>
    <w:multiLevelType w:val="hybridMultilevel"/>
    <w:lvl w:ilvl="0">
      <w:lvlJc w:val="left"/>
      <w:lvlText w:val="(%1)"/>
      <w:numFmt w:val="lowerLetter"/>
      <w:start w:val="20"/>
    </w:lvl>
  </w:abstractNum>
  <w:abstractNum w:abstractNumId="195">
    <w:nsid w:val="5A7ED215"/>
    <w:multiLevelType w:val="hybridMultilevel"/>
    <w:lvl w:ilvl="0">
      <w:lvlJc w:val="left"/>
      <w:lvlText w:val="%1"/>
      <w:numFmt w:val="lowerLetter"/>
      <w:start w:val="1"/>
    </w:lvl>
    <w:lvl w:ilvl="1">
      <w:lvlJc w:val="left"/>
      <w:lvlText w:val="(%2)"/>
      <w:numFmt w:val="lowerLetter"/>
      <w:start w:val="27"/>
    </w:lvl>
  </w:abstractNum>
  <w:abstractNum w:abstractNumId="196">
    <w:nsid w:val="777250E7"/>
    <w:multiLevelType w:val="hybridMultilevel"/>
    <w:lvl w:ilvl="0">
      <w:lvlJc w:val="left"/>
      <w:lvlText w:val="(%1)"/>
      <w:numFmt w:val="lowerLetter"/>
      <w:start w:val="61"/>
    </w:lvl>
    <w:lvl w:ilvl="1">
      <w:lvlJc w:val="left"/>
      <w:lvlText w:val="%2"/>
      <w:numFmt w:val="lowerLetter"/>
      <w:start w:val="1"/>
    </w:lvl>
  </w:abstractNum>
  <w:abstractNum w:abstractNumId="197">
    <w:nsid w:val="B726EDC"/>
    <w:multiLevelType w:val="hybridMultilevel"/>
    <w:lvl w:ilvl="0">
      <w:lvlJc w:val="left"/>
      <w:lvlText w:val="(%1)"/>
      <w:numFmt w:val="lowerLetter"/>
      <w:start w:val="29"/>
    </w:lvl>
  </w:abstractNum>
  <w:abstractNum w:abstractNumId="198">
    <w:nsid w:val="365EFC5A"/>
    <w:multiLevelType w:val="hybridMultilevel"/>
    <w:lvl w:ilvl="0">
      <w:lvlJc w:val="left"/>
      <w:lvlText w:val="(%1)"/>
      <w:numFmt w:val="decimal"/>
      <w:start w:val="11"/>
    </w:lvl>
  </w:abstractNum>
  <w:abstractNum w:abstractNumId="199">
    <w:nsid w:val="41A8106C"/>
    <w:multiLevelType w:val="hybridMultilevel"/>
    <w:lvl w:ilvl="0">
      <w:lvlJc w:val="left"/>
      <w:lvlText w:val="(%1)"/>
      <w:numFmt w:val="lowerLetter"/>
      <w:start w:val="40"/>
    </w:lvl>
  </w:abstractNum>
  <w:abstractNum w:abstractNumId="200">
    <w:nsid w:val="3FB97188"/>
    <w:multiLevelType w:val="hybridMultilevel"/>
    <w:lvl w:ilvl="0">
      <w:lvlJc w:val="left"/>
      <w:lvlText w:val="(%1)"/>
      <w:numFmt w:val="lowerLetter"/>
      <w:start w:val="43"/>
    </w:lvl>
  </w:abstractNum>
  <w:abstractNum w:abstractNumId="201">
    <w:nsid w:val="382EA874"/>
    <w:multiLevelType w:val="hybridMultilevel"/>
    <w:lvl w:ilvl="0">
      <w:lvlJc w:val="left"/>
      <w:lvlText w:val="%1."/>
      <w:numFmt w:val="decimal"/>
      <w:start w:val="3"/>
    </w:lvl>
  </w:abstractNum>
  <w:abstractNum w:abstractNumId="202">
    <w:nsid w:val="21856507"/>
    <w:multiLevelType w:val="hybridMultilevel"/>
    <w:lvl w:ilvl="0">
      <w:lvlJc w:val="left"/>
      <w:lvlText w:val="%1"/>
      <w:numFmt w:val="decimal"/>
      <w:start w:val="1"/>
    </w:lvl>
    <w:lvl w:ilvl="1">
      <w:lvlJc w:val="left"/>
      <w:lvlText w:val="(%2)"/>
      <w:numFmt w:val="lowerLetter"/>
      <w:start w:val="1"/>
    </w:lvl>
  </w:abstractNum>
  <w:abstractNum w:abstractNumId="203">
    <w:nsid w:val="78B6E496"/>
    <w:multiLevelType w:val="hybridMultilevel"/>
    <w:lvl w:ilvl="0">
      <w:lvlJc w:val="left"/>
      <w:lvlText w:val="%1."/>
      <w:numFmt w:val="decimal"/>
      <w:start w:val="4"/>
    </w:lvl>
    <w:lvl w:ilvl="1">
      <w:lvlJc w:val="left"/>
      <w:lvlText w:val="%2"/>
      <w:numFmt w:val="lowerLetter"/>
      <w:start w:val="1"/>
    </w:lvl>
  </w:abstractNum>
  <w:abstractNum w:abstractNumId="204">
    <w:nsid w:val="B1595B1"/>
    <w:multiLevelType w:val="hybridMultilevel"/>
    <w:lvl w:ilvl="0">
      <w:lvlJc w:val="left"/>
      <w:lvlText w:val="(%1)"/>
      <w:numFmt w:val="lowerLetter"/>
      <w:start w:val="1"/>
    </w:lvl>
  </w:abstractNum>
  <w:abstractNum w:abstractNumId="205">
    <w:nsid w:val="25670D6B"/>
    <w:multiLevelType w:val="hybridMultilevel"/>
    <w:lvl w:ilvl="0">
      <w:lvlJc w:val="left"/>
      <w:lvlText w:val="(%1)"/>
      <w:numFmt w:val="lowerLetter"/>
      <w:start w:val="9"/>
    </w:lvl>
  </w:abstractNum>
  <w:abstractNum w:abstractNumId="206">
    <w:nsid w:val="5FE6C53F"/>
    <w:multiLevelType w:val="hybridMultilevel"/>
    <w:lvl w:ilvl="0">
      <w:lvlJc w:val="left"/>
      <w:lvlText w:val="(%1)"/>
      <w:numFmt w:val="decimal"/>
      <w:start w:val="1"/>
    </w:lvl>
  </w:abstractNum>
  <w:abstractNum w:abstractNumId="207">
    <w:nsid w:val="3CAE14FE"/>
    <w:multiLevelType w:val="hybridMultilevel"/>
    <w:lvl w:ilvl="0">
      <w:lvlJc w:val="left"/>
      <w:lvlText w:val="(%1)"/>
      <w:numFmt w:val="lowerLetter"/>
      <w:start w:val="16"/>
    </w:lvl>
  </w:abstractNum>
  <w:abstractNum w:abstractNumId="208">
    <w:nsid w:val="6E27B56B"/>
    <w:multiLevelType w:val="hybridMultilevel"/>
    <w:lvl w:ilvl="0">
      <w:lvlJc w:val="left"/>
      <w:lvlText w:val="%1."/>
      <w:numFmt w:val="decimal"/>
      <w:start w:val="5"/>
    </w:lvl>
  </w:abstractNum>
  <w:abstractNum w:abstractNumId="209">
    <w:nsid w:val="66FE7765"/>
    <w:multiLevelType w:val="hybridMultilevel"/>
    <w:lvl w:ilvl="0">
      <w:lvlJc w:val="left"/>
      <w:lvlText w:val="%1."/>
      <w:numFmt w:val="decimal"/>
      <w:start w:val="6"/>
    </w:lvl>
  </w:abstractNum>
  <w:abstractNum w:abstractNumId="210">
    <w:nsid w:val="41123F79"/>
    <w:multiLevelType w:val="hybridMultilevel"/>
    <w:lvl w:ilvl="0">
      <w:lvlJc w:val="left"/>
      <w:lvlText w:val="(%1)"/>
      <w:numFmt w:val="lowerLetter"/>
      <w:start w:val="1"/>
    </w:lvl>
  </w:abstractNum>
  <w:abstractNum w:abstractNumId="211">
    <w:nsid w:val="514FBE5A"/>
    <w:multiLevelType w:val="hybridMultilevel"/>
    <w:lvl w:ilvl="0">
      <w:lvlJc w:val="left"/>
      <w:lvlText w:val="(%1)"/>
      <w:numFmt w:val="lowerLetter"/>
      <w:start w:val="3"/>
    </w:lvl>
    <w:lvl w:ilvl="1">
      <w:lvlJc w:val="left"/>
      <w:lvlText w:val="(%2)"/>
      <w:numFmt w:val="lowerRoman"/>
      <w:start w:val="1"/>
    </w:lvl>
  </w:abstractNum>
  <w:abstractNum w:abstractNumId="212">
    <w:nsid w:val="4C68ED90"/>
    <w:multiLevelType w:val="hybridMultilevel"/>
    <w:lvl w:ilvl="0">
      <w:lvlJc w:val="left"/>
      <w:lvlText w:val="%1."/>
      <w:numFmt w:val="decimal"/>
      <w:start w:val="7"/>
    </w:lvl>
  </w:abstractNum>
  <w:abstractNum w:abstractNumId="213">
    <w:nsid w:val="45BECE3C"/>
    <w:multiLevelType w:val="hybridMultilevel"/>
    <w:lvl w:ilvl="0">
      <w:lvlJc w:val="left"/>
      <w:lvlText w:val="(%1)"/>
      <w:numFmt w:val="lowerLetter"/>
      <w:start w:val="1"/>
    </w:lvl>
  </w:abstractNum>
  <w:abstractNum w:abstractNumId="214">
    <w:nsid w:val="1660D468"/>
    <w:multiLevelType w:val="hybridMultilevel"/>
    <w:lvl w:ilvl="0">
      <w:lvlJc w:val="left"/>
      <w:lvlText w:val="(%1)"/>
      <w:numFmt w:val="lowerLetter"/>
      <w:start w:val="2"/>
    </w:lvl>
  </w:abstractNum>
  <w:abstractNum w:abstractNumId="215">
    <w:nsid w:val="7690CBA1"/>
    <w:multiLevelType w:val="hybridMultilevel"/>
    <w:lvl w:ilvl="0">
      <w:lvlJc w:val="left"/>
      <w:lvlText w:val="%1"/>
      <w:numFmt w:val="decimal"/>
      <w:start w:val="1"/>
    </w:lvl>
    <w:lvl w:ilvl="1">
      <w:lvlJc w:val="left"/>
      <w:lvlText w:val="(%2)"/>
      <w:numFmt w:val="lowerLetter"/>
      <w:start w:val="9"/>
    </w:lvl>
  </w:abstractNum>
  <w:abstractNum w:abstractNumId="216">
    <w:nsid w:val="7CBC5FD3"/>
    <w:multiLevelType w:val="hybridMultilevel"/>
    <w:lvl w:ilvl="0">
      <w:lvlJc w:val="left"/>
      <w:lvlText w:val="%1."/>
      <w:numFmt w:val="decimal"/>
      <w:start w:val="8"/>
    </w:lvl>
    <w:lvl w:ilvl="1">
      <w:lvlJc w:val="left"/>
      <w:lvlText w:val="(%2)"/>
      <w:numFmt w:val="lowerLetter"/>
      <w:start w:val="1"/>
    </w:lvl>
  </w:abstractNum>
  <w:abstractNum w:abstractNumId="217">
    <w:nsid w:val="19076430"/>
    <w:multiLevelType w:val="hybridMultilevel"/>
    <w:lvl w:ilvl="0">
      <w:lvlJc w:val="left"/>
      <w:lvlText w:val="(%1)"/>
      <w:numFmt w:val="lowerLetter"/>
      <w:start w:val="4"/>
    </w:lvl>
  </w:abstractNum>
  <w:abstractNum w:abstractNumId="218">
    <w:nsid w:val="2B85F5C4"/>
    <w:multiLevelType w:val="hybridMultilevel"/>
    <w:lvl w:ilvl="0">
      <w:lvlJc w:val="left"/>
      <w:lvlText w:val="(%1)"/>
      <w:numFmt w:val="lowerLetter"/>
      <w:start w:val="1"/>
    </w:lvl>
    <w:lvl w:ilvl="1">
      <w:lvlJc w:val="left"/>
      <w:lvlText w:val="(%2)"/>
      <w:numFmt w:val="lowerRoman"/>
      <w:start w:val="1"/>
    </w:lvl>
  </w:abstractNum>
  <w:abstractNum w:abstractNumId="219">
    <w:nsid w:val="44D20939"/>
    <w:multiLevelType w:val="hybridMultilevel"/>
    <w:lvl w:ilvl="0">
      <w:lvlJc w:val="left"/>
      <w:lvlText w:val="(%1)"/>
      <w:numFmt w:val="lowerLetter"/>
      <w:start w:val="6"/>
    </w:lvl>
  </w:abstractNum>
  <w:abstractNum w:abstractNumId="220">
    <w:nsid w:val="1276A960"/>
    <w:multiLevelType w:val="hybridMultilevel"/>
    <w:lvl w:ilvl="0">
      <w:lvlJc w:val="left"/>
      <w:lvlText w:val="%1"/>
      <w:numFmt w:val="decimal"/>
      <w:start w:val="1"/>
    </w:lvl>
    <w:lvl w:ilvl="1">
      <w:lvlJc w:val="left"/>
      <w:lvlText w:val="(%2)"/>
      <w:numFmt w:val="lowerLetter"/>
      <w:start w:val="1"/>
    </w:lvl>
  </w:abstractNum>
  <w:abstractNum w:abstractNumId="221">
    <w:nsid w:val="1B479698"/>
    <w:multiLevelType w:val="hybridMultilevel"/>
    <w:lvl w:ilvl="0">
      <w:lvlJc w:val="left"/>
      <w:lvlText w:val="%1."/>
      <w:numFmt w:val="decimal"/>
      <w:start w:val="9"/>
    </w:lvl>
    <w:lvl w:ilvl="1">
      <w:lvlJc w:val="left"/>
      <w:lvlText w:val="%2"/>
      <w:numFmt w:val="lowerLetter"/>
      <w:start w:val="1"/>
    </w:lvl>
  </w:abstractNum>
  <w:abstractNum w:abstractNumId="222">
    <w:nsid w:val="6572CF1B"/>
    <w:multiLevelType w:val="hybridMultilevel"/>
    <w:lvl w:ilvl="0">
      <w:lvlJc w:val="left"/>
      <w:lvlText w:val="(%1)"/>
      <w:numFmt w:val="lowerLetter"/>
      <w:start w:val="2"/>
    </w:lvl>
  </w:abstractNum>
  <w:abstractNum w:abstractNumId="223">
    <w:nsid w:val="6E4E1C1B"/>
    <w:multiLevelType w:val="hybridMultilevel"/>
    <w:lvl w:ilvl="0">
      <w:lvlJc w:val="left"/>
      <w:lvlText w:val="(%1)"/>
      <w:numFmt w:val="lowerLetter"/>
      <w:start w:val="1"/>
    </w:lvl>
  </w:abstractNum>
  <w:abstractNum w:abstractNumId="224">
    <w:nsid w:val="4E784887"/>
    <w:multiLevelType w:val="hybridMultilevel"/>
    <w:lvl w:ilvl="0">
      <w:lvlJc w:val="left"/>
      <w:lvlText w:val="%1"/>
      <w:numFmt w:val="upperLetter"/>
      <w:start w:val="1"/>
    </w:lvl>
    <w:lvl w:ilvl="1">
      <w:lvlJc w:val="left"/>
      <w:lvlText w:val="(%2)"/>
      <w:numFmt w:val="lowerLetter"/>
      <w:start w:val="4"/>
    </w:lvl>
  </w:abstractNum>
  <w:abstractNum w:abstractNumId="225">
    <w:nsid w:val="38AD4C18"/>
    <w:multiLevelType w:val="hybridMultilevel"/>
    <w:lvl w:ilvl="0">
      <w:lvlJc w:val="left"/>
      <w:lvlText w:val="(%1)"/>
      <w:numFmt w:val="upperLetter"/>
      <w:start w:val="1"/>
    </w:lvl>
    <w:lvl w:ilvl="1">
      <w:lvlJc w:val="left"/>
      <w:lvlText w:val="%2"/>
      <w:numFmt w:val="lowerLetter"/>
      <w:start w:val="1"/>
    </w:lvl>
  </w:abstractNum>
  <w:abstractNum w:abstractNumId="226">
    <w:nsid w:val="48CCEE31"/>
    <w:multiLevelType w:val="hybridMultilevel"/>
    <w:lvl w:ilvl="0">
      <w:lvlJc w:val="left"/>
      <w:lvlText w:val="%1."/>
      <w:numFmt w:val="decimal"/>
      <w:start w:val="10"/>
    </w:lvl>
  </w:abstractNum>
  <w:abstractNum w:abstractNumId="227">
    <w:nsid w:val="45EA996E"/>
    <w:multiLevelType w:val="hybridMultilevel"/>
    <w:lvl w:ilvl="0">
      <w:lvlJc w:val="left"/>
      <w:lvlText w:val="(%1)"/>
      <w:numFmt w:val="decimal"/>
      <w:start w:val="24"/>
    </w:lvl>
  </w:abstractNum>
  <w:abstractNum w:abstractNumId="228">
    <w:nsid w:val="441FBAF4"/>
    <w:multiLevelType w:val="hybridMultilevel"/>
    <w:lvl w:ilvl="0">
      <w:lvlJc w:val="left"/>
      <w:lvlText w:val="%1."/>
      <w:numFmt w:val="decimal"/>
      <w:start w:val="11"/>
    </w:lvl>
    <w:lvl w:ilvl="1">
      <w:lvlJc w:val="left"/>
      <w:lvlText w:val="(%2)"/>
      <w:numFmt w:val="lowerLetter"/>
      <w:start w:val="1"/>
    </w:lvl>
  </w:abstractNum>
  <w:abstractNum w:abstractNumId="229">
    <w:nsid w:val="7F2BEA8B"/>
    <w:multiLevelType w:val="hybridMultilevel"/>
    <w:lvl w:ilvl="0">
      <w:lvlJc w:val="left"/>
      <w:lvlText w:val="%1."/>
      <w:numFmt w:val="decimal"/>
      <w:start w:val="12"/>
    </w:lvl>
  </w:abstractNum>
  <w:abstractNum w:abstractNumId="230">
    <w:nsid w:val="792A9DB"/>
    <w:multiLevelType w:val="hybridMultilevel"/>
    <w:lvl w:ilvl="0">
      <w:lvlJc w:val="left"/>
      <w:lvlText w:val="%1."/>
      <w:numFmt w:val="decimal"/>
      <w:start w:val="13"/>
    </w:lvl>
  </w:abstractNum>
  <w:abstractNum w:abstractNumId="231">
    <w:nsid w:val="3D92C7D"/>
    <w:multiLevelType w:val="hybridMultilevel"/>
    <w:lvl w:ilvl="0">
      <w:lvlJc w:val="left"/>
      <w:lvlText w:val="%1."/>
      <w:numFmt w:val="decimal"/>
      <w:start w:val="14"/>
    </w:lvl>
  </w:abstractNum>
  <w:abstractNum w:abstractNumId="232">
    <w:nsid w:val="375A92FF"/>
    <w:multiLevelType w:val="hybridMultilevel"/>
    <w:lvl w:ilvl="0">
      <w:lvlJc w:val="left"/>
      <w:lvlText w:val="%1."/>
      <w:numFmt w:val="decimal"/>
      <w:start w:val="15"/>
    </w:lvl>
  </w:abstractNum>
  <w:abstractNum w:abstractNumId="233">
    <w:nsid w:val="29180EE2"/>
    <w:multiLevelType w:val="hybridMultilevel"/>
    <w:lvl w:ilvl="0">
      <w:lvlJc w:val="left"/>
      <w:lvlText w:val="(%1)"/>
      <w:numFmt w:val="lowerLetter"/>
      <w:start w:val="1"/>
    </w:lvl>
  </w:abstractNum>
  <w:abstractNum w:abstractNumId="234">
    <w:nsid w:val="7C901113"/>
    <w:multiLevelType w:val="hybridMultilevel"/>
    <w:lvl w:ilvl="0">
      <w:lvlJc w:val="left"/>
      <w:lvlText w:val="%1."/>
      <w:numFmt w:val="decimal"/>
      <w:start w:val="16"/>
    </w:lvl>
  </w:abstractNum>
  <w:abstractNum w:abstractNumId="235">
    <w:nsid w:val="427028B0"/>
    <w:multiLevelType w:val="hybridMultilevel"/>
    <w:lvl w:ilvl="0">
      <w:lvlJc w:val="left"/>
      <w:lvlText w:val="%1."/>
      <w:numFmt w:val="decimal"/>
      <w:start w:val="17"/>
    </w:lvl>
  </w:abstractNum>
  <w:abstractNum w:abstractNumId="236">
    <w:nsid w:val="4E7F1C4D"/>
    <w:multiLevelType w:val="hybridMultilevel"/>
    <w:lvl w:ilvl="0">
      <w:lvlJc w:val="left"/>
      <w:lvlText w:val="(%1)"/>
      <w:numFmt w:val="lowerLetter"/>
      <w:start w:val="1"/>
    </w:lvl>
  </w:abstractNum>
  <w:abstractNum w:abstractNumId="237">
    <w:nsid w:val="5C76D652"/>
    <w:multiLevelType w:val="hybridMultilevel"/>
    <w:lvl w:ilvl="0">
      <w:lvlJc w:val="left"/>
      <w:lvlText w:val="%1."/>
      <w:numFmt w:val="decimal"/>
      <w:start w:val="1"/>
    </w:lvl>
  </w:abstractNum>
  <w:abstractNum w:abstractNumId="238">
    <w:nsid w:val="7F1E3DAE"/>
    <w:multiLevelType w:val="hybridMultilevel"/>
    <w:lvl w:ilvl="0">
      <w:lvlJc w:val="left"/>
      <w:lvlText w:val="%1."/>
      <w:numFmt w:val="decimal"/>
      <w:start w:val="3"/>
    </w:lvl>
  </w:abstractNum>
  <w:abstractNum w:abstractNumId="239">
    <w:nsid w:val="3CA6D1B9"/>
    <w:multiLevelType w:val="hybridMultilevel"/>
    <w:lvl w:ilvl="0">
      <w:lvlJc w:val="left"/>
      <w:lvlText w:val="%1."/>
      <w:numFmt w:val="decimal"/>
      <w:start w:val="4"/>
    </w:lvl>
  </w:abstractNum>
  <w:abstractNum w:abstractNumId="240">
    <w:nsid w:val="43754DB7"/>
    <w:multiLevelType w:val="hybridMultilevel"/>
    <w:lvl w:ilvl="0">
      <w:lvlJc w:val="left"/>
      <w:lvlText w:val="(%1)"/>
      <w:numFmt w:val="lowerLetter"/>
      <w:start w:val="1"/>
    </w:lvl>
  </w:abstractNum>
  <w:abstractNum w:abstractNumId="241">
    <w:nsid w:val="40307D27"/>
    <w:multiLevelType w:val="hybridMultilevel"/>
    <w:lvl w:ilvl="0">
      <w:lvlJc w:val="left"/>
      <w:lvlText w:val="(%1)"/>
      <w:numFmt w:val="lowerLetter"/>
      <w:start w:val="6"/>
    </w:lvl>
  </w:abstractNum>
  <w:abstractNum w:abstractNumId="242">
    <w:nsid w:val="DF69013"/>
    <w:multiLevelType w:val="hybridMultilevel"/>
    <w:lvl w:ilvl="0">
      <w:lvlJc w:val="left"/>
      <w:lvlText w:val="(%1)"/>
      <w:numFmt w:val="decimal"/>
      <w:start w:val="1"/>
    </w:lvl>
  </w:abstractNum>
  <w:abstractNum w:abstractNumId="243">
    <w:nsid w:val="FDE3B47"/>
    <w:multiLevelType w:val="hybridMultilevel"/>
    <w:lvl w:ilvl="0">
      <w:lvlJc w:val="left"/>
      <w:lvlText w:val="(%1)"/>
      <w:numFmt w:val="lowerLetter"/>
      <w:start w:val="13"/>
    </w:lvl>
  </w:abstractNum>
  <w:abstractNum w:abstractNumId="244">
    <w:nsid w:val="5EF4B64"/>
    <w:multiLevelType w:val="hybridMultilevel"/>
    <w:lvl w:ilvl="0">
      <w:lvlJc w:val="left"/>
      <w:lvlText w:val="(%1)"/>
      <w:numFmt w:val="lowerLetter"/>
      <w:start w:val="15"/>
    </w:lvl>
  </w:abstractNum>
  <w:abstractNum w:abstractNumId="245">
    <w:nsid w:val="2457647B"/>
    <w:multiLevelType w:val="hybridMultilevel"/>
    <w:lvl w:ilvl="0">
      <w:lvlJc w:val="left"/>
      <w:lvlText w:val="%1."/>
      <w:numFmt w:val="upperLetter"/>
      <w:start w:val="2"/>
    </w:lvl>
    <w:lvl w:ilvl="1">
      <w:lvlJc w:val="left"/>
      <w:lvlText w:val="(%2)"/>
      <w:numFmt w:val="lowerRoman"/>
      <w:start w:val="1"/>
    </w:lvl>
  </w:abstractNum>
  <w:abstractNum w:abstractNumId="246">
    <w:nsid w:val="66F06E9"/>
    <w:multiLevelType w:val="hybridMultilevel"/>
    <w:lvl w:ilvl="0">
      <w:lvlJc w:val="left"/>
      <w:lvlText w:val="%1."/>
      <w:numFmt w:val="decimal"/>
      <w:start w:val="6"/>
    </w:lvl>
  </w:abstractNum>
  <w:abstractNum w:abstractNumId="247">
    <w:nsid w:val="2ABAB37"/>
    <w:multiLevelType w:val="hybridMultilevel"/>
    <w:lvl w:ilvl="0">
      <w:lvlJc w:val="left"/>
      <w:lvlText w:val="%1."/>
      <w:numFmt w:val="decimal"/>
      <w:start w:val="8"/>
    </w:lvl>
  </w:abstractNum>
  <w:abstractNum w:abstractNumId="248">
    <w:nsid w:val="3D5EC8AB"/>
    <w:multiLevelType w:val="hybridMultilevel"/>
    <w:lvl w:ilvl="0">
      <w:lvlJc w:val="left"/>
      <w:lvlText w:val="%1."/>
      <w:numFmt w:val="decimal"/>
      <w:start w:val="12"/>
    </w:lvl>
  </w:abstractNum>
  <w:abstractNum w:abstractNumId="249">
    <w:nsid w:val="31F4FCAD"/>
    <w:multiLevelType w:val="hybridMultilevel"/>
    <w:lvl w:ilvl="0">
      <w:lvlJc w:val="left"/>
      <w:lvlText w:val="%1."/>
      <w:numFmt w:val="decimal"/>
      <w:start w:val="14"/>
    </w:lvl>
  </w:abstractNum>
  <w:abstractNum w:abstractNumId="250">
    <w:nsid w:val="477DB470"/>
    <w:multiLevelType w:val="hybridMultilevel"/>
    <w:lvl w:ilvl="0">
      <w:lvlJc w:val="left"/>
      <w:lvlText w:val="%1."/>
      <w:numFmt w:val="decimal"/>
      <w:start w:val="17"/>
    </w:lvl>
  </w:abstractNum>
  <w:abstractNum w:abstractNumId="251">
    <w:nsid w:val="4FD5720B"/>
    <w:multiLevelType w:val="hybridMultilevel"/>
    <w:lvl w:ilvl="0">
      <w:lvlJc w:val="left"/>
      <w:lvlText w:val="%1."/>
      <w:numFmt w:val="decimal"/>
      <w:start w:val="21"/>
    </w:lvl>
    <w:lvl w:ilvl="1">
      <w:lvlJc w:val="left"/>
      <w:lvlText w:val="(%2)"/>
      <w:numFmt w:val="lowerLetter"/>
      <w:start w:val="1"/>
    </w:lvl>
  </w:abstractNum>
  <w:abstractNum w:abstractNumId="252">
    <w:nsid w:val="4D3C9346"/>
    <w:multiLevelType w:val="hybridMultilevel"/>
    <w:lvl w:ilvl="0">
      <w:lvlJc w:val="left"/>
      <w:lvlText w:val="%1."/>
      <w:numFmt w:val="decimal"/>
      <w:start w:val="24"/>
    </w:lvl>
    <w:lvl w:ilvl="1">
      <w:lvlJc w:val="left"/>
      <w:lvlText w:val="(%2)"/>
      <w:numFmt w:val="lowerLetter"/>
      <w:start w:val="1"/>
    </w:lvl>
  </w:abstractNum>
  <w:abstractNum w:abstractNumId="253">
    <w:nsid w:val="2CF0838B"/>
    <w:multiLevelType w:val="hybridMultilevel"/>
    <w:lvl w:ilvl="0">
      <w:lvlJc w:val="left"/>
      <w:lvlText w:val="%1"/>
      <w:numFmt w:val="decimal"/>
      <w:start w:val="1"/>
    </w:lvl>
    <w:lvl w:ilvl="1">
      <w:lvlJc w:val="left"/>
      <w:lvlText w:val="(%2)"/>
      <w:numFmt w:val="lowerLetter"/>
      <w:start w:val="2"/>
    </w:lvl>
  </w:abstractNum>
  <w:abstractNum w:abstractNumId="254">
    <w:nsid w:val="3E238E27"/>
    <w:multiLevelType w:val="hybridMultilevel"/>
    <w:lvl w:ilvl="0">
      <w:lvlJc w:val="left"/>
      <w:lvlText w:val="%1."/>
      <w:numFmt w:val="decimal"/>
      <w:start w:val="26"/>
    </w:lvl>
    <w:lvl w:ilvl="1">
      <w:lvlJc w:val="left"/>
      <w:lvlText w:val="(%2)"/>
      <w:numFmt w:val="lowerLetter"/>
      <w:start w:val="1"/>
    </w:lvl>
  </w:abstractNum>
  <w:abstractNum w:abstractNumId="255">
    <w:nsid w:val="1BB4DBCD"/>
    <w:multiLevelType w:val="hybridMultilevel"/>
    <w:lvl w:ilvl="0">
      <w:lvlJc w:val="left"/>
      <w:lvlText w:val="%1."/>
      <w:numFmt w:val="decimal"/>
      <w:start w:val="27"/>
    </w:lvl>
    <w:lvl w:ilvl="1">
      <w:lvlJc w:val="left"/>
      <w:lvlText w:val="(%2)"/>
      <w:numFmt w:val="lowerLetter"/>
      <w:start w:val="1"/>
    </w:lvl>
  </w:abstractNum>
  <w:abstractNum w:abstractNumId="256">
    <w:nsid w:val="659DCFA3"/>
    <w:multiLevelType w:val="hybridMultilevel"/>
    <w:lvl w:ilvl="0">
      <w:lvlJc w:val="left"/>
      <w:lvlText w:val="%1."/>
      <w:numFmt w:val="decimal"/>
      <w:start w:val="28"/>
    </w:lvl>
    <w:lvl w:ilvl="1">
      <w:lvlJc w:val="left"/>
      <w:lvlText w:val="(%2)"/>
      <w:numFmt w:val="lowerLetter"/>
      <w:start w:val="1"/>
    </w:lvl>
  </w:abstractNum>
  <w:abstractNum w:abstractNumId="257">
    <w:nsid w:val="6F07C58"/>
    <w:multiLevelType w:val="hybridMultilevel"/>
    <w:lvl w:ilvl="0">
      <w:lvlJc w:val="left"/>
      <w:lvlText w:val="%1."/>
      <w:numFmt w:val="decimal"/>
      <w:start w:val="30"/>
    </w:lvl>
  </w:abstractNum>
  <w:abstractNum w:abstractNumId="258">
    <w:nsid w:val="619F753B"/>
    <w:multiLevelType w:val="hybridMultilevel"/>
    <w:lvl w:ilvl="0">
      <w:lvlJc w:val="left"/>
      <w:lvlText w:val="%1."/>
      <w:numFmt w:val="decimal"/>
      <w:start w:val="32"/>
    </w:lvl>
    <w:lvl w:ilvl="1">
      <w:lvlJc w:val="left"/>
      <w:lvlText w:val="(%2)"/>
      <w:numFmt w:val="lowerLetter"/>
      <w:start w:val="1"/>
    </w:lvl>
  </w:abstractNum>
  <w:abstractNum w:abstractNumId="259">
    <w:nsid w:val="29BD8A97"/>
    <w:multiLevelType w:val="hybridMultilevel"/>
    <w:lvl w:ilvl="0">
      <w:lvlJc w:val="left"/>
      <w:lvlText w:val="%1."/>
      <w:numFmt w:val="decimal"/>
      <w:start w:val="36"/>
    </w:lvl>
  </w:abstractNum>
  <w:abstractNum w:abstractNumId="260">
    <w:nsid w:val="61C66E3"/>
    <w:multiLevelType w:val="hybridMultilevel"/>
    <w:lvl w:ilvl="0">
      <w:lvlJc w:val="left"/>
      <w:lvlText w:val="%1."/>
      <w:numFmt w:val="decimal"/>
      <w:start w:val="42"/>
    </w:lvl>
    <w:lvl w:ilvl="1">
      <w:lvlJc w:val="left"/>
      <w:lvlText w:val="(%2)"/>
      <w:numFmt w:val="lowerLetter"/>
      <w:start w:val="1"/>
    </w:lvl>
  </w:abstractNum>
  <w:abstractNum w:abstractNumId="261">
    <w:nsid w:val="69321F16"/>
    <w:multiLevelType w:val="hybridMultilevel"/>
    <w:lvl w:ilvl="0">
      <w:lvlJc w:val="left"/>
      <w:lvlText w:val="%1"/>
      <w:numFmt w:val="decimal"/>
      <w:start w:val="1"/>
    </w:lvl>
    <w:lvl w:ilvl="1">
      <w:lvlJc w:val="left"/>
      <w:lvlText w:val="(%2)"/>
      <w:numFmt w:val="lowerLetter"/>
      <w:start w:val="5"/>
    </w:lvl>
  </w:abstractNum>
  <w:abstractNum w:abstractNumId="262">
    <w:nsid w:val="2D96B714"/>
    <w:multiLevelType w:val="hybridMultilevel"/>
    <w:lvl w:ilvl="0">
      <w:lvlJc w:val="left"/>
      <w:lvlText w:val="%1."/>
      <w:numFmt w:val="decimal"/>
      <w:start w:val="45"/>
    </w:lvl>
    <w:lvl w:ilvl="1">
      <w:lvlJc w:val="left"/>
      <w:lvlText w:val="%2"/>
      <w:numFmt w:val="lowerLetter"/>
      <w:start w:val="1"/>
    </w:lvl>
  </w:abstractNum>
  <w:abstractNum w:abstractNumId="263">
    <w:nsid w:val="3D76F9E2"/>
    <w:multiLevelType w:val="hybridMultilevel"/>
    <w:lvl w:ilvl="0">
      <w:lvlJc w:val="left"/>
      <w:lvlText w:val="•"/>
      <w:numFmt w:val="bullet"/>
      <w:start w:val="1"/>
    </w:lvl>
    <w:lvl w:ilvl="1">
      <w:lvlJc w:val="left"/>
      <w:lvlText w:val="•"/>
      <w:numFmt w:val="bullet"/>
      <w:start w:val="1"/>
    </w:lvl>
  </w:abstractNum>
  <w:abstractNum w:abstractNumId="264">
    <w:nsid w:val="124A2DF8"/>
    <w:multiLevelType w:val="hybridMultilevel"/>
    <w:lvl w:ilvl="0">
      <w:lvlJc w:val="left"/>
      <w:lvlText w:val="•"/>
      <w:numFmt w:val="bullet"/>
      <w:start w:val="1"/>
    </w:lvl>
    <w:lvl w:ilvl="1">
      <w:lvlJc w:val="left"/>
      <w:lvlText w:val="•"/>
      <w:numFmt w:val="bullet"/>
      <w:start w:val="1"/>
    </w:lvl>
  </w:abstractNum>
  <w:abstractNum w:abstractNumId="265">
    <w:nsid w:val="2A26C828"/>
    <w:multiLevelType w:val="hybridMultilevel"/>
    <w:lvl w:ilvl="0">
      <w:lvlJc w:val="left"/>
      <w:lvlText w:val="%1."/>
      <w:numFmt w:val="decimal"/>
      <w:start w:val="1"/>
    </w:lvl>
  </w:abstractNum>
  <w:abstractNum w:abstractNumId="266">
    <w:nsid w:val="7FE72292"/>
    <w:multiLevelType w:val="hybridMultilevel"/>
    <w:lvl w:ilvl="0">
      <w:lvlJc w:val="left"/>
      <w:lvlText w:val="%1."/>
      <w:numFmt w:val="decimal"/>
      <w:start w:val="1"/>
    </w:lvl>
  </w:abstractNum>
  <w:abstractNum w:abstractNumId="267">
    <w:nsid w:val="60C94A46"/>
    <w:multiLevelType w:val="hybridMultilevel"/>
    <w:lvl w:ilvl="0">
      <w:lvlJc w:val="left"/>
      <w:lvlText w:val="%1."/>
      <w:numFmt w:val="decimal"/>
      <w:start w:val="4"/>
    </w:lvl>
  </w:abstractNum>
  <w:abstractNum w:abstractNumId="268">
    <w:nsid w:val="69D9E7A"/>
    <w:multiLevelType w:val="hybridMultilevel"/>
    <w:lvl w:ilvl="0">
      <w:lvlJc w:val="left"/>
      <w:lvlText w:val="%1."/>
      <w:numFmt w:val="decimal"/>
      <w:start w:val="8"/>
    </w:lvl>
  </w:abstractNum>
  <w:abstractNum w:abstractNumId="269">
    <w:nsid w:val="7F056040"/>
    <w:multiLevelType w:val="hybridMultilevel"/>
    <w:lvl w:ilvl="0">
      <w:lvlJc w:val="left"/>
      <w:lvlText w:val="%1."/>
      <w:numFmt w:val="decimal"/>
      <w:start w:val="12"/>
    </w:lvl>
  </w:abstractNum>
  <w:abstractNum w:abstractNumId="270">
    <w:nsid w:val="1D701BFF"/>
    <w:multiLevelType w:val="hybridMultilevel"/>
    <w:lvl w:ilvl="0">
      <w:lvlJc w:val="left"/>
      <w:lvlText w:val="%1."/>
      <w:numFmt w:val="decimal"/>
      <w:start w:val="15"/>
    </w:lvl>
    <w:lvl w:ilvl="1">
      <w:lvlJc w:val="left"/>
      <w:lvlText w:val="%2)"/>
      <w:numFmt w:val="lowerLetter"/>
      <w:start w:val="1"/>
    </w:lvl>
  </w:abstractNum>
  <w:abstractNum w:abstractNumId="271">
    <w:nsid w:val="4A12EC32"/>
    <w:multiLevelType w:val="hybridMultilevel"/>
    <w:lvl w:ilvl="0">
      <w:lvlJc w:val="left"/>
      <w:lvlText w:val="%1."/>
      <w:numFmt w:val="decimal"/>
      <w:start w:val="17"/>
    </w:lvl>
  </w:abstractNum>
  <w:abstractNum w:abstractNumId="272">
    <w:nsid w:val="3F35DD67"/>
    <w:multiLevelType w:val="hybridMultilevel"/>
    <w:lvl w:ilvl="0">
      <w:lvlJc w:val="left"/>
      <w:lvlText w:val="%1."/>
      <w:numFmt w:val="decimal"/>
      <w:start w:val="20"/>
    </w:lvl>
    <w:lvl w:ilvl="1">
      <w:lvlJc w:val="left"/>
      <w:lvlText w:val="(%2)"/>
      <w:numFmt w:val="lowerLetter"/>
      <w:start w:val="1"/>
    </w:lvl>
  </w:abstractNum>
  <w:abstractNum w:abstractNumId="273">
    <w:nsid w:val="2B66AC12"/>
    <w:multiLevelType w:val="hybridMultilevel"/>
    <w:lvl w:ilvl="0">
      <w:lvlJc w:val="left"/>
      <w:lvlText w:val="%1."/>
      <w:numFmt w:val="decimal"/>
      <w:start w:val="22"/>
    </w:lvl>
    <w:lvl w:ilvl="1">
      <w:lvlJc w:val="left"/>
      <w:lvlText w:val="(%2)"/>
      <w:numFmt w:val="lowerLetter"/>
      <w:start w:val="1"/>
    </w:lvl>
  </w:abstractNum>
  <w:abstractNum w:abstractNumId="274">
    <w:nsid w:val="59F12779"/>
    <w:multiLevelType w:val="hybridMultilevel"/>
    <w:lvl w:ilvl="0">
      <w:lvlJc w:val="left"/>
      <w:lvlText w:val="%1."/>
      <w:numFmt w:val="decimal"/>
      <w:start w:val="25"/>
    </w:lvl>
    <w:lvl w:ilvl="1">
      <w:lvlJc w:val="left"/>
      <w:lvlText w:val="(%2)"/>
      <w:numFmt w:val="lowerLetter"/>
      <w:start w:val="1"/>
    </w:lvl>
  </w:abstractNum>
  <w:abstractNum w:abstractNumId="275">
    <w:nsid w:val="452528CB"/>
    <w:multiLevelType w:val="hybridMultilevel"/>
    <w:lvl w:ilvl="0">
      <w:lvlJc w:val="left"/>
      <w:lvlText w:val="%1"/>
      <w:numFmt w:val="decimal"/>
      <w:start w:val="1"/>
    </w:lvl>
    <w:lvl w:ilvl="1">
      <w:lvlJc w:val="left"/>
      <w:lvlText w:val="(%2)"/>
      <w:numFmt w:val="lowerLetter"/>
      <w:start w:val="2"/>
    </w:lvl>
  </w:abstractNum>
  <w:abstractNum w:abstractNumId="276">
    <w:nsid w:val="4FBE108E"/>
    <w:multiLevelType w:val="hybridMultilevel"/>
    <w:lvl w:ilvl="0">
      <w:lvlJc w:val="left"/>
      <w:lvlText w:val="%1."/>
      <w:numFmt w:val="decimal"/>
      <w:start w:val="27"/>
    </w:lvl>
    <w:lvl w:ilvl="1">
      <w:lvlJc w:val="left"/>
      <w:lvlText w:val="(%2)"/>
      <w:numFmt w:val="lowerLetter"/>
      <w:start w:val="1"/>
    </w:lvl>
  </w:abstractNum>
  <w:abstractNum w:abstractNumId="277">
    <w:nsid w:val="60602E62"/>
    <w:multiLevelType w:val="hybridMultilevel"/>
    <w:lvl w:ilvl="0">
      <w:lvlJc w:val="left"/>
      <w:lvlText w:val="%1."/>
      <w:numFmt w:val="decimal"/>
      <w:start w:val="29"/>
    </w:lvl>
  </w:abstractNum>
  <w:abstractNum w:abstractNumId="278">
    <w:nsid w:val="47D0D402"/>
    <w:multiLevelType w:val="hybridMultilevel"/>
    <w:lvl w:ilvl="0">
      <w:lvlJc w:val="left"/>
      <w:lvlText w:val="%1."/>
      <w:numFmt w:val="decimal"/>
      <w:start w:val="31"/>
    </w:lvl>
    <w:lvl w:ilvl="1">
      <w:lvlJc w:val="left"/>
      <w:lvlText w:val="(%2)"/>
      <w:numFmt w:val="lowerLetter"/>
      <w:start w:val="1"/>
    </w:lvl>
  </w:abstractNum>
  <w:abstractNum w:abstractNumId="279">
    <w:nsid w:val="D1CD939"/>
    <w:multiLevelType w:val="hybridMultilevel"/>
    <w:lvl w:ilvl="0">
      <w:lvlJc w:val="left"/>
      <w:lvlText w:val="%1"/>
      <w:numFmt w:val="decimal"/>
      <w:start w:val="1"/>
    </w:lvl>
    <w:lvl w:ilvl="1">
      <w:lvlJc w:val="left"/>
      <w:lvlText w:val="(%2)"/>
      <w:numFmt w:val="lowerLetter"/>
      <w:start w:val="6"/>
    </w:lvl>
  </w:abstractNum>
  <w:abstractNum w:abstractNumId="280">
    <w:nsid w:val="12552B10"/>
    <w:multiLevelType w:val="hybridMultilevel"/>
    <w:lvl w:ilvl="0">
      <w:lvlJc w:val="left"/>
      <w:lvlText w:val="%1."/>
      <w:numFmt w:val="decimal"/>
      <w:start w:val="32"/>
    </w:lvl>
    <w:lvl w:ilvl="1">
      <w:lvlJc w:val="left"/>
      <w:lvlText w:val="%2"/>
      <w:numFmt w:val="lowerLetter"/>
      <w:start w:val="1"/>
    </w:lvl>
  </w:abstractNum>
  <w:abstractNum w:abstractNumId="281">
    <w:nsid w:val="F4E8872"/>
    <w:multiLevelType w:val="hybridMultilevel"/>
    <w:lvl w:ilvl="0">
      <w:lvlJc w:val="left"/>
      <w:lvlText w:val="%1."/>
      <w:numFmt w:val="decimal"/>
      <w:start w:val="40"/>
    </w:lvl>
  </w:abstractNum>
  <w:abstractNum w:abstractNumId="282">
    <w:nsid w:val="5CF24B45"/>
    <w:multiLevelType w:val="hybridMultilevel"/>
    <w:lvl w:ilvl="0">
      <w:lvlJc w:val="left"/>
      <w:lvlText w:val="%1."/>
      <w:numFmt w:val="decimal"/>
      <w:start w:val="1"/>
    </w:lvl>
  </w:abstractNum>
  <w:abstractNum w:abstractNumId="283">
    <w:nsid w:val="5F91BE56"/>
    <w:multiLevelType w:val="hybridMultilevel"/>
    <w:lvl w:ilvl="0">
      <w:lvlJc w:val="left"/>
      <w:lvlText w:val="%1."/>
      <w:numFmt w:val="decimal"/>
      <w:start w:val="1"/>
    </w:lvl>
    <w:lvl w:ilvl="1">
      <w:lvlJc w:val="left"/>
      <w:lvlText w:val="(%2)"/>
      <w:numFmt w:val="lowerLetter"/>
      <w:start w:val="1"/>
    </w:lvl>
  </w:abstractNum>
  <w:abstractNum w:abstractNumId="284">
    <w:nsid w:val="3C3F0BFD"/>
    <w:multiLevelType w:val="hybridMultilevel"/>
    <w:lvl w:ilvl="0">
      <w:lvlJc w:val="left"/>
      <w:lvlText w:val="(%1)"/>
      <w:numFmt w:val="lowerLetter"/>
      <w:start w:val="1"/>
    </w:lvl>
    <w:lvl w:ilvl="1">
      <w:lvlJc w:val="left"/>
      <w:lvlText w:val="(%2)"/>
      <w:numFmt w:val="lowerLetter"/>
      <w:start w:val="9"/>
    </w:lvl>
  </w:abstractNum>
  <w:abstractNum w:abstractNumId="285">
    <w:nsid w:val="1B15D96C"/>
    <w:multiLevelType w:val="hybridMultilevel"/>
    <w:lvl w:ilvl="0">
      <w:lvlJc w:val="left"/>
      <w:lvlText w:val="(%1)"/>
      <w:numFmt w:val="lowerRoman"/>
      <w:start w:val="2"/>
    </w:lvl>
  </w:abstractNum>
  <w:abstractNum w:abstractNumId="286">
    <w:nsid w:val="7B469A23"/>
    <w:multiLevelType w:val="hybridMultilevel"/>
    <w:lvl w:ilvl="0">
      <w:lvlJc w:val="left"/>
      <w:lvlText w:val="(%1)"/>
      <w:numFmt w:val="decimal"/>
      <w:start w:val="30"/>
    </w:lvl>
    <w:lvl w:ilvl="1">
      <w:lvlJc w:val="left"/>
      <w:lvlText w:val="%2."/>
      <w:numFmt w:val="decimal"/>
      <w:start w:val="3"/>
    </w:lvl>
    <w:lvl w:ilvl="2">
      <w:lvlJc w:val="left"/>
      <w:lvlText w:val="(%3)"/>
      <w:numFmt w:val="lowerLetter"/>
      <w:start w:val="1"/>
    </w:lvl>
    <w:lvl w:ilvl="3">
      <w:lvlJc w:val="left"/>
      <w:lvlText w:val="(%4)"/>
      <w:numFmt w:val="lowerLetter"/>
      <w:start w:val="61"/>
    </w:lvl>
  </w:abstractNum>
  <w:abstractNum w:abstractNumId="287">
    <w:nsid w:val="21DCDBA0"/>
    <w:multiLevelType w:val="hybridMultilevel"/>
    <w:lvl w:ilvl="0">
      <w:lvlJc w:val="left"/>
      <w:lvlText w:val="%1."/>
      <w:numFmt w:val="decimal"/>
      <w:start w:val="5"/>
    </w:lvl>
    <w:lvl w:ilvl="1">
      <w:lvlJc w:val="left"/>
      <w:lvlText w:val="(%2)"/>
      <w:numFmt w:val="lowerLetter"/>
      <w:start w:val="1"/>
    </w:lvl>
  </w:abstractNum>
  <w:abstractNum w:abstractNumId="288">
    <w:nsid w:val="220655C4"/>
    <w:multiLevelType w:val="hybridMultilevel"/>
    <w:lvl w:ilvl="0">
      <w:lvlJc w:val="left"/>
      <w:lvlText w:val="(%1)"/>
      <w:numFmt w:val="lowerLetter"/>
      <w:start w:val="2"/>
    </w:lvl>
  </w:abstractNum>
  <w:abstractNum w:abstractNumId="289">
    <w:nsid w:val="5CE60F5E"/>
    <w:multiLevelType w:val="hybridMultilevel"/>
    <w:lvl w:ilvl="0">
      <w:lvlJc w:val="left"/>
      <w:lvlText w:val="%1"/>
      <w:numFmt w:val="decimal"/>
      <w:start w:val="1"/>
    </w:lvl>
    <w:lvl w:ilvl="1">
      <w:lvlJc w:val="left"/>
      <w:lvlText w:val="(%2)"/>
      <w:numFmt w:val="lowerLetter"/>
      <w:start w:val="4"/>
    </w:lvl>
  </w:abstractNum>
  <w:abstractNum w:abstractNumId="290">
    <w:nsid w:val="4B9A6638"/>
    <w:multiLevelType w:val="hybridMultilevel"/>
    <w:lvl w:ilvl="0">
      <w:lvlJc w:val="left"/>
      <w:lvlText w:val="%1."/>
      <w:numFmt w:val="decimal"/>
      <w:start w:val="6"/>
    </w:lvl>
    <w:lvl w:ilvl="1">
      <w:lvlJc w:val="left"/>
      <w:lvlText w:val="%2"/>
      <w:numFmt w:val="lowerLetter"/>
      <w:start w:val="1"/>
    </w:lvl>
  </w:abstractNum>
  <w:abstractNum w:abstractNumId="291">
    <w:nsid w:val="2822BCA7"/>
    <w:multiLevelType w:val="hybridMultilevel"/>
    <w:lvl w:ilvl="0">
      <w:lvlJc w:val="left"/>
      <w:lvlText w:val="%1."/>
      <w:numFmt w:val="decimal"/>
      <w:start w:val="9"/>
    </w:lvl>
    <w:lvl w:ilvl="1">
      <w:lvlJc w:val="left"/>
      <w:lvlText w:val="(%2)"/>
      <w:numFmt w:val="lowerLetter"/>
      <w:start w:val="1"/>
    </w:lvl>
  </w:abstractNum>
  <w:abstractNum w:abstractNumId="292">
    <w:nsid w:val="46182E75"/>
    <w:multiLevelType w:val="hybridMultilevel"/>
    <w:lvl w:ilvl="0">
      <w:lvlJc w:val="left"/>
      <w:lvlText w:val="%1"/>
      <w:numFmt w:val="decimal"/>
      <w:start w:val="1"/>
    </w:lvl>
    <w:lvl w:ilvl="1">
      <w:lvlJc w:val="left"/>
      <w:lvlText w:val="(%2)"/>
      <w:numFmt w:val="lowerLetter"/>
      <w:start w:val="3"/>
    </w:lvl>
  </w:abstractNum>
  <w:abstractNum w:abstractNumId="293">
    <w:nsid w:val="79311D4C"/>
    <w:multiLevelType w:val="hybridMultilevel"/>
    <w:lvl w:ilvl="0">
      <w:lvlJc w:val="left"/>
      <w:lvlText w:val="%1."/>
      <w:numFmt w:val="decimal"/>
      <w:start w:val="10"/>
    </w:lvl>
    <w:lvl w:ilvl="1">
      <w:lvlJc w:val="left"/>
      <w:lvlText w:val="(%2)"/>
      <w:numFmt w:val="lowerLetter"/>
      <w:start w:val="1"/>
    </w:lvl>
  </w:abstractNum>
  <w:abstractNum w:abstractNumId="294">
    <w:nsid w:val="6599B689"/>
    <w:multiLevelType w:val="hybridMultilevel"/>
    <w:lvl w:ilvl="0">
      <w:lvlJc w:val="left"/>
      <w:lvlText w:val="%1."/>
      <w:numFmt w:val="decimal"/>
      <w:start w:val="14"/>
    </w:lvl>
  </w:abstractNum>
  <w:abstractNum w:abstractNumId="295">
    <w:nsid w:val="58625C6D"/>
    <w:multiLevelType w:val="hybridMultilevel"/>
    <w:lvl w:ilvl="0">
      <w:lvlJc w:val="left"/>
      <w:lvlText w:val="%1."/>
      <w:numFmt w:val="decimal"/>
      <w:start w:val="18"/>
    </w:lvl>
  </w:abstractNum>
  <w:abstractNum w:abstractNumId="296">
    <w:nsid w:val="2357E574"/>
    <w:multiLevelType w:val="hybridMultilevel"/>
    <w:lvl w:ilvl="0">
      <w:lvlJc w:val="left"/>
      <w:lvlText w:val="%1."/>
      <w:numFmt w:val="decimal"/>
      <w:start w:val="23"/>
    </w:lvl>
  </w:abstractNum>
  <w:abstractNum w:abstractNumId="297">
    <w:nsid w:val="6580D91B"/>
    <w:multiLevelType w:val="hybridMultilevel"/>
    <w:lvl w:ilvl="0">
      <w:lvlJc w:val="left"/>
      <w:lvlText w:val="%1."/>
      <w:numFmt w:val="decimal"/>
      <w:start w:val="24"/>
    </w:lvl>
    <w:lvl w:ilvl="1">
      <w:lvlJc w:val="left"/>
      <w:lvlText w:val="(%2)"/>
      <w:numFmt w:val="lowerLetter"/>
      <w:start w:val="1"/>
    </w:lvl>
  </w:abstractNum>
  <w:abstractNum w:abstractNumId="298">
    <w:nsid w:val="392BA6B3"/>
    <w:multiLevelType w:val="hybridMultilevel"/>
    <w:lvl w:ilvl="0">
      <w:lvlJc w:val="left"/>
      <w:lvlText w:val="%1."/>
      <w:numFmt w:val="decimal"/>
      <w:start w:val="1"/>
    </w:lvl>
  </w:abstractNum>
  <w:abstractNum w:abstractNumId="299">
    <w:nsid w:val="29F583EF"/>
    <w:multiLevelType w:val="hybridMultilevel"/>
    <w:lvl w:ilvl="0">
      <w:lvlJc w:val="left"/>
      <w:lvlText w:val="(%1)"/>
      <w:numFmt w:val="lowerLetter"/>
      <w:start w:val="1"/>
    </w:lvl>
  </w:abstractNum>
  <w:abstractNum w:abstractNumId="300">
    <w:nsid w:val="6486395B"/>
    <w:multiLevelType w:val="hybridMultilevel"/>
    <w:lvl w:ilvl="0">
      <w:lvlJc w:val="left"/>
      <w:lvlText w:val="%1"/>
      <w:numFmt w:val="upperLetter"/>
      <w:start w:val="35"/>
    </w:lvl>
  </w:abstractNum>
  <w:abstractNum w:abstractNumId="301">
    <w:nsid w:val="569BC2B2"/>
    <w:multiLevelType w:val="hybridMultilevel"/>
    <w:lvl w:ilvl="0">
      <w:lvlJc w:val="left"/>
      <w:lvlText w:val="%1."/>
      <w:numFmt w:val="decimal"/>
      <w:start w:val="2"/>
    </w:lvl>
  </w:abstractNum>
  <w:abstractNum w:abstractNumId="302">
    <w:nsid w:val="74087021"/>
    <w:multiLevelType w:val="hybridMultilevel"/>
    <w:lvl w:ilvl="0">
      <w:lvlJc w:val="left"/>
      <w:lvlText w:val="%1."/>
      <w:numFmt w:val="decimal"/>
      <w:start w:val="3"/>
    </w:lvl>
  </w:abstractNum>
  <w:abstractNum w:abstractNumId="303">
    <w:nsid w:val="23BC16C2"/>
    <w:multiLevelType w:val="hybridMultilevel"/>
    <w:lvl w:ilvl="0">
      <w:lvlJc w:val="left"/>
      <w:lvlText w:val="(%1)"/>
      <w:numFmt w:val="lowerLetter"/>
      <w:start w:val="1"/>
    </w:lvl>
  </w:abstractNum>
  <w:abstractNum w:abstractNumId="304">
    <w:nsid w:val="2026EC5"/>
    <w:multiLevelType w:val="hybridMultilevel"/>
    <w:lvl w:ilvl="0">
      <w:lvlJc w:val="left"/>
      <w:lvlText w:val="%1"/>
      <w:numFmt w:val="lowerLetter"/>
      <w:start w:val="1"/>
    </w:lvl>
    <w:lvl w:ilvl="1">
      <w:lvlJc w:val="left"/>
      <w:lvlText w:val="(%2)"/>
      <w:numFmt w:val="lowerLetter"/>
      <w:start w:val="2"/>
    </w:lvl>
  </w:abstractNum>
  <w:abstractNum w:abstractNumId="305">
    <w:nsid w:val="4DF9979A"/>
    <w:multiLevelType w:val="hybridMultilevel"/>
    <w:lvl w:ilvl="0">
      <w:lvlJc w:val="left"/>
      <w:lvlText w:val="(%1)"/>
      <w:numFmt w:val="lowerLetter"/>
      <w:start w:val="9"/>
    </w:lvl>
    <w:lvl w:ilvl="1">
      <w:lvlJc w:val="left"/>
      <w:lvlText w:val="%2"/>
      <w:numFmt w:val="lowerLetter"/>
      <w:start w:val="1"/>
    </w:lvl>
  </w:abstractNum>
  <w:abstractNum w:abstractNumId="306">
    <w:nsid w:val="68E13F8E"/>
    <w:multiLevelType w:val="hybridMultilevel"/>
    <w:lvl w:ilvl="0">
      <w:lvlJc w:val="left"/>
      <w:lvlText w:val="(%1)"/>
      <w:numFmt w:val="lowerLetter"/>
      <w:start w:val="3"/>
    </w:lvl>
  </w:abstractNum>
  <w:abstractNum w:abstractNumId="307">
    <w:nsid w:val="51C07F53"/>
    <w:multiLevelType w:val="hybridMultilevel"/>
    <w:lvl w:ilvl="0">
      <w:lvlJc w:val="left"/>
      <w:lvlText w:val="%1."/>
      <w:numFmt w:val="decimal"/>
      <w:start w:val="4"/>
    </w:lvl>
  </w:abstractNum>
  <w:abstractNum w:abstractNumId="308">
    <w:nsid w:val="2E59C5FD"/>
    <w:multiLevelType w:val="hybridMultilevel"/>
    <w:lvl w:ilvl="0">
      <w:lvlJc w:val="left"/>
      <w:lvlText w:val="%1."/>
      <w:numFmt w:val="decimal"/>
      <w:start w:val="5"/>
    </w:lvl>
  </w:abstractNum>
  <w:abstractNum w:abstractNumId="309">
    <w:nsid w:val="30B21390"/>
    <w:multiLevelType w:val="hybridMultilevel"/>
    <w:lvl w:ilvl="0">
      <w:lvlJc w:val="left"/>
      <w:lvlText w:val="%1."/>
      <w:numFmt w:val="decimal"/>
      <w:start w:val="6"/>
    </w:lvl>
  </w:abstractNum>
  <w:abstractNum w:abstractNumId="310">
    <w:nsid w:val="5EDD588C"/>
    <w:multiLevelType w:val="hybridMultilevel"/>
    <w:lvl w:ilvl="0">
      <w:lvlJc w:val="left"/>
      <w:lvlText w:val="(%1)"/>
      <w:numFmt w:val="lowerLetter"/>
      <w:start w:val="1"/>
    </w:lvl>
  </w:abstractNum>
  <w:abstractNum w:abstractNumId="311">
    <w:nsid w:val="40AEF10D"/>
    <w:multiLevelType w:val="hybridMultilevel"/>
    <w:lvl w:ilvl="0">
      <w:lvlJc w:val="left"/>
      <w:lvlText w:val="%1"/>
      <w:numFmt w:val="decimal"/>
      <w:start w:val="1"/>
    </w:lvl>
    <w:lvl w:ilvl="1">
      <w:lvlJc w:val="left"/>
      <w:lvlText w:val="(%2)"/>
      <w:numFmt w:val="lowerLetter"/>
      <w:start w:val="3"/>
    </w:lvl>
  </w:abstractNum>
  <w:abstractNum w:abstractNumId="312">
    <w:nsid w:val="40009C03"/>
    <w:multiLevelType w:val="hybridMultilevel"/>
    <w:lvl w:ilvl="0">
      <w:lvlJc w:val="left"/>
      <w:lvlText w:val="(%1)"/>
      <w:numFmt w:val="decimal"/>
      <w:start w:val="180"/>
    </w:lvl>
    <w:lvl w:ilvl="1">
      <w:lvlJc w:val="left"/>
      <w:lvlText w:val="%2"/>
      <w:numFmt w:val="lowerLetter"/>
      <w:start w:val="1"/>
    </w:lvl>
  </w:abstractNum>
  <w:abstractNum w:abstractNumId="313">
    <w:nsid w:val="3BCFA3D1"/>
    <w:multiLevelType w:val="hybridMultilevel"/>
    <w:lvl w:ilvl="0">
      <w:lvlJc w:val="left"/>
      <w:lvlText w:val="%1."/>
      <w:numFmt w:val="decimal"/>
      <w:start w:val="7"/>
    </w:lvl>
  </w:abstractNum>
  <w:abstractNum w:abstractNumId="314">
    <w:nsid w:val="2040AF63"/>
    <w:multiLevelType w:val="hybridMultilevel"/>
    <w:lvl w:ilvl="0">
      <w:lvlJc w:val="left"/>
      <w:lvlText w:val="%1."/>
      <w:numFmt w:val="decimal"/>
      <w:start w:val="8"/>
    </w:lvl>
  </w:abstractNum>
  <w:abstractNum w:abstractNumId="315">
    <w:nsid w:val="7C3FA800"/>
    <w:multiLevelType w:val="hybridMultilevel"/>
    <w:lvl w:ilvl="0">
      <w:lvlJc w:val="left"/>
      <w:lvlText w:val="%1."/>
      <w:numFmt w:val="decimal"/>
      <w:start w:val="9"/>
    </w:lvl>
  </w:abstractNum>
  <w:abstractNum w:abstractNumId="316">
    <w:nsid w:val="56E57D3D"/>
    <w:multiLevelType w:val="hybridMultilevel"/>
    <w:lvl w:ilvl="0">
      <w:lvlJc w:val="left"/>
      <w:lvlText w:val="(%1)"/>
      <w:numFmt w:val="lowerLetter"/>
      <w:start w:val="1"/>
    </w:lvl>
  </w:abstractNum>
  <w:abstractNum w:abstractNumId="317">
    <w:nsid w:val="1B874986"/>
    <w:multiLevelType w:val="hybridMultilevel"/>
    <w:lvl w:ilvl="0">
      <w:lvlJc w:val="left"/>
      <w:lvlText w:val="(%1)"/>
      <w:numFmt w:val="lowerLetter"/>
      <w:start w:val="2"/>
    </w:lvl>
  </w:abstractNum>
  <w:abstractNum w:abstractNumId="318">
    <w:nsid w:val="1E1C83A1"/>
    <w:multiLevelType w:val="hybridMultilevel"/>
    <w:lvl w:ilvl="0">
      <w:lvlJc w:val="left"/>
      <w:lvlText w:val="(%1)"/>
      <w:numFmt w:val="lowerLetter"/>
      <w:start w:val="1"/>
    </w:lvl>
  </w:abstractNum>
  <w:abstractNum w:abstractNumId="319">
    <w:nsid w:val="78EBD301"/>
    <w:multiLevelType w:val="hybridMultilevel"/>
    <w:lvl w:ilvl="0">
      <w:lvlJc w:val="left"/>
      <w:lvlText w:val="%1."/>
      <w:numFmt w:val="decimal"/>
      <w:start w:val="10"/>
    </w:lvl>
  </w:abstractNum>
  <w:abstractNum w:abstractNumId="320">
    <w:nsid w:val="786D58E4"/>
    <w:multiLevelType w:val="hybridMultilevel"/>
    <w:lvl w:ilvl="0">
      <w:lvlJc w:val="left"/>
      <w:lvlText w:val="%1."/>
      <w:numFmt w:val="decimal"/>
      <w:start w:val="11"/>
    </w:lvl>
  </w:abstractNum>
  <w:abstractNum w:abstractNumId="321">
    <w:nsid w:val="69B6E9D9"/>
    <w:multiLevelType w:val="hybridMultilevel"/>
    <w:lvl w:ilvl="0">
      <w:lvlJc w:val="left"/>
      <w:lvlText w:val="%1."/>
      <w:numFmt w:val="decimal"/>
      <w:start w:val="12"/>
    </w:lvl>
  </w:abstractNum>
  <w:abstractNum w:abstractNumId="322">
    <w:nsid w:val="210E8FA8"/>
    <w:multiLevelType w:val="hybridMultilevel"/>
    <w:lvl w:ilvl="0">
      <w:lvlJc w:val="left"/>
      <w:lvlText w:val="(%1)"/>
      <w:numFmt w:val="lowerLetter"/>
      <w:start w:val="1"/>
    </w:lvl>
  </w:abstractNum>
  <w:abstractNum w:abstractNumId="323">
    <w:nsid w:val="3E858759"/>
    <w:multiLevelType w:val="hybridMultilevel"/>
    <w:lvl w:ilvl="0">
      <w:lvlJc w:val="left"/>
      <w:lvlText w:val="(%1)"/>
      <w:numFmt w:val="lowerLetter"/>
      <w:start w:val="1"/>
    </w:lvl>
  </w:abstractNum>
  <w:abstractNum w:abstractNumId="324">
    <w:nsid w:val="62E80725"/>
    <w:multiLevelType w:val="hybridMultilevel"/>
    <w:lvl w:ilvl="0">
      <w:lvlJc w:val="left"/>
      <w:lvlText w:val="(%1)"/>
      <w:numFmt w:val="lowerLetter"/>
      <w:start w:val="2"/>
    </w:lvl>
  </w:abstractNum>
  <w:abstractNum w:abstractNumId="325">
    <w:nsid w:val="6A84631"/>
    <w:multiLevelType w:val="hybridMultilevel"/>
    <w:lvl w:ilvl="0">
      <w:lvlJc w:val="left"/>
      <w:lvlText w:val="%1."/>
      <w:numFmt w:val="decimal"/>
      <w:start w:val="13"/>
    </w:lvl>
  </w:abstractNum>
  <w:abstractNum w:abstractNumId="326">
    <w:nsid w:val="16E7E3C7"/>
    <w:multiLevelType w:val="hybridMultilevel"/>
    <w:lvl w:ilvl="0">
      <w:lvlJc w:val="left"/>
      <w:lvlText w:val="(%1)"/>
      <w:numFmt w:val="lowerRoman"/>
      <w:start w:val="2"/>
    </w:lvl>
  </w:abstractNum>
  <w:abstractNum w:abstractNumId="327">
    <w:nsid w:val="63FEC9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28">
    <w:nsid w:val="6C291F4C"/>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329">
    <w:nsid w:val="50138A7A"/>
    <w:multiLevelType w:val="hybridMultilevel"/>
    <w:lvl w:ilvl="0">
      <w:lvlJc w:val="left"/>
      <w:lvlText w:val="(%1)"/>
      <w:numFmt w:val="lowerRoman"/>
      <w:start w:val="2"/>
    </w:lvl>
    <w:lvl w:ilvl="1">
      <w:lvlJc w:val="left"/>
      <w:lvlText w:val="(%2)"/>
      <w:numFmt w:val="upperLetter"/>
      <w:start w:val="1"/>
    </w:lvl>
  </w:abstractNum>
  <w:abstractNum w:abstractNumId="330">
    <w:nsid w:val="30357089"/>
    <w:multiLevelType w:val="hybridMultilevel"/>
    <w:lvl w:ilvl="0">
      <w:lvlJc w:val="left"/>
      <w:lvlText w:val="%1"/>
      <w:numFmt w:val="lowerRoman"/>
      <w:start w:val="1"/>
    </w:lvl>
    <w:lvl w:ilvl="1">
      <w:lvlJc w:val="left"/>
      <w:lvlText w:val="(%2)"/>
      <w:numFmt w:val="upperLetter"/>
      <w:start w:val="7"/>
    </w:lvl>
  </w:abstractNum>
  <w:abstractNum w:abstractNumId="331">
    <w:nsid w:val="50AF58A7"/>
    <w:multiLevelType w:val="hybridMultilevel"/>
    <w:lvl w:ilvl="0">
      <w:lvlJc w:val="left"/>
      <w:lvlText w:val="(%1)"/>
      <w:numFmt w:val="lowerRoman"/>
      <w:start w:val="6"/>
    </w:lvl>
    <w:lvl w:ilvl="1">
      <w:lvlJc w:val="left"/>
      <w:lvlText w:val="(%2)"/>
      <w:numFmt w:val="upperLetter"/>
      <w:start w:val="1"/>
    </w:lvl>
  </w:abstractNum>
  <w:abstractNum w:abstractNumId="332">
    <w:nsid w:val="26AF4D2D"/>
    <w:multiLevelType w:val="hybridMultilevel"/>
    <w:lvl w:ilvl="0">
      <w:lvlJc w:val="left"/>
      <w:lvlText w:val="%1"/>
      <w:numFmt w:val="lowerLetter"/>
      <w:start w:val="1"/>
    </w:lvl>
    <w:lvl w:ilvl="1">
      <w:lvlJc w:val="left"/>
      <w:lvlText w:val="(%2)"/>
      <w:numFmt w:val="lowerRoman"/>
      <w:start w:val="10"/>
    </w:lvl>
  </w:abstractNum>
  <w:abstractNum w:abstractNumId="333">
    <w:nsid w:val="243DE0AA"/>
    <w:multiLevelType w:val="hybridMultilevel"/>
    <w:lvl w:ilvl="0">
      <w:lvlJc w:val="left"/>
      <w:lvlText w:val="(%1)"/>
      <w:numFmt w:val="lowerLetter"/>
      <w:start w:val="3"/>
    </w:lvl>
    <w:lvl w:ilvl="1">
      <w:lvlJc w:val="left"/>
      <w:lvlText w:val="%2"/>
      <w:numFmt w:val="lowerRoman"/>
      <w:start w:val="1"/>
    </w:lvl>
  </w:abstractNum>
  <w:abstractNum w:abstractNumId="334">
    <w:nsid w:val="746B6F6A"/>
    <w:multiLevelType w:val="hybridMultilevel"/>
    <w:lvl w:ilvl="0">
      <w:lvlJc w:val="left"/>
      <w:lvlText w:val="%1."/>
      <w:numFmt w:val="decimal"/>
      <w:start w:val="14"/>
    </w:lvl>
  </w:abstractNum>
  <w:abstractNum w:abstractNumId="335">
    <w:nsid w:val="28B1BBF2"/>
    <w:multiLevelType w:val="hybridMultilevel"/>
    <w:lvl w:ilvl="0">
      <w:lvlJc w:val="left"/>
      <w:lvlText w:val="(%1)"/>
      <w:numFmt w:val="lowerLetter"/>
      <w:start w:val="1"/>
    </w:lvl>
  </w:abstractNum>
  <w:abstractNum w:abstractNumId="336">
    <w:nsid w:val="72377844"/>
    <w:multiLevelType w:val="hybridMultilevel"/>
    <w:lvl w:ilvl="0">
      <w:lvlJc w:val="left"/>
      <w:lvlText w:val="(%1)"/>
      <w:numFmt w:val="lowerLetter"/>
      <w:start w:val="2"/>
    </w:lvl>
  </w:abstractNum>
  <w:abstractNum w:abstractNumId="337">
    <w:nsid w:val="5D4CAEF8"/>
    <w:multiLevelType w:val="hybridMultilevel"/>
    <w:lvl w:ilvl="0">
      <w:lvlJc w:val="left"/>
      <w:lvlText w:val="(%1)"/>
      <w:numFmt w:val="lowerLetter"/>
      <w:start w:val="1"/>
    </w:lvl>
  </w:abstractNum>
  <w:abstractNum w:abstractNumId="338">
    <w:nsid w:val="7A723B45"/>
    <w:multiLevelType w:val="hybridMultilevel"/>
    <w:lvl w:ilvl="0">
      <w:lvlJc w:val="left"/>
      <w:lvlText w:val="(%1)"/>
      <w:numFmt w:val="lowerLetter"/>
      <w:start w:val="2"/>
    </w:lvl>
  </w:abstractNum>
  <w:abstractNum w:abstractNumId="339">
    <w:nsid w:val="20913E41"/>
    <w:multiLevelType w:val="hybridMultilevel"/>
    <w:lvl w:ilvl="0">
      <w:lvlJc w:val="left"/>
      <w:lvlText w:val="%1."/>
      <w:numFmt w:val="decimal"/>
      <w:start w:val="15"/>
    </w:lvl>
  </w:abstractNum>
  <w:abstractNum w:abstractNumId="340">
    <w:nsid w:val="DFEC288"/>
    <w:multiLevelType w:val="hybridMultilevel"/>
    <w:lvl w:ilvl="0">
      <w:lvlJc w:val="left"/>
      <w:lvlText w:val="%1."/>
      <w:numFmt w:val="decimal"/>
      <w:start w:val="16"/>
    </w:lvl>
  </w:abstractNum>
  <w:abstractNum w:abstractNumId="341">
    <w:nsid w:val="594F93D1"/>
    <w:multiLevelType w:val="hybridMultilevel"/>
    <w:lvl w:ilvl="0">
      <w:lvlJc w:val="left"/>
      <w:lvlText w:val="%1."/>
      <w:numFmt w:val="decimal"/>
      <w:start w:val="17"/>
    </w:lvl>
  </w:abstractNum>
  <w:abstractNum w:abstractNumId="342">
    <w:nsid w:val="61402F4E"/>
    <w:multiLevelType w:val="hybridMultilevel"/>
    <w:lvl w:ilvl="0">
      <w:lvlJc w:val="left"/>
      <w:lvlText w:val="(%1)"/>
      <w:numFmt w:val="lowerLetter"/>
      <w:start w:val="1"/>
    </w:lvl>
  </w:abstractNum>
  <w:abstractNum w:abstractNumId="343">
    <w:nsid w:val="4DFF5E8B"/>
    <w:multiLevelType w:val="hybridMultilevel"/>
    <w:lvl w:ilvl="0">
      <w:lvlJc w:val="left"/>
      <w:lvlText w:val="(%1)"/>
      <w:numFmt w:val="lowerLetter"/>
      <w:start w:val="2"/>
    </w:lvl>
    <w:lvl w:ilvl="1">
      <w:lvlJc w:val="left"/>
      <w:lvlText w:val="(%2)"/>
      <w:numFmt w:val="lowerRoman"/>
      <w:start w:val="1"/>
    </w:lvl>
  </w:abstractNum>
  <w:abstractNum w:abstractNumId="344">
    <w:nsid w:val="151F37A3"/>
    <w:multiLevelType w:val="hybridMultilevel"/>
    <w:lvl w:ilvl="0">
      <w:lvlJc w:val="left"/>
      <w:lvlText w:val="(%1)"/>
      <w:numFmt w:val="lowerLetter"/>
      <w:start w:val="1"/>
    </w:lvl>
    <w:lvl w:ilvl="1">
      <w:lvlJc w:val="left"/>
      <w:lvlText w:val="(%2)"/>
      <w:numFmt w:val="lowerRoman"/>
      <w:start w:val="1"/>
    </w:lvl>
  </w:abstractNum>
  <w:abstractNum w:abstractNumId="345">
    <w:nsid w:val="180DEB1"/>
    <w:multiLevelType w:val="hybridMultilevel"/>
    <w:lvl w:ilvl="0">
      <w:lvlJc w:val="left"/>
      <w:lvlText w:val="%1."/>
      <w:numFmt w:val="decimal"/>
      <w:start w:val="18"/>
    </w:lvl>
  </w:abstractNum>
  <w:abstractNum w:abstractNumId="346">
    <w:nsid w:val="4A3F068C"/>
    <w:multiLevelType w:val="hybridMultilevel"/>
    <w:lvl w:ilvl="0">
      <w:lvlJc w:val="left"/>
      <w:lvlText w:val="%1"/>
      <w:numFmt w:val="lowerLetter"/>
      <w:start w:val="1"/>
    </w:lvl>
    <w:lvl w:ilvl="1">
      <w:lvlJc w:val="left"/>
      <w:lvlText w:val="(%2)"/>
      <w:numFmt w:val="lowerLetter"/>
      <w:start w:val="1"/>
    </w:lvl>
  </w:abstractNum>
  <w:abstractNum w:abstractNumId="347">
    <w:nsid w:val="6C04B4E0"/>
    <w:multiLevelType w:val="hybridMultilevel"/>
    <w:lvl w:ilvl="0">
      <w:lvlJc w:val="left"/>
      <w:lvlText w:val="(%1)"/>
      <w:numFmt w:val="lowerLetter"/>
      <w:start w:val="1"/>
    </w:lvl>
    <w:lvl w:ilvl="1">
      <w:lvlJc w:val="left"/>
      <w:lvlText w:val="(%2)"/>
      <w:numFmt w:val="lowerLetter"/>
      <w:start w:val="2"/>
    </w:lvl>
  </w:abstractNum>
  <w:abstractNum w:abstractNumId="348">
    <w:nsid w:val="1D082837"/>
    <w:multiLevelType w:val="hybridMultilevel"/>
    <w:lvl w:ilvl="0">
      <w:lvlJc w:val="left"/>
      <w:lvlText w:val="(%1)"/>
      <w:numFmt w:val="lowerLetter"/>
      <w:start w:val="6"/>
    </w:lvl>
  </w:abstractNum>
  <w:abstractNum w:abstractNumId="349">
    <w:nsid w:val="685B8A2D"/>
    <w:multiLevelType w:val="hybridMultilevel"/>
    <w:lvl w:ilvl="0">
      <w:lvlJc w:val="left"/>
      <w:lvlText w:val="%1"/>
      <w:numFmt w:val="lowerLetter"/>
      <w:start w:val="1"/>
    </w:lvl>
    <w:lvl w:ilvl="1">
      <w:lvlJc w:val="left"/>
      <w:lvlText w:val="(%2)"/>
      <w:numFmt w:val="lowerLetter"/>
      <w:start w:val="1"/>
    </w:lvl>
  </w:abstractNum>
  <w:abstractNum w:abstractNumId="350">
    <w:nsid w:val="64F087E2"/>
    <w:multiLevelType w:val="hybridMultilevel"/>
    <w:lvl w:ilvl="0">
      <w:lvlJc w:val="left"/>
      <w:lvlText w:val="(%1)"/>
      <w:numFmt w:val="lowerLetter"/>
      <w:start w:val="1"/>
    </w:lvl>
    <w:lvl w:ilvl="1">
      <w:lvlJc w:val="left"/>
      <w:lvlText w:val="(%2)"/>
      <w:numFmt w:val="lowerLetter"/>
      <w:start w:val="3"/>
    </w:lvl>
  </w:abstractNum>
  <w:abstractNum w:abstractNumId="351">
    <w:nsid w:val="1575811C"/>
    <w:multiLevelType w:val="hybridMultilevel"/>
    <w:lvl w:ilvl="0">
      <w:lvlJc w:val="left"/>
      <w:lvlText w:val="%1."/>
      <w:numFmt w:val="decimal"/>
      <w:start w:val="19"/>
    </w:lvl>
  </w:abstractNum>
  <w:abstractNum w:abstractNumId="352">
    <w:nsid w:val="52127406"/>
    <w:multiLevelType w:val="hybridMultilevel"/>
    <w:lvl w:ilvl="0">
      <w:lvlJc w:val="left"/>
      <w:lvlText w:val="(%1)"/>
      <w:numFmt w:val="lowerLetter"/>
      <w:start w:val="1"/>
    </w:lvl>
    <w:lvl w:ilvl="1">
      <w:lvlJc w:val="left"/>
      <w:lvlText w:val="(%2)"/>
      <w:numFmt w:val="lowerRoman"/>
      <w:start w:val="1"/>
    </w:lvl>
  </w:abstractNum>
  <w:abstractNum w:abstractNumId="353">
    <w:nsid w:val="5FF178A"/>
    <w:multiLevelType w:val="hybridMultilevel"/>
    <w:lvl w:ilvl="0">
      <w:lvlJc w:val="left"/>
      <w:lvlText w:val="(%1)"/>
      <w:numFmt w:val="lowerRoman"/>
      <w:start w:val="4"/>
    </w:lvl>
  </w:abstractNum>
  <w:abstractNum w:abstractNumId="354">
    <w:nsid w:val="53FB0875"/>
    <w:multiLevelType w:val="hybridMultilevel"/>
    <w:lvl w:ilvl="0">
      <w:lvlJc w:val="left"/>
      <w:lvlText w:val="%1."/>
      <w:numFmt w:val="decimal"/>
      <w:start w:val="20"/>
    </w:lvl>
  </w:abstractNum>
  <w:abstractNum w:abstractNumId="355">
    <w:nsid w:val="34FA7B2B"/>
    <w:multiLevelType w:val="hybridMultilevel"/>
    <w:lvl w:ilvl="0">
      <w:lvlJc w:val="left"/>
      <w:lvlText w:val="%1."/>
      <w:numFmt w:val="decimal"/>
      <w:start w:val="21"/>
    </w:lvl>
  </w:abstractNum>
  <w:abstractNum w:abstractNumId="356">
    <w:nsid w:val="CA75DBC"/>
    <w:multiLevelType w:val="hybridMultilevel"/>
    <w:lvl w:ilvl="0">
      <w:lvlJc w:val="left"/>
      <w:lvlText w:val="%1."/>
      <w:numFmt w:val="decimal"/>
      <w:start w:val="1"/>
    </w:lvl>
    <w:lvl w:ilvl="1">
      <w:lvlJc w:val="left"/>
      <w:lvlText w:val="(%2)"/>
      <w:numFmt w:val="lowerLetter"/>
      <w:start w:val="1"/>
    </w:lvl>
  </w:abstractNum>
  <w:abstractNum w:abstractNumId="357">
    <w:nsid w:val="6AE2EC3C"/>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lvl w:ilvl="3">
      <w:lvlJc w:val="left"/>
      <w:lvlText w:val="-"/>
      <w:numFmt w:val="bullet"/>
      <w:start w:val="1"/>
    </w:lvl>
  </w:abstractNum>
  <w:abstractNum w:abstractNumId="358">
    <w:nsid w:val="3B3A67C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9">
    <w:nsid w:val="78D07D08"/>
    <w:multiLevelType w:val="hybridMultilevel"/>
    <w:lvl w:ilvl="0">
      <w:lvlJc w:val="left"/>
      <w:lvlText w:val="(%1)"/>
      <w:numFmt w:val="lowerLetter"/>
      <w:start w:val="2"/>
    </w:lvl>
    <w:lvl w:ilvl="1">
      <w:lvlJc w:val="left"/>
      <w:lvlText w:val="-"/>
      <w:numFmt w:val="bullet"/>
      <w:start w:val="1"/>
    </w:lvl>
  </w:abstractNum>
  <w:abstractNum w:abstractNumId="360">
    <w:nsid w:val="3AF676B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361">
    <w:nsid w:val="6B6FD8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62">
    <w:nsid w:val="497FD5B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63">
    <w:nsid w:val="61A5C3E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64">
    <w:nsid w:val="FADB8F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65">
    <w:nsid w:val="3DEB451A"/>
    <w:multiLevelType w:val="hybridMultilevel"/>
    <w:lvl w:ilvl="0">
      <w:lvlJc w:val="left"/>
      <w:lvlText w:val="%1"/>
      <w:numFmt w:val="decimal"/>
      <w:start w:val="1"/>
    </w:lvl>
    <w:lvl w:ilvl="1">
      <w:lvlJc w:val="left"/>
      <w:lvlText w:val="(%2)"/>
      <w:numFmt w:val="lowerLetter"/>
      <w:start w:val="6"/>
    </w:lvl>
  </w:abstractNum>
  <w:abstractNum w:abstractNumId="366">
    <w:nsid w:val="A577FD6"/>
    <w:multiLevelType w:val="hybridMultilevel"/>
    <w:lvl w:ilvl="0">
      <w:lvlJc w:val="left"/>
      <w:lvlText w:val="%1."/>
      <w:numFmt w:val="decimal"/>
      <w:start w:val="6"/>
    </w:lvl>
    <w:lvl w:ilvl="1">
      <w:lvlJc w:val="left"/>
      <w:lvlText w:val="%2"/>
      <w:numFmt w:val="lowerLetter"/>
      <w:start w:val="1"/>
    </w:lvl>
  </w:abstractNum>
  <w:abstractNum w:abstractNumId="367">
    <w:nsid w:val="1E5313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68">
    <w:nsid w:val="1B37F412"/>
    <w:multiLevelType w:val="hybridMultilevel"/>
    <w:lvl w:ilvl="0">
      <w:lvlJc w:val="left"/>
      <w:lvlText w:val="%1."/>
      <w:numFmt w:val="decimal"/>
      <w:start w:val="2"/>
    </w:lvl>
    <w:lvl w:ilvl="1">
      <w:lvlJc w:val="left"/>
      <w:lvlText w:val="%2."/>
      <w:numFmt w:val="upperLetter"/>
      <w:start w:val="1"/>
    </w:lvl>
  </w:abstractNum>
  <w:abstractNum w:abstractNumId="369">
    <w:nsid w:val="4C9BB1B"/>
    <w:multiLevelType w:val="hybridMultilevel"/>
    <w:lvl w:ilvl="0">
      <w:lvlJc w:val="left"/>
      <w:lvlText w:val="%1."/>
      <w:numFmt w:val="upperLetter"/>
      <w:start w:val="3"/>
    </w:lvl>
    <w:lvl w:ilvl="1">
      <w:lvlJc w:val="left"/>
      <w:lvlText w:val="(%2)"/>
      <w:numFmt w:val="decimal"/>
      <w:start w:val="1"/>
    </w:lvl>
  </w:abstractNum>
  <w:abstractNum w:abstractNumId="370">
    <w:nsid w:val="22766F7E"/>
    <w:multiLevelType w:val="hybridMultilevel"/>
    <w:lvl w:ilvl="0">
      <w:lvlJc w:val="left"/>
      <w:lvlText w:val="%1"/>
      <w:numFmt w:val="upperLetter"/>
      <w:start w:val="1"/>
    </w:lvl>
    <w:lvl w:ilvl="1">
      <w:lvlJc w:val="left"/>
      <w:lvlText w:val="(%2)"/>
      <w:numFmt w:val="decimal"/>
      <w:start w:val="4"/>
    </w:lvl>
  </w:abstractNum>
  <w:abstractNum w:abstractNumId="371">
    <w:nsid w:val="2936B69A"/>
    <w:multiLevelType w:val="hybridMultilevel"/>
    <w:lvl w:ilvl="0">
      <w:lvlJc w:val="left"/>
      <w:lvlText w:val="%1."/>
      <w:numFmt w:val="upperLetter"/>
      <w:start w:val="4"/>
    </w:lvl>
    <w:lvl w:ilvl="1">
      <w:lvlJc w:val="left"/>
      <w:lvlText w:val="(%2)"/>
      <w:numFmt w:val="decimal"/>
      <w:start w:val="1"/>
    </w:lvl>
  </w:abstractNum>
  <w:abstractNum w:abstractNumId="372">
    <w:nsid w:val="5E194EEC"/>
    <w:multiLevelType w:val="hybridMultilevel"/>
    <w:lvl w:ilvl="0">
      <w:lvlJc w:val="left"/>
      <w:lvlText w:val="%1."/>
      <w:numFmt w:val="upperLetter"/>
      <w:start w:val="7"/>
    </w:lvl>
  </w:abstractNum>
  <w:abstractNum w:abstractNumId="373">
    <w:nsid w:val="3B69ECD"/>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374">
    <w:nsid w:val="77361526"/>
    <w:multiLevelType w:val="hybridMultilevel"/>
    <w:lvl w:ilvl="0">
      <w:lvlJc w:val="left"/>
      <w:lvlText w:val="%1."/>
      <w:numFmt w:val="decimal"/>
      <w:start w:val="4"/>
    </w:lvl>
  </w:abstractNum>
  <w:abstractNum w:abstractNumId="375">
    <w:nsid w:val="7338868F"/>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decimal"/>
      <w:start w:val="1"/>
    </w:lvl>
  </w:abstractNum>
  <w:abstractNum w:abstractNumId="376">
    <w:nsid w:val="5377D7E"/>
    <w:multiLevelType w:val="hybridMultilevel"/>
    <w:lvl w:ilvl="0">
      <w:lvlJc w:val="left"/>
      <w:lvlText w:val="%1."/>
      <w:numFmt w:val="decimal"/>
      <w:start w:val="7"/>
    </w:lvl>
    <w:lvl w:ilvl="1">
      <w:lvlJc w:val="left"/>
      <w:lvlText w:val="%2."/>
      <w:numFmt w:val="upperLetter"/>
      <w:start w:val="1"/>
    </w:lvl>
  </w:abstractNum>
  <w:abstractNum w:abstractNumId="377">
    <w:nsid w:val="41751BB2"/>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378">
    <w:nsid w:val="5F3D3B70"/>
    <w:multiLevelType w:val="hybridMultilevel"/>
    <w:lvl w:ilvl="0">
      <w:lvlJc w:val="left"/>
      <w:lvlText w:val="%1."/>
      <w:numFmt w:val="decimal"/>
      <w:start w:val="9"/>
    </w:lvl>
    <w:lvl w:ilvl="1">
      <w:lvlJc w:val="left"/>
      <w:lvlText w:val="%2."/>
      <w:numFmt w:val="upperLetter"/>
      <w:start w:val="1"/>
    </w:lvl>
  </w:abstractNum>
  <w:abstractNum w:abstractNumId="379">
    <w:nsid w:val="223FA5B6"/>
    <w:multiLevelType w:val="hybridMultilevel"/>
    <w:lvl w:ilvl="0">
      <w:lvlJc w:val="left"/>
      <w:lvlText w:val="%1."/>
      <w:numFmt w:val="decimal"/>
      <w:start w:val="11"/>
    </w:lvl>
  </w:abstractNum>
  <w:abstractNum w:abstractNumId="380">
    <w:nsid w:val="29D0A5DF"/>
    <w:multiLevelType w:val="hybridMultilevel"/>
    <w:lvl w:ilvl="0">
      <w:lvlJc w:val="left"/>
      <w:lvlText w:val="%1."/>
      <w:numFmt w:val="decimal"/>
      <w:start w:val="14"/>
    </w:lvl>
    <w:lvl w:ilvl="1">
      <w:lvlJc w:val="left"/>
      <w:lvlText w:val="%2"/>
      <w:numFmt w:val="upperLetter"/>
      <w:start w:val="1"/>
    </w:lvl>
  </w:abstractNum>
  <w:abstractNum w:abstractNumId="381">
    <w:nsid w:val="442DC352"/>
    <w:multiLevelType w:val="hybridMultilevel"/>
    <w:lvl w:ilvl="0">
      <w:lvlJc w:val="left"/>
      <w:lvlText w:val="%1."/>
      <w:numFmt w:val="decimal"/>
      <w:start w:val="15"/>
    </w:lvl>
    <w:lvl w:ilvl="1">
      <w:lvlJc w:val="left"/>
      <w:lvlText w:val="%2."/>
      <w:numFmt w:val="upperLetter"/>
      <w:start w:val="1"/>
    </w:lvl>
    <w:lvl w:ilvl="2">
      <w:lvlJc w:val="left"/>
      <w:lvlText w:val="(%3)"/>
      <w:numFmt w:val="decimal"/>
      <w:start w:val="1"/>
    </w:lvl>
  </w:abstractNum>
  <w:abstractNum w:abstractNumId="382">
    <w:nsid w:val="37B526D2"/>
    <w:multiLevelType w:val="hybridMultilevel"/>
    <w:lvl w:ilvl="0">
      <w:lvlJc w:val="left"/>
      <w:lvlText w:val="%1."/>
      <w:numFmt w:val="decimal"/>
      <w:start w:val="16"/>
    </w:lvl>
    <w:lvl w:ilvl="1">
      <w:lvlJc w:val="left"/>
      <w:lvlText w:val="%2."/>
      <w:numFmt w:val="upperLetter"/>
      <w:start w:val="1"/>
    </w:lvl>
  </w:abstractNum>
  <w:abstractNum w:abstractNumId="383">
    <w:nsid w:val="7BE319E5"/>
    <w:multiLevelType w:val="hybridMultilevel"/>
    <w:lvl w:ilvl="0">
      <w:lvlJc w:val="left"/>
      <w:lvlText w:val="***"/>
      <w:numFmt w:val="bullet"/>
      <w:start w:val="1"/>
    </w:lvl>
  </w:abstractNum>
  <w:abstractNum w:abstractNumId="384">
    <w:nsid w:val="4A2CDADC"/>
    <w:multiLevelType w:val="hybridMultilevel"/>
    <w:lvl w:ilvl="0">
      <w:lvlJc w:val="left"/>
      <w:lvlText w:val="***"/>
      <w:numFmt w:val="bullet"/>
      <w:start w:val="1"/>
    </w:lvl>
  </w:abstractNum>
  <w:abstractNum w:abstractNumId="385">
    <w:nsid w:val="BB02F47"/>
    <w:multiLevelType w:val="hybridMultilevel"/>
    <w:lvl w:ilvl="0">
      <w:lvlJc w:val="left"/>
      <w:lvlText w:val="***"/>
      <w:numFmt w:val="bullet"/>
      <w:start w:val="1"/>
    </w:lvl>
  </w:abstractNum>
  <w:abstractNum w:abstractNumId="386">
    <w:nsid w:val="30DD9510"/>
    <w:multiLevelType w:val="hybridMultilevel"/>
    <w:lvl w:ilvl="0">
      <w:lvlJc w:val="left"/>
      <w:lvlText w:val="***"/>
      <w:numFmt w:val="bullet"/>
      <w:start w:val="1"/>
    </w:lvl>
  </w:abstractNum>
  <w:abstractNum w:abstractNumId="387">
    <w:nsid w:val="56D43898"/>
    <w:multiLevelType w:val="hybridMultilevel"/>
    <w:lvl w:ilvl="0">
      <w:lvlJc w:val="left"/>
      <w:lvlText w:val="(%1)"/>
      <w:numFmt w:val="lowerLetter"/>
      <w:start w:val="1"/>
    </w:lvl>
  </w:abstractNum>
  <w:abstractNum w:abstractNumId="388">
    <w:nsid w:val="76931B84"/>
    <w:multiLevelType w:val="hybridMultilevel"/>
    <w:lvl w:ilvl="0">
      <w:lvlJc w:val="left"/>
      <w:lvlText w:val="***"/>
      <w:numFmt w:val="bullet"/>
      <w:start w:val="1"/>
    </w:lvl>
  </w:abstractNum>
  <w:abstractNum w:abstractNumId="389">
    <w:nsid w:val="6C17FCD6"/>
    <w:multiLevelType w:val="hybridMultilevel"/>
    <w:lvl w:ilvl="0">
      <w:lvlJc w:val="left"/>
      <w:lvlText w:val="***"/>
      <w:numFmt w:val="bullet"/>
      <w:start w:val="1"/>
    </w:lvl>
  </w:abstractNum>
  <w:abstractNum w:abstractNumId="390">
    <w:nsid w:val="4FA4B5A1"/>
    <w:multiLevelType w:val="hybridMultilevel"/>
    <w:lvl w:ilvl="0">
      <w:lvlJc w:val="left"/>
      <w:lvlText w:val="***"/>
      <w:numFmt w:val="bullet"/>
      <w:start w:val="1"/>
    </w:lvl>
  </w:abstractNum>
  <w:abstractNum w:abstractNumId="391">
    <w:nsid w:val="3189923B"/>
    <w:multiLevelType w:val="hybridMultilevel"/>
    <w:lvl w:ilvl="0">
      <w:lvlJc w:val="left"/>
      <w:lvlText w:val="***"/>
      <w:numFmt w:val="bullet"/>
      <w:start w:val="1"/>
    </w:lvl>
  </w:abstractNum>
  <w:abstractNum w:abstractNumId="392">
    <w:nsid w:val="5787D524"/>
    <w:multiLevelType w:val="hybridMultilevel"/>
    <w:lvl w:ilvl="0">
      <w:lvlJc w:val="left"/>
      <w:lvlText w:val="***"/>
      <w:numFmt w:val="bullet"/>
      <w:start w:val="1"/>
    </w:lvl>
  </w:abstractNum>
  <w:abstractNum w:abstractNumId="393">
    <w:nsid w:val="19248B51"/>
    <w:multiLevelType w:val="hybridMultilevel"/>
    <w:lvl w:ilvl="0">
      <w:lvlJc w:val="left"/>
      <w:lvlText w:val="(%1)"/>
      <w:numFmt w:val="lowerLetter"/>
      <w:start w:val="1"/>
    </w:lvl>
  </w:abstractNum>
  <w:abstractNum w:abstractNumId="394">
    <w:nsid w:val="132F561F"/>
    <w:multiLevelType w:val="hybridMultilevel"/>
    <w:lvl w:ilvl="0">
      <w:lvlJc w:val="left"/>
      <w:lvlText w:val="***"/>
      <w:numFmt w:val="bullet"/>
      <w:start w:val="1"/>
    </w:lvl>
  </w:abstractNum>
  <w:abstractNum w:abstractNumId="395">
    <w:nsid w:val="67358E1D"/>
    <w:multiLevelType w:val="hybridMultilevel"/>
    <w:lvl w:ilvl="0">
      <w:lvlJc w:val="left"/>
      <w:lvlText w:val="(%1)"/>
      <w:numFmt w:val="decimal"/>
      <w:start w:val="1"/>
    </w:lvl>
  </w:abstractNum>
  <w:abstractNum w:abstractNumId="396">
    <w:nsid w:val="570FD06B"/>
    <w:multiLevelType w:val="hybridMultilevel"/>
    <w:lvl w:ilvl="0">
      <w:lvlJc w:val="left"/>
      <w:lvlText w:val="***"/>
      <w:numFmt w:val="bullet"/>
      <w:start w:val="1"/>
    </w:lvl>
  </w:abstractNum>
  <w:abstractNum w:abstractNumId="397">
    <w:nsid w:val="1D86D5F5"/>
    <w:multiLevelType w:val="hybridMultilevel"/>
    <w:lvl w:ilvl="0">
      <w:lvlJc w:val="left"/>
      <w:lvlText w:val="***"/>
      <w:numFmt w:val="bullet"/>
      <w:start w:val="1"/>
    </w:lvl>
  </w:abstractNum>
  <w:abstractNum w:abstractNumId="398">
    <w:nsid w:val="691ABF5A"/>
    <w:multiLevelType w:val="hybridMultilevel"/>
    <w:lvl w:ilvl="0">
      <w:lvlJc w:val="left"/>
      <w:lvlText w:val="***"/>
      <w:numFmt w:val="bullet"/>
      <w:start w:val="1"/>
    </w:lvl>
  </w:abstractNum>
  <w:abstractNum w:abstractNumId="399">
    <w:nsid w:val="7247C47D"/>
    <w:multiLevelType w:val="hybridMultilevel"/>
    <w:lvl w:ilvl="0">
      <w:lvlJc w:val="left"/>
      <w:lvlText w:val="***"/>
      <w:numFmt w:val="bullet"/>
      <w:start w:val="1"/>
    </w:lvl>
  </w:abstractNum>
  <w:abstractNum w:abstractNumId="400">
    <w:nsid w:val="22509110"/>
    <w:multiLevelType w:val="hybridMultilevel"/>
    <w:lvl w:ilvl="0">
      <w:lvlJc w:val="left"/>
      <w:lvlText w:val="***"/>
      <w:numFmt w:val="bullet"/>
      <w:start w:val="1"/>
    </w:lvl>
  </w:abstractNum>
  <w:abstractNum w:abstractNumId="401">
    <w:nsid w:val="B912ED8"/>
    <w:multiLevelType w:val="hybridMultilevel"/>
    <w:lvl w:ilvl="0">
      <w:lvlJc w:val="left"/>
      <w:lvlText w:val="%1"/>
      <w:numFmt w:val="lowerLetter"/>
      <w:start w:val="1"/>
    </w:lvl>
    <w:lvl w:ilvl="1">
      <w:lvlJc w:val="left"/>
      <w:lvlText w:val="(%2)"/>
      <w:numFmt w:val="lowerLetter"/>
      <w:start w:val="1"/>
    </w:lvl>
  </w:abstractNum>
  <w:abstractNum w:abstractNumId="402">
    <w:nsid w:val="1B7E7B17"/>
    <w:multiLevelType w:val="hybridMultilevel"/>
    <w:lvl w:ilvl="0">
      <w:lvlJc w:val="left"/>
      <w:lvlText w:val="(%1)"/>
      <w:numFmt w:val="lowerLetter"/>
      <w:start w:val="35"/>
    </w:lvl>
    <w:lvl w:ilvl="1">
      <w:lvlJc w:val="left"/>
      <w:lvlText w:val="%2"/>
      <w:numFmt w:val="lowerLetter"/>
      <w:start w:val="1"/>
    </w:lvl>
  </w:abstractNum>
  <w:abstractNum w:abstractNumId="403">
    <w:nsid w:val="69DFFC"/>
    <w:multiLevelType w:val="hybridMultilevel"/>
    <w:lvl w:ilvl="0">
      <w:lvlJc w:val="left"/>
      <w:lvlText w:val="***"/>
      <w:numFmt w:val="bullet"/>
      <w:start w:val="1"/>
    </w:lvl>
  </w:abstractNum>
  <w:abstractNum w:abstractNumId="404">
    <w:nsid w:val="F47CDA5"/>
    <w:multiLevelType w:val="hybridMultilevel"/>
    <w:lvl w:ilvl="0">
      <w:lvlJc w:val="left"/>
      <w:lvlText w:val="(%1)"/>
      <w:numFmt w:val="lowerLetter"/>
      <w:start w:val="1"/>
    </w:lvl>
    <w:lvl w:ilvl="1">
      <w:lvlJc w:val="left"/>
      <w:lvlText w:val="(%2)"/>
      <w:numFmt w:val="lowerRoman"/>
      <w:start w:val="1"/>
    </w:lvl>
  </w:abstractNum>
  <w:abstractNum w:abstractNumId="405">
    <w:nsid w:val="12B4903D"/>
    <w:multiLevelType w:val="hybridMultilevel"/>
    <w:lvl w:ilvl="0">
      <w:lvlJc w:val="left"/>
      <w:lvlText w:val="***"/>
      <w:numFmt w:val="bullet"/>
      <w:start w:val="1"/>
    </w:lvl>
  </w:abstractNum>
  <w:abstractNum w:abstractNumId="406">
    <w:nsid w:val="73A2668C"/>
    <w:multiLevelType w:val="hybridMultilevel"/>
    <w:lvl w:ilvl="0">
      <w:lvlJc w:val="left"/>
      <w:lvlText w:val="(%1)"/>
      <w:numFmt w:val="lowerLetter"/>
      <w:start w:val="2"/>
    </w:lvl>
  </w:abstractNum>
  <w:abstractNum w:abstractNumId="407">
    <w:nsid w:val="147F4B24"/>
    <w:multiLevelType w:val="hybridMultilevel"/>
    <w:lvl w:ilvl="0">
      <w:lvlJc w:val="left"/>
      <w:lvlText w:val="(%1)"/>
      <w:numFmt w:val="lowerRoman"/>
      <w:start w:val="2"/>
    </w:lvl>
  </w:abstractNum>
  <w:abstractNum w:abstractNumId="408">
    <w:nsid w:val="5429ABEF"/>
    <w:multiLevelType w:val="hybridMultilevel"/>
    <w:lvl w:ilvl="0">
      <w:lvlJc w:val="left"/>
      <w:lvlText w:val="(%1)"/>
      <w:numFmt w:val="lowerLetter"/>
      <w:start w:val="1"/>
    </w:lvl>
  </w:abstractNum>
  <w:abstractNum w:abstractNumId="409">
    <w:nsid w:val="52DFA1FC"/>
    <w:multiLevelType w:val="hybridMultilevel"/>
    <w:lvl w:ilvl="0">
      <w:lvlJc w:val="left"/>
      <w:lvlText w:val="***"/>
      <w:numFmt w:val="bullet"/>
      <w:start w:val="1"/>
    </w:lvl>
  </w:abstractNum>
  <w:abstractNum w:abstractNumId="410">
    <w:nsid w:val="36BEF0DA"/>
    <w:multiLevelType w:val="hybridMultilevel"/>
    <w:lvl w:ilvl="0">
      <w:lvlJc w:val="left"/>
      <w:lvlText w:val="(%1)"/>
      <w:numFmt w:val="lowerLetter"/>
      <w:start w:val="2"/>
    </w:lvl>
  </w:abstractNum>
  <w:abstractNum w:abstractNumId="411">
    <w:nsid w:val="7DFA51CE"/>
    <w:multiLevelType w:val="hybridMultilevel"/>
    <w:lvl w:ilvl="0">
      <w:lvlJc w:val="left"/>
      <w:lvlText w:val="(%1)"/>
      <w:numFmt w:val="lowerLetter"/>
      <w:start w:val="1"/>
    </w:lvl>
  </w:abstractNum>
  <w:abstractNum w:abstractNumId="412">
    <w:nsid w:val="170D654E"/>
    <w:multiLevelType w:val="hybridMultilevel"/>
    <w:lvl w:ilvl="0">
      <w:lvlJc w:val="left"/>
      <w:lvlText w:val="***"/>
      <w:numFmt w:val="bullet"/>
      <w:start w:val="1"/>
    </w:lvl>
  </w:abstractNum>
  <w:abstractNum w:abstractNumId="413">
    <w:nsid w:val="6E7417AC"/>
    <w:multiLevelType w:val="hybridMultilevel"/>
    <w:lvl w:ilvl="0">
      <w:lvlJc w:val="left"/>
      <w:lvlText w:val="***"/>
      <w:numFmt w:val="bullet"/>
      <w:start w:val="1"/>
    </w:lvl>
    <w:lvl w:ilvl="1">
      <w:lvlJc w:val="left"/>
      <w:lvlText w:val="(%2)"/>
      <w:numFmt w:val="lowerLetter"/>
      <w:start w:val="2"/>
    </w:lvl>
  </w:abstractNum>
  <w:abstractNum w:abstractNumId="414">
    <w:nsid w:val="79DD6BB3"/>
    <w:multiLevelType w:val="hybridMultilevel"/>
    <w:lvl w:ilvl="0">
      <w:lvlJc w:val="left"/>
      <w:lvlText w:val="***"/>
      <w:numFmt w:val="bullet"/>
      <w:start w:val="1"/>
    </w:lvl>
    <w:lvl w:ilvl="1">
      <w:lvlJc w:val="left"/>
      <w:lvlText w:val="(%2)"/>
      <w:numFmt w:val="lowerLetter"/>
      <w:start w:val="2"/>
    </w:lvl>
  </w:abstractNum>
  <w:abstractNum w:abstractNumId="415">
    <w:nsid w:val="613A402A"/>
    <w:multiLevelType w:val="hybridMultilevel"/>
    <w:lvl w:ilvl="0">
      <w:lvlJc w:val="left"/>
      <w:lvlText w:val="***"/>
      <w:numFmt w:val="bullet"/>
      <w:start w:val="1"/>
    </w:lvl>
  </w:abstractNum>
  <w:abstractNum w:abstractNumId="416">
    <w:nsid w:val="7A2446F3"/>
    <w:multiLevelType w:val="hybridMultilevel"/>
    <w:lvl w:ilvl="0">
      <w:lvlJc w:val="left"/>
      <w:lvlText w:val="(%1)"/>
      <w:numFmt w:val="lowerLetter"/>
      <w:start w:val="4"/>
    </w:lvl>
  </w:abstractNum>
  <w:abstractNum w:abstractNumId="417">
    <w:nsid w:val="2ABB00C4"/>
    <w:multiLevelType w:val="hybridMultilevel"/>
    <w:lvl w:ilvl="0">
      <w:lvlJc w:val="left"/>
      <w:lvlText w:val="(%1)"/>
      <w:numFmt w:val="lowerLetter"/>
      <w:start w:val="1"/>
    </w:lvl>
  </w:abstractNum>
  <w:abstractNum w:abstractNumId="418">
    <w:nsid w:val="380E78C3"/>
    <w:multiLevelType w:val="hybridMultilevel"/>
    <w:lvl w:ilvl="0">
      <w:lvlJc w:val="left"/>
      <w:lvlText w:val="***"/>
      <w:numFmt w:val="bullet"/>
      <w:start w:val="1"/>
    </w:lvl>
  </w:abstractNum>
  <w:abstractNum w:abstractNumId="419">
    <w:nsid w:val="70B76277"/>
    <w:multiLevelType w:val="hybridMultilevel"/>
    <w:lvl w:ilvl="0">
      <w:lvlJc w:val="left"/>
      <w:lvlText w:val="%1"/>
      <w:numFmt w:val="lowerLetter"/>
      <w:start w:val="1"/>
    </w:lvl>
    <w:lvl w:ilvl="1">
      <w:lvlJc w:val="left"/>
      <w:lvlText w:val="(%2)"/>
      <w:numFmt w:val="lowerLetter"/>
      <w:start w:val="1"/>
    </w:lvl>
  </w:abstractNum>
  <w:abstractNum w:abstractNumId="420">
    <w:nsid w:val="16D2FD9A"/>
    <w:multiLevelType w:val="hybridMultilevel"/>
    <w:lvl w:ilvl="0">
      <w:lvlJc w:val="left"/>
      <w:lvlText w:val="(%1)"/>
      <w:numFmt w:val="lowerLetter"/>
      <w:start w:val="35"/>
    </w:lvl>
    <w:lvl w:ilvl="1">
      <w:lvlJc w:val="left"/>
      <w:lvlText w:val="(%2)"/>
      <w:numFmt w:val="lowerLetter"/>
      <w:start w:val="3"/>
    </w:lvl>
  </w:abstractNum>
  <w:abstractNum w:abstractNumId="421">
    <w:nsid w:val="7B32E64"/>
    <w:multiLevelType w:val="hybridMultilevel"/>
    <w:lvl w:ilvl="0">
      <w:lvlJc w:val="left"/>
      <w:lvlText w:val="***"/>
      <w:numFmt w:val="bullet"/>
      <w:start w:val="1"/>
    </w:lvl>
  </w:abstractNum>
  <w:abstractNum w:abstractNumId="422">
    <w:nsid w:val="2240F4B2"/>
    <w:multiLevelType w:val="hybridMultilevel"/>
    <w:lvl w:ilvl="0">
      <w:lvlJc w:val="left"/>
      <w:lvlText w:val="(%1)"/>
      <w:numFmt w:val="lowerLetter"/>
      <w:start w:val="1"/>
    </w:lvl>
  </w:abstractNum>
  <w:abstractNum w:abstractNumId="423">
    <w:nsid w:val="6E5AD2BE"/>
    <w:multiLevelType w:val="hybridMultilevel"/>
    <w:lvl w:ilvl="0">
      <w:lvlJc w:val="left"/>
      <w:lvlText w:val="***"/>
      <w:numFmt w:val="bullet"/>
      <w:start w:val="1"/>
    </w:lvl>
  </w:abstractNum>
  <w:abstractNum w:abstractNumId="424">
    <w:nsid w:val="20D7B9B5"/>
    <w:multiLevelType w:val="hybridMultilevel"/>
    <w:lvl w:ilvl="0">
      <w:lvlJc w:val="left"/>
      <w:lvlText w:val="%1"/>
      <w:numFmt w:val="lowerLetter"/>
      <w:start w:val="1"/>
    </w:lvl>
    <w:lvl w:ilvl="1">
      <w:lvlJc w:val="left"/>
      <w:lvlText w:val="(%2)"/>
      <w:numFmt w:val="lowerLetter"/>
      <w:start w:val="4"/>
    </w:lvl>
  </w:abstractNum>
  <w:abstractNum w:abstractNumId="425">
    <w:nsid w:val="35704AD1"/>
    <w:multiLevelType w:val="hybridMultilevel"/>
    <w:lvl w:ilvl="0">
      <w:lvlJc w:val="left"/>
      <w:lvlText w:val="(%1)"/>
      <w:numFmt w:val="lowerLetter"/>
      <w:start w:val="2"/>
    </w:lvl>
    <w:lvl w:ilvl="1">
      <w:lvlJc w:val="left"/>
      <w:lvlText w:val="(%2)"/>
      <w:numFmt w:val="lowerLetter"/>
      <w:start w:val="5"/>
    </w:lvl>
  </w:abstractNum>
  <w:abstractNum w:abstractNumId="426">
    <w:nsid w:val="559060DB"/>
    <w:multiLevelType w:val="hybridMultilevel"/>
    <w:lvl w:ilvl="0">
      <w:lvlJc w:val="left"/>
      <w:lvlText w:val="(%1)"/>
      <w:numFmt w:val="lowerLetter"/>
      <w:start w:val="1"/>
    </w:lvl>
  </w:abstractNum>
  <w:abstractNum w:abstractNumId="427">
    <w:nsid w:val="77E78A20"/>
    <w:multiLevelType w:val="hybridMultilevel"/>
    <w:lvl w:ilvl="0">
      <w:lvlJc w:val="left"/>
      <w:lvlText w:val="***"/>
      <w:numFmt w:val="bullet"/>
      <w:start w:val="1"/>
    </w:lvl>
  </w:abstractNum>
  <w:abstractNum w:abstractNumId="428">
    <w:nsid w:val="52F720C6"/>
    <w:multiLevelType w:val="hybridMultilevel"/>
    <w:lvl w:ilvl="0">
      <w:lvlJc w:val="left"/>
      <w:lvlText w:val="(%1)"/>
      <w:numFmt w:val="lowerLetter"/>
      <w:start w:val="1"/>
    </w:lvl>
  </w:abstractNum>
  <w:abstractNum w:abstractNumId="429">
    <w:nsid w:val="3EAB2035"/>
    <w:multiLevelType w:val="hybridMultilevel"/>
    <w:lvl w:ilvl="0">
      <w:lvlJc w:val="left"/>
      <w:lvlText w:val="***"/>
      <w:numFmt w:val="bullet"/>
      <w:start w:val="1"/>
    </w:lvl>
  </w:abstractNum>
  <w:abstractNum w:abstractNumId="430">
    <w:nsid w:val="6A2F4E9D"/>
    <w:multiLevelType w:val="hybridMultilevel"/>
    <w:lvl w:ilvl="0">
      <w:lvlJc w:val="left"/>
      <w:lvlText w:val="(%1)"/>
      <w:numFmt w:val="lowerLetter"/>
      <w:start w:val="1"/>
    </w:lvl>
  </w:abstractNum>
  <w:abstractNum w:abstractNumId="431">
    <w:nsid w:val="7547B1D6"/>
    <w:multiLevelType w:val="hybridMultilevel"/>
    <w:lvl w:ilvl="0">
      <w:lvlJc w:val="left"/>
      <w:lvlText w:val="(%1)"/>
      <w:numFmt w:val="lowerLetter"/>
      <w:start w:val="1"/>
    </w:lvl>
  </w:abstractNum>
  <w:abstractNum w:abstractNumId="432">
    <w:nsid w:val="4A3C4F0E"/>
    <w:multiLevelType w:val="hybridMultilevel"/>
    <w:lvl w:ilvl="0">
      <w:lvlJc w:val="left"/>
      <w:lvlText w:val="***"/>
      <w:numFmt w:val="bullet"/>
      <w:start w:val="1"/>
    </w:lvl>
  </w:abstractNum>
  <w:abstractNum w:abstractNumId="433">
    <w:nsid w:val="5ADC9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34">
    <w:nsid w:val="75B191D3"/>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35">
    <w:nsid w:val="59841CB3"/>
    <w:multiLevelType w:val="hybridMultilevel"/>
    <w:lvl w:ilvl="0">
      <w:lvlJc w:val="left"/>
      <w:lvlText w:val="(%1)"/>
      <w:numFmt w:val="lowerLetter"/>
      <w:start w:val="22"/>
    </w:lvl>
    <w:lvl w:ilvl="1">
      <w:lvlJc w:val="left"/>
      <w:lvlText w:val="(%2)"/>
      <w:numFmt w:val="lowerLetter"/>
      <w:start w:val="2"/>
    </w:lvl>
    <w:lvl w:ilvl="2">
      <w:lvlJc w:val="left"/>
      <w:lvlText w:val="(%3)"/>
      <w:numFmt w:val="lowerLetter"/>
      <w:start w:val="9"/>
    </w:lvl>
  </w:abstractNum>
  <w:abstractNum w:abstractNumId="436">
    <w:nsid w:val="186259F2"/>
    <w:multiLevelType w:val="hybridMultilevel"/>
    <w:lvl w:ilvl="0">
      <w:lvlJc w:val="left"/>
      <w:lvlText w:val="***"/>
      <w:numFmt w:val="bullet"/>
      <w:start w:val="1"/>
    </w:lvl>
  </w:abstractNum>
  <w:abstractNum w:abstractNumId="437">
    <w:nsid w:val="6953F85F"/>
    <w:multiLevelType w:val="hybridMultilevel"/>
    <w:lvl w:ilvl="0">
      <w:lvlJc w:val="left"/>
      <w:lvlText w:val="%1"/>
      <w:numFmt w:val="decimal"/>
      <w:start w:val="1"/>
    </w:lvl>
    <w:lvl w:ilvl="1">
      <w:lvlJc w:val="left"/>
      <w:lvlText w:val="(%2)"/>
      <w:numFmt w:val="lowerRoman"/>
      <w:start w:val="2"/>
    </w:lvl>
  </w:abstractNum>
  <w:abstractNum w:abstractNumId="438">
    <w:nsid w:val="6E0367D7"/>
    <w:multiLevelType w:val="hybridMultilevel"/>
    <w:lvl w:ilvl="0">
      <w:lvlJc w:val="left"/>
      <w:lvlText w:val="(%1)"/>
      <w:numFmt w:val="decimal"/>
      <w:start w:val="30"/>
    </w:lvl>
    <w:lvl w:ilvl="1">
      <w:lvlJc w:val="left"/>
      <w:lvlText w:val="(%2)"/>
      <w:numFmt w:val="lowerRoman"/>
      <w:start w:val="3"/>
    </w:lvl>
  </w:abstractNum>
  <w:abstractNum w:abstractNumId="439">
    <w:nsid w:val="6C8C05E1"/>
    <w:multiLevelType w:val="hybridMultilevel"/>
    <w:lvl w:ilvl="0">
      <w:lvlJc w:val="left"/>
      <w:lvlText w:val="(%1)"/>
      <w:numFmt w:val="lowerLetter"/>
      <w:start w:val="3"/>
    </w:lvl>
    <w:lvl w:ilvl="1">
      <w:lvlJc w:val="left"/>
      <w:lvlText w:val="(%2)"/>
      <w:numFmt w:val="lowerRoman"/>
      <w:start w:val="1"/>
    </w:lvl>
  </w:abstractNum>
  <w:abstractNum w:abstractNumId="440">
    <w:nsid w:val="3C339A5B"/>
    <w:multiLevelType w:val="hybridMultilevel"/>
    <w:lvl w:ilvl="0">
      <w:lvlJc w:val="left"/>
      <w:lvlText w:val="(%1)"/>
      <w:numFmt w:val="lowerLetter"/>
      <w:start w:val="1"/>
    </w:lvl>
  </w:abstractNum>
  <w:abstractNum w:abstractNumId="441">
    <w:nsid w:val="24C258B1"/>
    <w:multiLevelType w:val="hybridMultilevel"/>
    <w:lvl w:ilvl="0">
      <w:lvlJc w:val="left"/>
      <w:lvlText w:val="***"/>
      <w:numFmt w:val="bullet"/>
      <w:start w:val="1"/>
    </w:lvl>
  </w:abstractNum>
  <w:abstractNum w:abstractNumId="442">
    <w:nsid w:val="6A8657B0"/>
    <w:multiLevelType w:val="hybridMultilevel"/>
    <w:lvl w:ilvl="0">
      <w:lvlJc w:val="left"/>
      <w:lvlText w:val="(%1)"/>
      <w:numFmt w:val="lowerLetter"/>
      <w:start w:val="2"/>
    </w:lvl>
  </w:abstractNum>
  <w:abstractNum w:abstractNumId="443">
    <w:nsid w:val="5340FFA9"/>
    <w:multiLevelType w:val="hybridMultilevel"/>
    <w:lvl w:ilvl="0">
      <w:lvlJc w:val="left"/>
      <w:lvlText w:val="(%1)"/>
      <w:numFmt w:val="lowerLetter"/>
      <w:start w:val="1"/>
    </w:lvl>
  </w:abstractNum>
  <w:abstractNum w:abstractNumId="444">
    <w:nsid w:val="1336705D"/>
    <w:multiLevelType w:val="hybridMultilevel"/>
    <w:lvl w:ilvl="0">
      <w:lvlJc w:val="left"/>
      <w:lvlText w:val="***"/>
      <w:numFmt w:val="bullet"/>
      <w:start w:val="1"/>
    </w:lvl>
  </w:abstractNum>
  <w:abstractNum w:abstractNumId="445">
    <w:nsid w:val="6463C363"/>
    <w:multiLevelType w:val="hybridMultilevel"/>
    <w:lvl w:ilvl="0">
      <w:lvlJc w:val="left"/>
      <w:lvlText w:val="(%1)"/>
      <w:numFmt w:val="lowerLetter"/>
      <w:start w:val="1"/>
    </w:lvl>
  </w:abstractNum>
  <w:abstractNum w:abstractNumId="446">
    <w:nsid w:val="347B3FD3"/>
    <w:multiLevelType w:val="hybridMultilevel"/>
    <w:lvl w:ilvl="0">
      <w:lvlJc w:val="left"/>
      <w:lvlText w:val="(%1)"/>
      <w:numFmt w:val="lowerLetter"/>
      <w:start w:val="1"/>
    </w:lvl>
  </w:abstractNum>
  <w:abstractNum w:abstractNumId="447">
    <w:nsid w:val="D5AB751"/>
    <w:multiLevelType w:val="hybridMultilevel"/>
    <w:lvl w:ilvl="0">
      <w:lvlJc w:val="left"/>
      <w:lvlText w:val="***"/>
      <w:numFmt w:val="bullet"/>
      <w:start w:val="1"/>
    </w:lvl>
  </w:abstractNum>
  <w:abstractNum w:abstractNumId="448">
    <w:nsid w:val="F1EC427"/>
    <w:multiLevelType w:val="hybridMultilevel"/>
    <w:lvl w:ilvl="0">
      <w:lvlJc w:val="left"/>
      <w:lvlText w:val="(%1)"/>
      <w:numFmt w:val="lowerLetter"/>
      <w:start w:val="2"/>
    </w:lvl>
  </w:abstractNum>
  <w:abstractNum w:abstractNumId="449">
    <w:nsid w:val="6C89B896"/>
    <w:multiLevelType w:val="hybridMultilevel"/>
    <w:lvl w:ilvl="0">
      <w:lvlJc w:val="left"/>
      <w:lvlText w:val="(%1)"/>
      <w:numFmt w:val="lowerLetter"/>
      <w:start w:val="1"/>
    </w:lvl>
    <w:lvl w:ilvl="1">
      <w:lvlJc w:val="left"/>
      <w:lvlText w:val="(%2)"/>
      <w:numFmt w:val="lowerRoman"/>
      <w:start w:val="1"/>
    </w:lvl>
  </w:abstractNum>
  <w:abstractNum w:abstractNumId="450">
    <w:nsid w:val="7E1219C8"/>
    <w:multiLevelType w:val="hybridMultilevel"/>
    <w:lvl w:ilvl="0">
      <w:lvlJc w:val="left"/>
      <w:lvlText w:val="***"/>
      <w:numFmt w:val="bullet"/>
      <w:start w:val="1"/>
    </w:lvl>
  </w:abstractNum>
  <w:abstractNum w:abstractNumId="451">
    <w:nsid w:val="25F1C1C1"/>
    <w:multiLevelType w:val="hybridMultilevel"/>
    <w:lvl w:ilvl="0">
      <w:lvlJc w:val="left"/>
      <w:lvlText w:val="(%1)"/>
      <w:numFmt w:val="lowerLetter"/>
      <w:start w:val="2"/>
    </w:lvl>
    <w:lvl w:ilvl="1">
      <w:lvlJc w:val="left"/>
      <w:lvlText w:val="(%2)"/>
      <w:numFmt w:val="lowerRoman"/>
      <w:start w:val="1"/>
    </w:lvl>
  </w:abstractNum>
  <w:abstractNum w:abstractNumId="452">
    <w:nsid w:val="743CE6FA"/>
    <w:multiLevelType w:val="hybridMultilevel"/>
    <w:lvl w:ilvl="0">
      <w:lvlJc w:val="left"/>
      <w:lvlText w:val="***"/>
      <w:numFmt w:val="bullet"/>
      <w:start w:val="1"/>
    </w:lvl>
  </w:abstractNum>
  <w:abstractNum w:abstractNumId="453">
    <w:nsid w:val="20530E7B"/>
    <w:multiLevelType w:val="hybridMultilevel"/>
    <w:lvl w:ilvl="0">
      <w:lvlJc w:val="left"/>
      <w:lvlText w:val="(%1)"/>
      <w:numFmt w:val="lowerLetter"/>
      <w:start w:val="1"/>
    </w:lvl>
    <w:lvl w:ilvl="1">
      <w:lvlJc w:val="left"/>
      <w:lvlText w:val="(%2)"/>
      <w:numFmt w:val="lowerRoman"/>
      <w:start w:val="1"/>
    </w:lvl>
  </w:abstractNum>
  <w:abstractNum w:abstractNumId="454">
    <w:nsid w:val="144C9480"/>
    <w:multiLevelType w:val="hybridMultilevel"/>
    <w:lvl w:ilvl="0">
      <w:lvlJc w:val="left"/>
      <w:lvlText w:val="***"/>
      <w:numFmt w:val="bullet"/>
      <w:start w:val="1"/>
    </w:lvl>
  </w:abstractNum>
  <w:abstractNum w:abstractNumId="455">
    <w:nsid w:val="1514A0AF"/>
    <w:multiLevelType w:val="hybridMultilevel"/>
    <w:lvl w:ilvl="0">
      <w:lvlJc w:val="left"/>
      <w:lvlText w:val="(%1)"/>
      <w:numFmt w:val="lowerRoman"/>
      <w:start w:val="3"/>
    </w:lvl>
  </w:abstractNum>
  <w:abstractNum w:abstractNumId="456">
    <w:nsid w:val="55C3594C"/>
    <w:multiLevelType w:val="hybridMultilevel"/>
    <w:lvl w:ilvl="0">
      <w:lvlJc w:val="left"/>
      <w:lvlText w:val="(%1)"/>
      <w:numFmt w:val="lowerLetter"/>
      <w:start w:val="1"/>
    </w:lvl>
  </w:abstractNum>
  <w:abstractNum w:abstractNumId="457">
    <w:nsid w:val="69DCF55B"/>
    <w:multiLevelType w:val="hybridMultilevel"/>
    <w:lvl w:ilvl="0">
      <w:lvlJc w:val="left"/>
      <w:lvlText w:val="***"/>
      <w:numFmt w:val="bullet"/>
      <w:start w:val="1"/>
    </w:lvl>
  </w:abstractNum>
  <w:abstractNum w:abstractNumId="458">
    <w:nsid w:val="CFC2ACF"/>
    <w:multiLevelType w:val="hybridMultilevel"/>
    <w:lvl w:ilvl="0">
      <w:lvlJc w:val="left"/>
      <w:lvlText w:val="%1"/>
      <w:numFmt w:val="lowerLetter"/>
      <w:start w:val="1"/>
    </w:lvl>
    <w:lvl w:ilvl="1">
      <w:lvlJc w:val="left"/>
      <w:lvlText w:val="(%2)"/>
      <w:numFmt w:val="lowerLetter"/>
      <w:start w:val="2"/>
    </w:lvl>
  </w:abstractNum>
  <w:abstractNum w:abstractNumId="459">
    <w:nsid w:val="28BA7A13"/>
    <w:multiLevelType w:val="hybridMultilevel"/>
    <w:lvl w:ilvl="0">
      <w:lvlJc w:val="left"/>
      <w:lvlText w:val="(%1)"/>
      <w:numFmt w:val="lowerLetter"/>
      <w:start w:val="35"/>
    </w:lvl>
    <w:lvl w:ilvl="1">
      <w:lvlJc w:val="left"/>
      <w:lvlText w:val="(%2)"/>
      <w:numFmt w:val="lowerLetter"/>
      <w:start w:val="4"/>
    </w:lvl>
  </w:abstractNum>
  <w:abstractNum w:abstractNumId="460">
    <w:nsid w:val="28881591"/>
    <w:multiLevelType w:val="hybridMultilevel"/>
    <w:lvl w:ilvl="0">
      <w:lvlJc w:val="left"/>
      <w:lvlText w:val="(%1)"/>
      <w:numFmt w:val="lowerLetter"/>
      <w:start w:val="1"/>
    </w:lvl>
  </w:abstractNum>
  <w:abstractNum w:abstractNumId="461">
    <w:nsid w:val="772B796C"/>
    <w:multiLevelType w:val="hybridMultilevel"/>
    <w:lvl w:ilvl="0">
      <w:lvlJc w:val="left"/>
      <w:lvlText w:val="***"/>
      <w:numFmt w:val="bullet"/>
      <w:start w:val="1"/>
    </w:lvl>
  </w:abstractNum>
  <w:abstractNum w:abstractNumId="462">
    <w:nsid w:val="1E022BE9"/>
    <w:multiLevelType w:val="hybridMultilevel"/>
    <w:lvl w:ilvl="0">
      <w:lvlJc w:val="left"/>
      <w:lvlText w:val="(%1)"/>
      <w:numFmt w:val="lowerLetter"/>
      <w:start w:val="2"/>
    </w:lvl>
  </w:abstractNum>
  <w:abstractNum w:abstractNumId="463">
    <w:nsid w:val="72C4649F"/>
    <w:multiLevelType w:val="hybridMultilevel"/>
    <w:lvl w:ilvl="0">
      <w:lvlJc w:val="left"/>
      <w:lvlText w:val="(%1)"/>
      <w:numFmt w:val="lowerLetter"/>
      <w:start w:val="3"/>
    </w:lvl>
    <w:lvl w:ilvl="1">
      <w:lvlJc w:val="left"/>
      <w:lvlText w:val="(%2)"/>
      <w:numFmt w:val="lowerRoman"/>
      <w:start w:val="1"/>
    </w:lvl>
  </w:abstractNum>
  <w:abstractNum w:abstractNumId="464">
    <w:nsid w:val="7CD94321"/>
    <w:multiLevelType w:val="hybridMultilevel"/>
    <w:lvl w:ilvl="0">
      <w:lvlJc w:val="left"/>
      <w:lvlText w:val="***"/>
      <w:numFmt w:val="bullet"/>
      <w:start w:val="1"/>
    </w:lvl>
  </w:abstractNum>
  <w:abstractNum w:abstractNumId="465">
    <w:nsid w:val="13B3BDBC"/>
    <w:multiLevelType w:val="hybridMultilevel"/>
    <w:lvl w:ilvl="0">
      <w:lvlJc w:val="left"/>
      <w:lvlText w:val="%1"/>
      <w:numFmt w:val="lowerLetter"/>
      <w:start w:val="1"/>
    </w:lvl>
    <w:lvl w:ilvl="1">
      <w:lvlJc w:val="left"/>
      <w:lvlText w:val="(%2)"/>
      <w:numFmt w:val="lowerLetter"/>
      <w:start w:val="61"/>
    </w:lvl>
  </w:abstractNum>
  <w:abstractNum w:abstractNumId="466">
    <w:nsid w:val="4C488152"/>
    <w:multiLevelType w:val="hybridMultilevel"/>
    <w:lvl w:ilvl="0">
      <w:lvlJc w:val="left"/>
      <w:lvlText w:val="(%1)"/>
      <w:numFmt w:val="lowerLetter"/>
      <w:start w:val="4"/>
    </w:lvl>
    <w:lvl w:ilvl="1">
      <w:lvlJc w:val="left"/>
      <w:lvlText w:val="%2"/>
      <w:numFmt w:val="lowerLetter"/>
      <w:start w:val="1"/>
    </w:lvl>
  </w:abstractNum>
  <w:abstractNum w:abstractNumId="467">
    <w:nsid w:val="153B9D13"/>
    <w:multiLevelType w:val="hybridMultilevel"/>
    <w:lvl w:ilvl="0">
      <w:lvlJc w:val="left"/>
      <w:lvlText w:val="***"/>
      <w:numFmt w:val="bullet"/>
      <w:start w:val="1"/>
    </w:lvl>
  </w:abstractNum>
  <w:abstractNum w:abstractNumId="468">
    <w:nsid w:val="7D07B61B"/>
    <w:multiLevelType w:val="hybridMultilevel"/>
    <w:lvl w:ilvl="0">
      <w:lvlJc w:val="left"/>
      <w:lvlText w:val="(%1)"/>
      <w:numFmt w:val="lowerLetter"/>
      <w:start w:val="1"/>
    </w:lvl>
  </w:abstractNum>
  <w:abstractNum w:abstractNumId="469">
    <w:nsid w:val="3A4BE92A"/>
    <w:multiLevelType w:val="hybridMultilevel"/>
    <w:lvl w:ilvl="0">
      <w:lvlJc w:val="left"/>
      <w:lvlText w:val="***"/>
      <w:numFmt w:val="bullet"/>
      <w:start w:val="1"/>
    </w:lvl>
  </w:abstractNum>
  <w:abstractNum w:abstractNumId="470">
    <w:nsid w:val="1C7A2F4"/>
    <w:multiLevelType w:val="hybridMultilevel"/>
    <w:lvl w:ilvl="0">
      <w:lvlJc w:val="left"/>
      <w:lvlText w:val="***"/>
      <w:numFmt w:val="bullet"/>
      <w:start w:val="1"/>
    </w:lvl>
    <w:lvl w:ilvl="1">
      <w:lvlJc w:val="left"/>
      <w:lvlText w:val="(%2)"/>
      <w:numFmt w:val="lowerLetter"/>
      <w:start w:val="1"/>
    </w:lvl>
  </w:abstractNum>
  <w:abstractNum w:abstractNumId="471">
    <w:nsid w:val="393B5076"/>
    <w:multiLevelType w:val="hybridMultilevel"/>
    <w:lvl w:ilvl="0">
      <w:lvlJc w:val="left"/>
      <w:lvlText w:val="***"/>
      <w:numFmt w:val="bullet"/>
      <w:start w:val="1"/>
    </w:lvl>
    <w:lvl w:ilvl="1">
      <w:lvlJc w:val="left"/>
      <w:lvlText w:val="(%2)"/>
      <w:numFmt w:val="lowerLetter"/>
      <w:start w:val="3"/>
    </w:lvl>
  </w:abstractNum>
  <w:abstractNum w:abstractNumId="472">
    <w:nsid w:val="5F0E41DB"/>
    <w:multiLevelType w:val="hybridMultilevel"/>
    <w:lvl w:ilvl="0">
      <w:lvlJc w:val="left"/>
      <w:lvlText w:val="***"/>
      <w:numFmt w:val="bullet"/>
      <w:start w:val="1"/>
    </w:lvl>
  </w:abstractNum>
  <w:abstractNum w:abstractNumId="473">
    <w:nsid w:val="6C4DFAA4"/>
    <w:multiLevelType w:val="hybridMultilevel"/>
    <w:lvl w:ilvl="0">
      <w:lvlJc w:val="left"/>
      <w:lvlText w:val="(%1)"/>
      <w:numFmt w:val="lowerLetter"/>
      <w:start w:val="4"/>
    </w:lvl>
  </w:abstractNum>
  <w:abstractNum w:abstractNumId="474">
    <w:nsid w:val="C7C501F"/>
    <w:multiLevelType w:val="hybridMultilevel"/>
    <w:lvl w:ilvl="0">
      <w:lvlJc w:val="left"/>
      <w:lvlText w:val="(%1)"/>
      <w:numFmt w:val="lowerLetter"/>
      <w:start w:val="1"/>
    </w:lvl>
  </w:abstractNum>
  <w:abstractNum w:abstractNumId="475">
    <w:nsid w:val="7244B239"/>
    <w:multiLevelType w:val="hybridMultilevel"/>
    <w:lvl w:ilvl="0">
      <w:lvlJc w:val="left"/>
      <w:lvlText w:val="***"/>
      <w:numFmt w:val="bullet"/>
      <w:start w:val="1"/>
    </w:lvl>
  </w:abstractNum>
  <w:abstractNum w:abstractNumId="476">
    <w:nsid w:val="50B1BE08"/>
    <w:multiLevelType w:val="hybridMultilevel"/>
    <w:lvl w:ilvl="0">
      <w:lvlJc w:val="left"/>
      <w:lvlText w:val="(%1)"/>
      <w:numFmt w:val="decimal"/>
      <w:start w:val="1"/>
    </w:lvl>
    <w:lvl w:ilvl="1">
      <w:lvlJc w:val="left"/>
      <w:lvlText w:val="(%2)"/>
      <w:numFmt w:val="lowerLetter"/>
      <w:start w:val="2"/>
    </w:lvl>
  </w:abstractNum>
  <w:abstractNum w:abstractNumId="477">
    <w:nsid w:val="40F78FF3"/>
    <w:multiLevelType w:val="hybridMultilevel"/>
    <w:lvl w:ilvl="0">
      <w:lvlJc w:val="left"/>
      <w:lvlText w:val="***"/>
      <w:numFmt w:val="bullet"/>
      <w:start w:val="1"/>
    </w:lvl>
  </w:abstractNum>
  <w:abstractNum w:abstractNumId="478">
    <w:nsid w:val="7F9F698A"/>
    <w:multiLevelType w:val="hybridMultilevel"/>
    <w:lvl w:ilvl="0">
      <w:lvlJc w:val="left"/>
      <w:lvlText w:val="(%1)"/>
      <w:numFmt w:val="lowerRoman"/>
      <w:start w:val="2"/>
    </w:lvl>
  </w:abstractNum>
  <w:abstractNum w:abstractNumId="479">
    <w:nsid w:val="5FD0822F"/>
    <w:multiLevelType w:val="hybridMultilevel"/>
    <w:lvl w:ilvl="0">
      <w:lvlJc w:val="left"/>
      <w:lvlText w:val="(%1)"/>
      <w:numFmt w:val="lowerLetter"/>
      <w:start w:val="1"/>
    </w:lvl>
  </w:abstractNum>
  <w:abstractNum w:abstractNumId="480">
    <w:nsid w:val="2D814889"/>
    <w:multiLevelType w:val="hybridMultilevel"/>
    <w:lvl w:ilvl="0">
      <w:lvlJc w:val="left"/>
      <w:lvlText w:val="***"/>
      <w:numFmt w:val="bullet"/>
      <w:start w:val="1"/>
    </w:lvl>
  </w:abstractNum>
  <w:abstractNum w:abstractNumId="481">
    <w:nsid w:val="7DB18352"/>
    <w:multiLevelType w:val="hybridMultilevel"/>
    <w:lvl w:ilvl="0">
      <w:lvlJc w:val="left"/>
      <w:lvlText w:val="***"/>
      <w:numFmt w:val="bullet"/>
      <w:start w:val="1"/>
    </w:lvl>
    <w:lvl w:ilvl="1">
      <w:lvlJc w:val="left"/>
      <w:lvlText w:val="(%2)"/>
      <w:numFmt w:val="lowerLetter"/>
      <w:start w:val="4"/>
    </w:lvl>
  </w:abstractNum>
  <w:abstractNum w:abstractNumId="482">
    <w:nsid w:val="5C243F1"/>
    <w:multiLevelType w:val="hybridMultilevel"/>
    <w:lvl w:ilvl="0">
      <w:lvlJc w:val="left"/>
      <w:lvlText w:val="***"/>
      <w:numFmt w:val="bullet"/>
      <w:start w:val="1"/>
    </w:lvl>
  </w:abstractNum>
  <w:abstractNum w:abstractNumId="483">
    <w:nsid w:val="21BE2F84"/>
    <w:multiLevelType w:val="hybridMultilevel"/>
    <w:lvl w:ilvl="0">
      <w:lvlJc w:val="left"/>
      <w:lvlText w:val="(%1)"/>
      <w:numFmt w:val="lowerLetter"/>
      <w:start w:val="1"/>
    </w:lvl>
  </w:abstractNum>
  <w:abstractNum w:abstractNumId="484">
    <w:nsid w:val="1E0491CD"/>
    <w:multiLevelType w:val="hybridMultilevel"/>
    <w:lvl w:ilvl="0">
      <w:lvlJc w:val="left"/>
      <w:lvlText w:val="***"/>
      <w:numFmt w:val="bullet"/>
      <w:start w:val="1"/>
    </w:lvl>
  </w:abstractNum>
  <w:abstractNum w:abstractNumId="485">
    <w:nsid w:val="1A0ED871"/>
    <w:multiLevelType w:val="hybridMultilevel"/>
    <w:lvl w:ilvl="0">
      <w:lvlJc w:val="left"/>
      <w:lvlText w:val="(%1)"/>
      <w:numFmt w:val="lowerLetter"/>
      <w:start w:val="1"/>
    </w:lvl>
  </w:abstractNum>
  <w:abstractNum w:abstractNumId="486">
    <w:nsid w:val="36D2D033"/>
    <w:multiLevelType w:val="hybridMultilevel"/>
    <w:lvl w:ilvl="0">
      <w:lvlJc w:val="left"/>
      <w:lvlText w:val="***"/>
      <w:numFmt w:val="bullet"/>
      <w:start w:val="1"/>
    </w:lvl>
  </w:abstractNum>
  <w:abstractNum w:abstractNumId="487">
    <w:nsid w:val="73C7EB1A"/>
    <w:multiLevelType w:val="hybridMultilevel"/>
    <w:lvl w:ilvl="0">
      <w:lvlJc w:val="left"/>
      <w:lvlText w:val="(%1)"/>
      <w:numFmt w:val="lowerLetter"/>
      <w:start w:val="2"/>
    </w:lvl>
    <w:lvl w:ilvl="1">
      <w:lvlJc w:val="left"/>
      <w:lvlText w:val="(%2)"/>
      <w:numFmt w:val="lowerRoman"/>
      <w:start w:val="1"/>
    </w:lvl>
  </w:abstractNum>
  <w:abstractNum w:abstractNumId="488">
    <w:nsid w:val="3EBCDCC"/>
    <w:multiLevelType w:val="hybridMultilevel"/>
    <w:lvl w:ilvl="0">
      <w:lvlJc w:val="left"/>
      <w:lvlText w:val="***"/>
      <w:numFmt w:val="bullet"/>
      <w:start w:val="1"/>
    </w:lvl>
  </w:abstractNum>
  <w:abstractNum w:abstractNumId="489">
    <w:nsid w:val="43CEFB03"/>
    <w:multiLevelType w:val="hybridMultilevel"/>
    <w:lvl w:ilvl="0">
      <w:lvlJc w:val="left"/>
      <w:lvlText w:val="(%1)"/>
      <w:numFmt w:val="lowerLetter"/>
      <w:start w:val="1"/>
    </w:lvl>
  </w:abstractNum>
  <w:abstractNum w:abstractNumId="490">
    <w:nsid w:val="1C82652D"/>
    <w:multiLevelType w:val="hybridMultilevel"/>
    <w:lvl w:ilvl="0">
      <w:lvlJc w:val="left"/>
      <w:lvlText w:val="(%1)"/>
      <w:numFmt w:val="lowerLetter"/>
      <w:start w:val="1"/>
    </w:lvl>
  </w:abstractNum>
  <w:abstractNum w:abstractNumId="491">
    <w:nsid w:val="2C73E35D"/>
    <w:multiLevelType w:val="hybridMultilevel"/>
    <w:lvl w:ilvl="0">
      <w:lvlJc w:val="left"/>
      <w:lvlText w:val="***"/>
      <w:numFmt w:val="bullet"/>
      <w:start w:val="1"/>
    </w:lvl>
  </w:abstractNum>
  <w:abstractNum w:abstractNumId="492">
    <w:nsid w:val="3AFA746F"/>
    <w:multiLevelType w:val="hybridMultilevel"/>
    <w:lvl w:ilvl="0">
      <w:lvlJc w:val="left"/>
      <w:lvlText w:val="(%1)"/>
      <w:numFmt w:val="lowerLetter"/>
      <w:start w:val="4"/>
    </w:lvl>
  </w:abstractNum>
  <w:abstractNum w:abstractNumId="493">
    <w:nsid w:val="3A849116"/>
    <w:multiLevelType w:val="hybridMultilevel"/>
    <w:lvl w:ilvl="0">
      <w:lvlJc w:val="left"/>
      <w:lvlText w:val="(%1)"/>
      <w:numFmt w:val="lowerLetter"/>
      <w:start w:val="1"/>
    </w:lvl>
  </w:abstractNum>
  <w:abstractNum w:abstractNumId="494">
    <w:nsid w:val="1F3847FC"/>
    <w:multiLevelType w:val="hybridMultilevel"/>
    <w:lvl w:ilvl="0">
      <w:lvlJc w:val="left"/>
      <w:lvlText w:val="***"/>
      <w:numFmt w:val="bullet"/>
      <w:start w:val="1"/>
    </w:lvl>
  </w:abstractNum>
  <w:abstractNum w:abstractNumId="495">
    <w:nsid w:val="37D3B790"/>
    <w:multiLevelType w:val="hybridMultilevel"/>
    <w:lvl w:ilvl="0">
      <w:lvlJc w:val="left"/>
      <w:lvlText w:val="***"/>
      <w:numFmt w:val="bullet"/>
      <w:start w:val="1"/>
    </w:lvl>
  </w:abstractNum>
  <w:abstractNum w:abstractNumId="496">
    <w:nsid w:val="4E384ED3"/>
    <w:multiLevelType w:val="hybridMultilevel"/>
    <w:lvl w:ilvl="0">
      <w:lvlJc w:val="left"/>
      <w:lvlText w:val="(%1)"/>
      <w:numFmt w:val="lowerLetter"/>
      <w:start w:val="1"/>
    </w:lvl>
  </w:abstractNum>
  <w:abstractNum w:abstractNumId="497">
    <w:nsid w:val="6B80C94F"/>
    <w:multiLevelType w:val="hybridMultilevel"/>
    <w:lvl w:ilvl="0">
      <w:lvlJc w:val="left"/>
      <w:lvlText w:val="***"/>
      <w:numFmt w:val="bullet"/>
      <w:start w:val="1"/>
    </w:lvl>
  </w:abstractNum>
  <w:abstractNum w:abstractNumId="498">
    <w:nsid w:val="4D0F54A3"/>
    <w:multiLevelType w:val="hybridMultilevel"/>
    <w:lvl w:ilvl="0">
      <w:lvlJc w:val="left"/>
      <w:lvlText w:val="***"/>
      <w:numFmt w:val="bullet"/>
      <w:start w:val="1"/>
    </w:lvl>
    <w:lvl w:ilvl="1">
      <w:lvlJc w:val="left"/>
      <w:lvlText w:val="(%2)"/>
      <w:numFmt w:val="lowerLetter"/>
      <w:start w:val="4"/>
    </w:lvl>
  </w:abstractNum>
  <w:abstractNum w:abstractNumId="499">
    <w:nsid w:val="4B4004EE"/>
    <w:multiLevelType w:val="hybridMultilevel"/>
    <w:lvl w:ilvl="0">
      <w:lvlJc w:val="left"/>
      <w:lvlText w:val="(%1)"/>
      <w:numFmt w:val="lowerLetter"/>
      <w:start w:val="1"/>
    </w:lvl>
  </w:abstractNum>
  <w:abstractNum w:abstractNumId="500">
    <w:nsid w:val="25CCB279"/>
    <w:multiLevelType w:val="hybridMultilevel"/>
    <w:lvl w:ilvl="0">
      <w:lvlJc w:val="left"/>
      <w:lvlText w:val="***"/>
      <w:numFmt w:val="bullet"/>
      <w:start w:val="1"/>
    </w:lvl>
  </w:abstractNum>
  <w:abstractNum w:abstractNumId="501">
    <w:nsid w:val="4ED6F798"/>
    <w:multiLevelType w:val="hybridMultilevel"/>
    <w:lvl w:ilvl="0">
      <w:lvlJc w:val="left"/>
      <w:lvlText w:val="%1"/>
      <w:numFmt w:val="lowerRoman"/>
      <w:start w:val="1"/>
    </w:lvl>
    <w:lvl w:ilvl="1">
      <w:lvlJc w:val="left"/>
      <w:lvlText w:val="(%2)"/>
      <w:numFmt w:val="lowerRoman"/>
      <w:start w:val="2"/>
    </w:lvl>
  </w:abstractNum>
  <w:abstractNum w:abstractNumId="502">
    <w:nsid w:val="47B5565"/>
    <w:multiLevelType w:val="hybridMultilevel"/>
    <w:lvl w:ilvl="0">
      <w:lvlJc w:val="left"/>
      <w:lvlText w:val="(%1)"/>
      <w:numFmt w:val="lowerRoman"/>
      <w:start w:val="9"/>
    </w:lvl>
    <w:lvl w:ilvl="1">
      <w:lvlJc w:val="left"/>
      <w:lvlText w:val="(%2)"/>
      <w:numFmt w:val="lowerRoman"/>
      <w:start w:val="6"/>
    </w:lvl>
  </w:abstractNum>
  <w:abstractNum w:abstractNumId="503">
    <w:nsid w:val="4DAF454"/>
    <w:multiLevelType w:val="hybridMultilevel"/>
    <w:lvl w:ilvl="0">
      <w:lvlJc w:val="left"/>
      <w:lvlText w:val="***"/>
      <w:numFmt w:val="bullet"/>
      <w:start w:val="1"/>
    </w:lvl>
  </w:abstractNum>
  <w:abstractNum w:abstractNumId="504">
    <w:nsid w:val="3B24F23C"/>
    <w:multiLevelType w:val="hybridMultilevel"/>
    <w:lvl w:ilvl="0">
      <w:lvlJc w:val="left"/>
      <w:lvlText w:val="(%1)"/>
      <w:numFmt w:val="lowerRoman"/>
      <w:start w:val="8"/>
    </w:lvl>
  </w:abstractNum>
  <w:abstractNum w:abstractNumId="505">
    <w:nsid w:val="10F7A584"/>
    <w:multiLevelType w:val="hybridMultilevel"/>
    <w:lvl w:ilvl="0">
      <w:lvlJc w:val="left"/>
      <w:lvlText w:val="(%1)"/>
      <w:numFmt w:val="lowerLetter"/>
      <w:start w:val="1"/>
    </w:lvl>
  </w:abstractNum>
  <w:abstractNum w:abstractNumId="506">
    <w:nsid w:val="771FA68D"/>
    <w:multiLevelType w:val="hybridMultilevel"/>
    <w:lvl w:ilvl="0">
      <w:lvlJc w:val="left"/>
      <w:lvlText w:val="(%1)"/>
      <w:numFmt w:val="lowerLetter"/>
      <w:start w:val="1"/>
    </w:lvl>
  </w:abstractNum>
  <w:abstractNum w:abstractNumId="507">
    <w:nsid w:val="BD6B044"/>
    <w:multiLevelType w:val="hybridMultilevel"/>
    <w:lvl w:ilvl="0">
      <w:lvlJc w:val="left"/>
      <w:lvlText w:val="***"/>
      <w:numFmt w:val="bullet"/>
      <w:start w:val="1"/>
    </w:lvl>
  </w:abstractNum>
  <w:abstractNum w:abstractNumId="508">
    <w:nsid w:val="51EF3577"/>
    <w:multiLevelType w:val="hybridMultilevel"/>
    <w:lvl w:ilvl="0">
      <w:lvlJc w:val="left"/>
      <w:lvlText w:val="(%1)"/>
      <w:numFmt w:val="lowerLetter"/>
      <w:start w:val="1"/>
    </w:lvl>
  </w:abstractNum>
  <w:abstractNum w:abstractNumId="509">
    <w:nsid w:val="76BF1017"/>
    <w:multiLevelType w:val="hybridMultilevel"/>
    <w:lvl w:ilvl="0">
      <w:lvlJc w:val="left"/>
      <w:lvlText w:val="***"/>
      <w:numFmt w:val="bullet"/>
      <w:start w:val="1"/>
    </w:lvl>
  </w:abstractNum>
  <w:abstractNum w:abstractNumId="510">
    <w:nsid w:val="6BA73274"/>
    <w:multiLevelType w:val="hybridMultilevel"/>
    <w:lvl w:ilvl="0">
      <w:lvlJc w:val="left"/>
      <w:lvlText w:val="(%1)"/>
      <w:numFmt w:val="lowerLetter"/>
      <w:start w:val="4"/>
    </w:lvl>
  </w:abstractNum>
  <w:abstractNum w:abstractNumId="511">
    <w:nsid w:val="7F707E01"/>
    <w:multiLevelType w:val="hybridMultilevel"/>
    <w:lvl w:ilvl="0">
      <w:lvlJc w:val="left"/>
      <w:lvlText w:val="(%1)"/>
      <w:numFmt w:val="lowerLetter"/>
      <w:start w:val="1"/>
    </w:lvl>
  </w:abstractNum>
  <w:abstractNum w:abstractNumId="512">
    <w:nsid w:val="7470936A"/>
    <w:multiLevelType w:val="hybridMultilevel"/>
    <w:lvl w:ilvl="0">
      <w:lvlJc w:val="left"/>
      <w:lvlText w:val="***"/>
      <w:numFmt w:val="bullet"/>
      <w:start w:val="1"/>
    </w:lvl>
  </w:abstractNum>
  <w:abstractNum w:abstractNumId="513">
    <w:nsid w:val="71697665"/>
    <w:multiLevelType w:val="hybridMultilevel"/>
    <w:lvl w:ilvl="0">
      <w:lvlJc w:val="left"/>
      <w:lvlText w:val="***"/>
      <w:numFmt w:val="bullet"/>
      <w:start w:val="1"/>
    </w:lvl>
  </w:abstractNum>
  <w:abstractNum w:abstractNumId="514">
    <w:nsid w:val="212EAD85"/>
    <w:multiLevelType w:val="hybridMultilevel"/>
    <w:lvl w:ilvl="0">
      <w:lvlJc w:val="left"/>
      <w:lvlText w:val="***"/>
      <w:numFmt w:val="bullet"/>
      <w:start w:val="1"/>
    </w:lvl>
  </w:abstractNum>
  <w:abstractNum w:abstractNumId="515">
    <w:nsid w:val="12752537"/>
    <w:multiLevelType w:val="hybridMultilevel"/>
    <w:lvl w:ilvl="0">
      <w:lvlJc w:val="left"/>
      <w:lvlText w:val="***"/>
      <w:numFmt w:val="bullet"/>
      <w:start w:val="1"/>
    </w:lvl>
  </w:abstractNum>
  <w:abstractNum w:abstractNumId="516">
    <w:nsid w:val="B784ED6"/>
    <w:multiLevelType w:val="hybridMultilevel"/>
    <w:lvl w:ilvl="0">
      <w:lvlJc w:val="left"/>
      <w:lvlText w:val="***"/>
      <w:numFmt w:val="bullet"/>
      <w:start w:val="1"/>
    </w:lvl>
  </w:abstractNum>
  <w:abstractNum w:abstractNumId="517">
    <w:nsid w:val="58017DB8"/>
    <w:multiLevelType w:val="hybridMultilevel"/>
    <w:lvl w:ilvl="0">
      <w:lvlJc w:val="left"/>
      <w:lvlText w:val="***"/>
      <w:numFmt w:val="bullet"/>
      <w:start w:val="1"/>
    </w:lvl>
  </w:abstractNum>
  <w:abstractNum w:abstractNumId="518">
    <w:nsid w:val="63D1051"/>
    <w:multiLevelType w:val="hybridMultilevel"/>
    <w:lvl w:ilvl="0">
      <w:lvlJc w:val="left"/>
      <w:lvlText w:val="***"/>
      <w:numFmt w:val="bullet"/>
      <w:start w:val="1"/>
    </w:lvl>
  </w:abstractNum>
  <w:abstractNum w:abstractNumId="519">
    <w:nsid w:val="F641CA2"/>
    <w:multiLevelType w:val="hybridMultilevel"/>
    <w:lvl w:ilvl="0">
      <w:lvlJc w:val="left"/>
      <w:lvlText w:val="***"/>
      <w:numFmt w:val="bullet"/>
      <w:start w:val="1"/>
    </w:lvl>
  </w:abstractNum>
  <w:abstractNum w:abstractNumId="520">
    <w:nsid w:val="1BD078BB"/>
    <w:multiLevelType w:val="hybridMultilevel"/>
    <w:lvl w:ilvl="0">
      <w:lvlJc w:val="left"/>
      <w:lvlText w:val="***"/>
      <w:numFmt w:val="bullet"/>
      <w:start w:val="1"/>
    </w:lvl>
  </w:abstractNum>
  <w:abstractNum w:abstractNumId="521">
    <w:nsid w:val="22BF757E"/>
    <w:multiLevelType w:val="hybridMultilevel"/>
    <w:lvl w:ilvl="0">
      <w:lvlJc w:val="left"/>
      <w:lvlText w:val="***"/>
      <w:numFmt w:val="bullet"/>
      <w:start w:val="1"/>
    </w:lvl>
  </w:abstractNum>
  <w:abstractNum w:abstractNumId="522">
    <w:nsid w:val="3BD80000"/>
    <w:multiLevelType w:val="hybridMultilevel"/>
    <w:lvl w:ilvl="0">
      <w:lvlJc w:val="left"/>
      <w:lvlText w:val="***"/>
      <w:numFmt w:val="bullet"/>
      <w:start w:val="1"/>
    </w:lvl>
  </w:abstractNum>
  <w:abstractNum w:abstractNumId="523">
    <w:nsid w:val="56CAED2B"/>
    <w:multiLevelType w:val="hybridMultilevel"/>
    <w:lvl w:ilvl="0">
      <w:lvlJc w:val="left"/>
      <w:lvlText w:val="***"/>
      <w:numFmt w:val="bullet"/>
      <w:start w:val="1"/>
    </w:lvl>
  </w:abstractNum>
  <w:abstractNum w:abstractNumId="524">
    <w:nsid w:val="5D440695"/>
    <w:multiLevelType w:val="hybridMultilevel"/>
    <w:lvl w:ilvl="0">
      <w:lvlJc w:val="left"/>
      <w:lvlText w:val="***"/>
      <w:numFmt w:val="bullet"/>
      <w:start w:val="1"/>
    </w:lvl>
  </w:abstractNum>
  <w:abstractNum w:abstractNumId="525">
    <w:nsid w:val="5B1047FC"/>
    <w:multiLevelType w:val="hybridMultilevel"/>
    <w:lvl w:ilvl="0">
      <w:lvlJc w:val="left"/>
      <w:lvlText w:val="***"/>
      <w:numFmt w:val="bullet"/>
      <w:start w:val="1"/>
    </w:lvl>
  </w:abstractNum>
  <w:abstractNum w:abstractNumId="526">
    <w:nsid w:val="E9EA4BB"/>
    <w:multiLevelType w:val="hybridMultilevel"/>
    <w:lvl w:ilvl="0">
      <w:lvlJc w:val="left"/>
      <w:lvlText w:val="***"/>
      <w:numFmt w:val="bullet"/>
      <w:start w:val="1"/>
    </w:lvl>
  </w:abstractNum>
  <w:abstractNum w:abstractNumId="527">
    <w:nsid w:val="2B7C5568"/>
    <w:multiLevelType w:val="hybridMultilevel"/>
    <w:lvl w:ilvl="0">
      <w:lvlJc w:val="left"/>
      <w:lvlText w:val="***"/>
      <w:numFmt w:val="bullet"/>
      <w:start w:val="1"/>
    </w:lvl>
  </w:abstractNum>
  <w:abstractNum w:abstractNumId="528">
    <w:nsid w:val="4691114B"/>
    <w:multiLevelType w:val="hybridMultilevel"/>
    <w:lvl w:ilvl="0">
      <w:lvlJc w:val="left"/>
      <w:lvlText w:val="***"/>
      <w:numFmt w:val="bullet"/>
      <w:start w:val="1"/>
    </w:lvl>
  </w:abstractNum>
  <w:abstractNum w:abstractNumId="529">
    <w:nsid w:val="5BADF95F"/>
    <w:multiLevelType w:val="hybridMultilevel"/>
    <w:lvl w:ilvl="0">
      <w:lvlJc w:val="left"/>
      <w:lvlText w:val="***"/>
      <w:numFmt w:val="bullet"/>
      <w:start w:val="1"/>
    </w:lvl>
  </w:abstractNum>
  <w:abstractNum w:abstractNumId="530">
    <w:nsid w:val="76BC5A56"/>
    <w:multiLevelType w:val="hybridMultilevel"/>
    <w:lvl w:ilvl="0">
      <w:lvlJc w:val="left"/>
      <w:lvlText w:val="***"/>
      <w:numFmt w:val="bullet"/>
      <w:start w:val="1"/>
    </w:lvl>
  </w:abstractNum>
  <w:abstractNum w:abstractNumId="531">
    <w:nsid w:val="6C5DC3C4"/>
    <w:multiLevelType w:val="hybridMultilevel"/>
    <w:lvl w:ilvl="0">
      <w:lvlJc w:val="left"/>
      <w:lvlText w:val="***"/>
      <w:numFmt w:val="bullet"/>
      <w:start w:val="1"/>
    </w:lvl>
  </w:abstractNum>
  <w:abstractNum w:abstractNumId="532">
    <w:nsid w:val="2A84F0F7"/>
    <w:multiLevelType w:val="hybridMultilevel"/>
    <w:lvl w:ilvl="0">
      <w:lvlJc w:val="left"/>
      <w:lvlText w:val="***"/>
      <w:numFmt w:val="bullet"/>
      <w:start w:val="1"/>
    </w:lvl>
  </w:abstractNum>
  <w:abstractNum w:abstractNumId="533">
    <w:nsid w:val="7B37AFBB"/>
    <w:multiLevelType w:val="hybridMultilevel"/>
    <w:lvl w:ilvl="0">
      <w:lvlJc w:val="left"/>
      <w:lvlText w:val="***"/>
      <w:numFmt w:val="bullet"/>
      <w:start w:val="1"/>
    </w:lvl>
  </w:abstractNum>
  <w:abstractNum w:abstractNumId="534">
    <w:nsid w:val="7138B819"/>
    <w:multiLevelType w:val="hybridMultilevel"/>
    <w:lvl w:ilvl="0">
      <w:lvlJc w:val="left"/>
      <w:lvlText w:val="***"/>
      <w:numFmt w:val="bullet"/>
      <w:start w:val="1"/>
    </w:lvl>
  </w:abstractNum>
  <w:abstractNum w:abstractNumId="535">
    <w:nsid w:val="65A9E333"/>
    <w:multiLevelType w:val="hybridMultilevel"/>
    <w:lvl w:ilvl="0">
      <w:lvlJc w:val="left"/>
      <w:lvlText w:val="***"/>
      <w:numFmt w:val="bullet"/>
      <w:start w:val="1"/>
    </w:lvl>
  </w:abstractNum>
  <w:abstractNum w:abstractNumId="536">
    <w:nsid w:val="C2F5540"/>
    <w:multiLevelType w:val="hybridMultilevel"/>
    <w:lvl w:ilvl="0">
      <w:lvlJc w:val="left"/>
      <w:lvlText w:val="***"/>
      <w:numFmt w:val="bullet"/>
      <w:start w:val="1"/>
    </w:lvl>
  </w:abstractNum>
  <w:abstractNum w:abstractNumId="537">
    <w:nsid w:val="68585EA6"/>
    <w:multiLevelType w:val="hybridMultilevel"/>
    <w:lvl w:ilvl="0">
      <w:lvlJc w:val="left"/>
      <w:lvlText w:val="***"/>
      <w:numFmt w:val="bullet"/>
      <w:start w:val="1"/>
    </w:lvl>
  </w:abstractNum>
  <w:abstractNum w:abstractNumId="538">
    <w:nsid w:val="71809378"/>
    <w:multiLevelType w:val="hybridMultilevel"/>
    <w:lvl w:ilvl="0">
      <w:lvlJc w:val="left"/>
      <w:lvlText w:val="***"/>
      <w:numFmt w:val="bullet"/>
      <w:start w:val="1"/>
    </w:lvl>
  </w:abstractNum>
  <w:abstractNum w:abstractNumId="539">
    <w:nsid w:val="5E1E8AB7"/>
    <w:multiLevelType w:val="hybridMultilevel"/>
    <w:lvl w:ilvl="0">
      <w:lvlJc w:val="left"/>
      <w:lvlText w:val="***"/>
      <w:numFmt w:val="bullet"/>
      <w:start w:val="1"/>
    </w:lvl>
  </w:abstractNum>
  <w:abstractNum w:abstractNumId="540">
    <w:nsid w:val="5F176EBE"/>
    <w:multiLevelType w:val="hybridMultilevel"/>
    <w:lvl w:ilvl="0">
      <w:lvlJc w:val="left"/>
      <w:lvlText w:val="***"/>
      <w:numFmt w:val="bullet"/>
      <w:start w:val="1"/>
    </w:lvl>
  </w:abstractNum>
  <w:abstractNum w:abstractNumId="541">
    <w:nsid w:val="5D27C5EC"/>
    <w:multiLevelType w:val="hybridMultilevel"/>
    <w:lvl w:ilvl="0">
      <w:lvlJc w:val="left"/>
      <w:lvlText w:val="***"/>
      <w:numFmt w:val="bullet"/>
      <w:start w:val="1"/>
    </w:lvl>
  </w:abstractNum>
  <w:abstractNum w:abstractNumId="542">
    <w:nsid w:val="5D8F08B8"/>
    <w:multiLevelType w:val="hybridMultilevel"/>
    <w:lvl w:ilvl="0">
      <w:lvlJc w:val="left"/>
      <w:lvlText w:val="***"/>
      <w:numFmt w:val="bullet"/>
      <w:start w:val="1"/>
    </w:lvl>
  </w:abstractNum>
  <w:abstractNum w:abstractNumId="543">
    <w:nsid w:val="53880228"/>
    <w:multiLevelType w:val="hybridMultilevel"/>
    <w:lvl w:ilvl="0">
      <w:lvlJc w:val="left"/>
      <w:lvlText w:val="***"/>
      <w:numFmt w:val="bullet"/>
      <w:start w:val="1"/>
    </w:lvl>
  </w:abstractNum>
  <w:abstractNum w:abstractNumId="544">
    <w:nsid w:val="4E913C51"/>
    <w:multiLevelType w:val="hybridMultilevel"/>
    <w:lvl w:ilvl="0">
      <w:lvlJc w:val="left"/>
      <w:lvlText w:val="(%1)"/>
      <w:numFmt w:val="lowerLetter"/>
      <w:start w:val="1"/>
    </w:lvl>
  </w:abstractNum>
  <w:abstractNum w:abstractNumId="545">
    <w:nsid w:val="7EBDB63D"/>
    <w:multiLevelType w:val="hybridMultilevel"/>
    <w:lvl w:ilvl="0">
      <w:lvlJc w:val="left"/>
      <w:lvlText w:val="***"/>
      <w:numFmt w:val="bullet"/>
      <w:start w:val="1"/>
    </w:lvl>
  </w:abstractNum>
  <w:abstractNum w:abstractNumId="546">
    <w:nsid w:val="65FD275F"/>
    <w:multiLevelType w:val="hybridMultilevel"/>
    <w:lvl w:ilvl="0">
      <w:lvlJc w:val="left"/>
      <w:lvlText w:val="(%1)"/>
      <w:numFmt w:val="lowerLetter"/>
      <w:start w:val="5"/>
    </w:lvl>
  </w:abstractNum>
  <w:abstractNum w:abstractNumId="547">
    <w:nsid w:val="5A098B27"/>
    <w:multiLevelType w:val="hybridMultilevel"/>
    <w:lvl w:ilvl="0">
      <w:lvlJc w:val="left"/>
      <w:lvlText w:val="(%1)"/>
      <w:numFmt w:val="lowerLetter"/>
      <w:start w:val="7"/>
    </w:lvl>
  </w:abstractNum>
  <w:abstractNum w:abstractNumId="548">
    <w:nsid w:val="56BF33F6"/>
    <w:multiLevelType w:val="hybridMultilevel"/>
    <w:lvl w:ilvl="0">
      <w:lvlJc w:val="left"/>
      <w:lvlText w:val="***"/>
      <w:numFmt w:val="bullet"/>
      <w:start w:val="1"/>
    </w:lvl>
  </w:abstractNum>
  <w:abstractNum w:abstractNumId="549">
    <w:nsid w:val="6C3A37B1"/>
    <w:multiLevelType w:val="hybridMultilevel"/>
    <w:lvl w:ilvl="0">
      <w:lvlJc w:val="left"/>
      <w:lvlText w:val="***"/>
      <w:numFmt w:val="bullet"/>
      <w:start w:val="1"/>
    </w:lvl>
  </w:abstractNum>
  <w:abstractNum w:abstractNumId="550">
    <w:nsid w:val="696DA7C9"/>
    <w:multiLevelType w:val="hybridMultilevel"/>
    <w:lvl w:ilvl="0">
      <w:lvlJc w:val="left"/>
      <w:lvlText w:val="***"/>
      <w:numFmt w:val="bullet"/>
      <w:start w:val="1"/>
    </w:lvl>
  </w:abstractNum>
  <w:abstractNum w:abstractNumId="551">
    <w:nsid w:val="728FACB1"/>
    <w:multiLevelType w:val="hybridMultilevel"/>
    <w:lvl w:ilvl="0">
      <w:lvlJc w:val="left"/>
      <w:lvlText w:val="***"/>
      <w:numFmt w:val="bullet"/>
      <w:start w:val="1"/>
    </w:lvl>
  </w:abstractNum>
  <w:abstractNum w:abstractNumId="552">
    <w:nsid w:val="EF9AD2F"/>
    <w:multiLevelType w:val="hybridMultilevel"/>
    <w:lvl w:ilvl="0">
      <w:lvlJc w:val="left"/>
      <w:lvlText w:val="***"/>
      <w:numFmt w:val="bullet"/>
      <w:start w:val="1"/>
    </w:lvl>
  </w:abstractNum>
  <w:abstractNum w:abstractNumId="553">
    <w:nsid w:val="2545A7C9"/>
    <w:multiLevelType w:val="hybridMultilevel"/>
    <w:lvl w:ilvl="0">
      <w:lvlJc w:val="left"/>
      <w:lvlText w:val="***"/>
      <w:numFmt w:val="bullet"/>
      <w:start w:val="1"/>
    </w:lvl>
  </w:abstractNum>
  <w:abstractNum w:abstractNumId="554">
    <w:nsid w:val="495A99DC"/>
    <w:multiLevelType w:val="hybridMultilevel"/>
    <w:lvl w:ilvl="0">
      <w:lvlJc w:val="left"/>
      <w:lvlText w:val="***"/>
      <w:numFmt w:val="bullet"/>
      <w:start w:val="1"/>
    </w:lvl>
  </w:abstractNum>
  <w:abstractNum w:abstractNumId="555">
    <w:nsid w:val="6C3DB3C4"/>
    <w:multiLevelType w:val="hybridMultilevel"/>
    <w:lvl w:ilvl="0">
      <w:lvlJc w:val="left"/>
      <w:lvlText w:val="***"/>
      <w:numFmt w:val="bullet"/>
      <w:start w:val="1"/>
    </w:lvl>
  </w:abstractNum>
  <w:abstractNum w:abstractNumId="556">
    <w:nsid w:val="55EFC6"/>
    <w:multiLevelType w:val="hybridMultilevel"/>
    <w:lvl w:ilvl="0">
      <w:lvlJc w:val="left"/>
      <w:lvlText w:val="***"/>
      <w:numFmt w:val="bullet"/>
      <w:start w:val="1"/>
    </w:lvl>
  </w:abstractNum>
  <w:abstractNum w:abstractNumId="557">
    <w:nsid w:val="57F93E98"/>
    <w:multiLevelType w:val="hybridMultilevel"/>
    <w:lvl w:ilvl="0">
      <w:lvlJc w:val="left"/>
      <w:lvlText w:val="(%1)"/>
      <w:numFmt w:val="lowerLetter"/>
      <w:start w:val="1"/>
    </w:lvl>
  </w:abstractNum>
  <w:abstractNum w:abstractNumId="558">
    <w:nsid w:val="17BA092C"/>
    <w:multiLevelType w:val="hybridMultilevel"/>
    <w:lvl w:ilvl="0">
      <w:lvlJc w:val="left"/>
      <w:lvlText w:val="(%1)"/>
      <w:numFmt w:val="lowerLetter"/>
      <w:start w:val="3"/>
    </w:lvl>
  </w:abstractNum>
  <w:abstractNum w:abstractNumId="559">
    <w:nsid w:val="46E70111"/>
    <w:multiLevelType w:val="hybridMultilevel"/>
    <w:lvl w:ilvl="0">
      <w:lvlJc w:val="left"/>
      <w:lvlText w:val="***"/>
      <w:numFmt w:val="bullet"/>
      <w:start w:val="1"/>
    </w:lvl>
  </w:abstractNum>
  <w:abstractNum w:abstractNumId="560">
    <w:nsid w:val="33A737F7"/>
    <w:multiLevelType w:val="hybridMultilevel"/>
    <w:lvl w:ilvl="0">
      <w:lvlJc w:val="left"/>
      <w:lvlText w:val="(%1)"/>
      <w:numFmt w:val="lowerLetter"/>
      <w:start w:val="1"/>
    </w:lvl>
  </w:abstractNum>
  <w:abstractNum w:abstractNumId="561">
    <w:nsid w:val="E766383"/>
    <w:multiLevelType w:val="hybridMultilevel"/>
    <w:lvl w:ilvl="0">
      <w:lvlJc w:val="left"/>
      <w:lvlText w:val="***"/>
      <w:numFmt w:val="bullet"/>
      <w:start w:val="1"/>
    </w:lvl>
  </w:abstractNum>
  <w:abstractNum w:abstractNumId="562">
    <w:nsid w:val="3344C4D6"/>
    <w:multiLevelType w:val="hybridMultilevel"/>
    <w:lvl w:ilvl="0">
      <w:lvlJc w:val="left"/>
      <w:lvlText w:val="***"/>
      <w:numFmt w:val="bullet"/>
      <w:start w:val="1"/>
    </w:lvl>
  </w:abstractNum>
  <w:abstractNum w:abstractNumId="563">
    <w:nsid w:val="5E2C28EE"/>
    <w:multiLevelType w:val="hybridMultilevel"/>
    <w:lvl w:ilvl="0">
      <w:lvlJc w:val="left"/>
      <w:lvlText w:val="(%1)"/>
      <w:numFmt w:val="lowerLetter"/>
      <w:start w:val="1"/>
    </w:lvl>
  </w:abstractNum>
  <w:abstractNum w:abstractNumId="564">
    <w:nsid w:val="9AE133E"/>
    <w:multiLevelType w:val="hybridMultilevel"/>
    <w:lvl w:ilvl="0">
      <w:lvlJc w:val="left"/>
      <w:lvlText w:val="***"/>
      <w:numFmt w:val="bullet"/>
      <w:start w:val="1"/>
    </w:lvl>
  </w:abstractNum>
  <w:abstractNum w:abstractNumId="565">
    <w:nsid w:val="247D7CEF"/>
    <w:multiLevelType w:val="hybridMultilevel"/>
    <w:lvl w:ilvl="0">
      <w:lvlJc w:val="left"/>
      <w:lvlText w:val="(%1)"/>
      <w:numFmt w:val="lowerLetter"/>
      <w:start w:val="2"/>
    </w:lvl>
    <w:lvl w:ilvl="1">
      <w:lvlJc w:val="left"/>
      <w:lvlText w:val="(%2)"/>
      <w:numFmt w:val="lowerRoman"/>
      <w:start w:val="1"/>
    </w:lvl>
  </w:abstractNum>
  <w:abstractNum w:abstractNumId="566">
    <w:nsid w:val="43D60C21"/>
    <w:multiLevelType w:val="hybridMultilevel"/>
    <w:lvl w:ilvl="0">
      <w:lvlJc w:val="left"/>
      <w:lvlText w:val="(%1)"/>
      <w:numFmt w:val="lowerLetter"/>
      <w:start w:val="25"/>
    </w:lvl>
    <w:lvl w:ilvl="1">
      <w:lvlJc w:val="left"/>
      <w:lvlText w:val="(%2)"/>
      <w:numFmt w:val="lowerLetter"/>
      <w:start w:val="3"/>
    </w:lvl>
  </w:abstractNum>
  <w:abstractNum w:abstractNumId="567">
    <w:nsid w:val="15DD687E"/>
    <w:multiLevelType w:val="hybridMultilevel"/>
    <w:lvl w:ilvl="0">
      <w:lvlJc w:val="left"/>
      <w:lvlText w:val="(%1)"/>
      <w:numFmt w:val="lowerLetter"/>
      <w:start w:val="1"/>
    </w:lvl>
  </w:abstractNum>
  <w:abstractNum w:abstractNumId="568">
    <w:nsid w:val="CD5DB95"/>
    <w:multiLevelType w:val="hybridMultilevel"/>
    <w:lvl w:ilvl="0">
      <w:lvlJc w:val="left"/>
      <w:lvlText w:val="***"/>
      <w:numFmt w:val="bullet"/>
      <w:start w:val="1"/>
    </w:lvl>
  </w:abstractNum>
  <w:abstractNum w:abstractNumId="569">
    <w:nsid w:val="35569F99"/>
    <w:multiLevelType w:val="hybridMultilevel"/>
    <w:lvl w:ilvl="0">
      <w:lvlJc w:val="left"/>
      <w:lvlText w:val="(%1)"/>
      <w:numFmt w:val="lowerLetter"/>
      <w:start w:val="3"/>
    </w:lvl>
  </w:abstractNum>
  <w:abstractNum w:abstractNumId="570">
    <w:nsid w:val="73FBF336"/>
    <w:multiLevelType w:val="hybridMultilevel"/>
    <w:lvl w:ilvl="0">
      <w:lvlJc w:val="left"/>
      <w:lvlText w:val="***"/>
      <w:numFmt w:val="bullet"/>
      <w:start w:val="1"/>
    </w:lvl>
  </w:abstractNum>
  <w:abstractNum w:abstractNumId="571">
    <w:nsid w:val="6BED4A53"/>
    <w:multiLevelType w:val="hybridMultilevel"/>
    <w:lvl w:ilvl="0">
      <w:lvlJc w:val="left"/>
      <w:lvlText w:val="(%1)"/>
      <w:numFmt w:val="lowerLetter"/>
      <w:start w:val="1"/>
    </w:lvl>
  </w:abstractNum>
  <w:abstractNum w:abstractNumId="572">
    <w:nsid w:val="127E6585"/>
    <w:multiLevelType w:val="hybridMultilevel"/>
    <w:lvl w:ilvl="0">
      <w:lvlJc w:val="left"/>
      <w:lvlText w:val="***"/>
      <w:numFmt w:val="bullet"/>
      <w:start w:val="1"/>
    </w:lvl>
  </w:abstractNum>
  <w:abstractNum w:abstractNumId="573">
    <w:nsid w:val="518AFBEE"/>
    <w:multiLevelType w:val="hybridMultilevel"/>
    <w:lvl w:ilvl="0">
      <w:lvlJc w:val="left"/>
      <w:lvlText w:val="%1"/>
      <w:numFmt w:val="lowerLetter"/>
      <w:start w:val="1"/>
    </w:lvl>
    <w:lvl w:ilvl="1">
      <w:lvlJc w:val="left"/>
      <w:lvlText w:val="(%2)"/>
      <w:numFmt w:val="lowerLetter"/>
      <w:start w:val="4"/>
    </w:lvl>
  </w:abstractNum>
  <w:abstractNum w:abstractNumId="574">
    <w:nsid w:val="3F754C7B"/>
    <w:multiLevelType w:val="hybridMultilevel"/>
    <w:lvl w:ilvl="0">
      <w:lvlJc w:val="left"/>
      <w:lvlText w:val="(%1)"/>
      <w:numFmt w:val="lowerLetter"/>
      <w:start w:val="9"/>
    </w:lvl>
    <w:lvl w:ilvl="1">
      <w:lvlJc w:val="left"/>
      <w:lvlText w:val="(%2)"/>
      <w:numFmt w:val="lowerLetter"/>
      <w:start w:val="5"/>
    </w:lvl>
  </w:abstractNum>
  <w:abstractNum w:abstractNumId="575">
    <w:nsid w:val="610FA1D6"/>
    <w:multiLevelType w:val="hybridMultilevel"/>
    <w:lvl w:ilvl="0">
      <w:lvlJc w:val="left"/>
      <w:lvlText w:val="(%1)"/>
      <w:numFmt w:val="lowerLetter"/>
      <w:start w:val="1"/>
    </w:lvl>
  </w:abstractNum>
  <w:abstractNum w:abstractNumId="576">
    <w:nsid w:val="5048B22C"/>
    <w:multiLevelType w:val="hybridMultilevel"/>
    <w:lvl w:ilvl="0">
      <w:lvlJc w:val="left"/>
      <w:lvlText w:val="***"/>
      <w:numFmt w:val="bullet"/>
      <w:start w:val="1"/>
    </w:lvl>
  </w:abstractNum>
  <w:abstractNum w:abstractNumId="577">
    <w:nsid w:val="257273DB"/>
    <w:multiLevelType w:val="hybridMultilevel"/>
    <w:lvl w:ilvl="0">
      <w:lvlJc w:val="left"/>
      <w:lvlText w:val="***"/>
      <w:numFmt w:val="bullet"/>
      <w:start w:val="1"/>
    </w:lvl>
  </w:abstractNum>
  <w:abstractNum w:abstractNumId="578">
    <w:nsid w:val="3B192CFD"/>
    <w:multiLevelType w:val="hybridMultilevel"/>
    <w:lvl w:ilvl="0">
      <w:lvlJc w:val="left"/>
      <w:lvlText w:val="(%1)"/>
      <w:numFmt w:val="lowerLetter"/>
      <w:start w:val="1"/>
    </w:lvl>
  </w:abstractNum>
  <w:abstractNum w:abstractNumId="579">
    <w:nsid w:val="2707E622"/>
    <w:multiLevelType w:val="hybridMultilevel"/>
    <w:lvl w:ilvl="0">
      <w:lvlJc w:val="left"/>
      <w:lvlText w:val="***"/>
      <w:numFmt w:val="bullet"/>
      <w:start w:val="1"/>
    </w:lvl>
  </w:abstractNum>
  <w:abstractNum w:abstractNumId="580">
    <w:nsid w:val="11ACAB8C"/>
    <w:multiLevelType w:val="hybridMultilevel"/>
    <w:lvl w:ilvl="0">
      <w:lvlJc w:val="left"/>
      <w:lvlText w:val="(%1)"/>
      <w:numFmt w:val="lowerLetter"/>
      <w:start w:val="3"/>
    </w:lvl>
  </w:abstractNum>
  <w:abstractNum w:abstractNumId="581">
    <w:nsid w:val="2486D4C7"/>
    <w:multiLevelType w:val="hybridMultilevel"/>
    <w:lvl w:ilvl="0">
      <w:lvlJc w:val="left"/>
      <w:lvlText w:val="***"/>
      <w:numFmt w:val="bullet"/>
      <w:start w:val="1"/>
    </w:lvl>
  </w:abstractNum>
  <w:abstractNum w:abstractNumId="582">
    <w:nsid w:val="199792D3"/>
    <w:multiLevelType w:val="hybridMultilevel"/>
    <w:lvl w:ilvl="0">
      <w:lvlJc w:val="left"/>
      <w:lvlText w:val="***"/>
      <w:numFmt w:val="bullet"/>
      <w:start w:val="1"/>
    </w:lvl>
  </w:abstractNum>
  <w:abstractNum w:abstractNumId="583">
    <w:nsid w:val="20A658BB"/>
    <w:multiLevelType w:val="hybridMultilevel"/>
    <w:lvl w:ilvl="0">
      <w:lvlJc w:val="left"/>
      <w:lvlText w:val="***"/>
      <w:numFmt w:val="bullet"/>
      <w:start w:val="1"/>
    </w:lvl>
  </w:abstractNum>
  <w:abstractNum w:abstractNumId="584">
    <w:nsid w:val="49CC7C90"/>
    <w:multiLevelType w:val="hybridMultilevel"/>
    <w:lvl w:ilvl="0">
      <w:lvlJc w:val="left"/>
      <w:lvlText w:val="***"/>
      <w:numFmt w:val="bullet"/>
      <w:start w:val="1"/>
    </w:lvl>
  </w:abstractNum>
  <w:abstractNum w:abstractNumId="585">
    <w:nsid w:val="62F22CB0"/>
    <w:multiLevelType w:val="hybridMultilevel"/>
    <w:lvl w:ilvl="0">
      <w:lvlJc w:val="left"/>
      <w:lvlText w:val="***"/>
      <w:numFmt w:val="bullet"/>
      <w:start w:val="1"/>
    </w:lvl>
  </w:abstractNum>
  <w:abstractNum w:abstractNumId="586">
    <w:nsid w:val="CE40C80"/>
    <w:multiLevelType w:val="hybridMultilevel"/>
    <w:lvl w:ilvl="0">
      <w:lvlJc w:val="left"/>
      <w:lvlText w:val="***"/>
      <w:numFmt w:val="bullet"/>
      <w:start w:val="1"/>
    </w:lvl>
  </w:abstractNum>
  <w:abstractNum w:abstractNumId="587">
    <w:nsid w:val="4A226C56"/>
    <w:multiLevelType w:val="hybridMultilevel"/>
    <w:lvl w:ilvl="0">
      <w:lvlJc w:val="left"/>
      <w:lvlText w:val="(%1)"/>
      <w:numFmt w:val="lowerLetter"/>
      <w:start w:val="1"/>
    </w:lvl>
  </w:abstractNum>
  <w:abstractNum w:abstractNumId="588">
    <w:nsid w:val="3AEB6B48"/>
    <w:multiLevelType w:val="hybridMultilevel"/>
    <w:lvl w:ilvl="0">
      <w:lvlJc w:val="left"/>
      <w:lvlText w:val="***"/>
      <w:numFmt w:val="bullet"/>
      <w:start w:val="1"/>
    </w:lvl>
  </w:abstractNum>
  <w:abstractNum w:abstractNumId="589">
    <w:nsid w:val="249E15AC"/>
    <w:multiLevelType w:val="hybridMultilevel"/>
    <w:lvl w:ilvl="0">
      <w:lvlJc w:val="left"/>
      <w:lvlText w:val="(%1)"/>
      <w:numFmt w:val="lowerLetter"/>
      <w:start w:val="1"/>
    </w:lvl>
  </w:abstractNum>
  <w:abstractNum w:abstractNumId="590">
    <w:nsid w:val="11096D68"/>
    <w:multiLevelType w:val="hybridMultilevel"/>
    <w:lvl w:ilvl="0">
      <w:lvlJc w:val="left"/>
      <w:lvlText w:val="***"/>
      <w:numFmt w:val="bullet"/>
      <w:start w:val="1"/>
    </w:lvl>
  </w:abstractNum>
  <w:abstractNum w:abstractNumId="591">
    <w:nsid w:val="6E92A33F"/>
    <w:multiLevelType w:val="hybridMultilevel"/>
    <w:lvl w:ilvl="0">
      <w:lvlJc w:val="left"/>
      <w:lvlText w:val="***"/>
      <w:numFmt w:val="bullet"/>
      <w:start w:val="1"/>
    </w:lvl>
  </w:abstractNum>
  <w:abstractNum w:abstractNumId="592">
    <w:nsid w:val="3314792F"/>
    <w:multiLevelType w:val="hybridMultilevel"/>
    <w:lvl w:ilvl="0">
      <w:lvlJc w:val="left"/>
      <w:lvlText w:val="***"/>
      <w:numFmt w:val="bullet"/>
      <w:start w:val="1"/>
    </w:lvl>
  </w:abstractNum>
  <w:abstractNum w:abstractNumId="593">
    <w:nsid w:val="444E323E"/>
    <w:multiLevelType w:val="hybridMultilevel"/>
    <w:lvl w:ilvl="0">
      <w:lvlJc w:val="left"/>
      <w:lvlText w:val="(%1)"/>
      <w:numFmt w:val="lowerLetter"/>
      <w:start w:val="1"/>
    </w:lvl>
  </w:abstractNum>
  <w:abstractNum w:abstractNumId="594">
    <w:nsid w:val="4CBECC2D"/>
    <w:multiLevelType w:val="hybridMultilevel"/>
    <w:lvl w:ilvl="0">
      <w:lvlJc w:val="left"/>
      <w:lvlText w:val="***"/>
      <w:numFmt w:val="bullet"/>
      <w:start w:val="1"/>
    </w:lvl>
  </w:abstractNum>
  <w:abstractNum w:abstractNumId="595">
    <w:nsid w:val="3CC28C6E"/>
    <w:multiLevelType w:val="hybridMultilevel"/>
    <w:lvl w:ilvl="0">
      <w:lvlJc w:val="left"/>
      <w:lvlText w:val="***"/>
      <w:numFmt w:val="bullet"/>
      <w:start w:val="1"/>
    </w:lvl>
  </w:abstractNum>
  <w:abstractNum w:abstractNumId="596">
    <w:nsid w:val="68CBAF2D"/>
    <w:multiLevelType w:val="hybridMultilevel"/>
    <w:lvl w:ilvl="0">
      <w:lvlJc w:val="left"/>
      <w:lvlText w:val="(%1)"/>
      <w:numFmt w:val="lowerLetter"/>
      <w:start w:val="1"/>
    </w:lvl>
  </w:abstractNum>
  <w:abstractNum w:abstractNumId="597">
    <w:nsid w:val="1094D84E"/>
    <w:multiLevelType w:val="hybridMultilevel"/>
    <w:lvl w:ilvl="0">
      <w:lvlJc w:val="left"/>
      <w:lvlText w:val="***"/>
      <w:numFmt w:val="bullet"/>
      <w:start w:val="1"/>
    </w:lvl>
  </w:abstractNum>
  <w:abstractNum w:abstractNumId="598">
    <w:nsid w:val="529FF4EC"/>
    <w:multiLevelType w:val="hybridMultilevel"/>
    <w:lvl w:ilvl="0">
      <w:lvlJc w:val="left"/>
      <w:lvlText w:val="(%1)"/>
      <w:numFmt w:val="lowerLetter"/>
      <w:start w:val="1"/>
    </w:lvl>
  </w:abstractNum>
  <w:abstractNum w:abstractNumId="599">
    <w:nsid w:val="75A18AC2"/>
    <w:multiLevelType w:val="hybridMultilevel"/>
    <w:lvl w:ilvl="0">
      <w:lvlJc w:val="left"/>
      <w:lvlText w:val="***"/>
      <w:numFmt w:val="bullet"/>
      <w:start w:val="1"/>
    </w:lvl>
  </w:abstractNum>
  <w:abstractNum w:abstractNumId="600">
    <w:nsid w:val="45EB77E8"/>
    <w:multiLevelType w:val="hybridMultilevel"/>
    <w:lvl w:ilvl="0">
      <w:lvlJc w:val="left"/>
      <w:lvlText w:val="***"/>
      <w:numFmt w:val="bullet"/>
      <w:start w:val="1"/>
    </w:lvl>
  </w:abstractNum>
  <w:abstractNum w:abstractNumId="601">
    <w:nsid w:val="469BE822"/>
    <w:multiLevelType w:val="hybridMultilevel"/>
    <w:lvl w:ilvl="0">
      <w:lvlJc w:val="left"/>
      <w:lvlText w:val="***"/>
      <w:numFmt w:val="bullet"/>
      <w:start w:val="1"/>
    </w:lvl>
  </w:abstractNum>
  <w:abstractNum w:abstractNumId="602">
    <w:nsid w:val="618ED516"/>
    <w:multiLevelType w:val="hybridMultilevel"/>
    <w:lvl w:ilvl="0">
      <w:lvlJc w:val="left"/>
      <w:lvlText w:val="(%1)"/>
      <w:numFmt w:val="lowerLetter"/>
      <w:start w:val="1"/>
    </w:lvl>
  </w:abstractNum>
  <w:abstractNum w:abstractNumId="603">
    <w:nsid w:val="5869DD6D"/>
    <w:multiLevelType w:val="hybridMultilevel"/>
    <w:lvl w:ilvl="0">
      <w:lvlJc w:val="left"/>
      <w:lvlText w:val="(%1)"/>
      <w:numFmt w:val="lowerLetter"/>
      <w:start w:val="1"/>
    </w:lvl>
  </w:abstractNum>
  <w:abstractNum w:abstractNumId="604">
    <w:nsid w:val="1826E411"/>
    <w:multiLevelType w:val="hybridMultilevel"/>
    <w:lvl w:ilvl="0">
      <w:lvlJc w:val="left"/>
      <w:lvlText w:val="***"/>
      <w:numFmt w:val="bullet"/>
      <w:start w:val="1"/>
    </w:lvl>
  </w:abstractNum>
  <w:abstractNum w:abstractNumId="605">
    <w:nsid w:val="21042191"/>
    <w:multiLevelType w:val="hybridMultilevel"/>
    <w:lvl w:ilvl="0">
      <w:lvlJc w:val="left"/>
      <w:lvlText w:val="*"/>
      <w:numFmt w:val="bullet"/>
      <w:start w:val="1"/>
    </w:lvl>
  </w:abstractNum>
  <w:abstractNum w:abstractNumId="606">
    <w:nsid w:val="39797F44"/>
    <w:multiLevelType w:val="hybridMultilevel"/>
    <w:lvl w:ilvl="0">
      <w:lvlJc w:val="left"/>
      <w:lvlText w:val="(%1)"/>
      <w:numFmt w:val="lowerRoman"/>
      <w:start w:val="1"/>
    </w:lvl>
  </w:abstractNum>
  <w:abstractNum w:abstractNumId="607">
    <w:nsid w:val="686F963D"/>
    <w:multiLevelType w:val="hybridMultilevel"/>
    <w:lvl w:ilvl="0">
      <w:lvlJc w:val="left"/>
      <w:lvlText w:val="(%1)"/>
      <w:numFmt w:val="lowerRoman"/>
      <w:start w:val="5"/>
    </w:lvl>
  </w:abstractNum>
  <w:abstractNum w:abstractNumId="608">
    <w:nsid w:val="4676956C"/>
    <w:multiLevelType w:val="hybridMultilevel"/>
    <w:lvl w:ilvl="0">
      <w:lvlJc w:val="left"/>
      <w:lvlText w:val="***"/>
      <w:numFmt w:val="bullet"/>
      <w:start w:val="1"/>
    </w:lvl>
  </w:abstractNum>
  <w:abstractNum w:abstractNumId="609">
    <w:nsid w:val="7492AC41"/>
    <w:multiLevelType w:val="hybridMultilevel"/>
    <w:lvl w:ilvl="0">
      <w:lvlJc w:val="left"/>
      <w:lvlText w:val="***"/>
      <w:numFmt w:val="bullet"/>
      <w:start w:val="1"/>
    </w:lvl>
  </w:abstractNum>
  <w:abstractNum w:abstractNumId="610">
    <w:nsid w:val="F777C5F"/>
    <w:multiLevelType w:val="hybridMultilevel"/>
    <w:lvl w:ilvl="0">
      <w:lvlJc w:val="left"/>
      <w:lvlText w:val="(%1)"/>
      <w:numFmt w:val="lowerLetter"/>
      <w:start w:val="1"/>
    </w:lvl>
  </w:abstractNum>
  <w:abstractNum w:abstractNumId="611">
    <w:nsid w:val="582340F8"/>
    <w:multiLevelType w:val="hybridMultilevel"/>
    <w:lvl w:ilvl="0">
      <w:lvlJc w:val="left"/>
      <w:lvlText w:val="***"/>
      <w:numFmt w:val="bullet"/>
      <w:start w:val="1"/>
    </w:lvl>
  </w:abstractNum>
  <w:abstractNum w:abstractNumId="612">
    <w:nsid w:val="19198108"/>
    <w:multiLevelType w:val="hybridMultilevel"/>
    <w:lvl w:ilvl="0">
      <w:lvlJc w:val="left"/>
      <w:lvlText w:val="%1"/>
      <w:numFmt w:val="lowerLetter"/>
      <w:start w:val="1"/>
    </w:lvl>
    <w:lvl w:ilvl="1">
      <w:lvlJc w:val="left"/>
      <w:lvlText w:val="(%2)"/>
      <w:numFmt w:val="lowerLetter"/>
      <w:start w:val="2"/>
    </w:lvl>
  </w:abstractNum>
  <w:abstractNum w:abstractNumId="613">
    <w:nsid w:val="290F0F32"/>
    <w:multiLevelType w:val="hybridMultilevel"/>
    <w:lvl w:ilvl="0">
      <w:lvlJc w:val="left"/>
      <w:lvlText w:val="(%1)"/>
      <w:numFmt w:val="lowerLetter"/>
      <w:start w:val="61"/>
    </w:lvl>
    <w:lvl w:ilvl="1">
      <w:lvlJc w:val="left"/>
      <w:lvlText w:val="%2"/>
      <w:numFmt w:val="lowerLetter"/>
      <w:start w:val="1"/>
    </w:lvl>
  </w:abstractNum>
  <w:abstractNum w:abstractNumId="614">
    <w:nsid w:val="78C999B4"/>
    <w:multiLevelType w:val="hybridMultilevel"/>
    <w:lvl w:ilvl="0">
      <w:lvlJc w:val="left"/>
      <w:lvlText w:val="***"/>
      <w:numFmt w:val="bullet"/>
      <w:start w:val="1"/>
    </w:lvl>
  </w:abstractNum>
  <w:abstractNum w:abstractNumId="615">
    <w:nsid w:val="62E5FD99"/>
    <w:multiLevelType w:val="hybridMultilevel"/>
    <w:lvl w:ilvl="0">
      <w:lvlJc w:val="left"/>
      <w:lvlText w:val="***"/>
      <w:numFmt w:val="bullet"/>
      <w:start w:val="1"/>
    </w:lvl>
  </w:abstractNum>
  <w:abstractNum w:abstractNumId="616">
    <w:nsid w:val="C013BE2"/>
    <w:multiLevelType w:val="hybridMultilevel"/>
    <w:lvl w:ilvl="0">
      <w:lvlJc w:val="left"/>
      <w:lvlText w:val="***"/>
      <w:numFmt w:val="bullet"/>
      <w:start w:val="1"/>
    </w:lvl>
  </w:abstractNum>
  <w:abstractNum w:abstractNumId="617">
    <w:nsid w:val="5ADA634"/>
    <w:multiLevelType w:val="hybridMultilevel"/>
    <w:lvl w:ilvl="0">
      <w:lvlJc w:val="left"/>
      <w:lvlText w:val="***"/>
      <w:numFmt w:val="bullet"/>
      <w:start w:val="1"/>
    </w:lvl>
  </w:abstractNum>
  <w:abstractNum w:abstractNumId="618">
    <w:nsid w:val="2D0869EF"/>
    <w:multiLevelType w:val="hybridMultilevel"/>
    <w:lvl w:ilvl="0">
      <w:lvlJc w:val="left"/>
      <w:lvlText w:val="(%1)"/>
      <w:numFmt w:val="lowerLetter"/>
      <w:start w:val="1"/>
    </w:lvl>
  </w:abstractNum>
  <w:abstractNum w:abstractNumId="619">
    <w:nsid w:val="46ECA72A"/>
    <w:multiLevelType w:val="hybridMultilevel"/>
    <w:lvl w:ilvl="0">
      <w:lvlJc w:val="left"/>
      <w:lvlText w:val="***"/>
      <w:numFmt w:val="bullet"/>
      <w:start w:val="1"/>
    </w:lvl>
  </w:abstractNum>
  <w:abstractNum w:abstractNumId="620">
    <w:nsid w:val="2A4BBBE0"/>
    <w:multiLevelType w:val="hybridMultilevel"/>
    <w:lvl w:ilvl="0">
      <w:lvlJc w:val="left"/>
      <w:lvlText w:val="(%1)"/>
      <w:numFmt w:val="lowerLetter"/>
      <w:start w:val="3"/>
    </w:lvl>
  </w:abstractNum>
  <w:abstractNum w:abstractNumId="621">
    <w:nsid w:val="3E11D757"/>
    <w:multiLevelType w:val="hybridMultilevel"/>
    <w:lvl w:ilvl="0">
      <w:lvlJc w:val="left"/>
      <w:lvlText w:val="***"/>
      <w:numFmt w:val="bullet"/>
      <w:start w:val="1"/>
    </w:lvl>
  </w:abstractNum>
  <w:abstractNum w:abstractNumId="622">
    <w:nsid w:val="357F4A69"/>
    <w:multiLevelType w:val="hybridMultilevel"/>
    <w:lvl w:ilvl="0">
      <w:lvlJc w:val="left"/>
      <w:lvlText w:val="%1"/>
      <w:numFmt w:val="lowerLetter"/>
      <w:start w:val="1"/>
    </w:lvl>
    <w:lvl w:ilvl="1">
      <w:lvlJc w:val="left"/>
      <w:lvlText w:val="(%2)"/>
      <w:numFmt w:val="lowerLetter"/>
      <w:start w:val="1"/>
    </w:lvl>
  </w:abstractNum>
  <w:abstractNum w:abstractNumId="623">
    <w:nsid w:val="5D603510"/>
    <w:multiLevelType w:val="hybridMultilevel"/>
    <w:lvl w:ilvl="0">
      <w:lvlJc w:val="left"/>
      <w:lvlText w:val="(%1)"/>
      <w:numFmt w:val="lowerLetter"/>
      <w:start w:val="19"/>
    </w:lvl>
    <w:lvl w:ilvl="1">
      <w:lvlJc w:val="left"/>
      <w:lvlText w:val="(%2)"/>
      <w:numFmt w:val="lowerLetter"/>
      <w:start w:val="2"/>
    </w:lvl>
  </w:abstractNum>
  <w:abstractNum w:abstractNumId="624">
    <w:nsid w:val="2600995"/>
    <w:multiLevelType w:val="hybridMultilevel"/>
    <w:lvl w:ilvl="0">
      <w:lvlJc w:val="left"/>
      <w:lvlText w:val="***"/>
      <w:numFmt w:val="bullet"/>
      <w:start w:val="1"/>
    </w:lvl>
  </w:abstractNum>
  <w:abstractNum w:abstractNumId="625">
    <w:nsid w:val="23E1696"/>
    <w:multiLevelType w:val="hybridMultilevel"/>
    <w:lvl w:ilvl="0">
      <w:lvlJc w:val="left"/>
      <w:lvlText w:val="(%1)"/>
      <w:numFmt w:val="lowerLetter"/>
      <w:start w:val="5"/>
    </w:lvl>
  </w:abstractNum>
  <w:abstractNum w:abstractNumId="626">
    <w:nsid w:val="1A22C17E"/>
    <w:multiLevelType w:val="hybridMultilevel"/>
    <w:lvl w:ilvl="0">
      <w:lvlJc w:val="left"/>
      <w:lvlText w:val="***"/>
      <w:numFmt w:val="bullet"/>
      <w:start w:val="1"/>
    </w:lvl>
  </w:abstractNum>
  <w:abstractNum w:abstractNumId="627">
    <w:nsid w:val="6B2BB8C2"/>
    <w:multiLevelType w:val="hybridMultilevel"/>
    <w:lvl w:ilvl="0">
      <w:lvlJc w:val="left"/>
      <w:lvlText w:val="(%1)"/>
      <w:numFmt w:val="lowerLetter"/>
      <w:start w:val="1"/>
    </w:lvl>
  </w:abstractNum>
  <w:abstractNum w:abstractNumId="628">
    <w:nsid w:val="12D2EEE5"/>
    <w:multiLevelType w:val="hybridMultilevel"/>
    <w:lvl w:ilvl="0">
      <w:lvlJc w:val="left"/>
      <w:lvlText w:val="***"/>
      <w:numFmt w:val="bullet"/>
      <w:start w:val="1"/>
    </w:lvl>
  </w:abstractNum>
  <w:abstractNum w:abstractNumId="629">
    <w:nsid w:val="6CC2B66A"/>
    <w:multiLevelType w:val="hybridMultilevel"/>
    <w:lvl w:ilvl="0">
      <w:lvlJc w:val="left"/>
      <w:lvlText w:val="(%1)"/>
      <w:numFmt w:val="lowerLetter"/>
      <w:start w:val="2"/>
    </w:lvl>
    <w:lvl w:ilvl="1">
      <w:lvlJc w:val="left"/>
      <w:lvlText w:val="(%2)"/>
      <w:numFmt w:val="lowerRoman"/>
      <w:start w:val="1"/>
    </w:lvl>
  </w:abstractNum>
  <w:abstractNum w:abstractNumId="630">
    <w:nsid w:val="60CD4385"/>
    <w:multiLevelType w:val="hybridMultilevel"/>
    <w:lvl w:ilvl="0">
      <w:lvlJc w:val="left"/>
      <w:lvlText w:val="***"/>
      <w:numFmt w:val="bullet"/>
      <w:start w:val="1"/>
    </w:lvl>
  </w:abstractNum>
  <w:abstractNum w:abstractNumId="631">
    <w:nsid w:val="58BE66CD"/>
    <w:multiLevelType w:val="hybridMultilevel"/>
    <w:lvl w:ilvl="0">
      <w:lvlJc w:val="left"/>
      <w:lvlText w:val="(%1)"/>
      <w:numFmt w:val="lowerLetter"/>
      <w:start w:val="5"/>
    </w:lvl>
    <w:lvl w:ilvl="1">
      <w:lvlJc w:val="left"/>
      <w:lvlText w:val="(%2)"/>
      <w:numFmt w:val="lowerRoman"/>
      <w:start w:val="1"/>
    </w:lvl>
  </w:abstractNum>
  <w:abstractNum w:abstractNumId="632">
    <w:nsid w:val="335E9E8D"/>
    <w:multiLevelType w:val="hybridMultilevel"/>
    <w:lvl w:ilvl="0">
      <w:lvlJc w:val="left"/>
      <w:lvlText w:val="***"/>
      <w:numFmt w:val="bullet"/>
      <w:start w:val="1"/>
    </w:lvl>
  </w:abstractNum>
  <w:abstractNum w:abstractNumId="633">
    <w:nsid w:val="425C189B"/>
    <w:multiLevelType w:val="hybridMultilevel"/>
    <w:lvl w:ilvl="0">
      <w:lvlJc w:val="left"/>
      <w:lvlText w:val="(%1)"/>
      <w:numFmt w:val="lowerLetter"/>
      <w:start w:val="7"/>
    </w:lvl>
  </w:abstractNum>
  <w:abstractNum w:abstractNumId="634">
    <w:nsid w:val="3128443A"/>
    <w:multiLevelType w:val="hybridMultilevel"/>
    <w:lvl w:ilvl="0">
      <w:lvlJc w:val="left"/>
      <w:lvlText w:val="***"/>
      <w:numFmt w:val="bullet"/>
      <w:start w:val="1"/>
    </w:lvl>
  </w:abstractNum>
  <w:abstractNum w:abstractNumId="635">
    <w:nsid w:val="4B85829E"/>
    <w:multiLevelType w:val="hybridMultilevel"/>
    <w:lvl w:ilvl="0">
      <w:lvlJc w:val="left"/>
      <w:lvlText w:val="(%1)"/>
      <w:numFmt w:val="upperLetter"/>
      <w:start w:val="2"/>
    </w:lvl>
  </w:abstractNum>
  <w:abstractNum w:abstractNumId="636">
    <w:nsid w:val="63603A2C"/>
    <w:multiLevelType w:val="hybridMultilevel"/>
    <w:lvl w:ilvl="0">
      <w:lvlJc w:val="left"/>
      <w:lvlText w:val="***"/>
      <w:numFmt w:val="bullet"/>
      <w:start w:val="1"/>
    </w:lvl>
  </w:abstractNum>
  <w:abstractNum w:abstractNumId="637">
    <w:nsid w:val="6AA1C37E"/>
    <w:multiLevelType w:val="hybridMultilevel"/>
    <w:lvl w:ilvl="0">
      <w:lvlJc w:val="left"/>
      <w:lvlText w:val="***"/>
      <w:numFmt w:val="bullet"/>
      <w:start w:val="1"/>
    </w:lvl>
  </w:abstractNum>
  <w:abstractNum w:abstractNumId="638">
    <w:nsid w:val="33F518DB"/>
    <w:multiLevelType w:val="hybridMultilevel"/>
    <w:lvl w:ilvl="0">
      <w:lvlJc w:val="left"/>
      <w:lvlText w:val="***"/>
      <w:numFmt w:val="bullet"/>
      <w:start w:val="1"/>
    </w:lvl>
  </w:abstractNum>
  <w:abstractNum w:abstractNumId="639">
    <w:nsid w:val="29D6CF99"/>
    <w:multiLevelType w:val="hybridMultilevel"/>
    <w:lvl w:ilvl="0">
      <w:lvlJc w:val="left"/>
      <w:lvlText w:val="(%1)"/>
      <w:numFmt w:val="lowerLetter"/>
      <w:start w:val="2"/>
    </w:lvl>
  </w:abstractNum>
  <w:abstractNum w:abstractNumId="640">
    <w:nsid w:val="5F346FC0"/>
    <w:multiLevelType w:val="hybridMultilevel"/>
    <w:lvl w:ilvl="0">
      <w:lvlJc w:val="left"/>
      <w:lvlText w:val="***"/>
      <w:numFmt w:val="bullet"/>
      <w:start w:val="1"/>
    </w:lvl>
  </w:abstractNum>
  <w:abstractNum w:abstractNumId="641">
    <w:nsid w:val="436C953A"/>
    <w:multiLevelType w:val="hybridMultilevel"/>
    <w:lvl w:ilvl="0">
      <w:lvlJc w:val="left"/>
      <w:lvlText w:val="***"/>
      <w:numFmt w:val="bullet"/>
      <w:start w:val="1"/>
    </w:lvl>
  </w:abstractNum>
  <w:abstractNum w:abstractNumId="642">
    <w:nsid w:val="1FA1091"/>
    <w:multiLevelType w:val="hybridMultilevel"/>
    <w:lvl w:ilvl="0">
      <w:lvlJc w:val="left"/>
      <w:lvlText w:val="***"/>
      <w:numFmt w:val="bullet"/>
      <w:start w:val="1"/>
    </w:lvl>
  </w:abstractNum>
  <w:abstractNum w:abstractNumId="643">
    <w:nsid w:val="784DF0C8"/>
    <w:multiLevelType w:val="hybridMultilevel"/>
    <w:lvl w:ilvl="0">
      <w:lvlJc w:val="left"/>
      <w:lvlText w:val="***"/>
      <w:numFmt w:val="bullet"/>
      <w:start w:val="1"/>
    </w:lvl>
  </w:abstractNum>
  <w:abstractNum w:abstractNumId="644">
    <w:nsid w:val="6C7BA46C"/>
    <w:multiLevelType w:val="hybridMultilevel"/>
    <w:lvl w:ilvl="0">
      <w:lvlJc w:val="left"/>
      <w:lvlText w:val="***"/>
      <w:numFmt w:val="bullet"/>
      <w:start w:val="1"/>
    </w:lvl>
  </w:abstractNum>
  <w:abstractNum w:abstractNumId="645">
    <w:nsid w:val="7AC3AA45"/>
    <w:multiLevelType w:val="hybridMultilevel"/>
    <w:lvl w:ilvl="0">
      <w:lvlJc w:val="left"/>
      <w:lvlText w:val="***"/>
      <w:numFmt w:val="bullet"/>
      <w:start w:val="1"/>
    </w:lvl>
  </w:abstractNum>
  <w:abstractNum w:abstractNumId="646">
    <w:nsid w:val="5B33EE61"/>
    <w:multiLevelType w:val="hybridMultilevel"/>
    <w:lvl w:ilvl="0">
      <w:lvlJc w:val="left"/>
      <w:lvlText w:val="***"/>
      <w:numFmt w:val="bullet"/>
      <w:start w:val="1"/>
    </w:lvl>
  </w:abstractNum>
  <w:abstractNum w:abstractNumId="647">
    <w:nsid w:val="787CE04F"/>
    <w:multiLevelType w:val="hybridMultilevel"/>
    <w:lvl w:ilvl="0">
      <w:lvlJc w:val="left"/>
      <w:lvlText w:val="***"/>
      <w:numFmt w:val="bullet"/>
      <w:start w:val="1"/>
    </w:lvl>
  </w:abstractNum>
  <w:abstractNum w:abstractNumId="648">
    <w:nsid w:val="715079"/>
    <w:multiLevelType w:val="hybridMultilevel"/>
    <w:lvl w:ilvl="0">
      <w:lvlJc w:val="left"/>
      <w:lvlText w:val="(%1)"/>
      <w:numFmt w:val="lowerLetter"/>
      <w:start w:val="1"/>
    </w:lvl>
  </w:abstractNum>
  <w:abstractNum w:abstractNumId="649">
    <w:nsid w:val="83C5851"/>
    <w:multiLevelType w:val="hybridMultilevel"/>
    <w:lvl w:ilvl="0">
      <w:lvlJc w:val="left"/>
      <w:lvlText w:val="(%1)"/>
      <w:numFmt w:val="lowerLetter"/>
      <w:start w:val="1"/>
    </w:lvl>
  </w:abstractNum>
  <w:abstractNum w:abstractNumId="650">
    <w:nsid w:val="3F698779"/>
    <w:multiLevelType w:val="hybridMultilevel"/>
    <w:lvl w:ilvl="0">
      <w:lvlJc w:val="left"/>
      <w:lvlText w:val="***"/>
      <w:numFmt w:val="bullet"/>
      <w:start w:val="1"/>
    </w:lvl>
  </w:abstractNum>
  <w:abstractNum w:abstractNumId="651">
    <w:nsid w:val="2ABD0C5A"/>
    <w:multiLevelType w:val="hybridMultilevel"/>
    <w:lvl w:ilvl="0">
      <w:lvlJc w:val="left"/>
      <w:lvlText w:val="***"/>
      <w:numFmt w:val="bullet"/>
      <w:start w:val="1"/>
    </w:lvl>
  </w:abstractNum>
  <w:abstractNum w:abstractNumId="652">
    <w:nsid w:val="464E2FA8"/>
    <w:multiLevelType w:val="hybridMultilevel"/>
    <w:lvl w:ilvl="0">
      <w:lvlJc w:val="left"/>
      <w:lvlText w:val="(%1)"/>
      <w:numFmt w:val="lowerLetter"/>
      <w:start w:val="1"/>
    </w:lvl>
    <w:lvl w:ilvl="1">
      <w:lvlJc w:val="left"/>
      <w:lvlText w:val="(%2)"/>
      <w:numFmt w:val="lowerRoman"/>
      <w:start w:val="1"/>
    </w:lvl>
  </w:abstractNum>
  <w:abstractNum w:abstractNumId="653">
    <w:nsid w:val="74E8D1E3"/>
    <w:multiLevelType w:val="hybridMultilevel"/>
    <w:lvl w:ilvl="0">
      <w:lvlJc w:val="left"/>
      <w:lvlText w:val="***"/>
      <w:numFmt w:val="bullet"/>
      <w:start w:val="1"/>
    </w:lvl>
  </w:abstractNum>
  <w:abstractNum w:abstractNumId="654">
    <w:nsid w:val="81D416A"/>
    <w:multiLevelType w:val="hybridMultilevel"/>
    <w:lvl w:ilvl="0">
      <w:lvlJc w:val="left"/>
      <w:lvlText w:val="(%1)"/>
      <w:numFmt w:val="lowerRoman"/>
      <w:start w:val="3"/>
    </w:lvl>
  </w:abstractNum>
  <w:abstractNum w:abstractNumId="655">
    <w:nsid w:val="48AE393E"/>
    <w:multiLevelType w:val="hybridMultilevel"/>
    <w:lvl w:ilvl="0">
      <w:lvlJc w:val="left"/>
      <w:lvlText w:val="(%1)"/>
      <w:numFmt w:val="lowerLetter"/>
      <w:start w:val="1"/>
    </w:lvl>
  </w:abstractNum>
  <w:abstractNum w:abstractNumId="656">
    <w:nsid w:val="7726E879"/>
    <w:multiLevelType w:val="hybridMultilevel"/>
    <w:lvl w:ilvl="0">
      <w:lvlJc w:val="left"/>
      <w:lvlText w:val="***"/>
      <w:numFmt w:val="bullet"/>
      <w:start w:val="1"/>
    </w:lvl>
  </w:abstractNum>
  <w:abstractNum w:abstractNumId="657">
    <w:nsid w:val="224002E8"/>
    <w:multiLevelType w:val="hybridMultilevel"/>
    <w:lvl w:ilvl="0">
      <w:lvlJc w:val="left"/>
      <w:lvlText w:val="(%1)"/>
      <w:numFmt w:val="lowerLetter"/>
      <w:start w:val="5"/>
    </w:lvl>
  </w:abstractNum>
  <w:abstractNum w:abstractNumId="658">
    <w:nsid w:val="33D9F200"/>
    <w:multiLevelType w:val="hybridMultilevel"/>
    <w:lvl w:ilvl="0">
      <w:lvlJc w:val="left"/>
      <w:lvlText w:val="***"/>
      <w:numFmt w:val="bullet"/>
      <w:start w:val="1"/>
    </w:lvl>
  </w:abstractNum>
  <w:abstractNum w:abstractNumId="659">
    <w:nsid w:val="9F9D75E"/>
    <w:multiLevelType w:val="hybridMultilevel"/>
    <w:lvl w:ilvl="0">
      <w:lvlJc w:val="left"/>
      <w:lvlText w:val="***"/>
      <w:numFmt w:val="bullet"/>
      <w:start w:val="1"/>
    </w:lvl>
  </w:abstractNum>
  <w:abstractNum w:abstractNumId="660">
    <w:nsid w:val="F02B952"/>
    <w:multiLevelType w:val="hybridMultilevel"/>
    <w:lvl w:ilvl="0">
      <w:lvlJc w:val="left"/>
      <w:lvlText w:val="***"/>
      <w:numFmt w:val="bullet"/>
      <w:start w:val="1"/>
    </w:lvl>
  </w:abstractNum>
  <w:abstractNum w:abstractNumId="661">
    <w:nsid w:val="14A73585"/>
    <w:multiLevelType w:val="hybridMultilevel"/>
    <w:lvl w:ilvl="0">
      <w:lvlJc w:val="left"/>
      <w:lvlText w:val="***"/>
      <w:numFmt w:val="bullet"/>
      <w:start w:val="1"/>
    </w:lvl>
  </w:abstractNum>
  <w:abstractNum w:abstractNumId="662">
    <w:nsid w:val="62B83E2B"/>
    <w:multiLevelType w:val="hybridMultilevel"/>
    <w:lvl w:ilvl="0">
      <w:lvlJc w:val="left"/>
      <w:lvlText w:val="***"/>
      <w:numFmt w:val="bullet"/>
      <w:start w:val="1"/>
    </w:lvl>
  </w:abstractNum>
  <w:abstractNum w:abstractNumId="663">
    <w:nsid w:val="426157DF"/>
    <w:multiLevelType w:val="hybridMultilevel"/>
    <w:lvl w:ilvl="0">
      <w:lvlJc w:val="left"/>
      <w:lvlText w:val="***"/>
      <w:numFmt w:val="bullet"/>
      <w:start w:val="1"/>
    </w:lvl>
  </w:abstractNum>
  <w:abstractNum w:abstractNumId="664">
    <w:nsid w:val="57034E20"/>
    <w:multiLevelType w:val="hybridMultilevel"/>
    <w:lvl w:ilvl="0">
      <w:lvlJc w:val="left"/>
      <w:lvlText w:val="***"/>
      <w:numFmt w:val="bullet"/>
      <w:start w:val="1"/>
    </w:lvl>
  </w:abstractNum>
  <w:abstractNum w:abstractNumId="665">
    <w:nsid w:val="13E08266"/>
    <w:multiLevelType w:val="hybridMultilevel"/>
    <w:lvl w:ilvl="0">
      <w:lvlJc w:val="left"/>
      <w:lvlText w:val="***"/>
      <w:numFmt w:val="bullet"/>
      <w:start w:val="1"/>
    </w:lvl>
  </w:abstractNum>
  <w:abstractNum w:abstractNumId="666">
    <w:nsid w:val="DE6DA7D"/>
    <w:multiLevelType w:val="hybridMultilevel"/>
    <w:lvl w:ilvl="0">
      <w:lvlJc w:val="left"/>
      <w:lvlText w:val="***"/>
      <w:numFmt w:val="bullet"/>
      <w:start w:val="1"/>
    </w:lvl>
  </w:abstractNum>
  <w:abstractNum w:abstractNumId="667">
    <w:nsid w:val="3A63884D"/>
    <w:multiLevelType w:val="hybridMultilevel"/>
    <w:lvl w:ilvl="0">
      <w:lvlJc w:val="left"/>
      <w:lvlText w:val="***"/>
      <w:numFmt w:val="bullet"/>
      <w:start w:val="1"/>
    </w:lvl>
  </w:abstractNum>
  <w:abstractNum w:abstractNumId="668">
    <w:nsid w:val="7E8245E4"/>
    <w:multiLevelType w:val="hybridMultilevel"/>
    <w:lvl w:ilvl="0">
      <w:lvlJc w:val="left"/>
      <w:lvlText w:val="***"/>
      <w:numFmt w:val="bullet"/>
      <w:start w:val="1"/>
    </w:lvl>
  </w:abstractNum>
  <w:abstractNum w:abstractNumId="669">
    <w:nsid w:val="41DBF358"/>
    <w:multiLevelType w:val="hybridMultilevel"/>
    <w:lvl w:ilvl="0">
      <w:lvlJc w:val="left"/>
      <w:lvlText w:val="***"/>
      <w:numFmt w:val="bullet"/>
      <w:start w:val="1"/>
    </w:lvl>
  </w:abstractNum>
  <w:abstractNum w:abstractNumId="670">
    <w:nsid w:val="643A57E6"/>
    <w:multiLevelType w:val="hybridMultilevel"/>
    <w:lvl w:ilvl="0">
      <w:lvlJc w:val="left"/>
      <w:lvlText w:val="***"/>
      <w:numFmt w:val="bullet"/>
      <w:start w:val="1"/>
    </w:lvl>
  </w:abstractNum>
  <w:abstractNum w:abstractNumId="671">
    <w:nsid w:val="5DB6B5A4"/>
    <w:multiLevelType w:val="hybridMultilevel"/>
    <w:lvl w:ilvl="0">
      <w:lvlJc w:val="left"/>
      <w:lvlText w:val="***"/>
      <w:numFmt w:val="bullet"/>
      <w:start w:val="1"/>
    </w:lvl>
  </w:abstractNum>
  <w:abstractNum w:abstractNumId="672">
    <w:nsid w:val="5488892"/>
    <w:multiLevelType w:val="hybridMultilevel"/>
    <w:lvl w:ilvl="0">
      <w:lvlJc w:val="left"/>
      <w:lvlText w:val="***"/>
      <w:numFmt w:val="bullet"/>
      <w:start w:val="1"/>
    </w:lvl>
  </w:abstractNum>
  <w:abstractNum w:abstractNumId="673">
    <w:nsid w:val="66346877"/>
    <w:multiLevelType w:val="hybridMultilevel"/>
    <w:lvl w:ilvl="0">
      <w:lvlJc w:val="left"/>
      <w:lvlText w:val="***"/>
      <w:numFmt w:val="bullet"/>
      <w:start w:val="1"/>
    </w:lvl>
  </w:abstractNum>
  <w:abstractNum w:abstractNumId="674">
    <w:nsid w:val="5604A66D"/>
    <w:multiLevelType w:val="hybridMultilevel"/>
    <w:lvl w:ilvl="0">
      <w:lvlJc w:val="left"/>
      <w:lvlText w:val="***"/>
      <w:numFmt w:val="bullet"/>
      <w:start w:val="1"/>
    </w:lvl>
  </w:abstractNum>
  <w:abstractNum w:abstractNumId="675">
    <w:nsid w:val="71C42CFF"/>
    <w:multiLevelType w:val="hybridMultilevel"/>
    <w:lvl w:ilvl="0">
      <w:lvlJc w:val="left"/>
      <w:lvlText w:val="***"/>
      <w:numFmt w:val="bullet"/>
      <w:start w:val="1"/>
    </w:lvl>
  </w:abstractNum>
  <w:abstractNum w:abstractNumId="676">
    <w:nsid w:val="60F812BD"/>
    <w:multiLevelType w:val="hybridMultilevel"/>
    <w:lvl w:ilvl="0">
      <w:lvlJc w:val="left"/>
      <w:lvlText w:val="***"/>
      <w:numFmt w:val="bullet"/>
      <w:start w:val="1"/>
    </w:lvl>
  </w:abstractNum>
  <w:abstractNum w:abstractNumId="677">
    <w:nsid w:val="313894CE"/>
    <w:multiLevelType w:val="hybridMultilevel"/>
    <w:lvl w:ilvl="0">
      <w:lvlJc w:val="left"/>
      <w:lvlText w:val="(%1)"/>
      <w:numFmt w:val="lowerLetter"/>
      <w:start w:val="1"/>
    </w:lvl>
  </w:abstractNum>
  <w:abstractNum w:abstractNumId="678">
    <w:nsid w:val="6A410D4E"/>
    <w:multiLevelType w:val="hybridMultilevel"/>
    <w:lvl w:ilvl="0">
      <w:lvlJc w:val="left"/>
      <w:lvlText w:val="***"/>
      <w:numFmt w:val="bullet"/>
      <w:start w:val="1"/>
    </w:lvl>
  </w:abstractNum>
  <w:abstractNum w:abstractNumId="679">
    <w:nsid w:val="61696336"/>
    <w:multiLevelType w:val="hybridMultilevel"/>
    <w:lvl w:ilvl="0">
      <w:lvlJc w:val="left"/>
      <w:lvlText w:val="***"/>
      <w:numFmt w:val="bullet"/>
      <w:start w:val="1"/>
    </w:lvl>
  </w:abstractNum>
  <w:abstractNum w:abstractNumId="680">
    <w:nsid w:val="3974ED1F"/>
    <w:multiLevelType w:val="hybridMultilevel"/>
    <w:lvl w:ilvl="0">
      <w:lvlJc w:val="left"/>
      <w:lvlText w:val="***"/>
      <w:numFmt w:val="bullet"/>
      <w:start w:val="1"/>
    </w:lvl>
  </w:abstractNum>
  <w:abstractNum w:abstractNumId="681">
    <w:nsid w:val="29AA94C7"/>
    <w:multiLevelType w:val="hybridMultilevel"/>
    <w:lvl w:ilvl="0">
      <w:lvlJc w:val="left"/>
      <w:lvlText w:val="***"/>
      <w:numFmt w:val="bullet"/>
      <w:start w:val="1"/>
    </w:lvl>
  </w:abstractNum>
  <w:abstractNum w:abstractNumId="682">
    <w:nsid w:val="C266F90"/>
    <w:multiLevelType w:val="hybridMultilevel"/>
    <w:lvl w:ilvl="0">
      <w:lvlJc w:val="left"/>
      <w:lvlText w:val="***"/>
      <w:numFmt w:val="bullet"/>
      <w:start w:val="1"/>
    </w:lvl>
  </w:abstractNum>
  <w:abstractNum w:abstractNumId="683">
    <w:nsid w:val="7FC31CC8"/>
    <w:multiLevelType w:val="hybridMultilevel"/>
    <w:lvl w:ilvl="0">
      <w:lvlJc w:val="left"/>
      <w:lvlText w:val="***"/>
      <w:numFmt w:val="bullet"/>
      <w:start w:val="1"/>
    </w:lvl>
  </w:abstractNum>
  <w:abstractNum w:abstractNumId="684">
    <w:nsid w:val="1E9366AA"/>
    <w:multiLevelType w:val="hybridMultilevel"/>
    <w:lvl w:ilvl="0">
      <w:lvlJc w:val="left"/>
      <w:lvlText w:val="***"/>
      <w:numFmt w:val="bullet"/>
      <w:start w:val="1"/>
    </w:lvl>
    <w:lvl w:ilvl="1">
      <w:lvlJc w:val="left"/>
      <w:lvlText w:val="(%2)"/>
      <w:numFmt w:val="lowerLetter"/>
      <w:start w:val="1"/>
    </w:lvl>
  </w:abstractNum>
  <w:abstractNum w:abstractNumId="685">
    <w:nsid w:val="1443B0FA"/>
    <w:multiLevelType w:val="hybridMultilevel"/>
    <w:lvl w:ilvl="0">
      <w:lvlJc w:val="left"/>
      <w:lvlText w:val="(%1)"/>
      <w:numFmt w:val="lowerLetter"/>
      <w:start w:val="2"/>
    </w:lvl>
  </w:abstractNum>
  <w:abstractNum w:abstractNumId="686">
    <w:nsid w:val="48715606"/>
    <w:multiLevelType w:val="hybridMultilevel"/>
    <w:lvl w:ilvl="0">
      <w:lvlJc w:val="left"/>
      <w:lvlText w:val="***"/>
      <w:numFmt w:val="bullet"/>
      <w:start w:val="1"/>
    </w:lvl>
  </w:abstractNum>
  <w:abstractNum w:abstractNumId="687">
    <w:nsid w:val="15BA4F24"/>
    <w:multiLevelType w:val="hybridMultilevel"/>
    <w:lvl w:ilvl="0">
      <w:lvlJc w:val="left"/>
      <w:lvlText w:val="***"/>
      <w:numFmt w:val="bullet"/>
      <w:start w:val="1"/>
    </w:lvl>
  </w:abstractNum>
  <w:abstractNum w:abstractNumId="688">
    <w:nsid w:val="3683B3E2"/>
    <w:multiLevelType w:val="hybridMultilevel"/>
    <w:lvl w:ilvl="0">
      <w:lvlJc w:val="left"/>
      <w:lvlText w:val="(%1)"/>
      <w:numFmt w:val="lowerLetter"/>
      <w:start w:val="1"/>
    </w:lvl>
  </w:abstractNum>
  <w:abstractNum w:abstractNumId="689">
    <w:nsid w:val="7C4B4806"/>
    <w:multiLevelType w:val="hybridMultilevel"/>
    <w:lvl w:ilvl="0">
      <w:lvlJc w:val="left"/>
      <w:lvlText w:val="***"/>
      <w:numFmt w:val="bullet"/>
      <w:start w:val="1"/>
    </w:lvl>
  </w:abstractNum>
  <w:abstractNum w:abstractNumId="690">
    <w:nsid w:val="1FB42682"/>
    <w:multiLevelType w:val="hybridMultilevel"/>
    <w:lvl w:ilvl="0">
      <w:lvlJc w:val="left"/>
      <w:lvlText w:val="%1."/>
      <w:numFmt w:val="decimal"/>
      <w:start w:val="2"/>
    </w:lvl>
  </w:abstractNum>
  <w:abstractNum w:abstractNumId="691">
    <w:nsid w:val="45866D35"/>
    <w:multiLevelType w:val="hybridMultilevel"/>
    <w:lvl w:ilvl="0">
      <w:lvlJc w:val="left"/>
      <w:lvlText w:val="***"/>
      <w:numFmt w:val="bullet"/>
      <w:start w:val="1"/>
    </w:lvl>
    <w:lvl w:ilvl="1">
      <w:lvlJc w:val="left"/>
      <w:lvlText w:val="(%2)"/>
      <w:numFmt w:val="lowerLetter"/>
      <w:start w:val="1"/>
    </w:lvl>
  </w:abstractNum>
  <w:abstractNum w:abstractNumId="692">
    <w:nsid w:val="10F27D8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93">
    <w:nsid w:val="26C64AE"/>
    <w:multiLevelType w:val="hybridMultilevel"/>
    <w:lvl w:ilvl="0">
      <w:lvlJc w:val="left"/>
      <w:lvlText w:val="(%1)"/>
      <w:numFmt w:val="lowerLetter"/>
      <w:start w:val="5"/>
    </w:lvl>
  </w:abstractNum>
  <w:abstractNum w:abstractNumId="694">
    <w:nsid w:val="7E7C51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695">
    <w:nsid w:val="67F5CB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696">
    <w:nsid w:val="164CE714"/>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697">
    <w:nsid w:val="15CE9F92"/>
    <w:multiLevelType w:val="hybridMultilevel"/>
    <w:lvl w:ilvl="0">
      <w:lvlJc w:val="left"/>
      <w:lvlText w:val="%1."/>
      <w:numFmt w:val="decimal"/>
      <w:start w:val="3"/>
    </w:lvl>
  </w:abstractNum>
  <w:abstractNum w:abstractNumId="698">
    <w:nsid w:val="225953F9"/>
    <w:multiLevelType w:val="hybridMultilevel"/>
    <w:lvl w:ilvl="0">
      <w:lvlJc w:val="left"/>
      <w:lvlText w:val="(%1)"/>
      <w:numFmt w:val="lowerLetter"/>
      <w:start w:val="1"/>
    </w:lvl>
    <w:lvl w:ilvl="1">
      <w:lvlJc w:val="left"/>
      <w:lvlText w:val="(%2)"/>
      <w:numFmt w:val="lowerRoman"/>
      <w:start w:val="1"/>
    </w:lvl>
  </w:abstractNum>
  <w:abstractNum w:abstractNumId="699">
    <w:nsid w:val="14CF2CF8"/>
    <w:multiLevelType w:val="hybridMultilevel"/>
    <w:lvl w:ilvl="0">
      <w:lvlJc w:val="left"/>
      <w:lvlText w:val="***"/>
      <w:numFmt w:val="bullet"/>
      <w:start w:val="1"/>
    </w:lvl>
  </w:abstractNum>
  <w:abstractNum w:abstractNumId="700">
    <w:nsid w:val="57AA92EA"/>
    <w:multiLevelType w:val="hybridMultilevel"/>
    <w:lvl w:ilvl="0">
      <w:lvlJc w:val="left"/>
      <w:lvlText w:val="(%1)"/>
      <w:numFmt w:val="lowerLetter"/>
      <w:start w:val="2"/>
    </w:lvl>
  </w:abstractNum>
  <w:abstractNum w:abstractNumId="701">
    <w:nsid w:val="693ABDF"/>
    <w:multiLevelType w:val="hybridMultilevel"/>
    <w:lvl w:ilvl="0">
      <w:lvlJc w:val="left"/>
      <w:lvlText w:val="(%1)"/>
      <w:numFmt w:val="lowerLetter"/>
      <w:start w:val="1"/>
    </w:lvl>
    <w:lvl w:ilvl="1">
      <w:lvlJc w:val="left"/>
      <w:lvlText w:val="(%2)"/>
      <w:numFmt w:val="lowerRoman"/>
      <w:start w:val="1"/>
    </w:lvl>
  </w:abstractNum>
  <w:abstractNum w:abstractNumId="702">
    <w:nsid w:val="7285E29D"/>
    <w:multiLevelType w:val="hybridMultilevel"/>
    <w:lvl w:ilvl="0">
      <w:lvlJc w:val="left"/>
      <w:lvlText w:val="***"/>
      <w:numFmt w:val="bullet"/>
      <w:start w:val="1"/>
    </w:lvl>
    <w:lvl w:ilvl="1">
      <w:lvlJc w:val="left"/>
      <w:lvlText w:val="(%2)"/>
      <w:numFmt w:val="lowerLetter"/>
      <w:start w:val="1"/>
    </w:lvl>
  </w:abstractNum>
  <w:abstractNum w:abstractNumId="703">
    <w:nsid w:val="5CF31B7D"/>
    <w:multiLevelType w:val="hybridMultilevel"/>
    <w:lvl w:ilvl="0">
      <w:lvlJc w:val="left"/>
      <w:lvlText w:val="(%1)"/>
      <w:numFmt w:val="lowerRoman"/>
      <w:start w:val="1"/>
    </w:lvl>
  </w:abstractNum>
  <w:abstractNum w:abstractNumId="704">
    <w:nsid w:val="6CC81457"/>
    <w:multiLevelType w:val="hybridMultilevel"/>
    <w:lvl w:ilvl="0">
      <w:lvlJc w:val="left"/>
      <w:lvlText w:val="(%1)"/>
      <w:numFmt w:val="lowerLetter"/>
      <w:start w:val="2"/>
    </w:lvl>
  </w:abstractNum>
  <w:abstractNum w:abstractNumId="705">
    <w:nsid w:val="488A890A"/>
    <w:multiLevelType w:val="hybridMultilevel"/>
    <w:lvl w:ilvl="0">
      <w:lvlJc w:val="left"/>
      <w:lvlText w:val="***"/>
      <w:numFmt w:val="bullet"/>
      <w:start w:val="1"/>
    </w:lvl>
  </w:abstractNum>
  <w:abstractNum w:abstractNumId="706">
    <w:nsid w:val="4EB7487C"/>
    <w:multiLevelType w:val="hybridMultilevel"/>
    <w:lvl w:ilvl="0">
      <w:lvlJc w:val="left"/>
      <w:lvlText w:val="%1."/>
      <w:numFmt w:val="decimal"/>
      <w:start w:val="4"/>
    </w:lvl>
  </w:abstractNum>
  <w:abstractNum w:abstractNumId="707">
    <w:nsid w:val="4DC02714"/>
    <w:multiLevelType w:val="hybridMultilevel"/>
    <w:lvl w:ilvl="0">
      <w:lvlJc w:val="left"/>
      <w:lvlText w:val="***"/>
      <w:numFmt w:val="bullet"/>
      <w:start w:val="1"/>
    </w:lvl>
  </w:abstractNum>
  <w:abstractNum w:abstractNumId="708">
    <w:nsid w:val="79C31DD8"/>
    <w:multiLevelType w:val="hybridMultilevel"/>
    <w:lvl w:ilvl="0">
      <w:lvlJc w:val="left"/>
      <w:lvlText w:val="%1."/>
      <w:numFmt w:val="decimal"/>
      <w:start w:val="5"/>
    </w:lvl>
  </w:abstractNum>
  <w:abstractNum w:abstractNumId="709">
    <w:nsid w:val="38F855CA"/>
    <w:multiLevelType w:val="hybridMultilevel"/>
    <w:lvl w:ilvl="0">
      <w:lvlJc w:val="left"/>
      <w:lvlText w:val="***"/>
      <w:numFmt w:val="bullet"/>
      <w:start w:val="1"/>
    </w:lvl>
    <w:lvl w:ilvl="1">
      <w:lvlJc w:val="left"/>
      <w:lvlText w:val="(%2)"/>
      <w:numFmt w:val="lowerLetter"/>
      <w:start w:val="1"/>
    </w:lvl>
  </w:abstractNum>
  <w:abstractNum w:abstractNumId="710">
    <w:nsid w:val="2F298A4A"/>
    <w:multiLevelType w:val="hybridMultilevel"/>
    <w:lvl w:ilvl="0">
      <w:lvlJc w:val="left"/>
      <w:lvlText w:val="(%1)"/>
      <w:numFmt w:val="lowerLetter"/>
      <w:start w:val="2"/>
    </w:lvl>
  </w:abstractNum>
  <w:abstractNum w:abstractNumId="711">
    <w:nsid w:val="33380AF8"/>
    <w:multiLevelType w:val="hybridMultilevel"/>
    <w:lvl w:ilvl="0">
      <w:lvlJc w:val="left"/>
      <w:lvlText w:val="(%1)"/>
      <w:numFmt w:val="lowerLetter"/>
      <w:start w:val="1"/>
    </w:lvl>
  </w:abstractNum>
  <w:abstractNum w:abstractNumId="712">
    <w:nsid w:val="62A2EA91"/>
    <w:multiLevelType w:val="hybridMultilevel"/>
    <w:lvl w:ilvl="0">
      <w:lvlJc w:val="left"/>
      <w:lvlText w:val="***"/>
      <w:numFmt w:val="bullet"/>
      <w:start w:val="1"/>
    </w:lvl>
  </w:abstractNum>
  <w:abstractNum w:abstractNumId="713">
    <w:nsid w:val="3B4FF9DB"/>
    <w:multiLevelType w:val="hybridMultilevel"/>
    <w:lvl w:ilvl="0">
      <w:lvlJc w:val="left"/>
      <w:lvlText w:val="%1."/>
      <w:numFmt w:val="decimal"/>
      <w:start w:val="6"/>
    </w:lvl>
  </w:abstractNum>
  <w:abstractNum w:abstractNumId="714">
    <w:nsid w:val="32FB27C0"/>
    <w:multiLevelType w:val="hybridMultilevel"/>
    <w:lvl w:ilvl="0">
      <w:lvlJc w:val="left"/>
      <w:lvlText w:val="***"/>
      <w:numFmt w:val="bullet"/>
      <w:start w:val="1"/>
    </w:lvl>
    <w:lvl w:ilvl="1">
      <w:lvlJc w:val="left"/>
      <w:lvlText w:val="(%2)"/>
      <w:numFmt w:val="lowerLetter"/>
      <w:start w:val="1"/>
    </w:lvl>
  </w:abstractNum>
  <w:abstractNum w:abstractNumId="715">
    <w:nsid w:val="136513C"/>
    <w:multiLevelType w:val="hybridMultilevel"/>
    <w:lvl w:ilvl="0">
      <w:lvlJc w:val="left"/>
      <w:lvlText w:val="%1."/>
      <w:numFmt w:val="decimal"/>
      <w:start w:val="7"/>
    </w:lvl>
  </w:abstractNum>
  <w:abstractNum w:abstractNumId="716">
    <w:nsid w:val="4F93AAD5"/>
    <w:multiLevelType w:val="hybridMultilevel"/>
    <w:lvl w:ilvl="0">
      <w:lvlJc w:val="left"/>
      <w:lvlText w:val="***"/>
      <w:numFmt w:val="bullet"/>
      <w:start w:val="1"/>
    </w:lvl>
  </w:abstractNum>
  <w:abstractNum w:abstractNumId="717">
    <w:nsid w:val="7B6C7DC6"/>
    <w:multiLevelType w:val="hybridMultilevel"/>
    <w:lvl w:ilvl="0">
      <w:lvlJc w:val="left"/>
      <w:lvlText w:val="***"/>
      <w:numFmt w:val="bullet"/>
      <w:start w:val="1"/>
    </w:lvl>
  </w:abstractNum>
  <w:abstractNum w:abstractNumId="718">
    <w:nsid w:val="16F0A060"/>
    <w:multiLevelType w:val="hybridMultilevel"/>
    <w:lvl w:ilvl="0">
      <w:lvlJc w:val="left"/>
      <w:lvlText w:val="%1."/>
      <w:numFmt w:val="decimal"/>
      <w:start w:val="8"/>
    </w:lvl>
  </w:abstractNum>
  <w:abstractNum w:abstractNumId="719">
    <w:nsid w:val="6175EB8"/>
    <w:multiLevelType w:val="hybridMultilevel"/>
    <w:lvl w:ilvl="0">
      <w:lvlJc w:val="left"/>
      <w:lvlText w:val="(%1)"/>
      <w:numFmt w:val="lowerLetter"/>
      <w:start w:val="1"/>
    </w:lvl>
  </w:abstractNum>
  <w:abstractNum w:abstractNumId="720">
    <w:nsid w:val="77B7C5CC"/>
    <w:multiLevelType w:val="hybridMultilevel"/>
    <w:lvl w:ilvl="0">
      <w:lvlJc w:val="left"/>
      <w:lvlText w:val="***"/>
      <w:numFmt w:val="bullet"/>
      <w:start w:val="1"/>
    </w:lvl>
    <w:lvl w:ilvl="1">
      <w:lvlJc w:val="left"/>
      <w:lvlText w:val="(%2)"/>
      <w:numFmt w:val="lowerLetter"/>
      <w:start w:val="1"/>
    </w:lvl>
  </w:abstractNum>
  <w:abstractNum w:abstractNumId="721">
    <w:nsid w:val="36A4C6E2"/>
    <w:multiLevelType w:val="hybridMultilevel"/>
    <w:lvl w:ilvl="0">
      <w:lvlJc w:val="left"/>
      <w:lvlText w:val="(%1)"/>
      <w:numFmt w:val="lowerLetter"/>
      <w:start w:val="1"/>
    </w:lvl>
  </w:abstractNum>
  <w:abstractNum w:abstractNumId="722">
    <w:nsid w:val="4B9DCBE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723">
    <w:nsid w:val="8AA4358"/>
    <w:multiLevelType w:val="hybridMultilevel"/>
    <w:lvl w:ilvl="0">
      <w:lvlJc w:val="left"/>
      <w:lvlText w:val="%1"/>
      <w:numFmt w:val="lowerLetter"/>
      <w:start w:val="1"/>
    </w:lvl>
    <w:lvl w:ilvl="1">
      <w:lvlJc w:val="left"/>
      <w:lvlText w:val="(%2)"/>
      <w:numFmt w:val="lowerLetter"/>
      <w:start w:val="35"/>
    </w:lvl>
  </w:abstractNum>
  <w:abstractNum w:abstractNumId="724">
    <w:nsid w:val="39112B90"/>
    <w:multiLevelType w:val="hybridMultilevel"/>
    <w:lvl w:ilvl="0">
      <w:lvlJc w:val="left"/>
      <w:lvlText w:val="(%1)"/>
      <w:numFmt w:val="lowerLetter"/>
      <w:start w:val="2"/>
    </w:lvl>
    <w:lvl w:ilvl="1">
      <w:lvlJc w:val="left"/>
      <w:lvlText w:val="(%2)"/>
      <w:numFmt w:val="lowerLetter"/>
      <w:start w:val="9"/>
    </w:lvl>
  </w:abstractNum>
  <w:abstractNum w:abstractNumId="725">
    <w:nsid w:val="53859101"/>
    <w:multiLevelType w:val="hybridMultilevel"/>
    <w:lvl w:ilvl="0">
      <w:lvlJc w:val="left"/>
      <w:lvlText w:val="%1."/>
      <w:numFmt w:val="decimal"/>
      <w:start w:val="9"/>
    </w:lvl>
    <w:lvl w:ilvl="1">
      <w:lvlJc w:val="left"/>
      <w:lvlText w:val="(%2)"/>
      <w:numFmt w:val="lowerLetter"/>
      <w:start w:val="1"/>
    </w:lvl>
  </w:abstractNum>
  <w:abstractNum w:abstractNumId="726">
    <w:nsid w:val="70A00F05"/>
    <w:multiLevelType w:val="hybridMultilevel"/>
    <w:lvl w:ilvl="0">
      <w:lvlJc w:val="left"/>
      <w:lvlText w:val="***"/>
      <w:numFmt w:val="bullet"/>
      <w:start w:val="1"/>
    </w:lvl>
  </w:abstractNum>
  <w:abstractNum w:abstractNumId="727">
    <w:nsid w:val="4F5E12A4"/>
    <w:multiLevelType w:val="hybridMultilevel"/>
    <w:lvl w:ilvl="0">
      <w:lvlJc w:val="left"/>
      <w:lvlText w:val="(%1)"/>
      <w:numFmt w:val="lowerLetter"/>
      <w:start w:val="2"/>
    </w:lvl>
  </w:abstractNum>
  <w:abstractNum w:abstractNumId="728">
    <w:nsid w:val="69543093"/>
    <w:multiLevelType w:val="hybridMultilevel"/>
    <w:lvl w:ilvl="0">
      <w:lvlJc w:val="left"/>
      <w:lvlText w:val="***"/>
      <w:numFmt w:val="bullet"/>
      <w:start w:val="1"/>
    </w:lvl>
  </w:abstractNum>
  <w:abstractNum w:abstractNumId="729">
    <w:nsid w:val="12F962FE"/>
    <w:multiLevelType w:val="hybridMultilevel"/>
    <w:lvl w:ilvl="0">
      <w:lvlJc w:val="left"/>
      <w:lvlText w:val="%1."/>
      <w:numFmt w:val="decimal"/>
      <w:start w:val="10"/>
    </w:lvl>
  </w:abstractNum>
  <w:abstractNum w:abstractNumId="730">
    <w:nsid w:val="642D3F9D"/>
    <w:multiLevelType w:val="hybridMultilevel"/>
    <w:lvl w:ilvl="0">
      <w:lvlJc w:val="left"/>
      <w:lvlText w:val="***"/>
      <w:numFmt w:val="bullet"/>
      <w:start w:val="1"/>
    </w:lvl>
    <w:lvl w:ilvl="1">
      <w:lvlJc w:val="left"/>
      <w:lvlText w:val="(%2)"/>
      <w:numFmt w:val="lowerLetter"/>
      <w:start w:val="1"/>
    </w:lvl>
  </w:abstractNum>
  <w:abstractNum w:abstractNumId="731">
    <w:nsid w:val="40FEC37E"/>
    <w:multiLevelType w:val="hybridMultilevel"/>
    <w:lvl w:ilvl="0">
      <w:lvlJc w:val="left"/>
      <w:lvlText w:val="***"/>
      <w:numFmt w:val="bullet"/>
      <w:start w:val="1"/>
    </w:lvl>
  </w:abstractNum>
  <w:abstractNum w:abstractNumId="732">
    <w:nsid w:val="198D0EDE"/>
    <w:multiLevelType w:val="hybridMultilevel"/>
    <w:lvl w:ilvl="0">
      <w:lvlJc w:val="left"/>
      <w:lvlText w:val="%1"/>
      <w:numFmt w:val="decimal"/>
      <w:start w:val="1"/>
    </w:lvl>
    <w:lvl w:ilvl="1">
      <w:lvlJc w:val="left"/>
      <w:lvlText w:val="(%2)"/>
      <w:numFmt w:val="lowerLetter"/>
      <w:start w:val="1"/>
    </w:lvl>
  </w:abstractNum>
  <w:abstractNum w:abstractNumId="733">
    <w:nsid w:val="56B3223A"/>
    <w:multiLevelType w:val="hybridMultilevel"/>
    <w:lvl w:ilvl="0">
      <w:lvlJc w:val="left"/>
      <w:lvlText w:val="%1."/>
      <w:numFmt w:val="decimal"/>
      <w:start w:val="11"/>
    </w:lvl>
    <w:lvl w:ilvl="1">
      <w:lvlJc w:val="left"/>
      <w:lvlText w:val="%2"/>
      <w:numFmt w:val="lowerLetter"/>
      <w:start w:val="1"/>
    </w:lvl>
  </w:abstractNum>
  <w:abstractNum w:abstractNumId="734">
    <w:nsid w:val="1DF1DEFB"/>
    <w:multiLevelType w:val="hybridMultilevel"/>
    <w:lvl w:ilvl="0">
      <w:lvlJc w:val="left"/>
      <w:lvlText w:val="***"/>
      <w:numFmt w:val="bullet"/>
      <w:start w:val="1"/>
    </w:lvl>
  </w:abstractNum>
  <w:abstractNum w:abstractNumId="735">
    <w:nsid w:val="6552335"/>
    <w:multiLevelType w:val="hybridMultilevel"/>
    <w:lvl w:ilvl="0">
      <w:lvlJc w:val="left"/>
      <w:lvlText w:val="%1."/>
      <w:numFmt w:val="decimal"/>
      <w:start w:val="12"/>
    </w:lvl>
  </w:abstractNum>
  <w:abstractNum w:abstractNumId="736">
    <w:nsid w:val="1F3DAB4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37">
    <w:nsid w:val="6CA92777"/>
    <w:multiLevelType w:val="hybridMultilevel"/>
    <w:lvl w:ilvl="0">
      <w:lvlJc w:val="left"/>
      <w:lvlText w:val="(%1)"/>
      <w:numFmt w:val="lowerLetter"/>
      <w:start w:val="4"/>
    </w:lvl>
  </w:abstractNum>
  <w:abstractNum w:abstractNumId="738">
    <w:nsid w:val="54154A4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739">
    <w:nsid w:val="1900C91C"/>
    <w:multiLevelType w:val="hybridMultilevel"/>
    <w:lvl w:ilvl="0">
      <w:lvlJc w:val="left"/>
      <w:lvlText w:val="(%1)"/>
      <w:numFmt w:val="lowerRoman"/>
      <w:start w:val="2"/>
    </w:lvl>
  </w:abstractNum>
  <w:abstractNum w:abstractNumId="740">
    <w:nsid w:val="25A17D41"/>
    <w:multiLevelType w:val="hybridMultilevel"/>
    <w:lvl w:ilvl="0">
      <w:lvlJc w:val="left"/>
      <w:lvlText w:val="%1"/>
      <w:numFmt w:val="decimal"/>
      <w:start w:val="1"/>
    </w:lvl>
    <w:lvl w:ilvl="1">
      <w:lvlJc w:val="left"/>
      <w:lvlText w:val="(%2)"/>
      <w:numFmt w:val="lowerLetter"/>
      <w:start w:val="1"/>
    </w:lvl>
  </w:abstractNum>
  <w:abstractNum w:abstractNumId="741">
    <w:nsid w:val="33ED493"/>
    <w:multiLevelType w:val="hybridMultilevel"/>
    <w:lvl w:ilvl="0">
      <w:lvlJc w:val="left"/>
      <w:lvlText w:val="(%1)"/>
      <w:numFmt w:val="decimal"/>
      <w:start w:val="2"/>
    </w:lvl>
    <w:lvl w:ilvl="1">
      <w:lvlJc w:val="left"/>
      <w:lvlText w:val="%2"/>
      <w:numFmt w:val="lowerLetter"/>
      <w:start w:val="1"/>
    </w:lvl>
  </w:abstractNum>
  <w:abstractNum w:abstractNumId="742">
    <w:nsid w:val="4C38D414"/>
    <w:multiLevelType w:val="hybridMultilevel"/>
    <w:lvl w:ilvl="0">
      <w:lvlJc w:val="left"/>
      <w:lvlText w:val="(%1)"/>
      <w:numFmt w:val="decimal"/>
      <w:start w:val="4"/>
    </w:lvl>
  </w:abstractNum>
  <w:abstractNum w:abstractNumId="743">
    <w:nsid w:val="84467D2"/>
    <w:multiLevelType w:val="hybridMultilevel"/>
    <w:lvl w:ilvl="0">
      <w:lvlJc w:val="left"/>
      <w:lvlText w:val="***"/>
      <w:numFmt w:val="bullet"/>
      <w:start w:val="1"/>
    </w:lvl>
  </w:abstractNum>
  <w:abstractNum w:abstractNumId="744">
    <w:nsid w:val="3E8ECE6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45">
    <w:nsid w:val="7F33FBD4"/>
    <w:multiLevelType w:val="hybridMultilevel"/>
    <w:lvl w:ilvl="0">
      <w:lvlJc w:val="left"/>
      <w:lvlText w:val="%1"/>
      <w:numFmt w:val="decimal"/>
      <w:start w:val="1"/>
    </w:lvl>
    <w:lvl w:ilvl="1">
      <w:lvlJc w:val="left"/>
      <w:lvlText w:val="(%2)"/>
      <w:numFmt w:val="upperLetter"/>
      <w:start w:val="3"/>
    </w:lvl>
  </w:abstractNum>
  <w:abstractNum w:abstractNumId="746">
    <w:nsid w:val="97AB90E"/>
    <w:multiLevelType w:val="hybridMultilevel"/>
    <w:lvl w:ilvl="0">
      <w:lvlJc w:val="left"/>
      <w:lvlText w:val="%1."/>
      <w:numFmt w:val="decimal"/>
      <w:start w:val="13"/>
    </w:lvl>
    <w:lvl w:ilvl="1">
      <w:lvlJc w:val="left"/>
      <w:lvlText w:val="%2"/>
      <w:numFmt w:val="upperLetter"/>
      <w:start w:val="1"/>
    </w:lvl>
  </w:abstractNum>
  <w:abstractNum w:abstractNumId="747">
    <w:nsid w:val="E227944"/>
    <w:multiLevelType w:val="hybridMultilevel"/>
    <w:lvl w:ilvl="0">
      <w:lvlJc w:val="left"/>
      <w:lvlText w:val="***"/>
      <w:numFmt w:val="bullet"/>
      <w:start w:val="1"/>
    </w:lvl>
    <w:lvl w:ilvl="1">
      <w:lvlJc w:val="left"/>
      <w:lvlText w:val="(%2)"/>
      <w:numFmt w:val="lowerLetter"/>
      <w:start w:val="1"/>
    </w:lvl>
  </w:abstractNum>
  <w:abstractNum w:abstractNumId="748">
    <w:nsid w:val="7AA0799A"/>
    <w:multiLevelType w:val="hybridMultilevel"/>
    <w:lvl w:ilvl="0">
      <w:lvlJc w:val="left"/>
      <w:lvlText w:val="(%1)"/>
      <w:numFmt w:val="lowerLetter"/>
      <w:start w:val="1"/>
    </w:lvl>
  </w:abstractNum>
  <w:abstractNum w:abstractNumId="749">
    <w:nsid w:val="206B596E"/>
    <w:multiLevelType w:val="hybridMultilevel"/>
    <w:lvl w:ilvl="0">
      <w:lvlJc w:val="left"/>
      <w:lvlText w:val="***"/>
      <w:numFmt w:val="bullet"/>
      <w:start w:val="1"/>
    </w:lvl>
    <w:lvl w:ilvl="1">
      <w:lvlJc w:val="left"/>
      <w:lvlText w:val="(%2)"/>
      <w:numFmt w:val="lowerLetter"/>
      <w:start w:val="1"/>
    </w:lvl>
  </w:abstractNum>
  <w:abstractNum w:abstractNumId="750">
    <w:nsid w:val="1439D7FC"/>
    <w:multiLevelType w:val="hybridMultilevel"/>
    <w:lvl w:ilvl="0">
      <w:lvlJc w:val="left"/>
      <w:lvlText w:val="(%1)"/>
      <w:numFmt w:val="lowerLetter"/>
      <w:start w:val="2"/>
    </w:lvl>
  </w:abstractNum>
  <w:abstractNum w:abstractNumId="751">
    <w:nsid w:val="72583F67"/>
    <w:multiLevelType w:val="hybridMultilevel"/>
    <w:lvl w:ilvl="0">
      <w:lvlJc w:val="left"/>
      <w:lvlText w:val="***"/>
      <w:numFmt w:val="bullet"/>
      <w:start w:val="1"/>
    </w:lvl>
  </w:abstractNum>
  <w:abstractNum w:abstractNumId="752">
    <w:nsid w:val="57102051"/>
    <w:multiLevelType w:val="hybridMultilevel"/>
    <w:lvl w:ilvl="0">
      <w:lvlJc w:val="left"/>
      <w:lvlText w:val="%1."/>
      <w:numFmt w:val="decimal"/>
      <w:start w:val="14"/>
    </w:lvl>
  </w:abstractNum>
  <w:abstractNum w:abstractNumId="753">
    <w:nsid w:val="5FD7A3E9"/>
    <w:multiLevelType w:val="hybridMultilevel"/>
    <w:lvl w:ilvl="0">
      <w:lvlJc w:val="left"/>
      <w:lvlText w:val="(%1)"/>
      <w:numFmt w:val="lowerLetter"/>
      <w:start w:val="3"/>
    </w:lvl>
  </w:abstractNum>
  <w:abstractNum w:abstractNumId="754">
    <w:nsid w:val="7B0282BF"/>
    <w:multiLevelType w:val="hybridMultilevel"/>
    <w:lvl w:ilvl="0">
      <w:lvlJc w:val="left"/>
      <w:lvlText w:val="***"/>
      <w:numFmt w:val="bullet"/>
      <w:start w:val="1"/>
    </w:lvl>
  </w:abstractNum>
  <w:abstractNum w:abstractNumId="755">
    <w:nsid w:val="10214BE1"/>
    <w:multiLevelType w:val="hybridMultilevel"/>
    <w:lvl w:ilvl="0">
      <w:lvlJc w:val="left"/>
      <w:lvlText w:val="%1."/>
      <w:numFmt w:val="decimal"/>
      <w:start w:val="15"/>
    </w:lvl>
  </w:abstractNum>
  <w:abstractNum w:abstractNumId="756">
    <w:nsid w:val="335D34EA"/>
    <w:multiLevelType w:val="hybridMultilevel"/>
    <w:lvl w:ilvl="0">
      <w:lvlJc w:val="left"/>
      <w:lvlText w:val="***"/>
      <w:numFmt w:val="bullet"/>
      <w:start w:val="1"/>
    </w:lvl>
    <w:lvl w:ilvl="1">
      <w:lvlJc w:val="left"/>
      <w:lvlText w:val="(%2)"/>
      <w:numFmt w:val="lowerLetter"/>
      <w:start w:val="1"/>
    </w:lvl>
  </w:abstractNum>
  <w:abstractNum w:abstractNumId="757">
    <w:nsid w:val="6BA291C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58">
    <w:nsid w:val="5F7F5E86"/>
    <w:multiLevelType w:val="hybridMultilevel"/>
    <w:lvl w:ilvl="0">
      <w:lvlJc w:val="left"/>
      <w:lvlText w:val="(%1)"/>
      <w:numFmt w:val="lowerLetter"/>
      <w:start w:val="1"/>
    </w:lvl>
  </w:abstractNum>
  <w:abstractNum w:abstractNumId="759">
    <w:nsid w:val="1CB1657E"/>
    <w:multiLevelType w:val="hybridMultilevel"/>
    <w:lvl w:ilvl="0">
      <w:lvlJc w:val="left"/>
      <w:lvlText w:val="***"/>
      <w:numFmt w:val="bullet"/>
      <w:start w:val="1"/>
    </w:lvl>
    <w:lvl w:ilvl="1">
      <w:lvlJc w:val="left"/>
      <w:lvlText w:val="(%2)"/>
      <w:numFmt w:val="lowerLetter"/>
      <w:start w:val="1"/>
    </w:lvl>
  </w:abstractNum>
  <w:abstractNum w:abstractNumId="760">
    <w:nsid w:val="7E9BF4C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61">
    <w:nsid w:val="43AC9E23"/>
    <w:multiLevelType w:val="hybridMultilevel"/>
    <w:lvl w:ilvl="0">
      <w:lvlJc w:val="left"/>
      <w:lvlText w:val="(%1)"/>
      <w:numFmt w:val="lowerLetter"/>
      <w:start w:val="3"/>
    </w:lvl>
  </w:abstractNum>
  <w:abstractNum w:abstractNumId="762">
    <w:nsid w:val="5DB028FC"/>
    <w:multiLevelType w:val="hybridMultilevel"/>
    <w:lvl w:ilvl="0">
      <w:lvlJc w:val="left"/>
      <w:lvlText w:val="***"/>
      <w:numFmt w:val="bullet"/>
      <w:start w:val="1"/>
    </w:lvl>
    <w:lvl w:ilvl="1">
      <w:lvlJc w:val="left"/>
      <w:lvlText w:val="(%2)"/>
      <w:numFmt w:val="lowerLetter"/>
      <w:start w:val="1"/>
    </w:lvl>
  </w:abstractNum>
  <w:abstractNum w:abstractNumId="763">
    <w:nsid w:val="182903A1"/>
    <w:multiLevelType w:val="hybridMultilevel"/>
    <w:lvl w:ilvl="0">
      <w:lvlJc w:val="left"/>
      <w:lvlText w:val="%1"/>
      <w:numFmt w:val="decimal"/>
      <w:start w:val="1"/>
    </w:lvl>
    <w:lvl w:ilvl="1">
      <w:lvlJc w:val="left"/>
      <w:lvlText w:val="(%2)"/>
      <w:numFmt w:val="lowerLetter"/>
      <w:start w:val="3"/>
    </w:lvl>
  </w:abstractNum>
  <w:abstractNum w:abstractNumId="764">
    <w:nsid w:val="1A5FC05D"/>
    <w:multiLevelType w:val="hybridMultilevel"/>
    <w:lvl w:ilvl="0">
      <w:lvlJc w:val="left"/>
      <w:lvlText w:val="%1."/>
      <w:numFmt w:val="decimal"/>
      <w:start w:val="16"/>
    </w:lvl>
    <w:lvl w:ilvl="1">
      <w:lvlJc w:val="left"/>
      <w:lvlText w:val="%2"/>
      <w:numFmt w:val="lowerLetter"/>
      <w:start w:val="1"/>
    </w:lvl>
  </w:abstractNum>
  <w:abstractNum w:abstractNumId="765">
    <w:nsid w:val="7BA207F7"/>
    <w:multiLevelType w:val="hybridMultilevel"/>
    <w:lvl w:ilvl="0">
      <w:lvlJc w:val="left"/>
      <w:lvlText w:val="***"/>
      <w:numFmt w:val="bullet"/>
      <w:start w:val="1"/>
    </w:lvl>
    <w:lvl w:ilvl="1">
      <w:lvlJc w:val="left"/>
      <w:lvlText w:val="(%2)"/>
      <w:numFmt w:val="lowerLetter"/>
      <w:start w:val="1"/>
    </w:lvl>
  </w:abstractNum>
  <w:abstractNum w:abstractNumId="766">
    <w:nsid w:val="1E7E26D6"/>
    <w:multiLevelType w:val="hybridMultilevel"/>
    <w:lvl w:ilvl="0">
      <w:lvlJc w:val="left"/>
      <w:lvlText w:val="(%1)"/>
      <w:numFmt w:val="lowerLetter"/>
      <w:start w:val="2"/>
    </w:lvl>
  </w:abstractNum>
  <w:abstractNum w:abstractNumId="767">
    <w:nsid w:val="399D6BA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68">
    <w:nsid w:val="684B2F6E"/>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769">
    <w:nsid w:val="7293711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70">
    <w:nsid w:val="529E34BD"/>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771">
    <w:nsid w:val="DECACAF"/>
    <w:multiLevelType w:val="hybridMultilevel"/>
    <w:lvl w:ilvl="0">
      <w:lvlJc w:val="left"/>
      <w:lvlText w:val="***"/>
      <w:numFmt w:val="bullet"/>
      <w:start w:val="1"/>
    </w:lvl>
    <w:lvl w:ilvl="1">
      <w:lvlJc w:val="left"/>
      <w:lvlText w:val="(%2)"/>
      <w:numFmt w:val="lowerRoman"/>
      <w:start w:val="2"/>
    </w:lvl>
    <w:lvl w:ilvl="2">
      <w:lvlJc w:val="left"/>
      <w:lvlText w:val="%3"/>
      <w:numFmt w:val="decimal"/>
      <w:start w:val="1"/>
    </w:lvl>
  </w:abstractNum>
  <w:abstractNum w:abstractNumId="772">
    <w:nsid w:val="75D245B2"/>
    <w:multiLevelType w:val="hybridMultilevel"/>
    <w:lvl w:ilvl="0">
      <w:lvlJc w:val="left"/>
      <w:lvlText w:val="%1."/>
      <w:numFmt w:val="decimal"/>
      <w:start w:val="17"/>
    </w:lvl>
  </w:abstractNum>
  <w:abstractNum w:abstractNumId="773">
    <w:nsid w:val="1ED708D2"/>
    <w:multiLevelType w:val="hybridMultilevel"/>
    <w:lvl w:ilvl="0">
      <w:lvlJc w:val="left"/>
      <w:lvlText w:val="***"/>
      <w:numFmt w:val="bullet"/>
      <w:start w:val="1"/>
    </w:lvl>
  </w:abstractNum>
  <w:abstractNum w:abstractNumId="774">
    <w:nsid w:val="16311481"/>
    <w:multiLevelType w:val="hybridMultilevel"/>
    <w:lvl w:ilvl="0">
      <w:lvlJc w:val="left"/>
      <w:lvlText w:val="***"/>
      <w:numFmt w:val="bullet"/>
      <w:start w:val="1"/>
    </w:lvl>
  </w:abstractNum>
  <w:abstractNum w:abstractNumId="775">
    <w:nsid w:val="34611421"/>
    <w:multiLevelType w:val="hybridMultilevel"/>
    <w:lvl w:ilvl="0">
      <w:lvlJc w:val="left"/>
      <w:lvlText w:val="***"/>
      <w:numFmt w:val="bullet"/>
      <w:start w:val="1"/>
    </w:lvl>
    <w:lvl w:ilvl="1">
      <w:lvlJc w:val="left"/>
      <w:lvlText w:val="(%2)"/>
      <w:numFmt w:val="lowerLetter"/>
      <w:start w:val="1"/>
    </w:lvl>
  </w:abstractNum>
  <w:abstractNum w:abstractNumId="776">
    <w:nsid w:val="1E0B04A6"/>
    <w:multiLevelType w:val="hybridMultilevel"/>
    <w:lvl w:ilvl="0">
      <w:lvlJc w:val="left"/>
      <w:lvlText w:val="(%1)"/>
      <w:numFmt w:val="lowerLetter"/>
      <w:start w:val="5"/>
    </w:lvl>
  </w:abstractNum>
  <w:abstractNum w:abstractNumId="777">
    <w:nsid w:val="1FABCD90"/>
    <w:multiLevelType w:val="hybridMultilevel"/>
    <w:lvl w:ilvl="0">
      <w:lvlJc w:val="left"/>
      <w:lvlText w:val="***"/>
      <w:numFmt w:val="bullet"/>
      <w:start w:val="1"/>
    </w:lvl>
  </w:abstractNum>
  <w:abstractNum w:abstractNumId="778">
    <w:nsid w:val="42838D65"/>
    <w:multiLevelType w:val="hybridMultilevel"/>
    <w:lvl w:ilvl="0">
      <w:lvlJc w:val="left"/>
      <w:lvlText w:val="***"/>
      <w:numFmt w:val="bullet"/>
      <w:start w:val="1"/>
    </w:lvl>
  </w:abstractNum>
  <w:abstractNum w:abstractNumId="779">
    <w:nsid w:val="18AB7E41"/>
    <w:multiLevelType w:val="hybridMultilevel"/>
    <w:lvl w:ilvl="0">
      <w:lvlJc w:val="left"/>
      <w:lvlText w:val="***"/>
      <w:numFmt w:val="bullet"/>
      <w:start w:val="1"/>
    </w:lvl>
  </w:abstractNum>
  <w:abstractNum w:abstractNumId="780">
    <w:nsid w:val="401726FE"/>
    <w:multiLevelType w:val="hybridMultilevel"/>
    <w:lvl w:ilvl="0">
      <w:lvlJc w:val="left"/>
      <w:lvlText w:val="***"/>
      <w:numFmt w:val="bullet"/>
      <w:start w:val="1"/>
    </w:lvl>
  </w:abstractNum>
  <w:abstractNum w:abstractNumId="781">
    <w:nsid w:val="56BD6561"/>
    <w:multiLevelType w:val="hybridMultilevel"/>
    <w:lvl w:ilvl="0">
      <w:lvlJc w:val="left"/>
      <w:lvlText w:val="***"/>
      <w:numFmt w:val="bullet"/>
      <w:start w:val="1"/>
    </w:lvl>
  </w:abstractNum>
  <w:abstractNum w:abstractNumId="782">
    <w:nsid w:val="B03BDA8"/>
    <w:multiLevelType w:val="hybridMultilevel"/>
    <w:lvl w:ilvl="0">
      <w:lvlJc w:val="left"/>
      <w:lvlText w:val="***"/>
      <w:numFmt w:val="bullet"/>
      <w:start w:val="1"/>
    </w:lvl>
  </w:abstractNum>
  <w:abstractNum w:abstractNumId="783">
    <w:nsid w:val="1727474F"/>
    <w:multiLevelType w:val="hybridMultilevel"/>
    <w:lvl w:ilvl="0">
      <w:lvlJc w:val="left"/>
      <w:lvlText w:val="***"/>
      <w:numFmt w:val="bullet"/>
      <w:start w:val="1"/>
    </w:lvl>
  </w:abstractNum>
  <w:abstractNum w:abstractNumId="784">
    <w:nsid w:val="3695094A"/>
    <w:multiLevelType w:val="hybridMultilevel"/>
    <w:lvl w:ilvl="0">
      <w:lvlJc w:val="left"/>
      <w:lvlText w:val="***"/>
      <w:numFmt w:val="bullet"/>
      <w:start w:val="1"/>
    </w:lvl>
  </w:abstractNum>
  <w:abstractNum w:abstractNumId="785">
    <w:nsid w:val="6064067"/>
    <w:multiLevelType w:val="hybridMultilevel"/>
    <w:lvl w:ilvl="0">
      <w:lvlJc w:val="left"/>
      <w:lvlText w:val="***"/>
      <w:numFmt w:val="bullet"/>
      <w:start w:val="1"/>
    </w:lvl>
  </w:abstractNum>
  <w:abstractNum w:abstractNumId="786">
    <w:nsid w:val="27489331"/>
    <w:multiLevelType w:val="hybridMultilevel"/>
    <w:lvl w:ilvl="0">
      <w:lvlJc w:val="left"/>
      <w:lvlText w:val="***"/>
      <w:numFmt w:val="bullet"/>
      <w:start w:val="1"/>
    </w:lvl>
  </w:abstractNum>
  <w:abstractNum w:abstractNumId="787">
    <w:nsid w:val="69F23E34"/>
    <w:multiLevelType w:val="hybridMultilevel"/>
    <w:lvl w:ilvl="0">
      <w:lvlJc w:val="left"/>
      <w:lvlText w:val="***"/>
      <w:numFmt w:val="bullet"/>
      <w:start w:val="1"/>
    </w:lvl>
  </w:abstractNum>
  <w:abstractNum w:abstractNumId="788">
    <w:nsid w:val="71A8D22C"/>
    <w:multiLevelType w:val="hybridMultilevel"/>
    <w:lvl w:ilvl="0">
      <w:lvlJc w:val="left"/>
      <w:lvlText w:val="***"/>
      <w:numFmt w:val="bullet"/>
      <w:start w:val="1"/>
    </w:lvl>
  </w:abstractNum>
  <w:abstractNum w:abstractNumId="789">
    <w:nsid w:val="6C7F1B7"/>
    <w:multiLevelType w:val="hybridMultilevel"/>
    <w:lvl w:ilvl="0">
      <w:lvlJc w:val="left"/>
      <w:lvlText w:val="***"/>
      <w:numFmt w:val="bullet"/>
      <w:start w:val="1"/>
    </w:lvl>
  </w:abstractNum>
  <w:abstractNum w:abstractNumId="790">
    <w:nsid w:val="6A3A3B2"/>
    <w:multiLevelType w:val="hybridMultilevel"/>
    <w:lvl w:ilvl="0">
      <w:lvlJc w:val="left"/>
      <w:lvlText w:val="***"/>
      <w:numFmt w:val="bullet"/>
      <w:start w:val="1"/>
    </w:lvl>
  </w:abstractNum>
  <w:abstractNum w:abstractNumId="791">
    <w:nsid w:val="7044C6EF"/>
    <w:multiLevelType w:val="hybridMultilevel"/>
    <w:lvl w:ilvl="0">
      <w:lvlJc w:val="left"/>
      <w:lvlText w:val="***"/>
      <w:numFmt w:val="bullet"/>
      <w:start w:val="1"/>
    </w:lvl>
  </w:abstractNum>
  <w:abstractNum w:abstractNumId="792">
    <w:nsid w:val="4A748FDA"/>
    <w:multiLevelType w:val="hybridMultilevel"/>
    <w:lvl w:ilvl="0">
      <w:lvlJc w:val="left"/>
      <w:lvlText w:val="***"/>
      <w:numFmt w:val="bullet"/>
      <w:start w:val="1"/>
    </w:lvl>
  </w:abstractNum>
  <w:abstractNum w:abstractNumId="793">
    <w:nsid w:val="6453CCAE"/>
    <w:multiLevelType w:val="hybridMultilevel"/>
    <w:lvl w:ilvl="0">
      <w:lvlJc w:val="left"/>
      <w:lvlText w:val="***"/>
      <w:numFmt w:val="bullet"/>
      <w:start w:val="1"/>
    </w:lvl>
  </w:abstractNum>
  <w:abstractNum w:abstractNumId="794">
    <w:nsid w:val="86DCA90"/>
    <w:multiLevelType w:val="hybridMultilevel"/>
    <w:lvl w:ilvl="0">
      <w:lvlJc w:val="left"/>
      <w:lvlText w:val="***"/>
      <w:numFmt w:val="bullet"/>
      <w:start w:val="1"/>
    </w:lvl>
  </w:abstractNum>
  <w:abstractNum w:abstractNumId="795">
    <w:nsid w:val="64D45037"/>
    <w:multiLevelType w:val="hybridMultilevel"/>
    <w:lvl w:ilvl="0">
      <w:lvlJc w:val="left"/>
      <w:lvlText w:val="***"/>
      <w:numFmt w:val="bullet"/>
      <w:start w:val="1"/>
    </w:lvl>
  </w:abstractNum>
  <w:abstractNum w:abstractNumId="796">
    <w:nsid w:val="5FF5D4A5"/>
    <w:multiLevelType w:val="hybridMultilevel"/>
    <w:lvl w:ilvl="0">
      <w:lvlJc w:val="left"/>
      <w:lvlText w:val="***"/>
      <w:numFmt w:val="bullet"/>
      <w:start w:val="1"/>
    </w:lvl>
  </w:abstractNum>
  <w:abstractNum w:abstractNumId="797">
    <w:nsid w:val="26EBF166"/>
    <w:multiLevelType w:val="hybridMultilevel"/>
    <w:lvl w:ilvl="0">
      <w:lvlJc w:val="left"/>
      <w:lvlText w:val="%1)"/>
      <w:numFmt w:val="decimal"/>
      <w:start w:val="1"/>
    </w:lvl>
  </w:abstractNum>
  <w:abstractNum w:abstractNumId="798">
    <w:nsid w:val="1E71BBD8"/>
    <w:multiLevelType w:val="hybridMultilevel"/>
    <w:lvl w:ilvl="0">
      <w:lvlJc w:val="left"/>
      <w:lvlText w:val="***"/>
      <w:numFmt w:val="bullet"/>
      <w:start w:val="1"/>
    </w:lvl>
    <w:lvl w:ilvl="1">
      <w:lvlJc w:val="left"/>
      <w:lvlText w:val="%2)"/>
      <w:numFmt w:val="decimal"/>
      <w:start w:val="1"/>
    </w:lvl>
  </w:abstractNum>
  <w:abstractNum w:abstractNumId="799">
    <w:nsid w:val="48410413"/>
    <w:multiLevelType w:val="hybridMultilevel"/>
    <w:lvl w:ilvl="0">
      <w:lvlJc w:val="left"/>
      <w:lvlText w:val="***"/>
      <w:numFmt w:val="bullet"/>
      <w:start w:val="1"/>
    </w:lvl>
  </w:abstractNum>
  <w:abstractNum w:abstractNumId="800">
    <w:nsid w:val="197F6285"/>
    <w:multiLevelType w:val="hybridMultilevel"/>
    <w:lvl w:ilvl="0">
      <w:lvlJc w:val="left"/>
      <w:lvlText w:val="***"/>
      <w:numFmt w:val="bullet"/>
      <w:start w:val="1"/>
    </w:lvl>
  </w:abstractNum>
  <w:abstractNum w:abstractNumId="801">
    <w:nsid w:val="710FF095"/>
    <w:multiLevelType w:val="hybridMultilevel"/>
    <w:lvl w:ilvl="0">
      <w:lvlJc w:val="left"/>
      <w:lvlText w:val="***"/>
      <w:numFmt w:val="bullet"/>
      <w:start w:val="1"/>
    </w:lvl>
  </w:abstractNum>
  <w:abstractNum w:abstractNumId="802">
    <w:nsid w:val="562DB0C2"/>
    <w:multiLevelType w:val="hybridMultilevel"/>
    <w:lvl w:ilvl="0">
      <w:lvlJc w:val="left"/>
      <w:lvlText w:val="***"/>
      <w:numFmt w:val="bullet"/>
      <w:start w:val="1"/>
    </w:lvl>
    <w:lvl w:ilvl="1">
      <w:lvlJc w:val="left"/>
      <w:lvlText w:val="%2."/>
      <w:numFmt w:val="decimal"/>
      <w:start w:val="2"/>
    </w:lvl>
  </w:abstractNum>
  <w:abstractNum w:abstractNumId="803">
    <w:nsid w:val="F51A837"/>
    <w:multiLevelType w:val="hybridMultilevel"/>
    <w:lvl w:ilvl="0">
      <w:lvlJc w:val="left"/>
      <w:lvlText w:val="%1."/>
      <w:numFmt w:val="decimal"/>
      <w:start w:val="4"/>
    </w:lvl>
  </w:abstractNum>
  <w:abstractNum w:abstractNumId="804">
    <w:nsid w:val="FE6F967"/>
    <w:multiLevelType w:val="hybridMultilevel"/>
    <w:lvl w:ilvl="0">
      <w:lvlJc w:val="left"/>
      <w:lvlText w:val="***"/>
      <w:numFmt w:val="bullet"/>
      <w:start w:val="1"/>
    </w:lvl>
  </w:abstractNum>
  <w:abstractNum w:abstractNumId="805">
    <w:nsid w:val="6C5EC544"/>
    <w:multiLevelType w:val="hybridMultilevel"/>
    <w:lvl w:ilvl="0">
      <w:lvlJc w:val="left"/>
      <w:lvlText w:val="***"/>
      <w:numFmt w:val="bullet"/>
      <w:start w:val="1"/>
    </w:lvl>
  </w:abstractNum>
  <w:abstractNum w:abstractNumId="806">
    <w:nsid w:val="43B2BC58"/>
    <w:multiLevelType w:val="hybridMultilevel"/>
    <w:lvl w:ilvl="0">
      <w:lvlJc w:val="left"/>
      <w:lvlText w:val="***"/>
      <w:numFmt w:val="bullet"/>
      <w:start w:val="1"/>
    </w:lvl>
  </w:abstractNum>
  <w:abstractNum w:abstractNumId="807">
    <w:nsid w:val="2DF1FE0E"/>
    <w:multiLevelType w:val="hybridMultilevel"/>
    <w:lvl w:ilvl="0">
      <w:lvlJc w:val="left"/>
      <w:lvlText w:val="***"/>
      <w:numFmt w:val="bullet"/>
      <w:start w:val="1"/>
    </w:lvl>
  </w:abstractNum>
  <w:abstractNum w:abstractNumId="808">
    <w:nsid w:val="C0A92D4"/>
    <w:multiLevelType w:val="hybridMultilevel"/>
    <w:lvl w:ilvl="0">
      <w:lvlJc w:val="left"/>
      <w:lvlText w:val="***"/>
      <w:numFmt w:val="bullet"/>
      <w:start w:val="1"/>
    </w:lvl>
  </w:abstractNum>
  <w:abstractNum w:abstractNumId="809">
    <w:nsid w:val="63649BD"/>
    <w:multiLevelType w:val="hybridMultilevel"/>
    <w:lvl w:ilvl="0">
      <w:lvlJc w:val="left"/>
      <w:lvlText w:val="***"/>
      <w:numFmt w:val="bullet"/>
      <w:start w:val="1"/>
    </w:lvl>
  </w:abstractNum>
  <w:abstractNum w:abstractNumId="810">
    <w:nsid w:val="469D7C4F"/>
    <w:multiLevelType w:val="hybridMultilevel"/>
    <w:lvl w:ilvl="0">
      <w:lvlJc w:val="left"/>
      <w:lvlText w:val="***"/>
      <w:numFmt w:val="bullet"/>
      <w:start w:val="1"/>
    </w:lvl>
  </w:abstractNum>
  <w:abstractNum w:abstractNumId="811">
    <w:nsid w:val="4C21B9D2"/>
    <w:multiLevelType w:val="hybridMultilevel"/>
    <w:lvl w:ilvl="0">
      <w:lvlJc w:val="left"/>
      <w:lvlText w:val="***"/>
      <w:numFmt w:val="bullet"/>
      <w:start w:val="1"/>
    </w:lvl>
  </w:abstractNum>
  <w:abstractNum w:abstractNumId="812">
    <w:nsid w:val="5CF3AF1E"/>
    <w:multiLevelType w:val="hybridMultilevel"/>
    <w:lvl w:ilvl="0">
      <w:lvlJc w:val="left"/>
      <w:lvlText w:val="***"/>
      <w:numFmt w:val="bullet"/>
      <w:start w:val="1"/>
    </w:lvl>
  </w:abstractNum>
  <w:abstractNum w:abstractNumId="813">
    <w:nsid w:val="51A139F7"/>
    <w:multiLevelType w:val="hybridMultilevel"/>
    <w:lvl w:ilvl="0">
      <w:lvlJc w:val="left"/>
      <w:lvlText w:val="***"/>
      <w:numFmt w:val="bullet"/>
      <w:start w:val="1"/>
    </w:lvl>
  </w:abstractNum>
  <w:abstractNum w:abstractNumId="814">
    <w:nsid w:val="63490122"/>
    <w:multiLevelType w:val="hybridMultilevel"/>
    <w:lvl w:ilvl="0">
      <w:lvlJc w:val="left"/>
      <w:lvlText w:val="***"/>
      <w:numFmt w:val="bullet"/>
      <w:start w:val="1"/>
    </w:lvl>
  </w:abstractNum>
  <w:abstractNum w:abstractNumId="815">
    <w:nsid w:val="1388B868"/>
    <w:multiLevelType w:val="hybridMultilevel"/>
    <w:lvl w:ilvl="0">
      <w:lvlJc w:val="left"/>
      <w:lvlText w:val="***"/>
      <w:numFmt w:val="bullet"/>
      <w:start w:val="1"/>
    </w:lvl>
  </w:abstractNum>
  <w:abstractNum w:abstractNumId="816">
    <w:nsid w:val="57A77A5E"/>
    <w:multiLevelType w:val="hybridMultilevel"/>
    <w:lvl w:ilvl="0">
      <w:lvlJc w:val="left"/>
      <w:lvlText w:val="***"/>
      <w:numFmt w:val="bullet"/>
      <w:start w:val="1"/>
    </w:lvl>
  </w:abstractNum>
  <w:abstractNum w:abstractNumId="817">
    <w:nsid w:val="A919453"/>
    <w:multiLevelType w:val="hybridMultilevel"/>
    <w:lvl w:ilvl="0">
      <w:lvlJc w:val="left"/>
      <w:lvlText w:val="***"/>
      <w:numFmt w:val="bullet"/>
      <w:start w:val="1"/>
    </w:lvl>
  </w:abstractNum>
  <w:abstractNum w:abstractNumId="818">
    <w:nsid w:val="7D7AF69D"/>
    <w:multiLevelType w:val="hybridMultilevel"/>
    <w:lvl w:ilvl="0">
      <w:lvlJc w:val="left"/>
      <w:lvlText w:val="(%1)"/>
      <w:numFmt w:val="lowerLetter"/>
      <w:start w:val="1"/>
    </w:lvl>
  </w:abstractNum>
  <w:abstractNum w:abstractNumId="819">
    <w:nsid w:val="49504C8A"/>
    <w:multiLevelType w:val="hybridMultilevel"/>
    <w:lvl w:ilvl="0">
      <w:lvlJc w:val="left"/>
      <w:lvlText w:val="***"/>
      <w:numFmt w:val="bullet"/>
      <w:start w:val="1"/>
    </w:lvl>
  </w:abstractNum>
  <w:abstractNum w:abstractNumId="820">
    <w:nsid w:val="1159860A"/>
    <w:multiLevelType w:val="hybridMultilevel"/>
    <w:lvl w:ilvl="0">
      <w:lvlJc w:val="left"/>
      <w:lvlText w:val="(%1)"/>
      <w:numFmt w:val="lowerLetter"/>
      <w:start w:val="4"/>
    </w:lvl>
  </w:abstractNum>
  <w:abstractNum w:abstractNumId="821">
    <w:nsid w:val="41E9A4F"/>
    <w:multiLevelType w:val="hybridMultilevel"/>
    <w:lvl w:ilvl="0">
      <w:lvlJc w:val="left"/>
      <w:lvlText w:val="(%1)"/>
      <w:numFmt w:val="lowerLetter"/>
      <w:start w:val="1"/>
    </w:lvl>
  </w:abstractNum>
  <w:abstractNum w:abstractNumId="822">
    <w:nsid w:val="39951379"/>
    <w:multiLevelType w:val="hybridMultilevel"/>
    <w:lvl w:ilvl="0">
      <w:lvlJc w:val="left"/>
      <w:lvlText w:val="***"/>
      <w:numFmt w:val="bullet"/>
      <w:start w:val="1"/>
    </w:lvl>
  </w:abstractNum>
  <w:abstractNum w:abstractNumId="823">
    <w:nsid w:val="5BCE15E4"/>
    <w:multiLevelType w:val="hybridMultilevel"/>
    <w:lvl w:ilvl="0">
      <w:lvlJc w:val="left"/>
      <w:lvlText w:val="(%1)"/>
      <w:numFmt w:val="lowerLetter"/>
      <w:start w:val="2"/>
    </w:lvl>
  </w:abstractNum>
  <w:abstractNum w:abstractNumId="824">
    <w:nsid w:val="687266FE"/>
    <w:multiLevelType w:val="hybridMultilevel"/>
    <w:lvl w:ilvl="0">
      <w:lvlJc w:val="left"/>
      <w:lvlText w:val="***"/>
      <w:numFmt w:val="bullet"/>
      <w:start w:val="1"/>
    </w:lvl>
  </w:abstractNum>
  <w:abstractNum w:abstractNumId="825">
    <w:nsid w:val="4202DE09"/>
    <w:multiLevelType w:val="hybridMultilevel"/>
    <w:lvl w:ilvl="0">
      <w:lvlJc w:val="left"/>
      <w:lvlText w:val="(%1)"/>
      <w:numFmt w:val="lowerLetter"/>
      <w:start w:val="3"/>
    </w:lvl>
  </w:abstractNum>
  <w:abstractNum w:abstractNumId="826">
    <w:nsid w:val="40A2661B"/>
    <w:multiLevelType w:val="hybridMultilevel"/>
    <w:lvl w:ilvl="0">
      <w:lvlJc w:val="left"/>
      <w:lvlText w:val="***"/>
      <w:numFmt w:val="bullet"/>
      <w:start w:val="1"/>
    </w:lvl>
  </w:abstractNum>
  <w:abstractNum w:abstractNumId="827">
    <w:nsid w:val="48683BA3"/>
    <w:multiLevelType w:val="hybridMultilevel"/>
    <w:lvl w:ilvl="0">
      <w:lvlJc w:val="left"/>
      <w:lvlText w:val="***"/>
      <w:numFmt w:val="bullet"/>
      <w:start w:val="1"/>
    </w:lvl>
  </w:abstractNum>
  <w:abstractNum w:abstractNumId="828">
    <w:nsid w:val="68EECF6F"/>
    <w:multiLevelType w:val="hybridMultilevel"/>
    <w:lvl w:ilvl="0">
      <w:lvlJc w:val="left"/>
      <w:lvlText w:val="***"/>
      <w:numFmt w:val="bullet"/>
      <w:start w:val="1"/>
    </w:lvl>
  </w:abstractNum>
  <w:abstractNum w:abstractNumId="829">
    <w:nsid w:val="5F1421F3"/>
    <w:multiLevelType w:val="hybridMultilevel"/>
    <w:lvl w:ilvl="0">
      <w:lvlJc w:val="left"/>
      <w:lvlText w:val="***"/>
      <w:numFmt w:val="bullet"/>
      <w:start w:val="1"/>
    </w:lvl>
  </w:abstractNum>
  <w:abstractNum w:abstractNumId="830">
    <w:nsid w:val="10A93FB7"/>
    <w:multiLevelType w:val="hybridMultilevel"/>
    <w:lvl w:ilvl="0">
      <w:lvlJc w:val="left"/>
      <w:lvlText w:val="***"/>
      <w:numFmt w:val="bullet"/>
      <w:start w:val="1"/>
    </w:lvl>
  </w:abstractNum>
  <w:abstractNum w:abstractNumId="831">
    <w:nsid w:val="26E31F4"/>
    <w:multiLevelType w:val="hybridMultilevel"/>
    <w:lvl w:ilvl="0">
      <w:lvlJc w:val="left"/>
      <w:lvlText w:val="***"/>
      <w:numFmt w:val="bullet"/>
      <w:start w:val="1"/>
    </w:lvl>
  </w:abstractNum>
  <w:abstractNum w:abstractNumId="832">
    <w:nsid w:val="50241288"/>
    <w:multiLevelType w:val="hybridMultilevel"/>
    <w:lvl w:ilvl="0">
      <w:lvlJc w:val="left"/>
      <w:lvlText w:val="(%1)"/>
      <w:numFmt w:val="lowerLetter"/>
      <w:start w:val="2"/>
    </w:lvl>
  </w:abstractNum>
  <w:abstractNum w:abstractNumId="833">
    <w:nsid w:val="66D6F079"/>
    <w:multiLevelType w:val="hybridMultilevel"/>
    <w:lvl w:ilvl="0">
      <w:lvlJc w:val="left"/>
      <w:lvlText w:val="***"/>
      <w:numFmt w:val="bullet"/>
      <w:start w:val="1"/>
    </w:lvl>
  </w:abstractNum>
  <w:abstractNum w:abstractNumId="834">
    <w:nsid w:val="11BFDA2C"/>
    <w:multiLevelType w:val="hybridMultilevel"/>
    <w:lvl w:ilvl="0">
      <w:lvlJc w:val="left"/>
      <w:lvlText w:val="(%1)"/>
      <w:numFmt w:val="lowerLetter"/>
      <w:start w:val="1"/>
    </w:lvl>
  </w:abstractNum>
  <w:abstractNum w:abstractNumId="835">
    <w:nsid w:val="600B0BF0"/>
    <w:multiLevelType w:val="hybridMultilevel"/>
    <w:lvl w:ilvl="0">
      <w:lvlJc w:val="left"/>
      <w:lvlText w:val="***"/>
      <w:numFmt w:val="bullet"/>
      <w:start w:val="1"/>
    </w:lvl>
  </w:abstractNum>
  <w:abstractNum w:abstractNumId="836">
    <w:nsid w:val="5335B5BD"/>
    <w:multiLevelType w:val="hybridMultilevel"/>
    <w:lvl w:ilvl="0">
      <w:lvlJc w:val="left"/>
      <w:lvlText w:val="(%1)"/>
      <w:numFmt w:val="lowerLetter"/>
      <w:start w:val="3"/>
    </w:lvl>
  </w:abstractNum>
  <w:abstractNum w:abstractNumId="837">
    <w:nsid w:val="55729684"/>
    <w:multiLevelType w:val="hybridMultilevel"/>
    <w:lvl w:ilvl="0">
      <w:lvlJc w:val="left"/>
      <w:lvlText w:val="***"/>
      <w:numFmt w:val="bullet"/>
      <w:start w:val="1"/>
    </w:lvl>
  </w:abstractNum>
  <w:abstractNum w:abstractNumId="838">
    <w:nsid w:val="DFD09FE"/>
    <w:multiLevelType w:val="hybridMultilevel"/>
    <w:lvl w:ilvl="0">
      <w:lvlJc w:val="left"/>
      <w:lvlText w:val="(%1)"/>
      <w:numFmt w:val="lowerLetter"/>
      <w:start w:val="1"/>
    </w:lvl>
  </w:abstractNum>
  <w:abstractNum w:abstractNumId="839">
    <w:nsid w:val="5F404891"/>
    <w:multiLevelType w:val="hybridMultilevel"/>
    <w:lvl w:ilvl="0">
      <w:lvlJc w:val="left"/>
      <w:lvlText w:val="***"/>
      <w:numFmt w:val="bullet"/>
      <w:start w:val="1"/>
    </w:lvl>
  </w:abstractNum>
  <w:abstractNum w:abstractNumId="840">
    <w:nsid w:val="5BA8E042"/>
    <w:multiLevelType w:val="hybridMultilevel"/>
    <w:lvl w:ilvl="0">
      <w:lvlJc w:val="left"/>
      <w:lvlText w:val="(%1)"/>
      <w:numFmt w:val="lowerLetter"/>
      <w:start w:val="2"/>
    </w:lvl>
  </w:abstractNum>
  <w:abstractNum w:abstractNumId="841">
    <w:nsid w:val="549A864D"/>
    <w:multiLevelType w:val="hybridMultilevel"/>
    <w:lvl w:ilvl="0">
      <w:lvlJc w:val="left"/>
      <w:lvlText w:val="***"/>
      <w:numFmt w:val="bullet"/>
      <w:start w:val="1"/>
    </w:lvl>
  </w:abstractNum>
  <w:abstractNum w:abstractNumId="842">
    <w:nsid w:val="2B620264"/>
    <w:multiLevelType w:val="hybridMultilevel"/>
    <w:lvl w:ilvl="0">
      <w:lvlJc w:val="left"/>
      <w:lvlText w:val="(%1)"/>
      <w:numFmt w:val="lowerLetter"/>
      <w:start w:val="1"/>
    </w:lvl>
  </w:abstractNum>
  <w:abstractNum w:abstractNumId="843">
    <w:nsid w:val="389C8F60"/>
    <w:multiLevelType w:val="hybridMultilevel"/>
    <w:lvl w:ilvl="0">
      <w:lvlJc w:val="left"/>
      <w:lvlText w:val="***"/>
      <w:numFmt w:val="bullet"/>
      <w:start w:val="1"/>
    </w:lvl>
  </w:abstractNum>
  <w:abstractNum w:abstractNumId="844">
    <w:nsid w:val="263BC044"/>
    <w:multiLevelType w:val="hybridMultilevel"/>
    <w:lvl w:ilvl="0">
      <w:lvlJc w:val="left"/>
      <w:lvlText w:val="***"/>
      <w:numFmt w:val="bullet"/>
      <w:start w:val="1"/>
    </w:lvl>
  </w:abstractNum>
  <w:abstractNum w:abstractNumId="845">
    <w:nsid w:val="EAB0386"/>
    <w:multiLevelType w:val="hybridMultilevel"/>
    <w:lvl w:ilvl="0">
      <w:lvlJc w:val="left"/>
      <w:lvlText w:val="***"/>
      <w:numFmt w:val="bullet"/>
      <w:start w:val="1"/>
    </w:lvl>
  </w:abstractNum>
  <w:abstractNum w:abstractNumId="846">
    <w:nsid w:val="4C2547C9"/>
    <w:multiLevelType w:val="hybridMultilevel"/>
    <w:lvl w:ilvl="0">
      <w:lvlJc w:val="left"/>
      <w:lvlText w:val="***"/>
      <w:numFmt w:val="bullet"/>
      <w:start w:val="1"/>
    </w:lvl>
  </w:abstractNum>
  <w:abstractNum w:abstractNumId="847">
    <w:nsid w:val="7DE33AA2"/>
    <w:multiLevelType w:val="hybridMultilevel"/>
    <w:lvl w:ilvl="0">
      <w:lvlJc w:val="left"/>
      <w:lvlText w:val="(%1)"/>
      <w:numFmt w:val="lowerLetter"/>
      <w:start w:val="1"/>
    </w:lvl>
  </w:abstractNum>
  <w:abstractNum w:abstractNumId="848">
    <w:nsid w:val="193C97D9"/>
    <w:multiLevelType w:val="hybridMultilevel"/>
    <w:lvl w:ilvl="0">
      <w:lvlJc w:val="left"/>
      <w:lvlText w:val="***"/>
      <w:numFmt w:val="bullet"/>
      <w:start w:val="1"/>
    </w:lvl>
  </w:abstractNum>
  <w:abstractNum w:abstractNumId="849">
    <w:nsid w:val="49A03E66"/>
    <w:multiLevelType w:val="hybridMultilevel"/>
    <w:lvl w:ilvl="0">
      <w:lvlJc w:val="left"/>
      <w:lvlText w:val="(%1)"/>
      <w:numFmt w:val="lowerLetter"/>
      <w:start w:val="2"/>
    </w:lvl>
  </w:abstractNum>
  <w:abstractNum w:abstractNumId="850">
    <w:nsid w:val="4733872D"/>
    <w:multiLevelType w:val="hybridMultilevel"/>
    <w:lvl w:ilvl="0">
      <w:lvlJc w:val="left"/>
      <w:lvlText w:val="(%1)"/>
      <w:numFmt w:val="lowerLetter"/>
      <w:start w:val="1"/>
    </w:lvl>
  </w:abstractNum>
  <w:abstractNum w:abstractNumId="851">
    <w:nsid w:val="2A961DE3"/>
    <w:multiLevelType w:val="hybridMultilevel"/>
    <w:lvl w:ilvl="0">
      <w:lvlJc w:val="left"/>
      <w:lvlText w:val="***"/>
      <w:numFmt w:val="bullet"/>
      <w:start w:val="1"/>
    </w:lvl>
  </w:abstractNum>
  <w:abstractNum w:abstractNumId="852">
    <w:nsid w:val="4DBED8B5"/>
    <w:multiLevelType w:val="hybridMultilevel"/>
    <w:lvl w:ilvl="0">
      <w:lvlJc w:val="left"/>
      <w:lvlText w:val="(%1)"/>
      <w:numFmt w:val="lowerRoman"/>
      <w:start w:val="1"/>
    </w:lvl>
  </w:abstractNum>
  <w:abstractNum w:abstractNumId="853">
    <w:nsid w:val="C89AA6"/>
    <w:multiLevelType w:val="hybridMultilevel"/>
    <w:lvl w:ilvl="0">
      <w:lvlJc w:val="left"/>
      <w:lvlText w:val="***"/>
      <w:numFmt w:val="bullet"/>
      <w:start w:val="1"/>
    </w:lvl>
  </w:abstractNum>
  <w:abstractNum w:abstractNumId="854">
    <w:nsid w:val="66433C7"/>
    <w:multiLevelType w:val="hybridMultilevel"/>
    <w:lvl w:ilvl="0">
      <w:lvlJc w:val="left"/>
      <w:lvlText w:val="(%1)"/>
      <w:numFmt w:val="lowerLetter"/>
      <w:start w:val="1"/>
    </w:lvl>
  </w:abstractNum>
  <w:abstractNum w:abstractNumId="855">
    <w:nsid w:val="36313FB3"/>
    <w:multiLevelType w:val="hybridMultilevel"/>
    <w:lvl w:ilvl="0">
      <w:lvlJc w:val="left"/>
      <w:lvlText w:val="***"/>
      <w:numFmt w:val="bullet"/>
      <w:start w:val="1"/>
    </w:lvl>
  </w:abstractNum>
  <w:abstractNum w:abstractNumId="856">
    <w:nsid w:val="42CB78B0"/>
    <w:multiLevelType w:val="hybridMultilevel"/>
    <w:lvl w:ilvl="0">
      <w:lvlJc w:val="left"/>
      <w:lvlText w:val="(%1)"/>
      <w:numFmt w:val="lowerLetter"/>
      <w:start w:val="3"/>
    </w:lvl>
  </w:abstractNum>
  <w:abstractNum w:abstractNumId="857">
    <w:nsid w:val="470699E2"/>
    <w:multiLevelType w:val="hybridMultilevel"/>
    <w:lvl w:ilvl="0">
      <w:lvlJc w:val="left"/>
      <w:lvlText w:val="(%1)"/>
      <w:numFmt w:val="lowerLetter"/>
      <w:start w:val="1"/>
    </w:lvl>
  </w:abstractNum>
  <w:abstractNum w:abstractNumId="858">
    <w:nsid w:val="7E997B57"/>
    <w:multiLevelType w:val="hybridMultilevel"/>
    <w:lvl w:ilvl="0">
      <w:lvlJc w:val="left"/>
      <w:lvlText w:val="***"/>
      <w:numFmt w:val="bullet"/>
      <w:start w:val="1"/>
    </w:lvl>
  </w:abstractNum>
  <w:abstractNum w:abstractNumId="859">
    <w:nsid w:val="2BBA481F"/>
    <w:multiLevelType w:val="hybridMultilevel"/>
    <w:lvl w:ilvl="0">
      <w:lvlJc w:val="left"/>
      <w:lvlText w:val="(%1)"/>
      <w:numFmt w:val="lowerLetter"/>
      <w:start w:val="1"/>
    </w:lvl>
  </w:abstractNum>
  <w:abstractNum w:abstractNumId="860">
    <w:nsid w:val="261ABBD5"/>
    <w:multiLevelType w:val="hybridMultilevel"/>
    <w:lvl w:ilvl="0">
      <w:lvlJc w:val="left"/>
      <w:lvlText w:val="***"/>
      <w:numFmt w:val="bullet"/>
      <w:start w:val="1"/>
    </w:lvl>
  </w:abstractNum>
  <w:abstractNum w:abstractNumId="861">
    <w:nsid w:val="F42BB0E"/>
    <w:multiLevelType w:val="hybridMultilevel"/>
    <w:lvl w:ilvl="0">
      <w:lvlJc w:val="left"/>
      <w:lvlText w:val="***"/>
      <w:numFmt w:val="bullet"/>
      <w:start w:val="1"/>
    </w:lvl>
  </w:abstractNum>
  <w:abstractNum w:abstractNumId="862">
    <w:nsid w:val="2E287A14"/>
    <w:multiLevelType w:val="hybridMultilevel"/>
    <w:lvl w:ilvl="0">
      <w:lvlJc w:val="left"/>
      <w:lvlText w:val="***"/>
      <w:numFmt w:val="bullet"/>
      <w:start w:val="1"/>
    </w:lvl>
  </w:abstractNum>
  <w:abstractNum w:abstractNumId="863">
    <w:nsid w:val="763ECE5D"/>
    <w:multiLevelType w:val="hybridMultilevel"/>
    <w:lvl w:ilvl="0">
      <w:lvlJc w:val="left"/>
      <w:lvlText w:val="***"/>
      <w:numFmt w:val="bullet"/>
      <w:start w:val="1"/>
    </w:lvl>
  </w:abstractNum>
  <w:abstractNum w:abstractNumId="864">
    <w:nsid w:val="7619AB87"/>
    <w:multiLevelType w:val="hybridMultilevel"/>
    <w:lvl w:ilvl="0">
      <w:lvlJc w:val="left"/>
      <w:lvlText w:val="(%1)"/>
      <w:numFmt w:val="lowerLetter"/>
      <w:start w:val="2"/>
    </w:lvl>
  </w:abstractNum>
  <w:abstractNum w:abstractNumId="865">
    <w:nsid w:val="3FE85440"/>
    <w:multiLevelType w:val="hybridMultilevel"/>
    <w:lvl w:ilvl="0">
      <w:lvlJc w:val="left"/>
      <w:lvlText w:val="***"/>
      <w:numFmt w:val="bullet"/>
      <w:start w:val="1"/>
    </w:lvl>
  </w:abstractNum>
  <w:abstractNum w:abstractNumId="866">
    <w:nsid w:val="5649DA4D"/>
    <w:multiLevelType w:val="hybridMultilevel"/>
    <w:lvl w:ilvl="0">
      <w:lvlJc w:val="left"/>
      <w:lvlText w:val="(%1)"/>
      <w:numFmt w:val="lowerLetter"/>
      <w:start w:val="2"/>
    </w:lvl>
  </w:abstractNum>
  <w:abstractNum w:abstractNumId="867">
    <w:nsid w:val="494F6145"/>
    <w:multiLevelType w:val="hybridMultilevel"/>
    <w:lvl w:ilvl="0">
      <w:lvlJc w:val="left"/>
      <w:lvlText w:val="(%1)"/>
      <w:numFmt w:val="lowerLetter"/>
      <w:start w:val="1"/>
    </w:lvl>
  </w:abstractNum>
  <w:abstractNum w:abstractNumId="868">
    <w:nsid w:val="155AEAC4"/>
    <w:multiLevelType w:val="hybridMultilevel"/>
    <w:lvl w:ilvl="0">
      <w:lvlJc w:val="left"/>
      <w:lvlText w:val="***"/>
      <w:numFmt w:val="bullet"/>
      <w:start w:val="1"/>
    </w:lvl>
  </w:abstractNum>
  <w:abstractNum w:abstractNumId="869">
    <w:nsid w:val="6446E44B"/>
    <w:multiLevelType w:val="hybridMultilevel"/>
    <w:lvl w:ilvl="0">
      <w:lvlJc w:val="left"/>
      <w:lvlText w:val="(%1)"/>
      <w:numFmt w:val="lowerLetter"/>
      <w:start w:val="2"/>
    </w:lvl>
  </w:abstractNum>
  <w:abstractNum w:abstractNumId="870">
    <w:nsid w:val="288FA9D6"/>
    <w:multiLevelType w:val="hybridMultilevel"/>
    <w:lvl w:ilvl="0">
      <w:lvlJc w:val="left"/>
      <w:lvlText w:val="***"/>
      <w:numFmt w:val="bullet"/>
      <w:start w:val="1"/>
    </w:lvl>
  </w:abstractNum>
  <w:abstractNum w:abstractNumId="871">
    <w:nsid w:val="7103CB06"/>
    <w:multiLevelType w:val="hybridMultilevel"/>
    <w:lvl w:ilvl="0">
      <w:lvlJc w:val="left"/>
      <w:lvlText w:val="***"/>
      <w:numFmt w:val="bullet"/>
      <w:start w:val="1"/>
    </w:lvl>
  </w:abstractNum>
  <w:abstractNum w:abstractNumId="872">
    <w:nsid w:val="38E16A98"/>
    <w:multiLevelType w:val="hybridMultilevel"/>
    <w:lvl w:ilvl="0">
      <w:lvlJc w:val="left"/>
      <w:lvlText w:val="***"/>
      <w:numFmt w:val="bullet"/>
      <w:start w:val="1"/>
    </w:lvl>
  </w:abstractNum>
  <w:abstractNum w:abstractNumId="873">
    <w:nsid w:val="53F1AC3A"/>
    <w:multiLevelType w:val="hybridMultilevel"/>
    <w:lvl w:ilvl="0">
      <w:lvlJc w:val="left"/>
      <w:lvlText w:val="(%1)"/>
      <w:numFmt w:val="lowerLetter"/>
      <w:start w:val="1"/>
    </w:lvl>
  </w:abstractNum>
  <w:abstractNum w:abstractNumId="874">
    <w:nsid w:val="29A05A67"/>
    <w:multiLevelType w:val="hybridMultilevel"/>
    <w:lvl w:ilvl="0">
      <w:lvlJc w:val="left"/>
      <w:lvlText w:val="***"/>
      <w:numFmt w:val="bullet"/>
      <w:start w:val="1"/>
    </w:lvl>
  </w:abstractNum>
  <w:abstractNum w:abstractNumId="875">
    <w:nsid w:val="5F1D2ADC"/>
    <w:multiLevelType w:val="hybridMultilevel"/>
    <w:lvl w:ilvl="0">
      <w:lvlJc w:val="left"/>
      <w:lvlText w:val="(%1)"/>
      <w:numFmt w:val="lowerLetter"/>
      <w:start w:val="1"/>
    </w:lvl>
  </w:abstractNum>
  <w:abstractNum w:abstractNumId="876">
    <w:nsid w:val="629CAFC0"/>
    <w:multiLevelType w:val="hybridMultilevel"/>
    <w:lvl w:ilvl="0">
      <w:lvlJc w:val="left"/>
      <w:lvlText w:val="***"/>
      <w:numFmt w:val="bullet"/>
      <w:start w:val="1"/>
    </w:lvl>
  </w:abstractNum>
  <w:abstractNum w:abstractNumId="877">
    <w:nsid w:val="75C5A230"/>
    <w:multiLevelType w:val="hybridMultilevel"/>
    <w:lvl w:ilvl="0">
      <w:lvlJc w:val="left"/>
      <w:lvlText w:val="***"/>
      <w:numFmt w:val="bullet"/>
      <w:start w:val="1"/>
    </w:lvl>
  </w:abstractNum>
  <w:abstractNum w:abstractNumId="878">
    <w:nsid w:val="5D00657F"/>
    <w:multiLevelType w:val="hybridMultilevel"/>
    <w:lvl w:ilvl="0">
      <w:lvlJc w:val="left"/>
      <w:lvlText w:val="***"/>
      <w:numFmt w:val="bullet"/>
      <w:start w:val="1"/>
    </w:lvl>
  </w:abstractNum>
  <w:abstractNum w:abstractNumId="879">
    <w:nsid w:val="7BD94799"/>
    <w:multiLevelType w:val="hybridMultilevel"/>
    <w:lvl w:ilvl="0">
      <w:lvlJc w:val="left"/>
      <w:lvlText w:val="***"/>
      <w:numFmt w:val="bullet"/>
      <w:start w:val="1"/>
    </w:lvl>
  </w:abstractNum>
  <w:abstractNum w:abstractNumId="880">
    <w:nsid w:val="3F65E096"/>
    <w:multiLevelType w:val="hybridMultilevel"/>
    <w:lvl w:ilvl="0">
      <w:lvlJc w:val="left"/>
      <w:lvlText w:val="***"/>
      <w:numFmt w:val="bullet"/>
      <w:start w:val="1"/>
    </w:lvl>
  </w:abstractNum>
  <w:abstractNum w:abstractNumId="881">
    <w:nsid w:val="2433ECAC"/>
    <w:multiLevelType w:val="hybridMultilevel"/>
    <w:lvl w:ilvl="0">
      <w:lvlJc w:val="left"/>
      <w:lvlText w:val="***"/>
      <w:numFmt w:val="bullet"/>
      <w:start w:val="1"/>
    </w:lvl>
  </w:abstractNum>
  <w:abstractNum w:abstractNumId="882">
    <w:nsid w:val="266F657C"/>
    <w:multiLevelType w:val="hybridMultilevel"/>
    <w:lvl w:ilvl="0">
      <w:lvlJc w:val="left"/>
      <w:lvlText w:val="(%1)"/>
      <w:numFmt w:val="lowerLetter"/>
      <w:start w:val="1"/>
    </w:lvl>
  </w:abstractNum>
  <w:abstractNum w:abstractNumId="883">
    <w:nsid w:val="D24B94B"/>
    <w:multiLevelType w:val="hybridMultilevel"/>
    <w:lvl w:ilvl="0">
      <w:lvlJc w:val="left"/>
      <w:lvlText w:val="(%1)"/>
      <w:numFmt w:val="lowerLetter"/>
      <w:start w:val="1"/>
    </w:lvl>
  </w:abstractNum>
  <w:abstractNum w:abstractNumId="884">
    <w:nsid w:val="24FC8752"/>
    <w:multiLevelType w:val="hybridMultilevel"/>
    <w:lvl w:ilvl="0">
      <w:lvlJc w:val="left"/>
      <w:lvlText w:val="***"/>
      <w:numFmt w:val="bullet"/>
      <w:start w:val="1"/>
    </w:lvl>
  </w:abstractNum>
  <w:abstractNum w:abstractNumId="885">
    <w:nsid w:val="2CD39943"/>
    <w:multiLevelType w:val="hybridMultilevel"/>
    <w:lvl w:ilvl="0">
      <w:lvlJc w:val="left"/>
      <w:lvlText w:val="(%1)"/>
      <w:numFmt w:val="lowerLetter"/>
      <w:start w:val="2"/>
    </w:lvl>
  </w:abstractNum>
  <w:abstractNum w:abstractNumId="886">
    <w:nsid w:val="4355F8FF"/>
    <w:multiLevelType w:val="hybridMultilevel"/>
    <w:lvl w:ilvl="0">
      <w:lvlJc w:val="left"/>
      <w:lvlText w:val="(%1)"/>
      <w:numFmt w:val="lowerLetter"/>
      <w:start w:val="1"/>
    </w:lvl>
  </w:abstractNum>
  <w:abstractNum w:abstractNumId="887">
    <w:nsid w:val="67C80002"/>
    <w:multiLevelType w:val="hybridMultilevel"/>
    <w:lvl w:ilvl="0">
      <w:lvlJc w:val="left"/>
      <w:lvlText w:val="***"/>
      <w:numFmt w:val="bullet"/>
      <w:start w:val="1"/>
    </w:lvl>
  </w:abstractNum>
  <w:abstractNum w:abstractNumId="888">
    <w:nsid w:val="73DA3325"/>
    <w:multiLevelType w:val="hybridMultilevel"/>
    <w:lvl w:ilvl="0">
      <w:lvlJc w:val="left"/>
      <w:lvlText w:val="(%1)"/>
      <w:numFmt w:val="lowerLetter"/>
      <w:start w:val="3"/>
    </w:lvl>
  </w:abstractNum>
  <w:abstractNum w:abstractNumId="889">
    <w:nsid w:val="41EF7456"/>
    <w:multiLevelType w:val="hybridMultilevel"/>
    <w:lvl w:ilvl="0">
      <w:lvlJc w:val="left"/>
      <w:lvlText w:val="(%1)"/>
      <w:numFmt w:val="lowerRoman"/>
      <w:start w:val="2"/>
    </w:lvl>
  </w:abstractNum>
  <w:abstractNum w:abstractNumId="890">
    <w:nsid w:val="13824822"/>
    <w:multiLevelType w:val="hybridMultilevel"/>
    <w:lvl w:ilvl="0">
      <w:lvlJc w:val="left"/>
      <w:lvlText w:val="(%1)"/>
      <w:numFmt w:val="lowerLetter"/>
      <w:start w:val="1"/>
    </w:lvl>
  </w:abstractNum>
  <w:abstractNum w:abstractNumId="891">
    <w:nsid w:val="19F4EEFA"/>
    <w:multiLevelType w:val="hybridMultilevel"/>
    <w:lvl w:ilvl="0">
      <w:lvlJc w:val="left"/>
      <w:lvlText w:val="***"/>
      <w:numFmt w:val="bullet"/>
      <w:start w:val="1"/>
    </w:lvl>
  </w:abstractNum>
  <w:abstractNum w:abstractNumId="892">
    <w:nsid w:val="51322F64"/>
    <w:multiLevelType w:val="hybridMultilevel"/>
    <w:lvl w:ilvl="0">
      <w:lvlJc w:val="left"/>
      <w:lvlText w:val="%1"/>
      <w:numFmt w:val="lowerLetter"/>
      <w:start w:val="1"/>
    </w:lvl>
    <w:lvl w:ilvl="1">
      <w:lvlJc w:val="left"/>
      <w:lvlText w:val="(%2)"/>
      <w:numFmt w:val="lowerRoman"/>
      <w:start w:val="1"/>
    </w:lvl>
  </w:abstractNum>
  <w:abstractNum w:abstractNumId="893">
    <w:nsid w:val="41AAC236"/>
    <w:multiLevelType w:val="hybridMultilevel"/>
    <w:lvl w:ilvl="0">
      <w:lvlJc w:val="left"/>
      <w:lvlText w:val="(%1)"/>
      <w:numFmt w:val="lowerLetter"/>
      <w:start w:val="2"/>
    </w:lvl>
    <w:lvl w:ilvl="1">
      <w:lvlJc w:val="left"/>
      <w:lvlText w:val="(%2)"/>
      <w:numFmt w:val="lowerRoman"/>
      <w:start w:val="1"/>
    </w:lvl>
  </w:abstractNum>
  <w:abstractNum w:abstractNumId="894">
    <w:nsid w:val="1033BD58"/>
    <w:multiLevelType w:val="hybridMultilevel"/>
    <w:lvl w:ilvl="0">
      <w:lvlJc w:val="left"/>
      <w:lvlText w:val="***"/>
      <w:numFmt w:val="bullet"/>
      <w:start w:val="1"/>
    </w:lvl>
  </w:abstractNum>
  <w:abstractNum w:abstractNumId="895">
    <w:nsid w:val="474BDAEB"/>
    <w:multiLevelType w:val="hybridMultilevel"/>
    <w:lvl w:ilvl="0">
      <w:lvlJc w:val="left"/>
      <w:lvlText w:val="(%1)"/>
      <w:numFmt w:val="lowerLetter"/>
      <w:start w:val="4"/>
    </w:lvl>
  </w:abstractNum>
  <w:abstractNum w:abstractNumId="896">
    <w:nsid w:val="1931676"/>
    <w:multiLevelType w:val="hybridMultilevel"/>
    <w:lvl w:ilvl="0">
      <w:lvlJc w:val="left"/>
      <w:lvlText w:val="***"/>
      <w:numFmt w:val="bullet"/>
      <w:start w:val="1"/>
    </w:lvl>
  </w:abstractNum>
  <w:abstractNum w:abstractNumId="897">
    <w:nsid w:val="667D97A5"/>
    <w:multiLevelType w:val="hybridMultilevel"/>
    <w:lvl w:ilvl="0">
      <w:lvlJc w:val="left"/>
      <w:lvlText w:val="***"/>
      <w:numFmt w:val="bullet"/>
      <w:start w:val="1"/>
    </w:lvl>
  </w:abstractNum>
  <w:abstractNum w:abstractNumId="898">
    <w:nsid w:val="109B3C30"/>
    <w:multiLevelType w:val="hybridMultilevel"/>
    <w:lvl w:ilvl="0">
      <w:lvlJc w:val="left"/>
      <w:lvlText w:val="***"/>
      <w:numFmt w:val="bullet"/>
      <w:start w:val="1"/>
    </w:lvl>
  </w:abstractNum>
  <w:abstractNum w:abstractNumId="899">
    <w:nsid w:val="16EE013A"/>
    <w:multiLevelType w:val="hybridMultilevel"/>
    <w:lvl w:ilvl="0">
      <w:lvlJc w:val="left"/>
      <w:lvlText w:val="***"/>
      <w:numFmt w:val="bullet"/>
      <w:start w:val="1"/>
    </w:lvl>
  </w:abstractNum>
  <w:abstractNum w:abstractNumId="900">
    <w:nsid w:val="4AC47BF1"/>
    <w:multiLevelType w:val="hybridMultilevel"/>
    <w:lvl w:ilvl="0">
      <w:lvlJc w:val="left"/>
      <w:lvlText w:val="***"/>
      <w:numFmt w:val="bullet"/>
      <w:start w:val="1"/>
    </w:lvl>
  </w:abstractNum>
  <w:abstractNum w:abstractNumId="901">
    <w:nsid w:val="392AE607"/>
    <w:multiLevelType w:val="hybridMultilevel"/>
    <w:lvl w:ilvl="0">
      <w:lvlJc w:val="left"/>
      <w:lvlText w:val="***"/>
      <w:numFmt w:val="bullet"/>
      <w:start w:val="1"/>
    </w:lvl>
  </w:abstractNum>
  <w:abstractNum w:abstractNumId="902">
    <w:nsid w:val="7F1CC41"/>
    <w:multiLevelType w:val="hybridMultilevel"/>
    <w:lvl w:ilvl="0">
      <w:lvlJc w:val="left"/>
      <w:lvlText w:val="***"/>
      <w:numFmt w:val="bullet"/>
      <w:start w:val="1"/>
    </w:lvl>
  </w:abstractNum>
  <w:abstractNum w:abstractNumId="903">
    <w:nsid w:val="3A5E689"/>
    <w:multiLevelType w:val="hybridMultilevel"/>
    <w:lvl w:ilvl="0">
      <w:lvlJc w:val="left"/>
      <w:lvlText w:val="(%1)"/>
      <w:numFmt w:val="lowerRoman"/>
      <w:start w:val="2"/>
    </w:lvl>
  </w:abstractNum>
  <w:abstractNum w:abstractNumId="904">
    <w:nsid w:val="D1C9241"/>
    <w:multiLevelType w:val="hybridMultilevel"/>
    <w:lvl w:ilvl="0">
      <w:lvlJc w:val="left"/>
      <w:lvlText w:val="***"/>
      <w:numFmt w:val="bullet"/>
      <w:start w:val="1"/>
    </w:lvl>
  </w:abstractNum>
  <w:abstractNum w:abstractNumId="905">
    <w:nsid w:val="319226A8"/>
    <w:multiLevelType w:val="hybridMultilevel"/>
    <w:lvl w:ilvl="0">
      <w:lvlJc w:val="left"/>
      <w:lvlText w:val="***"/>
      <w:numFmt w:val="bullet"/>
      <w:start w:val="1"/>
    </w:lvl>
  </w:abstractNum>
  <w:abstractNum w:abstractNumId="906">
    <w:nsid w:val="62C31166"/>
    <w:multiLevelType w:val="hybridMultilevel"/>
    <w:lvl w:ilvl="0">
      <w:lvlJc w:val="left"/>
      <w:lvlText w:val="***"/>
      <w:numFmt w:val="bullet"/>
      <w:start w:val="1"/>
    </w:lvl>
  </w:abstractNum>
  <w:abstractNum w:abstractNumId="907">
    <w:nsid w:val="6FB94202"/>
    <w:multiLevelType w:val="hybridMultilevel"/>
    <w:lvl w:ilvl="0">
      <w:lvlJc w:val="left"/>
      <w:lvlText w:val="(%1)"/>
      <w:numFmt w:val="lowerLetter"/>
      <w:start w:val="1"/>
    </w:lvl>
  </w:abstractNum>
  <w:abstractNum w:abstractNumId="908">
    <w:nsid w:val="2757C8D8"/>
    <w:multiLevelType w:val="hybridMultilevel"/>
    <w:lvl w:ilvl="0">
      <w:lvlJc w:val="left"/>
      <w:lvlText w:val="***"/>
      <w:numFmt w:val="bullet"/>
      <w:start w:val="1"/>
    </w:lvl>
  </w:abstractNum>
  <w:abstractNum w:abstractNumId="909">
    <w:nsid w:val="3FC376E5"/>
    <w:multiLevelType w:val="hybridMultilevel"/>
    <w:lvl w:ilvl="0">
      <w:lvlJc w:val="left"/>
      <w:lvlText w:val="(%1)"/>
      <w:numFmt w:val="lowerLetter"/>
      <w:start w:val="2"/>
    </w:lvl>
    <w:lvl w:ilvl="1">
      <w:lvlJc w:val="left"/>
      <w:lvlText w:val="(%2)"/>
      <w:numFmt w:val="lowerRoman"/>
      <w:start w:val="1"/>
    </w:lvl>
  </w:abstractNum>
  <w:abstractNum w:abstractNumId="910">
    <w:nsid w:val="6B92899B"/>
    <w:multiLevelType w:val="hybridMultilevel"/>
    <w:lvl w:ilvl="0">
      <w:lvlJc w:val="left"/>
      <w:lvlText w:val="***"/>
      <w:numFmt w:val="bullet"/>
      <w:start w:val="1"/>
    </w:lvl>
  </w:abstractNum>
  <w:abstractNum w:abstractNumId="911">
    <w:nsid w:val="66BDA96E"/>
    <w:multiLevelType w:val="hybridMultilevel"/>
    <w:lvl w:ilvl="0">
      <w:lvlJc w:val="left"/>
      <w:lvlText w:val="(%1)"/>
      <w:numFmt w:val="lowerRoman"/>
      <w:start w:val="7"/>
    </w:lvl>
  </w:abstractNum>
  <w:abstractNum w:abstractNumId="912">
    <w:nsid w:val="63F76391"/>
    <w:multiLevelType w:val="hybridMultilevel"/>
    <w:lvl w:ilvl="0">
      <w:lvlJc w:val="left"/>
      <w:lvlText w:val="(%1)"/>
      <w:numFmt w:val="lowerLetter"/>
      <w:start w:val="1"/>
    </w:lvl>
  </w:abstractNum>
  <w:abstractNum w:abstractNumId="913">
    <w:nsid w:val="1201EF18"/>
    <w:multiLevelType w:val="hybridMultilevel"/>
    <w:lvl w:ilvl="0">
      <w:lvlJc w:val="left"/>
      <w:lvlText w:val="***"/>
      <w:numFmt w:val="bullet"/>
      <w:start w:val="1"/>
    </w:lvl>
  </w:abstractNum>
  <w:abstractNum w:abstractNumId="914">
    <w:nsid w:val="73E262B9"/>
    <w:multiLevelType w:val="hybridMultilevel"/>
    <w:lvl w:ilvl="0">
      <w:lvlJc w:val="left"/>
      <w:lvlText w:val="***"/>
      <w:numFmt w:val="bullet"/>
      <w:start w:val="1"/>
    </w:lvl>
  </w:abstractNum>
  <w:abstractNum w:abstractNumId="915">
    <w:nsid w:val="8F3EAE3"/>
    <w:multiLevelType w:val="hybridMultilevel"/>
    <w:lvl w:ilvl="0">
      <w:lvlJc w:val="left"/>
      <w:lvlText w:val="***"/>
      <w:numFmt w:val="bullet"/>
      <w:start w:val="1"/>
    </w:lvl>
  </w:abstractNum>
  <w:abstractNum w:abstractNumId="916">
    <w:nsid w:val="3ED5885B"/>
    <w:multiLevelType w:val="hybridMultilevel"/>
    <w:lvl w:ilvl="0">
      <w:lvlJc w:val="left"/>
      <w:lvlText w:val="***"/>
      <w:numFmt w:val="bullet"/>
      <w:start w:val="1"/>
    </w:lvl>
  </w:abstractNum>
  <w:abstractNum w:abstractNumId="917">
    <w:nsid w:val="37385BB8"/>
    <w:multiLevelType w:val="hybridMultilevel"/>
    <w:lvl w:ilvl="0">
      <w:lvlJc w:val="left"/>
      <w:lvlText w:val="(%1)"/>
      <w:numFmt w:val="lowerLetter"/>
      <w:start w:val="1"/>
    </w:lvl>
  </w:abstractNum>
  <w:abstractNum w:abstractNumId="918">
    <w:nsid w:val="70BBEAE6"/>
    <w:multiLevelType w:val="hybridMultilevel"/>
    <w:lvl w:ilvl="0">
      <w:lvlJc w:val="left"/>
      <w:lvlText w:val="***"/>
      <w:numFmt w:val="bullet"/>
      <w:start w:val="1"/>
    </w:lvl>
  </w:abstractNum>
  <w:abstractNum w:abstractNumId="919">
    <w:nsid w:val="32AFBB81"/>
    <w:multiLevelType w:val="hybridMultilevel"/>
    <w:lvl w:ilvl="0">
      <w:lvlJc w:val="left"/>
      <w:lvlText w:val="***"/>
      <w:numFmt w:val="bullet"/>
      <w:start w:val="1"/>
    </w:lvl>
  </w:abstractNum>
  <w:abstractNum w:abstractNumId="920">
    <w:nsid w:val="7927D00E"/>
    <w:multiLevelType w:val="hybridMultilevel"/>
    <w:lvl w:ilvl="0">
      <w:lvlJc w:val="left"/>
      <w:lvlText w:val="***"/>
      <w:numFmt w:val="bullet"/>
      <w:start w:val="1"/>
    </w:lvl>
  </w:abstractNum>
  <w:abstractNum w:abstractNumId="921">
    <w:nsid w:val="43E3308"/>
    <w:multiLevelType w:val="hybridMultilevel"/>
    <w:lvl w:ilvl="0">
      <w:lvlJc w:val="left"/>
      <w:lvlText w:val="***"/>
      <w:numFmt w:val="bullet"/>
      <w:start w:val="1"/>
    </w:lvl>
  </w:abstractNum>
  <w:abstractNum w:abstractNumId="922">
    <w:nsid w:val="4CA4AA7B"/>
    <w:multiLevelType w:val="hybridMultilevel"/>
    <w:lvl w:ilvl="0">
      <w:lvlJc w:val="left"/>
      <w:lvlText w:val="***"/>
      <w:numFmt w:val="bullet"/>
      <w:start w:val="1"/>
    </w:lvl>
  </w:abstractNum>
  <w:abstractNum w:abstractNumId="923">
    <w:nsid w:val="4A59FF72"/>
    <w:multiLevelType w:val="hybridMultilevel"/>
    <w:lvl w:ilvl="0">
      <w:lvlJc w:val="left"/>
      <w:lvlText w:val="***"/>
      <w:numFmt w:val="bullet"/>
      <w:start w:val="1"/>
    </w:lvl>
  </w:abstractNum>
  <w:abstractNum w:abstractNumId="924">
    <w:nsid w:val="45E8F53E"/>
    <w:multiLevelType w:val="hybridMultilevel"/>
    <w:lvl w:ilvl="0">
      <w:lvlJc w:val="left"/>
      <w:lvlText w:val="***"/>
      <w:numFmt w:val="bullet"/>
      <w:start w:val="1"/>
    </w:lvl>
  </w:abstractNum>
  <w:abstractNum w:abstractNumId="925">
    <w:nsid w:val="5CD867D3"/>
    <w:multiLevelType w:val="hybridMultilevel"/>
    <w:lvl w:ilvl="0">
      <w:lvlJc w:val="left"/>
      <w:lvlText w:val="***"/>
      <w:numFmt w:val="bullet"/>
      <w:start w:val="1"/>
    </w:lvl>
  </w:abstractNum>
  <w:abstractNum w:abstractNumId="926">
    <w:nsid w:val="11A5DA5E"/>
    <w:multiLevelType w:val="hybridMultilevel"/>
    <w:lvl w:ilvl="0">
      <w:lvlJc w:val="left"/>
      <w:lvlText w:val="%1."/>
      <w:numFmt w:val="decimal"/>
      <w:start w:val="1"/>
    </w:lvl>
  </w:abstractNum>
  <w:abstractNum w:abstractNumId="927">
    <w:nsid w:val="477C0BB4"/>
    <w:multiLevelType w:val="hybridMultilevel"/>
    <w:lvl w:ilvl="0">
      <w:lvlJc w:val="left"/>
      <w:lvlText w:val="***"/>
      <w:numFmt w:val="bullet"/>
      <w:start w:val="1"/>
    </w:lvl>
  </w:abstractNum>
  <w:abstractNum w:abstractNumId="928">
    <w:nsid w:val="4355FF79"/>
    <w:multiLevelType w:val="hybridMultilevel"/>
    <w:lvl w:ilvl="0">
      <w:lvlJc w:val="left"/>
      <w:lvlText w:val="***"/>
      <w:numFmt w:val="bullet"/>
      <w:start w:val="1"/>
    </w:lvl>
  </w:abstractNum>
  <w:abstractNum w:abstractNumId="929">
    <w:nsid w:val="2241168E"/>
    <w:multiLevelType w:val="hybridMultilevel"/>
    <w:lvl w:ilvl="0">
      <w:lvlJc w:val="left"/>
      <w:lvlText w:val="***"/>
      <w:numFmt w:val="bullet"/>
      <w:start w:val="1"/>
    </w:lvl>
  </w:abstractNum>
  <w:abstractNum w:abstractNumId="930">
    <w:nsid w:val="5E6A0CEE"/>
    <w:multiLevelType w:val="hybridMultilevel"/>
    <w:lvl w:ilvl="0">
      <w:lvlJc w:val="left"/>
      <w:lvlText w:val="***"/>
      <w:numFmt w:val="bullet"/>
      <w:start w:val="1"/>
    </w:lvl>
  </w:abstractNum>
  <w:abstractNum w:abstractNumId="931">
    <w:nsid w:val="E1A7B6A"/>
    <w:multiLevelType w:val="hybridMultilevel"/>
    <w:lvl w:ilvl="0">
      <w:lvlJc w:val="left"/>
      <w:lvlText w:val="***"/>
      <w:numFmt w:val="bullet"/>
      <w:start w:val="1"/>
    </w:lvl>
  </w:abstractNum>
  <w:abstractNum w:abstractNumId="932">
    <w:nsid w:val="5B6BFC95"/>
    <w:multiLevelType w:val="hybridMultilevel"/>
    <w:lvl w:ilvl="0">
      <w:lvlJc w:val="left"/>
      <w:lvlText w:val="***"/>
      <w:numFmt w:val="bullet"/>
      <w:start w:val="1"/>
    </w:lvl>
  </w:abstractNum>
  <w:abstractNum w:abstractNumId="933">
    <w:nsid w:val="665BD92F"/>
    <w:multiLevelType w:val="hybridMultilevel"/>
    <w:lvl w:ilvl="0">
      <w:lvlJc w:val="left"/>
      <w:lvlText w:val="***"/>
      <w:numFmt w:val="bullet"/>
      <w:start w:val="1"/>
    </w:lvl>
  </w:abstractNum>
  <w:abstractNum w:abstractNumId="934">
    <w:nsid w:val="11C061F3"/>
    <w:multiLevelType w:val="hybridMultilevel"/>
    <w:lvl w:ilvl="0">
      <w:lvlJc w:val="left"/>
      <w:lvlText w:val="***"/>
      <w:numFmt w:val="bullet"/>
      <w:start w:val="1"/>
    </w:lvl>
  </w:abstractNum>
  <w:abstractNum w:abstractNumId="935">
    <w:nsid w:val="68888ED7"/>
    <w:multiLevelType w:val="hybridMultilevel"/>
    <w:lvl w:ilvl="0">
      <w:lvlJc w:val="left"/>
      <w:lvlText w:val="***"/>
      <w:numFmt w:val="bullet"/>
      <w:start w:val="1"/>
    </w:lvl>
  </w:abstractNum>
  <w:abstractNum w:abstractNumId="936">
    <w:nsid w:val="17EDFFD7"/>
    <w:multiLevelType w:val="hybridMultilevel"/>
    <w:lvl w:ilvl="0">
      <w:lvlJc w:val="left"/>
      <w:lvlText w:val="***"/>
      <w:numFmt w:val="bullet"/>
      <w:start w:val="1"/>
    </w:lvl>
  </w:abstractNum>
  <w:abstractNum w:abstractNumId="937">
    <w:nsid w:val="74837359"/>
    <w:multiLevelType w:val="hybridMultilevel"/>
    <w:lvl w:ilvl="0">
      <w:lvlJc w:val="left"/>
      <w:lvlText w:val="***"/>
      <w:numFmt w:val="bullet"/>
      <w:start w:val="1"/>
    </w:lvl>
  </w:abstractNum>
  <w:abstractNum w:abstractNumId="938">
    <w:nsid w:val="5841D0D9"/>
    <w:multiLevelType w:val="hybridMultilevel"/>
    <w:lvl w:ilvl="0">
      <w:lvlJc w:val="left"/>
      <w:lvlText w:val="***"/>
      <w:numFmt w:val="bullet"/>
      <w:start w:val="1"/>
    </w:lvl>
  </w:abstractNum>
  <w:abstractNum w:abstractNumId="939">
    <w:nsid w:val="3F45C8AF"/>
    <w:multiLevelType w:val="hybridMultilevel"/>
    <w:lvl w:ilvl="0">
      <w:lvlJc w:val="left"/>
      <w:lvlText w:val="***"/>
      <w:numFmt w:val="bullet"/>
      <w:start w:val="1"/>
    </w:lvl>
  </w:abstractNum>
  <w:abstractNum w:abstractNumId="940">
    <w:nsid w:val="3446EA3E"/>
    <w:multiLevelType w:val="hybridMultilevel"/>
    <w:lvl w:ilvl="0">
      <w:lvlJc w:val="left"/>
      <w:lvlText w:val="***"/>
      <w:numFmt w:val="bullet"/>
      <w:start w:val="1"/>
    </w:lvl>
  </w:abstractNum>
  <w:abstractNum w:abstractNumId="941">
    <w:nsid w:val="43D45A74"/>
    <w:multiLevelType w:val="hybridMultilevel"/>
    <w:lvl w:ilvl="0">
      <w:lvlJc w:val="left"/>
      <w:lvlText w:val="***"/>
      <w:numFmt w:val="bullet"/>
      <w:start w:val="1"/>
    </w:lvl>
  </w:abstractNum>
  <w:abstractNum w:abstractNumId="942">
    <w:nsid w:val="2603721D"/>
    <w:multiLevelType w:val="hybridMultilevel"/>
    <w:lvl w:ilvl="0">
      <w:lvlJc w:val="left"/>
      <w:lvlText w:val="***"/>
      <w:numFmt w:val="bullet"/>
      <w:start w:val="1"/>
    </w:lvl>
  </w:abstractNum>
  <w:abstractNum w:abstractNumId="943">
    <w:nsid w:val="183E4DCF"/>
    <w:multiLevelType w:val="hybridMultilevel"/>
    <w:lvl w:ilvl="0">
      <w:lvlJc w:val="left"/>
      <w:lvlText w:val="***"/>
      <w:numFmt w:val="bullet"/>
      <w:start w:val="1"/>
    </w:lvl>
  </w:abstractNum>
  <w:abstractNum w:abstractNumId="944">
    <w:nsid w:val="55D6498C"/>
    <w:multiLevelType w:val="hybridMultilevel"/>
    <w:lvl w:ilvl="0">
      <w:lvlJc w:val="left"/>
      <w:lvlText w:val="***"/>
      <w:numFmt w:val="bullet"/>
      <w:start w:val="1"/>
    </w:lvl>
  </w:abstractNum>
  <w:abstractNum w:abstractNumId="945">
    <w:nsid w:val="19E5D4D7"/>
    <w:multiLevelType w:val="hybridMultilevel"/>
    <w:lvl w:ilvl="0">
      <w:lvlJc w:val="left"/>
      <w:lvlText w:val="***"/>
      <w:numFmt w:val="bullet"/>
      <w:start w:val="1"/>
    </w:lvl>
  </w:abstractNum>
  <w:abstractNum w:abstractNumId="946">
    <w:nsid w:val="213238B3"/>
    <w:multiLevelType w:val="hybridMultilevel"/>
    <w:lvl w:ilvl="0">
      <w:lvlJc w:val="left"/>
      <w:lvlText w:val="***"/>
      <w:numFmt w:val="bullet"/>
      <w:start w:val="1"/>
    </w:lvl>
  </w:abstractNum>
  <w:abstractNum w:abstractNumId="947">
    <w:nsid w:val="14ABD1E8"/>
    <w:multiLevelType w:val="hybridMultilevel"/>
    <w:lvl w:ilvl="0">
      <w:lvlJc w:val="left"/>
      <w:lvlText w:val="***"/>
      <w:numFmt w:val="bullet"/>
      <w:start w:val="1"/>
    </w:lvl>
  </w:abstractNum>
  <w:abstractNum w:abstractNumId="948">
    <w:nsid w:val="511E308F"/>
    <w:multiLevelType w:val="hybridMultilevel"/>
    <w:lvl w:ilvl="0">
      <w:lvlJc w:val="left"/>
      <w:lvlText w:val="(%1)"/>
      <w:numFmt w:val="lowerLetter"/>
      <w:start w:val="1"/>
    </w:lvl>
  </w:abstractNum>
  <w:abstractNum w:abstractNumId="949">
    <w:nsid w:val="11EE2399"/>
    <w:multiLevelType w:val="hybridMultilevel"/>
    <w:lvl w:ilvl="0">
      <w:lvlJc w:val="left"/>
      <w:lvlText w:val="***"/>
      <w:numFmt w:val="bullet"/>
      <w:start w:val="1"/>
    </w:lvl>
  </w:abstractNum>
  <w:abstractNum w:abstractNumId="950">
    <w:nsid w:val="475B8D69"/>
    <w:multiLevelType w:val="hybridMultilevel"/>
    <w:lvl w:ilvl="0">
      <w:lvlJc w:val="left"/>
      <w:lvlText w:val="(%1)"/>
      <w:numFmt w:val="lowerLetter"/>
      <w:start w:val="1"/>
    </w:lvl>
  </w:abstractNum>
  <w:abstractNum w:abstractNumId="951">
    <w:nsid w:val="4A46009E"/>
    <w:multiLevelType w:val="hybridMultilevel"/>
    <w:lvl w:ilvl="0">
      <w:lvlJc w:val="left"/>
      <w:lvlText w:val="***"/>
      <w:numFmt w:val="bullet"/>
      <w:start w:val="1"/>
    </w:lvl>
  </w:abstractNum>
  <w:abstractNum w:abstractNumId="952">
    <w:nsid w:val="162C56A1"/>
    <w:multiLevelType w:val="hybridMultilevel"/>
    <w:lvl w:ilvl="0">
      <w:lvlJc w:val="left"/>
      <w:lvlText w:val="(%1)"/>
      <w:numFmt w:val="lowerLetter"/>
      <w:start w:val="1"/>
    </w:lvl>
  </w:abstractNum>
  <w:abstractNum w:abstractNumId="953">
    <w:nsid w:val="140037E4"/>
    <w:multiLevelType w:val="hybridMultilevel"/>
    <w:lvl w:ilvl="0">
      <w:lvlJc w:val="left"/>
      <w:lvlText w:val="***"/>
      <w:numFmt w:val="bullet"/>
      <w:start w:val="1"/>
    </w:lvl>
  </w:abstractNum>
  <w:abstractNum w:abstractNumId="954">
    <w:nsid w:val="14A00010"/>
    <w:multiLevelType w:val="hybridMultilevel"/>
    <w:lvl w:ilvl="0">
      <w:lvlJc w:val="left"/>
      <w:lvlText w:val="%1"/>
      <w:numFmt w:val="lowerLetter"/>
      <w:start w:val="1"/>
    </w:lvl>
    <w:lvl w:ilvl="1">
      <w:lvlJc w:val="left"/>
      <w:lvlText w:val="(%2)"/>
      <w:numFmt w:val="lowerLetter"/>
      <w:start w:val="2"/>
    </w:lvl>
  </w:abstractNum>
  <w:abstractNum w:abstractNumId="955">
    <w:nsid w:val="5C154BDF"/>
    <w:multiLevelType w:val="hybridMultilevel"/>
    <w:lvl w:ilvl="0">
      <w:lvlJc w:val="left"/>
      <w:lvlText w:val="(%1)"/>
      <w:numFmt w:val="lowerLetter"/>
      <w:start w:val="61"/>
    </w:lvl>
    <w:lvl w:ilvl="1">
      <w:lvlJc w:val="left"/>
      <w:lvlText w:val="%2"/>
      <w:numFmt w:val="lowerLetter"/>
      <w:start w:val="1"/>
    </w:lvl>
  </w:abstractNum>
  <w:abstractNum w:abstractNumId="956">
    <w:nsid w:val="70D89FB8"/>
    <w:multiLevelType w:val="hybridMultilevel"/>
    <w:lvl w:ilvl="0">
      <w:lvlJc w:val="left"/>
      <w:lvlText w:val="***"/>
      <w:numFmt w:val="bullet"/>
      <w:start w:val="1"/>
    </w:lvl>
  </w:abstractNum>
  <w:abstractNum w:abstractNumId="957">
    <w:nsid w:val="2645DA6E"/>
    <w:multiLevelType w:val="hybridMultilevel"/>
    <w:lvl w:ilvl="0">
      <w:lvlJc w:val="left"/>
      <w:lvlText w:val="***"/>
      <w:numFmt w:val="bullet"/>
      <w:start w:val="1"/>
    </w:lvl>
  </w:abstractNum>
  <w:abstractNum w:abstractNumId="958">
    <w:nsid w:val="23915793"/>
    <w:multiLevelType w:val="hybridMultilevel"/>
    <w:lvl w:ilvl="0">
      <w:lvlJc w:val="left"/>
      <w:lvlText w:val="***"/>
      <w:numFmt w:val="bullet"/>
      <w:start w:val="1"/>
    </w:lvl>
  </w:abstractNum>
  <w:abstractNum w:abstractNumId="959">
    <w:nsid w:val="342E9F31"/>
    <w:multiLevelType w:val="hybridMultilevel"/>
    <w:lvl w:ilvl="0">
      <w:lvlJc w:val="left"/>
      <w:lvlText w:val="***"/>
      <w:numFmt w:val="bullet"/>
      <w:start w:val="1"/>
    </w:lvl>
  </w:abstractNum>
  <w:abstractNum w:abstractNumId="960">
    <w:nsid w:val="4886F0FD"/>
    <w:multiLevelType w:val="hybridMultilevel"/>
    <w:lvl w:ilvl="0">
      <w:lvlJc w:val="left"/>
      <w:lvlText w:val="(%1)"/>
      <w:numFmt w:val="lowerLetter"/>
      <w:start w:val="2"/>
    </w:lvl>
  </w:abstractNum>
  <w:abstractNum w:abstractNumId="961">
    <w:nsid w:val="1FB6481"/>
    <w:multiLevelType w:val="hybridMultilevel"/>
    <w:lvl w:ilvl="0">
      <w:lvlJc w:val="left"/>
      <w:lvlText w:val="***"/>
      <w:numFmt w:val="bullet"/>
      <w:start w:val="1"/>
    </w:lvl>
  </w:abstractNum>
  <w:abstractNum w:abstractNumId="962">
    <w:nsid w:val="42491A9B"/>
    <w:multiLevelType w:val="hybridMultilevel"/>
    <w:lvl w:ilvl="0">
      <w:lvlJc w:val="left"/>
      <w:lvlText w:val="(%1)"/>
      <w:numFmt w:val="lowerLetter"/>
      <w:start w:val="1"/>
    </w:lvl>
  </w:abstractNum>
  <w:abstractNum w:abstractNumId="963">
    <w:nsid w:val="23F2ED92"/>
    <w:multiLevelType w:val="hybridMultilevel"/>
    <w:lvl w:ilvl="0">
      <w:lvlJc w:val="left"/>
      <w:lvlText w:val="***"/>
      <w:numFmt w:val="bullet"/>
      <w:start w:val="1"/>
    </w:lvl>
  </w:abstractNum>
  <w:abstractNum w:abstractNumId="964">
    <w:nsid w:val="68573DB1"/>
    <w:multiLevelType w:val="hybridMultilevel"/>
    <w:lvl w:ilvl="0">
      <w:lvlJc w:val="left"/>
      <w:lvlText w:val="(%1)"/>
      <w:numFmt w:val="lowerLetter"/>
      <w:start w:val="1"/>
    </w:lvl>
    <w:lvl w:ilvl="1">
      <w:lvlJc w:val="left"/>
      <w:lvlText w:val="(%2)"/>
      <w:numFmt w:val="lowerLetter"/>
      <w:start w:val="9"/>
    </w:lvl>
  </w:abstractNum>
  <w:abstractNum w:abstractNumId="965">
    <w:nsid w:val="54097C8E"/>
    <w:multiLevelType w:val="hybridMultilevel"/>
    <w:lvl w:ilvl="0">
      <w:lvlJc w:val="left"/>
      <w:lvlText w:val="***"/>
      <w:numFmt w:val="bullet"/>
      <w:start w:val="1"/>
    </w:lvl>
  </w:abstractNum>
  <w:abstractNum w:abstractNumId="966">
    <w:nsid w:val="C7B7C69"/>
    <w:multiLevelType w:val="hybridMultilevel"/>
    <w:lvl w:ilvl="0">
      <w:lvlJc w:val="left"/>
      <w:lvlText w:val="(%1)"/>
      <w:numFmt w:val="lowerRoman"/>
      <w:start w:val="2"/>
    </w:lvl>
  </w:abstractNum>
  <w:abstractNum w:abstractNumId="967">
    <w:nsid w:val="453D88"/>
    <w:multiLevelType w:val="hybridMultilevel"/>
    <w:lvl w:ilvl="0">
      <w:lvlJc w:val="left"/>
      <w:lvlText w:val="(%1)"/>
      <w:numFmt w:val="lowerLetter"/>
      <w:start w:val="1"/>
    </w:lvl>
  </w:abstractNum>
  <w:abstractNum w:abstractNumId="968">
    <w:nsid w:val="488CEFE8"/>
    <w:multiLevelType w:val="hybridMultilevel"/>
    <w:lvl w:ilvl="0">
      <w:lvlJc w:val="left"/>
      <w:lvlText w:val="***"/>
      <w:numFmt w:val="bullet"/>
      <w:start w:val="1"/>
    </w:lvl>
  </w:abstractNum>
  <w:abstractNum w:abstractNumId="969">
    <w:nsid w:val="64BD4D42"/>
    <w:multiLevelType w:val="hybridMultilevel"/>
    <w:lvl w:ilvl="0">
      <w:lvlJc w:val="left"/>
      <w:lvlText w:val="(%1)"/>
      <w:numFmt w:val="lowerLetter"/>
      <w:start w:val="2"/>
    </w:lvl>
  </w:abstractNum>
  <w:abstractNum w:abstractNumId="970">
    <w:nsid w:val="3F8B0638"/>
    <w:multiLevelType w:val="hybridMultilevel"/>
    <w:lvl w:ilvl="0">
      <w:lvlJc w:val="left"/>
      <w:lvlText w:val="***"/>
      <w:numFmt w:val="bullet"/>
      <w:start w:val="1"/>
    </w:lvl>
  </w:abstractNum>
  <w:abstractNum w:abstractNumId="971">
    <w:nsid w:val="7CD3DA26"/>
    <w:multiLevelType w:val="hybridMultilevel"/>
    <w:lvl w:ilvl="0">
      <w:lvlJc w:val="left"/>
      <w:lvlText w:val="(%1)"/>
      <w:numFmt w:val="lowerLetter"/>
      <w:start w:val="1"/>
    </w:lvl>
  </w:abstractNum>
  <w:abstractNum w:abstractNumId="972">
    <w:nsid w:val="2891A7B7"/>
    <w:multiLevelType w:val="hybridMultilevel"/>
    <w:lvl w:ilvl="0">
      <w:lvlJc w:val="left"/>
      <w:lvlText w:val="(%1)"/>
      <w:numFmt w:val="lowerLetter"/>
      <w:start w:val="1"/>
    </w:lvl>
  </w:abstractNum>
  <w:abstractNum w:abstractNumId="973">
    <w:nsid w:val="658E7855"/>
    <w:multiLevelType w:val="hybridMultilevel"/>
    <w:lvl w:ilvl="0">
      <w:lvlJc w:val="left"/>
      <w:lvlText w:val="***"/>
      <w:numFmt w:val="bullet"/>
      <w:start w:val="1"/>
    </w:lvl>
  </w:abstractNum>
  <w:abstractNum w:abstractNumId="974">
    <w:nsid w:val="151227F6"/>
    <w:multiLevelType w:val="hybridMultilevel"/>
    <w:lvl w:ilvl="0">
      <w:lvlJc w:val="left"/>
      <w:lvlText w:val="(%1)"/>
      <w:numFmt w:val="lowerLetter"/>
      <w:start w:val="2"/>
    </w:lvl>
  </w:abstractNum>
  <w:abstractNum w:abstractNumId="975">
    <w:nsid w:val="7E67F143"/>
    <w:multiLevelType w:val="hybridMultilevel"/>
    <w:lvl w:ilvl="0">
      <w:lvlJc w:val="left"/>
      <w:lvlText w:val="***"/>
      <w:numFmt w:val="bullet"/>
      <w:start w:val="1"/>
    </w:lvl>
  </w:abstractNum>
  <w:abstractNum w:abstractNumId="976">
    <w:nsid w:val="7F744D2C"/>
    <w:multiLevelType w:val="hybridMultilevel"/>
    <w:lvl w:ilvl="0">
      <w:lvlJc w:val="left"/>
      <w:lvlText w:val="***"/>
      <w:numFmt w:val="bullet"/>
      <w:start w:val="1"/>
    </w:lvl>
  </w:abstractNum>
  <w:abstractNum w:abstractNumId="977">
    <w:nsid w:val="364460A9"/>
    <w:multiLevelType w:val="hybridMultilevel"/>
    <w:lvl w:ilvl="0">
      <w:lvlJc w:val="left"/>
      <w:lvlText w:val="***"/>
      <w:numFmt w:val="bullet"/>
      <w:start w:val="1"/>
    </w:lvl>
  </w:abstractNum>
  <w:abstractNum w:abstractNumId="978">
    <w:nsid w:val="1313C32B"/>
    <w:multiLevelType w:val="hybridMultilevel"/>
    <w:lvl w:ilvl="0">
      <w:lvlJc w:val="left"/>
      <w:lvlText w:val="(%1)"/>
      <w:numFmt w:val="lowerLetter"/>
      <w:start w:val="1"/>
    </w:lvl>
  </w:abstractNum>
  <w:abstractNum w:abstractNumId="979">
    <w:nsid w:val="50927DBC"/>
    <w:multiLevelType w:val="hybridMultilevel"/>
    <w:lvl w:ilvl="0">
      <w:lvlJc w:val="left"/>
      <w:lvlText w:val="***"/>
      <w:numFmt w:val="bullet"/>
      <w:start w:val="1"/>
    </w:lvl>
  </w:abstractNum>
  <w:abstractNum w:abstractNumId="980">
    <w:nsid w:val="48328442"/>
    <w:multiLevelType w:val="hybridMultilevel"/>
    <w:lvl w:ilvl="0">
      <w:lvlJc w:val="left"/>
      <w:lvlText w:val="(%1)"/>
      <w:numFmt w:val="lowerLetter"/>
      <w:start w:val="2"/>
    </w:lvl>
  </w:abstractNum>
  <w:abstractNum w:abstractNumId="981">
    <w:nsid w:val="5A6F5094"/>
    <w:multiLevelType w:val="hybridMultilevel"/>
    <w:lvl w:ilvl="0">
      <w:lvlJc w:val="left"/>
      <w:lvlText w:val="***"/>
      <w:numFmt w:val="bullet"/>
      <w:start w:val="1"/>
    </w:lvl>
  </w:abstractNum>
  <w:abstractNum w:abstractNumId="982">
    <w:nsid w:val="1AD87E5A"/>
    <w:multiLevelType w:val="hybridMultilevel"/>
    <w:lvl w:ilvl="0">
      <w:lvlJc w:val="left"/>
      <w:lvlText w:val="(%1)"/>
      <w:numFmt w:val="lowerLetter"/>
      <w:start w:val="1"/>
    </w:lvl>
  </w:abstractNum>
  <w:abstractNum w:abstractNumId="983">
    <w:nsid w:val="5E5EDAE3"/>
    <w:multiLevelType w:val="hybridMultilevel"/>
    <w:lvl w:ilvl="0">
      <w:lvlJc w:val="left"/>
      <w:lvlText w:val="***"/>
      <w:numFmt w:val="bullet"/>
      <w:start w:val="1"/>
    </w:lvl>
  </w:abstractNum>
  <w:abstractNum w:abstractNumId="984">
    <w:nsid w:val="6E6F8879"/>
    <w:multiLevelType w:val="hybridMultilevel"/>
    <w:lvl w:ilvl="0">
      <w:lvlJc w:val="left"/>
      <w:lvlText w:val="***"/>
      <w:numFmt w:val="bullet"/>
      <w:start w:val="1"/>
    </w:lvl>
  </w:abstractNum>
  <w:abstractNum w:abstractNumId="985">
    <w:nsid w:val="2F787E6A"/>
    <w:multiLevelType w:val="hybridMultilevel"/>
    <w:lvl w:ilvl="0">
      <w:lvlJc w:val="left"/>
      <w:lvlText w:val="***"/>
      <w:numFmt w:val="bullet"/>
      <w:start w:val="1"/>
    </w:lvl>
  </w:abstractNum>
  <w:abstractNum w:abstractNumId="986">
    <w:nsid w:val="3A7426C2"/>
    <w:multiLevelType w:val="hybridMultilevel"/>
    <w:lvl w:ilvl="0">
      <w:lvlJc w:val="left"/>
      <w:lvlText w:val="(%1)"/>
      <w:numFmt w:val="lowerLetter"/>
      <w:start w:val="1"/>
    </w:lvl>
  </w:abstractNum>
  <w:abstractNum w:abstractNumId="987">
    <w:nsid w:val="5F482831"/>
    <w:multiLevelType w:val="hybridMultilevel"/>
    <w:lvl w:ilvl="0">
      <w:lvlJc w:val="left"/>
      <w:lvlText w:val="***"/>
      <w:numFmt w:val="bullet"/>
      <w:start w:val="1"/>
    </w:lvl>
  </w:abstractNum>
  <w:abstractNum w:abstractNumId="988">
    <w:nsid w:val="55BE58D9"/>
    <w:multiLevelType w:val="hybridMultilevel"/>
    <w:lvl w:ilvl="0">
      <w:lvlJc w:val="left"/>
      <w:lvlText w:val="***"/>
      <w:numFmt w:val="bullet"/>
      <w:start w:val="1"/>
    </w:lvl>
  </w:abstractNum>
  <w:abstractNum w:abstractNumId="989">
    <w:nsid w:val="5E057E55"/>
    <w:multiLevelType w:val="hybridMultilevel"/>
    <w:lvl w:ilvl="0">
      <w:lvlJc w:val="left"/>
      <w:lvlText w:val="(%1)"/>
      <w:numFmt w:val="lowerLetter"/>
      <w:start w:val="1"/>
    </w:lvl>
  </w:abstractNum>
  <w:abstractNum w:abstractNumId="990">
    <w:nsid w:val="1376C762"/>
    <w:multiLevelType w:val="hybridMultilevel"/>
    <w:lvl w:ilvl="0">
      <w:lvlJc w:val="left"/>
      <w:lvlText w:val="***"/>
      <w:numFmt w:val="bullet"/>
      <w:start w:val="1"/>
    </w:lvl>
  </w:abstractNum>
  <w:abstractNum w:abstractNumId="991">
    <w:nsid w:val="1E4549D6"/>
    <w:multiLevelType w:val="hybridMultilevel"/>
    <w:lvl w:ilvl="0">
      <w:lvlJc w:val="left"/>
      <w:lvlText w:val="(%1)"/>
      <w:numFmt w:val="lowerLetter"/>
      <w:start w:val="1"/>
    </w:lvl>
  </w:abstractNum>
  <w:abstractNum w:abstractNumId="992">
    <w:nsid w:val="6000E2D6"/>
    <w:multiLevelType w:val="hybridMultilevel"/>
    <w:lvl w:ilvl="0">
      <w:lvlJc w:val="left"/>
      <w:lvlText w:val="***"/>
      <w:numFmt w:val="bullet"/>
      <w:start w:val="1"/>
    </w:lvl>
  </w:abstractNum>
  <w:abstractNum w:abstractNumId="993">
    <w:nsid w:val="55BFE1FD"/>
    <w:multiLevelType w:val="hybridMultilevel"/>
    <w:lvl w:ilvl="0">
      <w:lvlJc w:val="left"/>
      <w:lvlText w:val="***"/>
      <w:numFmt w:val="bullet"/>
      <w:start w:val="1"/>
    </w:lvl>
  </w:abstractNum>
  <w:abstractNum w:abstractNumId="994">
    <w:nsid w:val="42383768"/>
    <w:multiLevelType w:val="hybridMultilevel"/>
    <w:lvl w:ilvl="0">
      <w:lvlJc w:val="left"/>
      <w:lvlText w:val="***"/>
      <w:numFmt w:val="bullet"/>
      <w:start w:val="1"/>
    </w:lvl>
  </w:abstractNum>
  <w:abstractNum w:abstractNumId="995">
    <w:nsid w:val="48582087"/>
    <w:multiLevelType w:val="hybridMultilevel"/>
    <w:lvl w:ilvl="0">
      <w:lvlJc w:val="left"/>
      <w:lvlText w:val="(%1)"/>
      <w:numFmt w:val="lowerLetter"/>
      <w:start w:val="1"/>
    </w:lvl>
  </w:abstractNum>
  <w:abstractNum w:abstractNumId="996">
    <w:nsid w:val="29C95E8B"/>
    <w:multiLevelType w:val="hybridMultilevel"/>
    <w:lvl w:ilvl="0">
      <w:lvlJc w:val="left"/>
      <w:lvlText w:val="***"/>
      <w:numFmt w:val="bullet"/>
      <w:start w:val="1"/>
    </w:lvl>
  </w:abstractNum>
  <w:abstractNum w:abstractNumId="997">
    <w:nsid w:val="4EB3B3D2"/>
    <w:multiLevelType w:val="hybridMultilevel"/>
    <w:lvl w:ilvl="0">
      <w:lvlJc w:val="left"/>
      <w:lvlText w:val="(%1)"/>
      <w:numFmt w:val="lowerLetter"/>
      <w:start w:val="1"/>
    </w:lvl>
  </w:abstractNum>
  <w:abstractNum w:abstractNumId="998">
    <w:nsid w:val="489D5E10"/>
    <w:multiLevelType w:val="hybridMultilevel"/>
    <w:lvl w:ilvl="0">
      <w:lvlJc w:val="left"/>
      <w:lvlText w:val="(%1)"/>
      <w:numFmt w:val="lowerLetter"/>
      <w:start w:val="1"/>
    </w:lvl>
  </w:abstractNum>
  <w:abstractNum w:abstractNumId="999">
    <w:nsid w:val="72564E73"/>
    <w:multiLevelType w:val="hybridMultilevel"/>
    <w:lvl w:ilvl="0">
      <w:lvlJc w:val="left"/>
      <w:lvlText w:val="***"/>
      <w:numFmt w:val="bullet"/>
      <w:start w:val="1"/>
    </w:lvl>
  </w:abstractNum>
  <w:abstractNum w:abstractNumId="1000">
    <w:nsid w:val="33710114"/>
    <w:multiLevelType w:val="hybridMultilevel"/>
    <w:lvl w:ilvl="0">
      <w:lvlJc w:val="left"/>
      <w:lvlText w:val="(%1)"/>
      <w:numFmt w:val="lowerLetter"/>
      <w:start w:val="2"/>
    </w:lvl>
  </w:abstractNum>
  <w:abstractNum w:abstractNumId="1001">
    <w:nsid w:val="8286448"/>
    <w:multiLevelType w:val="hybridMultilevel"/>
    <w:lvl w:ilvl="0">
      <w:lvlJc w:val="left"/>
      <w:lvlText w:val="(%1)"/>
      <w:numFmt w:val="lowerRoman"/>
      <w:start w:val="2"/>
    </w:lvl>
  </w:abstractNum>
  <w:abstractNum w:abstractNumId="1002">
    <w:nsid w:val="6F2A289A"/>
    <w:multiLevelType w:val="hybridMultilevel"/>
    <w:lvl w:ilvl="0">
      <w:lvlJc w:val="left"/>
      <w:lvlText w:val="***"/>
      <w:numFmt w:val="bullet"/>
      <w:start w:val="1"/>
    </w:lvl>
  </w:abstractNum>
  <w:abstractNum w:abstractNumId="1003">
    <w:nsid w:val="5C02A8C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04">
    <w:nsid w:val="6DB6DC9D"/>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05">
    <w:nsid w:val="43C5090"/>
    <w:multiLevelType w:val="hybridMultilevel"/>
    <w:lvl w:ilvl="0">
      <w:lvlJc w:val="left"/>
      <w:lvlText w:val="***"/>
      <w:numFmt w:val="bullet"/>
      <w:start w:val="1"/>
    </w:lvl>
  </w:abstractNum>
  <w:abstractNum w:abstractNumId="1006">
    <w:nsid w:val="5A6A9A0F"/>
    <w:multiLevelType w:val="hybridMultilevel"/>
    <w:lvl w:ilvl="0">
      <w:lvlJc w:val="left"/>
      <w:lvlText w:val="(%1)"/>
      <w:numFmt w:val="lowerLetter"/>
      <w:start w:val="3"/>
    </w:lvl>
  </w:abstractNum>
  <w:abstractNum w:abstractNumId="1007">
    <w:nsid w:val="6D2B29CA"/>
    <w:multiLevelType w:val="hybridMultilevel"/>
    <w:lvl w:ilvl="0">
      <w:lvlJc w:val="left"/>
      <w:lvlText w:val="***"/>
      <w:numFmt w:val="bullet"/>
      <w:start w:val="1"/>
    </w:lvl>
  </w:abstractNum>
  <w:abstractNum w:abstractNumId="1008">
    <w:nsid w:val="3A80B139"/>
    <w:multiLevelType w:val="hybridMultilevel"/>
    <w:lvl w:ilvl="0">
      <w:lvlJc w:val="left"/>
      <w:lvlText w:val="***"/>
      <w:numFmt w:val="bullet"/>
      <w:start w:val="1"/>
    </w:lvl>
  </w:abstractNum>
  <w:abstractNum w:abstractNumId="1009">
    <w:nsid w:val="6D7E5D3A"/>
    <w:multiLevelType w:val="hybridMultilevel"/>
    <w:lvl w:ilvl="0">
      <w:lvlJc w:val="left"/>
      <w:lvlText w:val="***"/>
      <w:numFmt w:val="bullet"/>
      <w:start w:val="1"/>
    </w:lvl>
  </w:abstractNum>
  <w:abstractNum w:abstractNumId="1010">
    <w:nsid w:val="3DBDA786"/>
    <w:multiLevelType w:val="hybridMultilevel"/>
    <w:lvl w:ilvl="0">
      <w:lvlJc w:val="left"/>
      <w:lvlText w:val="***"/>
      <w:numFmt w:val="bullet"/>
      <w:start w:val="1"/>
    </w:lvl>
  </w:abstractNum>
  <w:abstractNum w:abstractNumId="1011">
    <w:nsid w:val="2B3357B"/>
    <w:multiLevelType w:val="hybridMultilevel"/>
    <w:lvl w:ilvl="0">
      <w:lvlJc w:val="left"/>
      <w:lvlText w:val="(%1)"/>
      <w:numFmt w:val="upperLetter"/>
      <w:start w:val="1"/>
    </w:lvl>
  </w:abstractNum>
  <w:abstractNum w:abstractNumId="1012">
    <w:nsid w:val="47EDADCF"/>
    <w:multiLevelType w:val="hybridMultilevel"/>
    <w:lvl w:ilvl="0">
      <w:lvlJc w:val="left"/>
      <w:lvlText w:val="***"/>
      <w:numFmt w:val="bullet"/>
      <w:start w:val="1"/>
    </w:lvl>
  </w:abstractNum>
  <w:abstractNum w:abstractNumId="1013">
    <w:nsid w:val="589625E0"/>
    <w:multiLevelType w:val="hybridMultilevel"/>
    <w:lvl w:ilvl="0">
      <w:lvlJc w:val="left"/>
      <w:lvlText w:val="***"/>
      <w:numFmt w:val="bullet"/>
      <w:start w:val="1"/>
    </w:lvl>
  </w:abstractNum>
  <w:abstractNum w:abstractNumId="1014">
    <w:nsid w:val="6112105E"/>
    <w:multiLevelType w:val="hybridMultilevel"/>
    <w:lvl w:ilvl="0">
      <w:lvlJc w:val="left"/>
      <w:lvlText w:val="***"/>
      <w:numFmt w:val="bullet"/>
      <w:start w:val="1"/>
    </w:lvl>
  </w:abstractNum>
  <w:abstractNum w:abstractNumId="1015">
    <w:nsid w:val="365D3648"/>
    <w:multiLevelType w:val="hybridMultilevel"/>
    <w:lvl w:ilvl="0">
      <w:lvlJc w:val="left"/>
      <w:lvlText w:val="***"/>
      <w:numFmt w:val="bullet"/>
      <w:start w:val="1"/>
    </w:lvl>
  </w:abstractNum>
  <w:abstractNum w:abstractNumId="1016">
    <w:nsid w:val="80EA44A"/>
    <w:multiLevelType w:val="hybridMultilevel"/>
    <w:lvl w:ilvl="0">
      <w:lvlJc w:val="left"/>
      <w:lvlText w:val="(%1)"/>
      <w:numFmt w:val="lowerLetter"/>
      <w:start w:val="3"/>
    </w:lvl>
  </w:abstractNum>
  <w:abstractNum w:abstractNumId="1017">
    <w:nsid w:val="1B863720"/>
    <w:multiLevelType w:val="hybridMultilevel"/>
    <w:lvl w:ilvl="0">
      <w:lvlJc w:val="left"/>
      <w:lvlText w:val="***"/>
      <w:numFmt w:val="bullet"/>
      <w:start w:val="1"/>
    </w:lvl>
  </w:abstractNum>
  <w:abstractNum w:abstractNumId="1018">
    <w:nsid w:val="15A55E79"/>
    <w:multiLevelType w:val="hybridMultilevel"/>
    <w:lvl w:ilvl="0">
      <w:lvlJc w:val="left"/>
      <w:lvlText w:val="***"/>
      <w:numFmt w:val="bullet"/>
      <w:start w:val="1"/>
    </w:lvl>
    <w:lvl w:ilvl="1">
      <w:lvlJc w:val="left"/>
      <w:lvlText w:val="***"/>
      <w:numFmt w:val="bullet"/>
      <w:start w:val="1"/>
    </w:lvl>
  </w:abstractNum>
  <w:abstractNum w:abstractNumId="1019">
    <w:nsid w:val="5DCCFD23"/>
    <w:multiLevelType w:val="hybridMultilevel"/>
    <w:lvl w:ilvl="0">
      <w:lvlJc w:val="left"/>
      <w:lvlText w:val="***"/>
      <w:numFmt w:val="bullet"/>
      <w:start w:val="1"/>
    </w:lvl>
  </w:abstractNum>
  <w:abstractNum w:abstractNumId="1020">
    <w:nsid w:val="798BB575"/>
    <w:multiLevelType w:val="hybridMultilevel"/>
    <w:lvl w:ilvl="0">
      <w:lvlJc w:val="left"/>
      <w:lvlText w:val="***"/>
      <w:numFmt w:val="bullet"/>
      <w:start w:val="1"/>
    </w:lvl>
  </w:abstractNum>
  <w:abstractNum w:abstractNumId="1021">
    <w:nsid w:val="291C25D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22">
    <w:nsid w:val="7C1246F9"/>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023">
    <w:nsid w:val="598C984B"/>
    <w:multiLevelType w:val="hybridMultilevel"/>
    <w:lvl w:ilvl="0">
      <w:lvlJc w:val="left"/>
      <w:lvlText w:val="***"/>
      <w:numFmt w:val="bullet"/>
      <w:start w:val="1"/>
    </w:lvl>
  </w:abstractNum>
  <w:abstractNum w:abstractNumId="1024">
    <w:nsid w:val="7EDC07D8"/>
    <w:multiLevelType w:val="hybridMultilevel"/>
    <w:lvl w:ilvl="0">
      <w:lvlJc w:val="left"/>
      <w:lvlText w:val="(%1)"/>
      <w:numFmt w:val="lowerRoman"/>
      <w:start w:val="7"/>
    </w:lvl>
  </w:abstractNum>
  <w:abstractNum w:abstractNumId="1025">
    <w:nsid w:val="3E4A7E62"/>
    <w:multiLevelType w:val="hybridMultilevel"/>
    <w:lvl w:ilvl="0">
      <w:lvlJc w:val="left"/>
      <w:lvlText w:val="(%1)"/>
      <w:numFmt w:val="lowerLetter"/>
      <w:start w:val="1"/>
    </w:lvl>
  </w:abstractNum>
  <w:abstractNum w:abstractNumId="1026">
    <w:nsid w:val="21E4B8D3"/>
    <w:multiLevelType w:val="hybridMultilevel"/>
    <w:lvl w:ilvl="0">
      <w:lvlJc w:val="left"/>
      <w:lvlText w:val="***"/>
      <w:numFmt w:val="bullet"/>
      <w:start w:val="1"/>
    </w:lvl>
  </w:abstractNum>
  <w:abstractNum w:abstractNumId="1027">
    <w:nsid w:val="28A56663"/>
    <w:multiLevelType w:val="hybridMultilevel"/>
    <w:lvl w:ilvl="0">
      <w:lvlJc w:val="left"/>
      <w:lvlText w:val="***"/>
      <w:numFmt w:val="bullet"/>
      <w:start w:val="1"/>
    </w:lvl>
  </w:abstractNum>
  <w:abstractNum w:abstractNumId="1028">
    <w:nsid w:val="CFE3234"/>
    <w:multiLevelType w:val="hybridMultilevel"/>
    <w:lvl w:ilvl="0">
      <w:lvlJc w:val="left"/>
      <w:lvlText w:val="(%1)"/>
      <w:numFmt w:val="lowerLetter"/>
      <w:start w:val="1"/>
    </w:lvl>
  </w:abstractNum>
  <w:abstractNum w:abstractNumId="1029">
    <w:nsid w:val="6A8216E3"/>
    <w:multiLevelType w:val="hybridMultilevel"/>
    <w:lvl w:ilvl="0">
      <w:lvlJc w:val="left"/>
      <w:lvlText w:val="***"/>
      <w:numFmt w:val="bullet"/>
      <w:start w:val="1"/>
    </w:lvl>
  </w:abstractNum>
  <w:abstractNum w:abstractNumId="1030">
    <w:nsid w:val="1AFBB4D7"/>
    <w:multiLevelType w:val="hybridMultilevel"/>
    <w:lvl w:ilvl="0">
      <w:lvlJc w:val="left"/>
      <w:lvlText w:val="***"/>
      <w:numFmt w:val="bullet"/>
      <w:start w:val="1"/>
    </w:lvl>
  </w:abstractNum>
  <w:abstractNum w:abstractNumId="1031">
    <w:nsid w:val="406F3348"/>
    <w:multiLevelType w:val="hybridMultilevel"/>
    <w:lvl w:ilvl="0">
      <w:lvlJc w:val="left"/>
      <w:lvlText w:val="***"/>
      <w:numFmt w:val="bullet"/>
      <w:start w:val="1"/>
    </w:lvl>
  </w:abstractNum>
  <w:abstractNum w:abstractNumId="1032">
    <w:nsid w:val="72AA7B2B"/>
    <w:multiLevelType w:val="hybridMultilevel"/>
    <w:lvl w:ilvl="0">
      <w:lvlJc w:val="left"/>
      <w:lvlText w:val="***"/>
      <w:numFmt w:val="bullet"/>
      <w:start w:val="1"/>
    </w:lvl>
  </w:abstractNum>
  <w:abstractNum w:abstractNumId="1033">
    <w:nsid w:val="A25DD71"/>
    <w:multiLevelType w:val="hybridMultilevel"/>
    <w:lvl w:ilvl="0">
      <w:lvlJc w:val="left"/>
      <w:lvlText w:val="***"/>
      <w:numFmt w:val="bullet"/>
      <w:start w:val="1"/>
    </w:lvl>
  </w:abstractNum>
  <w:abstractNum w:abstractNumId="1034">
    <w:nsid w:val="1C71DC14"/>
    <w:multiLevelType w:val="hybridMultilevel"/>
    <w:lvl w:ilvl="0">
      <w:lvlJc w:val="left"/>
      <w:lvlText w:val="***"/>
      <w:numFmt w:val="bullet"/>
      <w:start w:val="1"/>
    </w:lvl>
  </w:abstractNum>
  <w:abstractNum w:abstractNumId="1035">
    <w:nsid w:val="606157C8"/>
    <w:multiLevelType w:val="hybridMultilevel"/>
    <w:lvl w:ilvl="0">
      <w:lvlJc w:val="left"/>
      <w:lvlText w:val="***"/>
      <w:numFmt w:val="bullet"/>
      <w:start w:val="1"/>
    </w:lvl>
  </w:abstractNum>
  <w:abstractNum w:abstractNumId="1036">
    <w:nsid w:val="E622E01"/>
    <w:multiLevelType w:val="hybridMultilevel"/>
    <w:lvl w:ilvl="0">
      <w:lvlJc w:val="left"/>
      <w:lvlText w:val="***"/>
      <w:numFmt w:val="bullet"/>
      <w:start w:val="1"/>
    </w:lvl>
  </w:abstractNum>
  <w:abstractNum w:abstractNumId="1037">
    <w:nsid w:val="76DC7623"/>
    <w:multiLevelType w:val="hybridMultilevel"/>
    <w:lvl w:ilvl="0">
      <w:lvlJc w:val="left"/>
      <w:lvlText w:val="%1."/>
      <w:numFmt w:val="decimal"/>
      <w:start w:val="1"/>
    </w:lvl>
  </w:abstractNum>
  <w:abstractNum w:abstractNumId="1038">
    <w:nsid w:val="4D8C8192"/>
    <w:multiLevelType w:val="hybridMultilevel"/>
    <w:lvl w:ilvl="0">
      <w:lvlJc w:val="left"/>
      <w:lvlText w:val="***"/>
      <w:numFmt w:val="bullet"/>
      <w:start w:val="1"/>
    </w:lvl>
  </w:abstractNum>
  <w:abstractNum w:abstractNumId="1039">
    <w:nsid w:val="48E2DF3A"/>
    <w:multiLevelType w:val="hybridMultilevel"/>
    <w:lvl w:ilvl="0">
      <w:lvlJc w:val="left"/>
      <w:lvlText w:val="•"/>
      <w:numFmt w:val="bullet"/>
      <w:start w:val="1"/>
    </w:lvl>
  </w:abstractNum>
  <w:abstractNum w:abstractNumId="1040">
    <w:nsid w:val="645AD35D"/>
    <w:multiLevelType w:val="hybridMultilevel"/>
    <w:lvl w:ilvl="0">
      <w:lvlJc w:val="left"/>
      <w:lvlText w:val="***"/>
      <w:numFmt w:val="bullet"/>
      <w:start w:val="1"/>
    </w:lvl>
  </w:abstractNum>
  <w:abstractNum w:abstractNumId="1041">
    <w:nsid w:val="B4A2918"/>
    <w:multiLevelType w:val="hybridMultilevel"/>
    <w:lvl w:ilvl="0">
      <w:lvlJc w:val="left"/>
      <w:lvlText w:val="***"/>
      <w:numFmt w:val="bullet"/>
      <w:start w:val="1"/>
    </w:lvl>
  </w:abstractNum>
  <w:abstractNum w:abstractNumId="1042">
    <w:nsid w:val="4B9614B5"/>
    <w:multiLevelType w:val="hybridMultilevel"/>
    <w:lvl w:ilvl="0">
      <w:lvlJc w:val="left"/>
      <w:lvlText w:val="***"/>
      <w:numFmt w:val="bullet"/>
      <w:start w:val="1"/>
    </w:lvl>
  </w:abstractNum>
  <w:abstractNum w:abstractNumId="1043">
    <w:nsid w:val="2C48812C"/>
    <w:multiLevelType w:val="hybridMultilevel"/>
    <w:lvl w:ilvl="0">
      <w:lvlJc w:val="left"/>
      <w:lvlText w:val="***"/>
      <w:numFmt w:val="bullet"/>
      <w:start w:val="1"/>
    </w:lvl>
  </w:abstractNum>
  <w:abstractNum w:abstractNumId="1044">
    <w:nsid w:val="63E04EF8"/>
    <w:multiLevelType w:val="hybridMultilevel"/>
    <w:lvl w:ilvl="0">
      <w:lvlJc w:val="left"/>
      <w:lvlText w:val="***"/>
      <w:numFmt w:val="bullet"/>
      <w:start w:val="1"/>
    </w:lvl>
  </w:abstractNum>
  <w:abstractNum w:abstractNumId="1045">
    <w:nsid w:val="2CA82513"/>
    <w:multiLevelType w:val="hybridMultilevel"/>
    <w:lvl w:ilvl="0">
      <w:lvlJc w:val="left"/>
      <w:lvlText w:val="%1."/>
      <w:numFmt w:val="decimal"/>
      <w:start w:val="1"/>
    </w:lvl>
  </w:abstractNum>
  <w:abstractNum w:abstractNumId="1046">
    <w:nsid w:val="62A5B774"/>
    <w:multiLevelType w:val="hybridMultilevel"/>
    <w:lvl w:ilvl="0">
      <w:lvlJc w:val="left"/>
      <w:lvlText w:val="***"/>
      <w:numFmt w:val="bullet"/>
      <w:start w:val="1"/>
    </w:lvl>
  </w:abstractNum>
  <w:abstractNum w:abstractNumId="1047">
    <w:nsid w:val="6BEEF343"/>
    <w:multiLevelType w:val="hybridMultilevel"/>
    <w:lvl w:ilvl="0">
      <w:lvlJc w:val="left"/>
      <w:lvlText w:val="***"/>
      <w:numFmt w:val="bullet"/>
      <w:start w:val="1"/>
    </w:lvl>
  </w:abstractNum>
  <w:abstractNum w:abstractNumId="1048">
    <w:nsid w:val="482E5C33"/>
    <w:multiLevelType w:val="hybridMultilevel"/>
    <w:lvl w:ilvl="0">
      <w:lvlJc w:val="left"/>
      <w:lvlText w:val="***"/>
      <w:numFmt w:val="bullet"/>
      <w:start w:val="1"/>
    </w:lvl>
  </w:abstractNum>
  <w:abstractNum w:abstractNumId="1049">
    <w:nsid w:val="784B15ED"/>
    <w:multiLevelType w:val="hybridMultilevel"/>
    <w:lvl w:ilvl="0">
      <w:lvlJc w:val="left"/>
      <w:lvlText w:val="***"/>
      <w:numFmt w:val="bullet"/>
      <w:start w:val="1"/>
    </w:lvl>
  </w:abstractNum>
  <w:abstractNum w:abstractNumId="1050">
    <w:nsid w:val="49BBF066"/>
    <w:multiLevelType w:val="hybridMultilevel"/>
    <w:lvl w:ilvl="0">
      <w:lvlJc w:val="left"/>
      <w:lvlText w:val="***"/>
      <w:numFmt w:val="bullet"/>
      <w:start w:val="1"/>
    </w:lvl>
  </w:abstractNum>
  <w:abstractNum w:abstractNumId="1051">
    <w:nsid w:val="41BA11A8"/>
    <w:multiLevelType w:val="hybridMultilevel"/>
    <w:lvl w:ilvl="0">
      <w:lvlJc w:val="left"/>
      <w:lvlText w:val="***"/>
      <w:numFmt w:val="bullet"/>
      <w:start w:val="1"/>
    </w:lvl>
  </w:abstractNum>
  <w:abstractNum w:abstractNumId="1052">
    <w:nsid w:val="21673BC8"/>
    <w:multiLevelType w:val="hybridMultilevel"/>
    <w:lvl w:ilvl="0">
      <w:lvlJc w:val="left"/>
      <w:lvlText w:val="***"/>
      <w:numFmt w:val="bullet"/>
      <w:start w:val="1"/>
    </w:lvl>
  </w:abstractNum>
  <w:abstractNum w:abstractNumId="1053">
    <w:nsid w:val="45CE3760"/>
    <w:multiLevelType w:val="hybridMultilevel"/>
    <w:lvl w:ilvl="0">
      <w:lvlJc w:val="left"/>
      <w:lvlText w:val="***"/>
      <w:numFmt w:val="bullet"/>
      <w:start w:val="1"/>
    </w:lvl>
  </w:abstractNum>
  <w:abstractNum w:abstractNumId="1054">
    <w:nsid w:val="1B46A9F3"/>
    <w:multiLevelType w:val="hybridMultilevel"/>
    <w:lvl w:ilvl="0">
      <w:lvlJc w:val="left"/>
      <w:lvlText w:val="***"/>
      <w:numFmt w:val="bullet"/>
      <w:start w:val="1"/>
    </w:lvl>
  </w:abstractNum>
  <w:abstractNum w:abstractNumId="1055">
    <w:nsid w:val="204343A0"/>
    <w:multiLevelType w:val="hybridMultilevel"/>
    <w:lvl w:ilvl="0">
      <w:lvlJc w:val="left"/>
      <w:lvlText w:val="***"/>
      <w:numFmt w:val="bullet"/>
      <w:start w:val="1"/>
    </w:lvl>
  </w:abstractNum>
  <w:abstractNum w:abstractNumId="1056">
    <w:nsid w:val="418B5C2"/>
    <w:multiLevelType w:val="hybridMultilevel"/>
    <w:lvl w:ilvl="0">
      <w:lvlJc w:val="left"/>
      <w:lvlText w:val="(%1)"/>
      <w:numFmt w:val="lowerLetter"/>
      <w:start w:val="3"/>
    </w:lvl>
  </w:abstractNum>
  <w:abstractNum w:abstractNumId="1057">
    <w:nsid w:val="3D2B62C6"/>
    <w:multiLevelType w:val="hybridMultilevel"/>
    <w:lvl w:ilvl="0">
      <w:lvlJc w:val="left"/>
      <w:lvlText w:val="***"/>
      <w:numFmt w:val="bullet"/>
      <w:start w:val="1"/>
    </w:lvl>
  </w:abstractNum>
  <w:abstractNum w:abstractNumId="1058">
    <w:nsid w:val="48E8AA04"/>
    <w:multiLevelType w:val="hybridMultilevel"/>
    <w:lvl w:ilvl="0">
      <w:lvlJc w:val="left"/>
      <w:lvlText w:val="***"/>
      <w:numFmt w:val="bullet"/>
      <w:start w:val="1"/>
    </w:lvl>
  </w:abstractNum>
  <w:abstractNum w:abstractNumId="1059">
    <w:nsid w:val="1116E7F6"/>
    <w:multiLevelType w:val="hybridMultilevel"/>
    <w:lvl w:ilvl="0">
      <w:lvlJc w:val="left"/>
      <w:lvlText w:val="***"/>
      <w:numFmt w:val="bullet"/>
      <w:start w:val="1"/>
    </w:lvl>
  </w:abstractNum>
  <w:abstractNum w:abstractNumId="1060">
    <w:nsid w:val="27AD79A9"/>
    <w:multiLevelType w:val="hybridMultilevel"/>
    <w:lvl w:ilvl="0">
      <w:lvlJc w:val="left"/>
      <w:lvlText w:val="(%1)"/>
      <w:numFmt w:val="lowerLetter"/>
      <w:start w:val="2"/>
    </w:lvl>
  </w:abstractNum>
  <w:abstractNum w:abstractNumId="1061">
    <w:nsid w:val="63E45EDB"/>
    <w:multiLevelType w:val="hybridMultilevel"/>
    <w:lvl w:ilvl="0">
      <w:lvlJc w:val="left"/>
      <w:lvlText w:val="***"/>
      <w:numFmt w:val="bullet"/>
      <w:start w:val="1"/>
    </w:lvl>
  </w:abstractNum>
  <w:abstractNum w:abstractNumId="1062">
    <w:nsid w:val="51861B3E"/>
    <w:multiLevelType w:val="hybridMultilevel"/>
    <w:lvl w:ilvl="0">
      <w:lvlJc w:val="left"/>
      <w:lvlText w:val="%1."/>
      <w:numFmt w:val="decimal"/>
      <w:start w:val="2"/>
    </w:lvl>
  </w:abstractNum>
  <w:abstractNum w:abstractNumId="1063">
    <w:nsid w:val="1A57F4D4"/>
    <w:multiLevelType w:val="hybridMultilevel"/>
    <w:lvl w:ilvl="0">
      <w:lvlJc w:val="left"/>
      <w:lvlText w:val="***"/>
      <w:numFmt w:val="bullet"/>
      <w:start w:val="1"/>
    </w:lvl>
  </w:abstractNum>
  <w:abstractNum w:abstractNumId="1064">
    <w:nsid w:val="6E0A3C4C"/>
    <w:multiLevelType w:val="hybridMultilevel"/>
    <w:lvl w:ilvl="0">
      <w:lvlJc w:val="left"/>
      <w:lvlText w:val="(%1)"/>
      <w:numFmt w:val="lowerLetter"/>
      <w:start w:val="1"/>
    </w:lvl>
  </w:abstractNum>
  <w:abstractNum w:abstractNumId="1065">
    <w:nsid w:val="6DF7F752"/>
    <w:multiLevelType w:val="hybridMultilevel"/>
    <w:lvl w:ilvl="0">
      <w:lvlJc w:val="left"/>
      <w:lvlText w:val="***"/>
      <w:numFmt w:val="bullet"/>
      <w:start w:val="1"/>
    </w:lvl>
  </w:abstractNum>
  <w:abstractNum w:abstractNumId="1066">
    <w:nsid w:val="7AB94C9D"/>
    <w:multiLevelType w:val="hybridMultilevel"/>
    <w:lvl w:ilvl="0">
      <w:lvlJc w:val="left"/>
      <w:lvlText w:val="***"/>
      <w:numFmt w:val="bullet"/>
      <w:start w:val="1"/>
    </w:lvl>
  </w:abstractNum>
  <w:abstractNum w:abstractNumId="1067">
    <w:nsid w:val="7C6C6A4D"/>
    <w:multiLevelType w:val="hybridMultilevel"/>
    <w:lvl w:ilvl="0">
      <w:lvlJc w:val="left"/>
      <w:lvlText w:val="(%1)"/>
      <w:numFmt w:val="lowerLetter"/>
      <w:start w:val="1"/>
    </w:lvl>
  </w:abstractNum>
  <w:abstractNum w:abstractNumId="1068">
    <w:nsid w:val="64D46D75"/>
    <w:multiLevelType w:val="hybridMultilevel"/>
    <w:lvl w:ilvl="0">
      <w:lvlJc w:val="left"/>
      <w:lvlText w:val="***"/>
      <w:numFmt w:val="bullet"/>
      <w:start w:val="1"/>
    </w:lvl>
  </w:abstractNum>
  <w:abstractNum w:abstractNumId="1069">
    <w:nsid w:val="4845CE2F"/>
    <w:multiLevelType w:val="hybridMultilevel"/>
    <w:lvl w:ilvl="0">
      <w:lvlJc w:val="left"/>
      <w:lvlText w:val="***"/>
      <w:numFmt w:val="bullet"/>
      <w:start w:val="1"/>
    </w:lvl>
  </w:abstractNum>
  <w:abstractNum w:abstractNumId="1070">
    <w:nsid w:val="454F4987"/>
    <w:multiLevelType w:val="hybridMultilevel"/>
    <w:lvl w:ilvl="0">
      <w:lvlJc w:val="left"/>
      <w:lvlText w:val="(%1)"/>
      <w:numFmt w:val="lowerLetter"/>
      <w:start w:val="5"/>
    </w:lvl>
    <w:lvl w:ilvl="1">
      <w:lvlJc w:val="left"/>
      <w:lvlText w:val="(%2)"/>
      <w:numFmt w:val="lowerLetter"/>
      <w:start w:val="1"/>
    </w:lvl>
  </w:abstractNum>
  <w:abstractNum w:abstractNumId="1071">
    <w:nsid w:val="492F40D3"/>
    <w:multiLevelType w:val="hybridMultilevel"/>
    <w:lvl w:ilvl="0">
      <w:lvlJc w:val="left"/>
      <w:lvlText w:val="(%1)"/>
      <w:numFmt w:val="lowerLetter"/>
      <w:start w:val="4"/>
    </w:lvl>
  </w:abstractNum>
  <w:abstractNum w:abstractNumId="1072">
    <w:nsid w:val="538FF748"/>
    <w:multiLevelType w:val="hybridMultilevel"/>
    <w:lvl w:ilvl="0">
      <w:lvlJc w:val="left"/>
      <w:lvlText w:val="***"/>
      <w:numFmt w:val="bullet"/>
      <w:start w:val="1"/>
    </w:lvl>
  </w:abstractNum>
  <w:abstractNum w:abstractNumId="1073">
    <w:nsid w:val="10E55E3C"/>
    <w:multiLevelType w:val="hybridMultilevel"/>
    <w:lvl w:ilvl="0">
      <w:lvlJc w:val="left"/>
      <w:lvlText w:val="(%1)"/>
      <w:numFmt w:val="lowerLetter"/>
      <w:start w:val="2"/>
    </w:lvl>
  </w:abstractNum>
  <w:abstractNum w:abstractNumId="1074">
    <w:nsid w:val="7577C1FF"/>
    <w:multiLevelType w:val="hybridMultilevel"/>
    <w:lvl w:ilvl="0">
      <w:lvlJc w:val="left"/>
      <w:lvlText w:val="***"/>
      <w:numFmt w:val="bullet"/>
      <w:start w:val="1"/>
    </w:lvl>
  </w:abstractNum>
  <w:abstractNum w:abstractNumId="1075">
    <w:nsid w:val="37704640"/>
    <w:multiLevelType w:val="hybridMultilevel"/>
    <w:lvl w:ilvl="0">
      <w:lvlJc w:val="left"/>
      <w:lvlText w:val="***"/>
      <w:numFmt w:val="bullet"/>
      <w:start w:val="1"/>
    </w:lvl>
  </w:abstractNum>
  <w:abstractNum w:abstractNumId="1076">
    <w:nsid w:val="3D8D834F"/>
    <w:multiLevelType w:val="hybridMultilevel"/>
    <w:lvl w:ilvl="0">
      <w:lvlJc w:val="left"/>
      <w:lvlText w:val="***"/>
      <w:numFmt w:val="bullet"/>
      <w:start w:val="1"/>
    </w:lvl>
  </w:abstractNum>
  <w:abstractNum w:abstractNumId="1077">
    <w:nsid w:val="581D7974"/>
    <w:multiLevelType w:val="hybridMultilevel"/>
    <w:lvl w:ilvl="0">
      <w:lvlJc w:val="left"/>
      <w:lvlText w:val="%1."/>
      <w:numFmt w:val="decimal"/>
      <w:start w:val="3"/>
    </w:lvl>
  </w:abstractNum>
  <w:abstractNum w:abstractNumId="1078">
    <w:nsid w:val="235F3983"/>
    <w:multiLevelType w:val="hybridMultilevel"/>
    <w:lvl w:ilvl="0">
      <w:lvlJc w:val="left"/>
      <w:lvlText w:val="***"/>
      <w:numFmt w:val="bullet"/>
      <w:start w:val="1"/>
    </w:lvl>
  </w:abstractNum>
  <w:abstractNum w:abstractNumId="1079">
    <w:nsid w:val="5BBDF82"/>
    <w:multiLevelType w:val="hybridMultilevel"/>
    <w:lvl w:ilvl="0">
      <w:lvlJc w:val="left"/>
      <w:lvlText w:val="(%1)"/>
      <w:numFmt w:val="lowerLetter"/>
      <w:start w:val="1"/>
    </w:lvl>
  </w:abstractNum>
  <w:abstractNum w:abstractNumId="1080">
    <w:nsid w:val="50688F61"/>
    <w:multiLevelType w:val="hybridMultilevel"/>
    <w:lvl w:ilvl="0">
      <w:lvlJc w:val="left"/>
      <w:lvlText w:val="***"/>
      <w:numFmt w:val="bullet"/>
      <w:start w:val="1"/>
    </w:lvl>
  </w:abstractNum>
  <w:abstractNum w:abstractNumId="1081">
    <w:nsid w:val="6D1B29EA"/>
    <w:multiLevelType w:val="hybridMultilevel"/>
    <w:lvl w:ilvl="0">
      <w:lvlJc w:val="left"/>
      <w:lvlText w:val="***"/>
      <w:numFmt w:val="bullet"/>
      <w:start w:val="1"/>
    </w:lvl>
  </w:abstractNum>
  <w:abstractNum w:abstractNumId="1082">
    <w:nsid w:val="4775F12A"/>
    <w:multiLevelType w:val="hybridMultilevel"/>
    <w:lvl w:ilvl="0">
      <w:lvlJc w:val="left"/>
      <w:lvlText w:val="%1."/>
      <w:numFmt w:val="decimal"/>
      <w:start w:val="4"/>
    </w:lvl>
  </w:abstractNum>
  <w:abstractNum w:abstractNumId="1083">
    <w:nsid w:val="71CFCB2A"/>
    <w:multiLevelType w:val="hybridMultilevel"/>
    <w:lvl w:ilvl="0">
      <w:lvlJc w:val="left"/>
      <w:lvlText w:val="***"/>
      <w:numFmt w:val="bullet"/>
      <w:start w:val="1"/>
    </w:lvl>
  </w:abstractNum>
  <w:abstractNum w:abstractNumId="1084">
    <w:nsid w:val="32E9614A"/>
    <w:multiLevelType w:val="hybridMultilevel"/>
    <w:lvl w:ilvl="0">
      <w:lvlJc w:val="left"/>
      <w:lvlText w:val="***"/>
      <w:numFmt w:val="bullet"/>
      <w:start w:val="1"/>
    </w:lvl>
  </w:abstractNum>
  <w:abstractNum w:abstractNumId="1085">
    <w:nsid w:val="62BC9B1D"/>
    <w:multiLevelType w:val="hybridMultilevel"/>
    <w:lvl w:ilvl="0">
      <w:lvlJc w:val="left"/>
      <w:lvlText w:val="***"/>
      <w:numFmt w:val="bullet"/>
      <w:start w:val="1"/>
    </w:lvl>
  </w:abstractNum>
  <w:abstractNum w:abstractNumId="1086">
    <w:nsid w:val="12130ECA"/>
    <w:multiLevelType w:val="hybridMultilevel"/>
    <w:lvl w:ilvl="0">
      <w:lvlJc w:val="left"/>
      <w:lvlText w:val="***"/>
      <w:numFmt w:val="bullet"/>
      <w:start w:val="1"/>
    </w:lvl>
  </w:abstractNum>
  <w:abstractNum w:abstractNumId="1087">
    <w:nsid w:val="3702170C"/>
    <w:multiLevelType w:val="hybridMultilevel"/>
    <w:lvl w:ilvl="0">
      <w:lvlJc w:val="left"/>
      <w:lvlText w:val="%1."/>
      <w:numFmt w:val="decimal"/>
      <w:start w:val="5"/>
    </w:lvl>
  </w:abstractNum>
  <w:abstractNum w:abstractNumId="1088">
    <w:nsid w:val="1FE7FDE4"/>
    <w:multiLevelType w:val="hybridMultilevel"/>
    <w:lvl w:ilvl="0">
      <w:lvlJc w:val="left"/>
      <w:lvlText w:val="***"/>
      <w:numFmt w:val="bullet"/>
      <w:start w:val="1"/>
    </w:lvl>
  </w:abstractNum>
  <w:abstractNum w:abstractNumId="1089">
    <w:nsid w:val="5AFBB8CE"/>
    <w:multiLevelType w:val="hybridMultilevel"/>
    <w:lvl w:ilvl="0">
      <w:lvlJc w:val="left"/>
      <w:lvlText w:val="***"/>
      <w:numFmt w:val="bullet"/>
      <w:start w:val="1"/>
    </w:lvl>
  </w:abstractNum>
  <w:abstractNum w:abstractNumId="1090">
    <w:nsid w:val="4818FF02"/>
    <w:multiLevelType w:val="hybridMultilevel"/>
    <w:lvl w:ilvl="0">
      <w:lvlJc w:val="left"/>
      <w:lvlText w:val="***"/>
      <w:numFmt w:val="bullet"/>
      <w:start w:val="1"/>
    </w:lvl>
  </w:abstractNum>
  <w:abstractNum w:abstractNumId="1091">
    <w:nsid w:val="4795778D"/>
    <w:multiLevelType w:val="hybridMultilevel"/>
    <w:lvl w:ilvl="0">
      <w:lvlJc w:val="left"/>
      <w:lvlText w:val="***"/>
      <w:numFmt w:val="bullet"/>
      <w:start w:val="1"/>
    </w:lvl>
  </w:abstractNum>
  <w:abstractNum w:abstractNumId="1092">
    <w:nsid w:val="3EE017A9"/>
    <w:multiLevelType w:val="hybridMultilevel"/>
    <w:lvl w:ilvl="0">
      <w:lvlJc w:val="left"/>
      <w:lvlText w:val="(%1)"/>
      <w:numFmt w:val="lowerLetter"/>
      <w:start w:val="1"/>
    </w:lvl>
  </w:abstractNum>
  <w:abstractNum w:abstractNumId="1093">
    <w:nsid w:val="199F1A40"/>
    <w:multiLevelType w:val="hybridMultilevel"/>
    <w:lvl w:ilvl="0">
      <w:lvlJc w:val="left"/>
      <w:lvlText w:val="***"/>
      <w:numFmt w:val="bullet"/>
      <w:start w:val="1"/>
    </w:lvl>
  </w:abstractNum>
  <w:abstractNum w:abstractNumId="1094">
    <w:nsid w:val="61ED6C62"/>
    <w:multiLevelType w:val="hybridMultilevel"/>
    <w:lvl w:ilvl="0">
      <w:lvlJc w:val="left"/>
      <w:lvlText w:val="(%1)"/>
      <w:numFmt w:val="lowerLetter"/>
      <w:start w:val="3"/>
    </w:lvl>
  </w:abstractNum>
  <w:abstractNum w:abstractNumId="1095">
    <w:nsid w:val="2CEA53F5"/>
    <w:multiLevelType w:val="hybridMultilevel"/>
    <w:lvl w:ilvl="0">
      <w:lvlJc w:val="left"/>
      <w:lvlText w:val="***"/>
      <w:numFmt w:val="bullet"/>
      <w:start w:val="1"/>
    </w:lvl>
  </w:abstractNum>
  <w:abstractNum w:abstractNumId="1096">
    <w:nsid w:val="7971193"/>
    <w:multiLevelType w:val="hybridMultilevel"/>
    <w:lvl w:ilvl="0">
      <w:lvlJc w:val="left"/>
      <w:lvlText w:val="***"/>
      <w:numFmt w:val="bullet"/>
      <w:start w:val="1"/>
    </w:lvl>
  </w:abstractNum>
  <w:abstractNum w:abstractNumId="1097">
    <w:nsid w:val="5CA6B8FF"/>
    <w:multiLevelType w:val="hybridMultilevel"/>
    <w:lvl w:ilvl="0">
      <w:lvlJc w:val="left"/>
      <w:lvlText w:val="***"/>
      <w:numFmt w:val="bullet"/>
      <w:start w:val="1"/>
    </w:lvl>
  </w:abstractNum>
  <w:abstractNum w:abstractNumId="1098">
    <w:nsid w:val="2956BE42"/>
    <w:multiLevelType w:val="hybridMultilevel"/>
    <w:lvl w:ilvl="0">
      <w:lvlJc w:val="left"/>
      <w:lvlText w:val="%1."/>
      <w:numFmt w:val="decimal"/>
      <w:start w:val="6"/>
    </w:lvl>
    <w:lvl w:ilvl="1">
      <w:lvlJc w:val="left"/>
      <w:lvlText w:val="(%2)"/>
      <w:numFmt w:val="lowerLetter"/>
      <w:start w:val="1"/>
    </w:lvl>
  </w:abstractNum>
  <w:abstractNum w:abstractNumId="1099">
    <w:nsid w:val="6C6B7F08"/>
    <w:multiLevelType w:val="hybridMultilevel"/>
    <w:lvl w:ilvl="0">
      <w:lvlJc w:val="left"/>
      <w:lvlText w:val="(%1)"/>
      <w:numFmt w:val="lowerLetter"/>
      <w:start w:val="1"/>
    </w:lvl>
  </w:abstractNum>
  <w:abstractNum w:abstractNumId="1100">
    <w:nsid w:val="24EC872E"/>
    <w:multiLevelType w:val="hybridMultilevel"/>
    <w:lvl w:ilvl="0">
      <w:lvlJc w:val="left"/>
      <w:lvlText w:val="***"/>
      <w:numFmt w:val="bullet"/>
      <w:start w:val="1"/>
    </w:lvl>
  </w:abstractNum>
  <w:abstractNum w:abstractNumId="1101">
    <w:nsid w:val="6EA607C9"/>
    <w:multiLevelType w:val="hybridMultilevel"/>
    <w:lvl w:ilvl="0">
      <w:lvlJc w:val="left"/>
      <w:lvlText w:val="(%1)"/>
      <w:numFmt w:val="lowerLetter"/>
      <w:start w:val="2"/>
    </w:lvl>
    <w:lvl w:ilvl="1">
      <w:lvlJc w:val="left"/>
      <w:lvlText w:val="(%2)"/>
      <w:numFmt w:val="lowerRoman"/>
      <w:start w:val="1"/>
    </w:lvl>
  </w:abstractNum>
  <w:abstractNum w:abstractNumId="1102">
    <w:nsid w:val="359ABFDB"/>
    <w:multiLevelType w:val="hybridMultilevel"/>
    <w:lvl w:ilvl="0">
      <w:lvlJc w:val="left"/>
      <w:lvlText w:val="***"/>
      <w:numFmt w:val="bullet"/>
      <w:start w:val="1"/>
    </w:lvl>
  </w:abstractNum>
  <w:abstractNum w:abstractNumId="1103">
    <w:nsid w:val="787C7E76"/>
    <w:multiLevelType w:val="hybridMultilevel"/>
    <w:lvl w:ilvl="0">
      <w:lvlJc w:val="left"/>
      <w:lvlText w:val="%1"/>
      <w:numFmt w:val="lowerLetter"/>
      <w:start w:val="1"/>
    </w:lvl>
    <w:lvl w:ilvl="1">
      <w:lvlJc w:val="left"/>
      <w:lvlText w:val="(%2)"/>
      <w:numFmt w:val="lowerLetter"/>
      <w:start w:val="61"/>
    </w:lvl>
  </w:abstractNum>
  <w:abstractNum w:abstractNumId="1104">
    <w:nsid w:val="7F8B6605"/>
    <w:multiLevelType w:val="hybridMultilevel"/>
    <w:lvl w:ilvl="0">
      <w:lvlJc w:val="left"/>
      <w:lvlText w:val="(%1)"/>
      <w:numFmt w:val="lowerLetter"/>
      <w:start w:val="3"/>
    </w:lvl>
    <w:lvl w:ilvl="1">
      <w:lvlJc w:val="left"/>
      <w:lvlText w:val="%2"/>
      <w:numFmt w:val="lowerLetter"/>
      <w:start w:val="1"/>
    </w:lvl>
  </w:abstractNum>
  <w:abstractNum w:abstractNumId="1105">
    <w:nsid w:val="2B1281DB"/>
    <w:multiLevelType w:val="hybridMultilevel"/>
    <w:lvl w:ilvl="0">
      <w:lvlJc w:val="left"/>
      <w:lvlText w:val="***"/>
      <w:numFmt w:val="bullet"/>
      <w:start w:val="1"/>
    </w:lvl>
  </w:abstractNum>
  <w:abstractNum w:abstractNumId="1106">
    <w:nsid w:val="2FECC4B7"/>
    <w:multiLevelType w:val="hybridMultilevel"/>
    <w:lvl w:ilvl="0">
      <w:lvlJc w:val="left"/>
      <w:lvlText w:val="(%1)"/>
      <w:numFmt w:val="lowerLetter"/>
      <w:start w:val="5"/>
    </w:lvl>
  </w:abstractNum>
  <w:abstractNum w:abstractNumId="1107">
    <w:nsid w:val="3D18E954"/>
    <w:multiLevelType w:val="hybridMultilevel"/>
    <w:lvl w:ilvl="0">
      <w:lvlJc w:val="left"/>
      <w:lvlText w:val="(%1)"/>
      <w:numFmt w:val="lowerLetter"/>
      <w:start w:val="1"/>
    </w:lvl>
    <w:lvl w:ilvl="1">
      <w:lvlJc w:val="left"/>
      <w:lvlText w:val="(%2)"/>
      <w:numFmt w:val="decimal"/>
      <w:start w:val="1"/>
    </w:lvl>
  </w:abstractNum>
  <w:abstractNum w:abstractNumId="1108">
    <w:nsid w:val="32FFB4F"/>
    <w:multiLevelType w:val="hybridMultilevel"/>
    <w:lvl w:ilvl="0">
      <w:lvlJc w:val="left"/>
      <w:lvlText w:val="***"/>
      <w:numFmt w:val="bullet"/>
      <w:start w:val="1"/>
    </w:lvl>
  </w:abstractNum>
  <w:abstractNum w:abstractNumId="1109">
    <w:nsid w:val="534BFE3A"/>
    <w:multiLevelType w:val="hybridMultilevel"/>
    <w:lvl w:ilvl="0">
      <w:lvlJc w:val="left"/>
      <w:lvlText w:val="(%1)"/>
      <w:numFmt w:val="decimal"/>
      <w:start w:val="2"/>
    </w:lvl>
  </w:abstractNum>
  <w:abstractNum w:abstractNumId="1110">
    <w:nsid w:val="42D4C8D6"/>
    <w:multiLevelType w:val="hybridMultilevel"/>
    <w:lvl w:ilvl="0">
      <w:lvlJc w:val="left"/>
      <w:lvlText w:val="***"/>
      <w:numFmt w:val="bullet"/>
      <w:start w:val="1"/>
    </w:lvl>
  </w:abstractNum>
  <w:abstractNum w:abstractNumId="1111">
    <w:nsid w:val="53988AB0"/>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1112">
    <w:nsid w:val="4067282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113">
    <w:nsid w:val="A4ABA00"/>
    <w:multiLevelType w:val="hybridMultilevel"/>
    <w:lvl w:ilvl="0">
      <w:lvlJc w:val="left"/>
      <w:lvlText w:val="***"/>
      <w:numFmt w:val="bullet"/>
      <w:start w:val="1"/>
    </w:lvl>
  </w:abstractNum>
  <w:abstractNum w:abstractNumId="1114">
    <w:nsid w:val="456855DA"/>
    <w:multiLevelType w:val="hybridMultilevel"/>
    <w:lvl w:ilvl="0">
      <w:lvlJc w:val="left"/>
      <w:lvlText w:val="(%1)"/>
      <w:numFmt w:val="decimal"/>
      <w:start w:val="2"/>
    </w:lvl>
    <w:lvl w:ilvl="1">
      <w:lvlJc w:val="left"/>
      <w:lvlText w:val="(%2)"/>
      <w:numFmt w:val="upperLetter"/>
      <w:start w:val="1"/>
    </w:lvl>
  </w:abstractNum>
  <w:abstractNum w:abstractNumId="1115">
    <w:nsid w:val="7350896E"/>
    <w:multiLevelType w:val="hybridMultilevel"/>
    <w:lvl w:ilvl="0">
      <w:lvlJc w:val="left"/>
      <w:lvlText w:val="***"/>
      <w:numFmt w:val="bullet"/>
      <w:start w:val="1"/>
    </w:lvl>
  </w:abstractNum>
  <w:abstractNum w:abstractNumId="1116">
    <w:nsid w:val="6D07551E"/>
    <w:multiLevelType w:val="hybridMultilevel"/>
    <w:lvl w:ilvl="0">
      <w:lvlJc w:val="left"/>
      <w:lvlText w:val="***"/>
      <w:numFmt w:val="bullet"/>
      <w:start w:val="1"/>
    </w:lvl>
  </w:abstractNum>
  <w:abstractNum w:abstractNumId="1117">
    <w:nsid w:val="577B64A5"/>
    <w:multiLevelType w:val="hybridMultilevel"/>
    <w:lvl w:ilvl="0">
      <w:lvlJc w:val="left"/>
      <w:lvlText w:val="%1."/>
      <w:numFmt w:val="decimal"/>
      <w:start w:val="7"/>
    </w:lvl>
  </w:abstractNum>
  <w:abstractNum w:abstractNumId="1118">
    <w:nsid w:val="2A52A07A"/>
    <w:multiLevelType w:val="hybridMultilevel"/>
    <w:lvl w:ilvl="0">
      <w:lvlJc w:val="left"/>
      <w:lvlText w:val="***"/>
      <w:numFmt w:val="bullet"/>
      <w:start w:val="1"/>
    </w:lvl>
  </w:abstractNum>
  <w:abstractNum w:abstractNumId="1119">
    <w:nsid w:val="CEF5302"/>
    <w:multiLevelType w:val="hybridMultilevel"/>
    <w:lvl w:ilvl="0">
      <w:lvlJc w:val="left"/>
      <w:lvlText w:val="(%1)"/>
      <w:numFmt w:val="lowerLetter"/>
      <w:start w:val="1"/>
    </w:lvl>
    <w:lvl w:ilvl="1">
      <w:lvlJc w:val="left"/>
      <w:lvlText w:val="(%2)"/>
      <w:numFmt w:val="lowerRoman"/>
      <w:start w:val="1"/>
    </w:lvl>
  </w:abstractNum>
  <w:abstractNum w:abstractNumId="1120">
    <w:nsid w:val="32771D73"/>
    <w:multiLevelType w:val="hybridMultilevel"/>
    <w:lvl w:ilvl="0">
      <w:lvlJc w:val="left"/>
      <w:lvlText w:val="***"/>
      <w:numFmt w:val="bullet"/>
      <w:start w:val="1"/>
    </w:lvl>
  </w:abstractNum>
  <w:abstractNum w:abstractNumId="1121">
    <w:nsid w:val="726B9F7C"/>
    <w:multiLevelType w:val="hybridMultilevel"/>
    <w:lvl w:ilvl="0">
      <w:lvlJc w:val="left"/>
      <w:lvlText w:val="(%1)"/>
      <w:numFmt w:val="lowerLetter"/>
      <w:start w:val="1"/>
    </w:lvl>
    <w:lvl w:ilvl="1">
      <w:lvlJc w:val="left"/>
      <w:lvlText w:val="(%2)"/>
      <w:numFmt w:val="lowerRoman"/>
      <w:start w:val="1"/>
    </w:lvl>
  </w:abstractNum>
  <w:abstractNum w:abstractNumId="1122">
    <w:nsid w:val="5484CA8F"/>
    <w:multiLevelType w:val="hybridMultilevel"/>
    <w:lvl w:ilvl="0">
      <w:lvlJc w:val="left"/>
      <w:lvlText w:val="***"/>
      <w:numFmt w:val="bullet"/>
      <w:start w:val="1"/>
    </w:lvl>
  </w:abstractNum>
  <w:abstractNum w:abstractNumId="1123">
    <w:nsid w:val="7157351D"/>
    <w:multiLevelType w:val="hybridMultilevel"/>
    <w:lvl w:ilvl="0">
      <w:lvlJc w:val="left"/>
      <w:lvlText w:val="(%1)"/>
      <w:numFmt w:val="lowerRoman"/>
      <w:start w:val="3"/>
    </w:lvl>
  </w:abstractNum>
  <w:abstractNum w:abstractNumId="1124">
    <w:nsid w:val="C0AB9BD"/>
    <w:multiLevelType w:val="hybridMultilevel"/>
    <w:lvl w:ilvl="0">
      <w:lvlJc w:val="left"/>
      <w:lvlText w:val="***"/>
      <w:numFmt w:val="bullet"/>
      <w:start w:val="1"/>
    </w:lvl>
  </w:abstractNum>
  <w:abstractNum w:abstractNumId="1125">
    <w:nsid w:val="367236F1"/>
    <w:multiLevelType w:val="hybridMultilevel"/>
    <w:lvl w:ilvl="0">
      <w:lvlJc w:val="left"/>
      <w:lvlText w:val="%1."/>
      <w:numFmt w:val="decimal"/>
      <w:start w:val="8"/>
    </w:lvl>
  </w:abstractNum>
  <w:abstractNum w:abstractNumId="1126">
    <w:nsid w:val="1E418912"/>
    <w:multiLevelType w:val="hybridMultilevel"/>
    <w:lvl w:ilvl="0">
      <w:lvlJc w:val="left"/>
      <w:lvlText w:val="***"/>
      <w:numFmt w:val="bullet"/>
      <w:start w:val="1"/>
    </w:lvl>
  </w:abstractNum>
  <w:abstractNum w:abstractNumId="1127">
    <w:nsid w:val="13A1CB50"/>
    <w:multiLevelType w:val="hybridMultilevel"/>
    <w:lvl w:ilvl="0">
      <w:lvlJc w:val="left"/>
      <w:lvlText w:val="***"/>
      <w:numFmt w:val="bullet"/>
      <w:start w:val="1"/>
    </w:lvl>
  </w:abstractNum>
  <w:abstractNum w:abstractNumId="1128">
    <w:nsid w:val="1318EFF0"/>
    <w:multiLevelType w:val="hybridMultilevel"/>
    <w:lvl w:ilvl="0">
      <w:lvlJc w:val="left"/>
      <w:lvlText w:val="***"/>
      <w:numFmt w:val="bullet"/>
      <w:start w:val="1"/>
    </w:lvl>
  </w:abstractNum>
  <w:abstractNum w:abstractNumId="1129">
    <w:nsid w:val="47984755"/>
    <w:multiLevelType w:val="hybridMultilevel"/>
    <w:lvl w:ilvl="0">
      <w:lvlJc w:val="left"/>
      <w:lvlText w:val="(%1)"/>
      <w:numFmt w:val="lowerLetter"/>
      <w:start w:val="3"/>
    </w:lvl>
  </w:abstractNum>
  <w:abstractNum w:abstractNumId="1130">
    <w:nsid w:val="D4A58"/>
    <w:multiLevelType w:val="hybridMultilevel"/>
    <w:lvl w:ilvl="0">
      <w:lvlJc w:val="left"/>
      <w:lvlText w:val="***"/>
      <w:numFmt w:val="bullet"/>
      <w:start w:val="1"/>
    </w:lvl>
  </w:abstractNum>
  <w:abstractNum w:abstractNumId="1131">
    <w:nsid w:val="3805771F"/>
    <w:multiLevelType w:val="hybridMultilevel"/>
    <w:lvl w:ilvl="0">
      <w:lvlJc w:val="left"/>
      <w:lvlText w:val="%1."/>
      <w:numFmt w:val="decimal"/>
      <w:start w:val="9"/>
    </w:lvl>
  </w:abstractNum>
  <w:abstractNum w:abstractNumId="1132">
    <w:nsid w:val="363E4F1E"/>
    <w:multiLevelType w:val="hybridMultilevel"/>
    <w:lvl w:ilvl="0">
      <w:lvlJc w:val="left"/>
      <w:lvlText w:val="***"/>
      <w:numFmt w:val="bullet"/>
      <w:start w:val="1"/>
    </w:lvl>
  </w:abstractNum>
  <w:abstractNum w:abstractNumId="1133">
    <w:nsid w:val="35A80A34"/>
    <w:multiLevelType w:val="hybridMultilevel"/>
    <w:lvl w:ilvl="0">
      <w:lvlJc w:val="left"/>
      <w:lvlText w:val="(%1)"/>
      <w:numFmt w:val="lowerLetter"/>
      <w:start w:val="1"/>
    </w:lvl>
  </w:abstractNum>
  <w:abstractNum w:abstractNumId="1134">
    <w:nsid w:val="3081F595"/>
    <w:multiLevelType w:val="hybridMultilevel"/>
    <w:lvl w:ilvl="0">
      <w:lvlJc w:val="left"/>
      <w:lvlText w:val="(%1)"/>
      <w:numFmt w:val="lowerLetter"/>
      <w:start w:val="1"/>
    </w:lvl>
  </w:abstractNum>
  <w:abstractNum w:abstractNumId="1135">
    <w:nsid w:val="35C9B524"/>
    <w:multiLevelType w:val="hybridMultilevel"/>
    <w:lvl w:ilvl="0">
      <w:lvlJc w:val="left"/>
      <w:lvlText w:val="***"/>
      <w:numFmt w:val="bullet"/>
      <w:start w:val="1"/>
    </w:lvl>
  </w:abstractNum>
  <w:abstractNum w:abstractNumId="1136">
    <w:nsid w:val="60BA8C0F"/>
    <w:multiLevelType w:val="hybridMultilevel"/>
    <w:lvl w:ilvl="0">
      <w:lvlJc w:val="left"/>
      <w:lvlText w:val="(%1)"/>
      <w:numFmt w:val="lowerLetter"/>
      <w:start w:val="2"/>
    </w:lvl>
  </w:abstractNum>
  <w:abstractNum w:abstractNumId="1137">
    <w:nsid w:val="606EBA4C"/>
    <w:multiLevelType w:val="hybridMultilevel"/>
    <w:lvl w:ilvl="0">
      <w:lvlJc w:val="left"/>
      <w:lvlText w:val="***"/>
      <w:numFmt w:val="bullet"/>
      <w:start w:val="1"/>
    </w:lvl>
  </w:abstractNum>
  <w:abstractNum w:abstractNumId="1138">
    <w:nsid w:val="72E29E78"/>
    <w:multiLevelType w:val="hybridMultilevel"/>
    <w:lvl w:ilvl="0">
      <w:lvlJc w:val="left"/>
      <w:lvlText w:val="(%1)"/>
      <w:numFmt w:val="lowerLetter"/>
      <w:start w:val="4"/>
    </w:lvl>
    <w:lvl w:ilvl="1">
      <w:lvlJc w:val="left"/>
      <w:lvlText w:val="(%2)"/>
      <w:numFmt w:val="lowerRoman"/>
      <w:start w:val="1"/>
    </w:lvl>
  </w:abstractNum>
  <w:abstractNum w:abstractNumId="1139">
    <w:nsid w:val="63EA875E"/>
    <w:multiLevelType w:val="hybridMultilevel"/>
    <w:lvl w:ilvl="0">
      <w:lvlJc w:val="left"/>
      <w:lvlText w:val="***"/>
      <w:numFmt w:val="bullet"/>
      <w:start w:val="1"/>
    </w:lvl>
  </w:abstractNum>
  <w:abstractNum w:abstractNumId="1140">
    <w:nsid w:val="33BAB887"/>
    <w:multiLevelType w:val="hybridMultilevel"/>
    <w:lvl w:ilvl="0">
      <w:lvlJc w:val="left"/>
      <w:lvlText w:val="(%1)"/>
      <w:numFmt w:val="lowerRoman"/>
      <w:start w:val="3"/>
    </w:lvl>
  </w:abstractNum>
  <w:abstractNum w:abstractNumId="1141">
    <w:nsid w:val="35B7674F"/>
    <w:multiLevelType w:val="hybridMultilevel"/>
    <w:lvl w:ilvl="0">
      <w:lvlJc w:val="left"/>
      <w:lvlText w:val="***"/>
      <w:numFmt w:val="bullet"/>
      <w:start w:val="1"/>
    </w:lvl>
  </w:abstractNum>
  <w:abstractNum w:abstractNumId="1142">
    <w:nsid w:val="3783120E"/>
    <w:multiLevelType w:val="hybridMultilevel"/>
    <w:lvl w:ilvl="0">
      <w:lvlJc w:val="left"/>
      <w:lvlText w:val="%1."/>
      <w:numFmt w:val="decimal"/>
      <w:start w:val="10"/>
    </w:lvl>
  </w:abstractNum>
  <w:abstractNum w:abstractNumId="1143">
    <w:nsid w:val="7421E0AB"/>
    <w:multiLevelType w:val="hybridMultilevel"/>
    <w:lvl w:ilvl="0">
      <w:lvlJc w:val="left"/>
      <w:lvlText w:val="***"/>
      <w:numFmt w:val="bullet"/>
      <w:start w:val="1"/>
    </w:lvl>
  </w:abstractNum>
  <w:abstractNum w:abstractNumId="1144">
    <w:nsid w:val="4002214F"/>
    <w:multiLevelType w:val="hybridMultilevel"/>
    <w:lvl w:ilvl="0">
      <w:lvlJc w:val="left"/>
      <w:lvlText w:val="***"/>
      <w:numFmt w:val="bullet"/>
      <w:start w:val="1"/>
    </w:lvl>
  </w:abstractNum>
  <w:abstractNum w:abstractNumId="1145">
    <w:nsid w:val="7CEB67E9"/>
    <w:multiLevelType w:val="hybridMultilevel"/>
    <w:lvl w:ilvl="0">
      <w:lvlJc w:val="left"/>
      <w:lvlText w:val="(%1)"/>
      <w:numFmt w:val="lowerLetter"/>
      <w:start w:val="2"/>
    </w:lvl>
  </w:abstractNum>
  <w:abstractNum w:abstractNumId="1146">
    <w:nsid w:val="67726A1A"/>
    <w:multiLevelType w:val="hybridMultilevel"/>
    <w:lvl w:ilvl="0">
      <w:lvlJc w:val="left"/>
      <w:lvlText w:val="***"/>
      <w:numFmt w:val="bullet"/>
      <w:start w:val="1"/>
    </w:lvl>
  </w:abstractNum>
  <w:abstractNum w:abstractNumId="1147">
    <w:nsid w:val="2D09766D"/>
    <w:multiLevelType w:val="hybridMultilevel"/>
    <w:lvl w:ilvl="0">
      <w:lvlJc w:val="left"/>
      <w:lvlText w:val="%1."/>
      <w:numFmt w:val="decimal"/>
      <w:start w:val="11"/>
    </w:lvl>
  </w:abstractNum>
  <w:abstractNum w:abstractNumId="1148">
    <w:nsid w:val="5466CC8E"/>
    <w:multiLevelType w:val="hybridMultilevel"/>
    <w:lvl w:ilvl="0">
      <w:lvlJc w:val="left"/>
      <w:lvlText w:val="***"/>
      <w:numFmt w:val="bullet"/>
      <w:start w:val="1"/>
    </w:lvl>
  </w:abstractNum>
  <w:abstractNum w:abstractNumId="1149">
    <w:nsid w:val="11C50A94"/>
    <w:multiLevelType w:val="hybridMultilevel"/>
    <w:lvl w:ilvl="0">
      <w:lvlJc w:val="left"/>
      <w:lvlText w:val="***"/>
      <w:numFmt w:val="bullet"/>
      <w:start w:val="1"/>
    </w:lvl>
  </w:abstractNum>
  <w:abstractNum w:abstractNumId="1150">
    <w:nsid w:val="39F8C96F"/>
    <w:multiLevelType w:val="hybridMultilevel"/>
    <w:lvl w:ilvl="0">
      <w:lvlJc w:val="left"/>
      <w:lvlText w:val="***"/>
      <w:numFmt w:val="bullet"/>
      <w:start w:val="1"/>
    </w:lvl>
  </w:abstractNum>
  <w:abstractNum w:abstractNumId="1151">
    <w:nsid w:val="6DDEA01"/>
    <w:multiLevelType w:val="hybridMultilevel"/>
    <w:lvl w:ilvl="0">
      <w:lvlJc w:val="left"/>
      <w:lvlText w:val="***"/>
      <w:numFmt w:val="bullet"/>
      <w:start w:val="1"/>
    </w:lvl>
  </w:abstractNum>
  <w:abstractNum w:abstractNumId="1152">
    <w:nsid w:val="430AA11"/>
    <w:multiLevelType w:val="hybridMultilevel"/>
    <w:lvl w:ilvl="0">
      <w:lvlJc w:val="left"/>
      <w:lvlText w:val="***"/>
      <w:numFmt w:val="bullet"/>
      <w:start w:val="1"/>
    </w:lvl>
  </w:abstractNum>
  <w:abstractNum w:abstractNumId="1153">
    <w:nsid w:val="E7D93FF"/>
    <w:multiLevelType w:val="hybridMultilevel"/>
    <w:lvl w:ilvl="0">
      <w:lvlJc w:val="left"/>
      <w:lvlText w:val="***"/>
      <w:numFmt w:val="bullet"/>
      <w:start w:val="1"/>
    </w:lvl>
  </w:abstractNum>
  <w:abstractNum w:abstractNumId="1154">
    <w:nsid w:val="78351F1E"/>
    <w:multiLevelType w:val="hybridMultilevel"/>
    <w:lvl w:ilvl="0">
      <w:lvlJc w:val="left"/>
      <w:lvlText w:val="***"/>
      <w:numFmt w:val="bullet"/>
      <w:start w:val="1"/>
    </w:lvl>
  </w:abstractNum>
  <w:abstractNum w:abstractNumId="1155">
    <w:nsid w:val="103B63CE"/>
    <w:multiLevelType w:val="hybridMultilevel"/>
    <w:lvl w:ilvl="0">
      <w:lvlJc w:val="left"/>
      <w:lvlText w:val="***"/>
      <w:numFmt w:val="bullet"/>
      <w:start w:val="1"/>
    </w:lvl>
  </w:abstractNum>
  <w:abstractNum w:abstractNumId="1156">
    <w:nsid w:val="44EFCAF0"/>
    <w:multiLevelType w:val="hybridMultilevel"/>
    <w:lvl w:ilvl="0">
      <w:lvlJc w:val="left"/>
      <w:lvlText w:val="***"/>
      <w:numFmt w:val="bullet"/>
      <w:start w:val="1"/>
    </w:lvl>
  </w:abstractNum>
  <w:abstractNum w:abstractNumId="1157">
    <w:nsid w:val="1676A831"/>
    <w:multiLevelType w:val="hybridMultilevel"/>
    <w:lvl w:ilvl="0">
      <w:lvlJc w:val="left"/>
      <w:lvlText w:val="***"/>
      <w:numFmt w:val="bullet"/>
      <w:start w:val="1"/>
    </w:lvl>
  </w:abstractNum>
  <w:abstractNum w:abstractNumId="1158">
    <w:nsid w:val="23DD2F1E"/>
    <w:multiLevelType w:val="hybridMultilevel"/>
    <w:lvl w:ilvl="0">
      <w:lvlJc w:val="left"/>
      <w:lvlText w:val="***"/>
      <w:numFmt w:val="bullet"/>
      <w:start w:val="1"/>
    </w:lvl>
  </w:abstractNum>
  <w:abstractNum w:abstractNumId="1159">
    <w:nsid w:val="5808BAE1"/>
    <w:multiLevelType w:val="hybridMultilevel"/>
    <w:lvl w:ilvl="0">
      <w:lvlJc w:val="left"/>
      <w:lvlText w:val="***"/>
      <w:numFmt w:val="bullet"/>
      <w:start w:val="1"/>
    </w:lvl>
  </w:abstractNum>
  <w:abstractNum w:abstractNumId="1160">
    <w:nsid w:val="5E0EEF86"/>
    <w:multiLevelType w:val="hybridMultilevel"/>
    <w:lvl w:ilvl="0">
      <w:lvlJc w:val="left"/>
      <w:lvlText w:val="***"/>
      <w:numFmt w:val="bullet"/>
      <w:start w:val="1"/>
    </w:lvl>
  </w:abstractNum>
  <w:abstractNum w:abstractNumId="1161">
    <w:nsid w:val="23EA7976"/>
    <w:multiLevelType w:val="hybridMultilevel"/>
    <w:lvl w:ilvl="0">
      <w:lvlJc w:val="left"/>
      <w:lvlText w:val="***"/>
      <w:numFmt w:val="bullet"/>
      <w:start w:val="1"/>
    </w:lvl>
  </w:abstractNum>
  <w:abstractNum w:abstractNumId="1162">
    <w:nsid w:val="100E3200"/>
    <w:multiLevelType w:val="hybridMultilevel"/>
    <w:lvl w:ilvl="0">
      <w:lvlJc w:val="left"/>
      <w:lvlText w:val="***"/>
      <w:numFmt w:val="bullet"/>
      <w:start w:val="1"/>
    </w:lvl>
  </w:abstractNum>
  <w:abstractNum w:abstractNumId="1163">
    <w:nsid w:val="144D3EA4"/>
    <w:multiLevelType w:val="hybridMultilevel"/>
    <w:lvl w:ilvl="0">
      <w:lvlJc w:val="left"/>
      <w:lvlText w:val="***"/>
      <w:numFmt w:val="bullet"/>
      <w:start w:val="1"/>
    </w:lvl>
  </w:abstractNum>
  <w:abstractNum w:abstractNumId="1164">
    <w:nsid w:val="599283AA"/>
    <w:multiLevelType w:val="hybridMultilevel"/>
    <w:lvl w:ilvl="0">
      <w:lvlJc w:val="left"/>
      <w:lvlText w:val="***"/>
      <w:numFmt w:val="bullet"/>
      <w:start w:val="1"/>
    </w:lvl>
  </w:abstractNum>
  <w:abstractNum w:abstractNumId="1165">
    <w:nsid w:val="40902795"/>
    <w:multiLevelType w:val="hybridMultilevel"/>
    <w:lvl w:ilvl="0">
      <w:lvlJc w:val="left"/>
      <w:lvlText w:val="***"/>
      <w:numFmt w:val="bullet"/>
      <w:start w:val="1"/>
    </w:lvl>
  </w:abstractNum>
  <w:abstractNum w:abstractNumId="1166">
    <w:nsid w:val="4A16F3C8"/>
    <w:multiLevelType w:val="hybridMultilevel"/>
    <w:lvl w:ilvl="0">
      <w:lvlJc w:val="left"/>
      <w:lvlText w:val="***"/>
      <w:numFmt w:val="bullet"/>
      <w:start w:val="1"/>
    </w:lvl>
  </w:abstractNum>
  <w:abstractNum w:abstractNumId="1167">
    <w:nsid w:val="3A4D0FB9"/>
    <w:multiLevelType w:val="hybridMultilevel"/>
    <w:lvl w:ilvl="0">
      <w:lvlJc w:val="left"/>
      <w:lvlText w:val="***"/>
      <w:numFmt w:val="bullet"/>
      <w:start w:val="1"/>
    </w:lvl>
  </w:abstractNum>
  <w:abstractNum w:abstractNumId="1168">
    <w:nsid w:val="20FEE1E2"/>
    <w:multiLevelType w:val="hybridMultilevel"/>
    <w:lvl w:ilvl="0">
      <w:lvlJc w:val="left"/>
      <w:lvlText w:val="***"/>
      <w:numFmt w:val="bullet"/>
      <w:start w:val="1"/>
    </w:lvl>
  </w:abstractNum>
  <w:abstractNum w:abstractNumId="1169">
    <w:nsid w:val="3CF99241"/>
    <w:multiLevelType w:val="hybridMultilevel"/>
    <w:lvl w:ilvl="0">
      <w:lvlJc w:val="left"/>
      <w:lvlText w:val="***"/>
      <w:numFmt w:val="bullet"/>
      <w:start w:val="1"/>
    </w:lvl>
  </w:abstractNum>
  <w:abstractNum w:abstractNumId="1170">
    <w:nsid w:val="1E379717"/>
    <w:multiLevelType w:val="hybridMultilevel"/>
    <w:lvl w:ilvl="0">
      <w:lvlJc w:val="left"/>
      <w:lvlText w:val="***"/>
      <w:numFmt w:val="bullet"/>
      <w:start w:val="1"/>
    </w:lvl>
  </w:abstractNum>
  <w:abstractNum w:abstractNumId="1171">
    <w:nsid w:val="54B99A69"/>
    <w:multiLevelType w:val="hybridMultilevel"/>
    <w:lvl w:ilvl="0">
      <w:lvlJc w:val="left"/>
      <w:lvlText w:val="***"/>
      <w:numFmt w:val="bullet"/>
      <w:start w:val="1"/>
    </w:lvl>
  </w:abstractNum>
  <w:abstractNum w:abstractNumId="1172">
    <w:nsid w:val="72B0F990"/>
    <w:multiLevelType w:val="hybridMultilevel"/>
    <w:lvl w:ilvl="0">
      <w:lvlJc w:val="left"/>
      <w:lvlText w:val="***"/>
      <w:numFmt w:val="bullet"/>
      <w:start w:val="1"/>
    </w:lvl>
  </w:abstractNum>
  <w:abstractNum w:abstractNumId="1173">
    <w:nsid w:val="55BAA926"/>
    <w:multiLevelType w:val="hybridMultilevel"/>
    <w:lvl w:ilvl="0">
      <w:lvlJc w:val="left"/>
      <w:lvlText w:val="***"/>
      <w:numFmt w:val="bullet"/>
      <w:start w:val="1"/>
    </w:lvl>
  </w:abstractNum>
  <w:abstractNum w:abstractNumId="1174">
    <w:nsid w:val="48DB7B14"/>
    <w:multiLevelType w:val="hybridMultilevel"/>
    <w:lvl w:ilvl="0">
      <w:lvlJc w:val="left"/>
      <w:lvlText w:val="***"/>
      <w:numFmt w:val="bullet"/>
      <w:start w:val="1"/>
    </w:lvl>
  </w:abstractNum>
  <w:abstractNum w:abstractNumId="1175">
    <w:nsid w:val="32B31ADF"/>
    <w:multiLevelType w:val="hybridMultilevel"/>
    <w:lvl w:ilvl="0">
      <w:lvlJc w:val="left"/>
      <w:lvlText w:val="%1."/>
      <w:numFmt w:val="lowerLetter"/>
      <w:start w:val="1"/>
    </w:lvl>
    <w:lvl w:ilvl="1">
      <w:lvlJc w:val="left"/>
      <w:lvlText w:val="***"/>
      <w:numFmt w:val="bullet"/>
      <w:start w:val="1"/>
    </w:lvl>
  </w:abstractNum>
  <w:abstractNum w:abstractNumId="1176">
    <w:nsid w:val="52A6110F"/>
    <w:multiLevelType w:val="hybridMultilevel"/>
    <w:lvl w:ilvl="0">
      <w:lvlJc w:val="left"/>
      <w:lvlText w:val="%1."/>
      <w:numFmt w:val="lowerLetter"/>
      <w:start w:val="4"/>
    </w:lvl>
  </w:abstractNum>
  <w:abstractNum w:abstractNumId="1177">
    <w:nsid w:val="304DE52E"/>
    <w:multiLevelType w:val="hybridMultilevel"/>
    <w:lvl w:ilvl="0">
      <w:lvlJc w:val="left"/>
      <w:lvlText w:val="***"/>
      <w:numFmt w:val="bullet"/>
      <w:start w:val="1"/>
    </w:lvl>
  </w:abstractNum>
  <w:abstractNum w:abstractNumId="1178">
    <w:nsid w:val="5FBC914D"/>
    <w:multiLevelType w:val="hybridMultilevel"/>
    <w:lvl w:ilvl="0">
      <w:lvlJc w:val="left"/>
      <w:lvlText w:val="%1."/>
      <w:numFmt w:val="decimal"/>
      <w:start w:val="2"/>
    </w:lvl>
  </w:abstractNum>
  <w:abstractNum w:abstractNumId="1179">
    <w:nsid w:val="270CDD9D"/>
    <w:multiLevelType w:val="hybridMultilevel"/>
    <w:lvl w:ilvl="0">
      <w:lvlJc w:val="left"/>
      <w:lvlText w:val="***"/>
      <w:numFmt w:val="bullet"/>
      <w:start w:val="1"/>
    </w:lvl>
  </w:abstractNum>
  <w:abstractNum w:abstractNumId="1180">
    <w:nsid w:val="4212EFC3"/>
    <w:multiLevelType w:val="hybridMultilevel"/>
    <w:lvl w:ilvl="0">
      <w:lvlJc w:val="left"/>
      <w:lvlText w:val="***"/>
      <w:numFmt w:val="bullet"/>
      <w:start w:val="1"/>
    </w:lvl>
  </w:abstractNum>
  <w:abstractNum w:abstractNumId="1181">
    <w:nsid w:val="19B55ABC"/>
    <w:multiLevelType w:val="hybridMultilevel"/>
    <w:lvl w:ilvl="0">
      <w:lvlJc w:val="left"/>
      <w:lvlText w:val="%1."/>
      <w:numFmt w:val="decimal"/>
      <w:start w:val="1"/>
    </w:lvl>
  </w:abstractNum>
  <w:abstractNum w:abstractNumId="1182">
    <w:nsid w:val="2DEAC79E"/>
    <w:multiLevelType w:val="hybridMultilevel"/>
    <w:lvl w:ilvl="0">
      <w:lvlJc w:val="left"/>
      <w:lvlText w:val="%1."/>
      <w:numFmt w:val="decimal"/>
      <w:start w:val="2"/>
    </w:lvl>
  </w:abstractNum>
  <w:abstractNum w:abstractNumId="1183">
    <w:nsid w:val="464399D4"/>
    <w:multiLevelType w:val="hybridMultilevel"/>
    <w:lvl w:ilvl="0">
      <w:lvlJc w:val="left"/>
      <w:lvlText w:val="%1."/>
      <w:numFmt w:val="decimal"/>
      <w:start w:val="4"/>
    </w:lvl>
  </w:abstractNum>
  <w:abstractNum w:abstractNumId="1184">
    <w:nsid w:val="2832EEBB"/>
    <w:multiLevelType w:val="hybridMultilevel"/>
    <w:lvl w:ilvl="0">
      <w:lvlJc w:val="left"/>
      <w:lvlText w:val="%1."/>
      <w:numFmt w:val="decimal"/>
      <w:start w:val="5"/>
    </w:lvl>
  </w:abstractNum>
  <w:abstractNum w:abstractNumId="1185">
    <w:nsid w:val="261FE6BD"/>
    <w:multiLevelType w:val="hybridMultilevel"/>
    <w:lvl w:ilvl="0">
      <w:lvlJc w:val="left"/>
      <w:lvlText w:val="%1."/>
      <w:numFmt w:val="decimal"/>
      <w:start w:val="6"/>
    </w:lvl>
  </w:abstractNum>
  <w:abstractNum w:abstractNumId="1186">
    <w:nsid w:val="567EFDA2"/>
    <w:multiLevelType w:val="hybridMultilevel"/>
    <w:lvl w:ilvl="0">
      <w:lvlJc w:val="left"/>
      <w:lvlText w:val="%1."/>
      <w:numFmt w:val="decimal"/>
      <w:start w:val="7"/>
    </w:lvl>
  </w:abstractNum>
  <w:abstractNum w:abstractNumId="1187">
    <w:nsid w:val="6D22B9AC"/>
    <w:multiLevelType w:val="hybridMultilevel"/>
    <w:lvl w:ilvl="0">
      <w:lvlJc w:val="left"/>
      <w:lvlText w:val="%1."/>
      <w:numFmt w:val="decimal"/>
      <w:start w:val="8"/>
    </w:lvl>
  </w:abstractNum>
  <w:abstractNum w:abstractNumId="1188">
    <w:nsid w:val="3C968EEE"/>
    <w:multiLevelType w:val="hybridMultilevel"/>
    <w:lvl w:ilvl="0">
      <w:lvlJc w:val="left"/>
      <w:lvlText w:val="%1."/>
      <w:numFmt w:val="decimal"/>
      <w:start w:val="9"/>
    </w:lvl>
  </w:abstractNum>
  <w:abstractNum w:abstractNumId="1189">
    <w:nsid w:val="7A5C2CC0"/>
    <w:multiLevelType w:val="hybridMultilevel"/>
    <w:lvl w:ilvl="0">
      <w:lvlJc w:val="left"/>
      <w:lvlText w:val="%1."/>
      <w:numFmt w:val="decimal"/>
      <w:start w:val="10"/>
    </w:lvl>
  </w:abstractNum>
  <w:abstractNum w:abstractNumId="1190">
    <w:nsid w:val="452B748D"/>
    <w:multiLevelType w:val="hybridMultilevel"/>
    <w:lvl w:ilvl="0">
      <w:lvlJc w:val="left"/>
      <w:lvlText w:val="•"/>
      <w:numFmt w:val="bullet"/>
      <w:start w:val="1"/>
    </w:lvl>
  </w:abstractNum>
  <w:abstractNum w:abstractNumId="1191">
    <w:nsid w:val="1AA57E74"/>
    <w:multiLevelType w:val="hybridMultilevel"/>
    <w:lvl w:ilvl="0">
      <w:lvlJc w:val="left"/>
      <w:lvlText w:val="%1."/>
      <w:numFmt w:val="decimal"/>
      <w:start w:val="11"/>
    </w:lvl>
  </w:abstractNum>
  <w:abstractNum w:abstractNumId="1192">
    <w:nsid w:val="1E46A636"/>
    <w:multiLevelType w:val="hybridMultilevel"/>
    <w:lvl w:ilvl="0">
      <w:lvlJc w:val="left"/>
      <w:lvlText w:val="%1."/>
      <w:numFmt w:val="decimal"/>
      <w:start w:val="12"/>
    </w:lvl>
  </w:abstractNum>
  <w:abstractNum w:abstractNumId="1193">
    <w:nsid w:val="5539A68D"/>
    <w:multiLevelType w:val="hybridMultilevel"/>
    <w:lvl w:ilvl="0">
      <w:lvlJc w:val="left"/>
      <w:lvlText w:val="%1."/>
      <w:numFmt w:val="decimal"/>
      <w:start w:val="13"/>
    </w:lvl>
  </w:abstractNum>
  <w:abstractNum w:abstractNumId="1194">
    <w:nsid w:val="2EF2BD18"/>
    <w:multiLevelType w:val="hybridMultilevel"/>
    <w:lvl w:ilvl="0">
      <w:lvlJc w:val="left"/>
      <w:lvlText w:val="%1."/>
      <w:numFmt w:val="decimal"/>
      <w:start w:val="14"/>
    </w:lvl>
  </w:abstractNum>
  <w:abstractNum w:abstractNumId="1195">
    <w:nsid w:val="77D929E1"/>
    <w:multiLevelType w:val="hybridMultilevel"/>
    <w:lvl w:ilvl="0">
      <w:lvlJc w:val="left"/>
      <w:lvlText w:val="%1."/>
      <w:numFmt w:val="decimal"/>
      <w:start w:val="15"/>
    </w:lvl>
  </w:abstractNum>
  <w:abstractNum w:abstractNumId="1196">
    <w:nsid w:val="15C9CE22"/>
    <w:multiLevelType w:val="hybridMultilevel"/>
    <w:lvl w:ilvl="0">
      <w:lvlJc w:val="left"/>
      <w:lvlText w:val="%1."/>
      <w:numFmt w:val="decimal"/>
      <w:start w:val="16"/>
    </w:lvl>
  </w:abstractNum>
  <w:abstractNum w:abstractNumId="1197">
    <w:nsid w:val="7909B0E1"/>
    <w:multiLevelType w:val="hybridMultilevel"/>
    <w:lvl w:ilvl="0">
      <w:lvlJc w:val="left"/>
      <w:lvlText w:val="%1."/>
      <w:numFmt w:val="decimal"/>
      <w:start w:val="17"/>
    </w:lvl>
  </w:abstractNum>
  <w:abstractNum w:abstractNumId="1198">
    <w:nsid w:val="3226399A"/>
    <w:multiLevelType w:val="hybridMultilevel"/>
    <w:lvl w:ilvl="0">
      <w:lvlJc w:val="left"/>
      <w:lvlText w:val="%1."/>
      <w:numFmt w:val="decimal"/>
      <w:start w:val="18"/>
    </w:lvl>
  </w:abstractNum>
  <w:abstractNum w:abstractNumId="1199">
    <w:nsid w:val="36C8B004"/>
    <w:multiLevelType w:val="hybridMultilevel"/>
    <w:lvl w:ilvl="0">
      <w:lvlJc w:val="left"/>
      <w:lvlText w:val="%1."/>
      <w:numFmt w:val="decimal"/>
      <w:start w:val="19"/>
    </w:lvl>
  </w:abstractNum>
  <w:abstractNum w:abstractNumId="1200">
    <w:nsid w:val="36034322"/>
    <w:multiLevelType w:val="hybridMultilevel"/>
    <w:lvl w:ilvl="0">
      <w:lvlJc w:val="left"/>
      <w:lvlText w:val="%1."/>
      <w:numFmt w:val="decimal"/>
      <w:start w:val="20"/>
    </w:lvl>
  </w:abstractNum>
  <w:abstractNum w:abstractNumId="1201">
    <w:nsid w:val="505DD0B2"/>
    <w:multiLevelType w:val="hybridMultilevel"/>
    <w:lvl w:ilvl="0">
      <w:lvlJc w:val="left"/>
      <w:lvlText w:val="%1."/>
      <w:numFmt w:val="decimal"/>
      <w:start w:val="21"/>
    </w:lvl>
  </w:abstractNum>
  <w:abstractNum w:abstractNumId="1202">
    <w:nsid w:val="B824A6D"/>
    <w:multiLevelType w:val="hybridMultilevel"/>
    <w:lvl w:ilvl="0">
      <w:lvlJc w:val="left"/>
      <w:lvlText w:val="%1."/>
      <w:numFmt w:val="decimal"/>
      <w:start w:val="22"/>
    </w:lvl>
  </w:abstractNum>
  <w:abstractNum w:abstractNumId="1203">
    <w:nsid w:val="28B43CB2"/>
    <w:multiLevelType w:val="hybridMultilevel"/>
    <w:lvl w:ilvl="0">
      <w:lvlJc w:val="left"/>
      <w:lvlText w:val="%1."/>
      <w:numFmt w:val="decimal"/>
      <w:start w:val="23"/>
    </w:lvl>
  </w:abstractNum>
  <w:abstractNum w:abstractNumId="1204">
    <w:nsid w:val="261879D8"/>
    <w:multiLevelType w:val="hybridMultilevel"/>
    <w:lvl w:ilvl="0">
      <w:lvlJc w:val="left"/>
      <w:lvlText w:val="%1."/>
      <w:numFmt w:val="decimal"/>
      <w:start w:val="24"/>
    </w:lvl>
  </w:abstractNum>
  <w:abstractNum w:abstractNumId="1205">
    <w:nsid w:val="545DC582"/>
    <w:multiLevelType w:val="hybridMultilevel"/>
    <w:lvl w:ilvl="0">
      <w:lvlJc w:val="left"/>
      <w:lvlText w:val="%1."/>
      <w:numFmt w:val="decimal"/>
      <w:start w:val="25"/>
    </w:lvl>
  </w:abstractNum>
  <w:abstractNum w:abstractNumId="1206">
    <w:nsid w:val="5B675791"/>
    <w:multiLevelType w:val="hybridMultilevel"/>
    <w:lvl w:ilvl="0">
      <w:lvlJc w:val="left"/>
      <w:lvlText w:val="%1."/>
      <w:numFmt w:val="decimal"/>
      <w:start w:val="27"/>
    </w:lvl>
  </w:abstractNum>
  <w:abstractNum w:abstractNumId="1207">
    <w:nsid w:val="78BE8AE7"/>
    <w:multiLevelType w:val="hybridMultilevel"/>
    <w:lvl w:ilvl="0">
      <w:lvlJc w:val="left"/>
      <w:lvlText w:val="%1."/>
      <w:numFmt w:val="decimal"/>
      <w:start w:val="28"/>
    </w:lvl>
  </w:abstractNum>
  <w:abstractNum w:abstractNumId="1208">
    <w:nsid w:val="4ABAAB0"/>
    <w:multiLevelType w:val="hybridMultilevel"/>
    <w:lvl w:ilvl="0">
      <w:lvlJc w:val="left"/>
      <w:lvlText w:val="%1."/>
      <w:numFmt w:val="decimal"/>
      <w:start w:val="29"/>
    </w:lvl>
  </w:abstractNum>
  <w:abstractNum w:abstractNumId="1209">
    <w:nsid w:val="3B23E8DE"/>
    <w:multiLevelType w:val="hybridMultilevel"/>
    <w:lvl w:ilvl="0">
      <w:lvlJc w:val="left"/>
      <w:lvlText w:val="%1."/>
      <w:numFmt w:val="decimal"/>
      <w:start w:val="30"/>
    </w:lvl>
  </w:abstractNum>
  <w:abstractNum w:abstractNumId="1210">
    <w:nsid w:val="1FCB6884"/>
    <w:multiLevelType w:val="hybridMultilevel"/>
    <w:lvl w:ilvl="0">
      <w:lvlJc w:val="left"/>
      <w:lvlText w:val="%1."/>
      <w:numFmt w:val="decimal"/>
      <w:start w:val="31"/>
    </w:lvl>
  </w:abstractNum>
  <w:abstractNum w:abstractNumId="1211">
    <w:nsid w:val="46BE9A73"/>
    <w:multiLevelType w:val="hybridMultilevel"/>
    <w:lvl w:ilvl="0">
      <w:lvlJc w:val="left"/>
      <w:lvlText w:val="%1."/>
      <w:numFmt w:val="decimal"/>
      <w:start w:val="32"/>
    </w:lvl>
  </w:abstractNum>
  <w:abstractNum w:abstractNumId="1212">
    <w:nsid w:val="54D9439B"/>
    <w:multiLevelType w:val="hybridMultilevel"/>
    <w:lvl w:ilvl="0">
      <w:lvlJc w:val="left"/>
      <w:lvlText w:val="%1."/>
      <w:numFmt w:val="decimal"/>
      <w:start w:val="33"/>
    </w:lvl>
  </w:abstractNum>
  <w:abstractNum w:abstractNumId="1213">
    <w:nsid w:val="4DB63022"/>
    <w:multiLevelType w:val="hybridMultilevel"/>
    <w:lvl w:ilvl="0">
      <w:lvlJc w:val="left"/>
      <w:lvlText w:val="%1."/>
      <w:numFmt w:val="decimal"/>
      <w:start w:val="34"/>
    </w:lvl>
  </w:abstractNum>
  <w:abstractNum w:abstractNumId="1214">
    <w:nsid w:val="D023447"/>
    <w:multiLevelType w:val="hybridMultilevel"/>
    <w:lvl w:ilvl="0">
      <w:lvlJc w:val="left"/>
      <w:lvlText w:val="%1."/>
      <w:numFmt w:val="decimal"/>
      <w:start w:val="35"/>
    </w:lvl>
  </w:abstractNum>
  <w:abstractNum w:abstractNumId="1215">
    <w:nsid w:val="7D0C3256"/>
    <w:multiLevelType w:val="hybridMultilevel"/>
    <w:lvl w:ilvl="0">
      <w:lvlJc w:val="left"/>
      <w:lvlText w:val="%1."/>
      <w:numFmt w:val="decimal"/>
      <w:start w:val="36"/>
    </w:lvl>
  </w:abstractNum>
  <w:abstractNum w:abstractNumId="1216">
    <w:nsid w:val="73D616DF"/>
    <w:multiLevelType w:val="hybridMultilevel"/>
    <w:lvl w:ilvl="0">
      <w:lvlJc w:val="left"/>
      <w:lvlText w:val="%1."/>
      <w:numFmt w:val="decimal"/>
      <w:start w:val="37"/>
    </w:lvl>
  </w:abstractNum>
  <w:abstractNum w:abstractNumId="1217">
    <w:nsid w:val="638131E9"/>
    <w:multiLevelType w:val="hybridMultilevel"/>
    <w:lvl w:ilvl="0">
      <w:lvlJc w:val="left"/>
      <w:lvlText w:val="%1."/>
      <w:numFmt w:val="decimal"/>
      <w:start w:val="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jpe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jpeg"/><Relationship Id="rId1048" Type="http://schemas.openxmlformats.org/officeDocument/2006/relationships/image" Target="media/image1041.png"/><Relationship Id="rId1049" Type="http://schemas.openxmlformats.org/officeDocument/2006/relationships/image" Target="media/image1042.jpeg"/><Relationship Id="rId1050" Type="http://schemas.openxmlformats.org/officeDocument/2006/relationships/image" Target="media/image1043.png"/><Relationship Id="rId1051" Type="http://schemas.openxmlformats.org/officeDocument/2006/relationships/image" Target="media/image1044.jpeg"/><Relationship Id="rId1052" Type="http://schemas.openxmlformats.org/officeDocument/2006/relationships/image" Target="media/image1045.png"/><Relationship Id="rId1053" Type="http://schemas.openxmlformats.org/officeDocument/2006/relationships/image" Target="media/image1046.jpeg"/><Relationship Id="rId1054" Type="http://schemas.openxmlformats.org/officeDocument/2006/relationships/image" Target="media/image1047.png"/><Relationship Id="rId1055" Type="http://schemas.openxmlformats.org/officeDocument/2006/relationships/image" Target="media/image1048.jpeg"/><Relationship Id="rId1056" Type="http://schemas.openxmlformats.org/officeDocument/2006/relationships/image" Target="media/image1049.png"/><Relationship Id="rId1057" Type="http://schemas.openxmlformats.org/officeDocument/2006/relationships/image" Target="media/image1050.jpeg"/><Relationship Id="rId1058" Type="http://schemas.openxmlformats.org/officeDocument/2006/relationships/image" Target="media/image1051.png"/><Relationship Id="rId1059" Type="http://schemas.openxmlformats.org/officeDocument/2006/relationships/image" Target="media/image1052.jpeg"/><Relationship Id="rId1060" Type="http://schemas.openxmlformats.org/officeDocument/2006/relationships/image" Target="media/image1053.png"/><Relationship Id="rId1061" Type="http://schemas.openxmlformats.org/officeDocument/2006/relationships/image" Target="media/image1054.jpeg"/><Relationship Id="rId1062" Type="http://schemas.openxmlformats.org/officeDocument/2006/relationships/image" Target="media/image1055.png"/><Relationship Id="rId1063" Type="http://schemas.openxmlformats.org/officeDocument/2006/relationships/image" Target="media/image1056.jpeg"/><Relationship Id="rId1064" Type="http://schemas.openxmlformats.org/officeDocument/2006/relationships/image" Target="media/image1057.png"/><Relationship Id="rId1065" Type="http://schemas.openxmlformats.org/officeDocument/2006/relationships/image" Target="media/image1058.jpeg"/><Relationship Id="rId1066" Type="http://schemas.openxmlformats.org/officeDocument/2006/relationships/image" Target="media/image1059.png"/><Relationship Id="rId1067" Type="http://schemas.openxmlformats.org/officeDocument/2006/relationships/image" Target="media/image1060.jpeg"/><Relationship Id="rId1068" Type="http://schemas.openxmlformats.org/officeDocument/2006/relationships/image" Target="media/image1061.png"/><Relationship Id="rId1069" Type="http://schemas.openxmlformats.org/officeDocument/2006/relationships/image" Target="media/image1062.jpeg"/><Relationship Id="rId1070" Type="http://schemas.openxmlformats.org/officeDocument/2006/relationships/image" Target="media/image1063.png"/><Relationship Id="rId1071" Type="http://schemas.openxmlformats.org/officeDocument/2006/relationships/image" Target="media/image1064.jpeg"/><Relationship Id="rId1072" Type="http://schemas.openxmlformats.org/officeDocument/2006/relationships/image" Target="media/image1065.png"/><Relationship Id="rId1073" Type="http://schemas.openxmlformats.org/officeDocument/2006/relationships/image" Target="media/image1066.jpeg"/><Relationship Id="rId1074" Type="http://schemas.openxmlformats.org/officeDocument/2006/relationships/image" Target="media/image1067.png"/><Relationship Id="rId1075" Type="http://schemas.openxmlformats.org/officeDocument/2006/relationships/image" Target="media/image1068.jpeg"/><Relationship Id="rId1076" Type="http://schemas.openxmlformats.org/officeDocument/2006/relationships/image" Target="media/image1069.png"/><Relationship Id="rId1077" Type="http://schemas.openxmlformats.org/officeDocument/2006/relationships/image" Target="media/image1070.jpeg"/><Relationship Id="rId1078" Type="http://schemas.openxmlformats.org/officeDocument/2006/relationships/image" Target="media/image1071.png"/><Relationship Id="rId1079" Type="http://schemas.openxmlformats.org/officeDocument/2006/relationships/image" Target="media/image1072.jpeg"/><Relationship Id="rId1080" Type="http://schemas.openxmlformats.org/officeDocument/2006/relationships/image" Target="media/image1073.png"/><Relationship Id="rId1081" Type="http://schemas.openxmlformats.org/officeDocument/2006/relationships/image" Target="media/image1074.jpeg"/><Relationship Id="rId1082" Type="http://schemas.openxmlformats.org/officeDocument/2006/relationships/image" Target="media/image1075.png"/><Relationship Id="rId1083" Type="http://schemas.openxmlformats.org/officeDocument/2006/relationships/image" Target="media/image1076.jpeg"/><Relationship Id="rId1084" Type="http://schemas.openxmlformats.org/officeDocument/2006/relationships/image" Target="media/image1077.png"/><Relationship Id="rId1085" Type="http://schemas.openxmlformats.org/officeDocument/2006/relationships/image" Target="media/image10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2019-12-07T01:23:50Z</dcterms:created>
  <dcterms:modified xsi:type="dcterms:W3CDTF">2019-12-07T01:23:50Z</dcterms:modified>
</cp:coreProperties>
</file>